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DBB0536" w14:textId="77777777" w:rsidTr="006476E1">
        <w:trPr>
          <w:trHeight w:val="851"/>
        </w:trPr>
        <w:tc>
          <w:tcPr>
            <w:tcW w:w="1259" w:type="dxa"/>
            <w:tcBorders>
              <w:top w:val="nil"/>
              <w:left w:val="nil"/>
              <w:bottom w:val="single" w:sz="4" w:space="0" w:color="auto"/>
              <w:right w:val="nil"/>
            </w:tcBorders>
          </w:tcPr>
          <w:p w14:paraId="0BFFEFAD" w14:textId="77777777" w:rsidR="00E52109" w:rsidRPr="002A32CB" w:rsidRDefault="00E52109" w:rsidP="004858F5"/>
        </w:tc>
        <w:tc>
          <w:tcPr>
            <w:tcW w:w="2236" w:type="dxa"/>
            <w:tcBorders>
              <w:top w:val="nil"/>
              <w:left w:val="nil"/>
              <w:bottom w:val="single" w:sz="4" w:space="0" w:color="auto"/>
              <w:right w:val="nil"/>
            </w:tcBorders>
            <w:vAlign w:val="bottom"/>
          </w:tcPr>
          <w:p w14:paraId="749A887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771A45A" w14:textId="4A79E9F3" w:rsidR="00E52109" w:rsidRDefault="0096344F" w:rsidP="0096344F">
            <w:pPr>
              <w:suppressAutoHyphens w:val="0"/>
              <w:jc w:val="right"/>
            </w:pPr>
            <w:r w:rsidRPr="0096344F">
              <w:rPr>
                <w:sz w:val="40"/>
              </w:rPr>
              <w:t>ST</w:t>
            </w:r>
            <w:r>
              <w:t>/SG/AC.10/C.3/2023/24</w:t>
            </w:r>
          </w:p>
        </w:tc>
      </w:tr>
      <w:tr w:rsidR="00E52109" w14:paraId="2F9666E9" w14:textId="77777777" w:rsidTr="006476E1">
        <w:trPr>
          <w:trHeight w:val="2835"/>
        </w:trPr>
        <w:tc>
          <w:tcPr>
            <w:tcW w:w="1259" w:type="dxa"/>
            <w:tcBorders>
              <w:top w:val="single" w:sz="4" w:space="0" w:color="auto"/>
              <w:left w:val="nil"/>
              <w:bottom w:val="single" w:sz="12" w:space="0" w:color="auto"/>
              <w:right w:val="nil"/>
            </w:tcBorders>
          </w:tcPr>
          <w:p w14:paraId="5AC3AD66" w14:textId="77777777" w:rsidR="00E52109" w:rsidRDefault="00E52109" w:rsidP="006476E1">
            <w:pPr>
              <w:spacing w:before="120"/>
              <w:jc w:val="center"/>
            </w:pPr>
            <w:r>
              <w:rPr>
                <w:noProof/>
                <w:lang w:val="fr-CH" w:eastAsia="fr-CH"/>
              </w:rPr>
              <w:drawing>
                <wp:inline distT="0" distB="0" distL="0" distR="0" wp14:anchorId="0FAE567C" wp14:editId="2E38942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FE0188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34950A7" w14:textId="77777777" w:rsidR="00D94B05" w:rsidRDefault="0096344F" w:rsidP="0096344F">
            <w:pPr>
              <w:suppressAutoHyphens w:val="0"/>
              <w:spacing w:before="240" w:line="240" w:lineRule="exact"/>
            </w:pPr>
            <w:r>
              <w:t>Distr.: General</w:t>
            </w:r>
          </w:p>
          <w:p w14:paraId="34A9597D" w14:textId="69C6ED83" w:rsidR="0096344F" w:rsidRDefault="007C3B55" w:rsidP="0096344F">
            <w:pPr>
              <w:suppressAutoHyphens w:val="0"/>
              <w:spacing w:line="240" w:lineRule="exact"/>
            </w:pPr>
            <w:r>
              <w:t>21</w:t>
            </w:r>
            <w:r w:rsidR="0096344F">
              <w:t xml:space="preserve"> April 2023</w:t>
            </w:r>
          </w:p>
          <w:p w14:paraId="68E412C1" w14:textId="77777777" w:rsidR="0096344F" w:rsidRDefault="0096344F" w:rsidP="0096344F">
            <w:pPr>
              <w:suppressAutoHyphens w:val="0"/>
              <w:spacing w:line="240" w:lineRule="exact"/>
            </w:pPr>
          </w:p>
          <w:p w14:paraId="73196075" w14:textId="10B052CE" w:rsidR="0096344F" w:rsidRDefault="0096344F" w:rsidP="0096344F">
            <w:pPr>
              <w:suppressAutoHyphens w:val="0"/>
              <w:spacing w:line="240" w:lineRule="exact"/>
            </w:pPr>
            <w:r>
              <w:t>Original: English</w:t>
            </w:r>
          </w:p>
        </w:tc>
      </w:tr>
    </w:tbl>
    <w:p w14:paraId="792D33E2" w14:textId="77777777" w:rsidR="0096344F" w:rsidRPr="006500BA" w:rsidRDefault="0096344F" w:rsidP="0096344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62C6275" w14:textId="77777777" w:rsidR="0096344F" w:rsidRPr="006500BA" w:rsidRDefault="0096344F" w:rsidP="0096344F">
      <w:pPr>
        <w:spacing w:before="120"/>
        <w:rPr>
          <w:rFonts w:ascii="Helv" w:hAnsi="Helv" w:cs="Helv"/>
          <w:b/>
          <w:color w:val="000000"/>
        </w:rPr>
      </w:pPr>
      <w:r w:rsidRPr="006500BA">
        <w:rPr>
          <w:b/>
        </w:rPr>
        <w:t xml:space="preserve">Sub-Committee of Experts on the </w:t>
      </w:r>
      <w:r>
        <w:rPr>
          <w:b/>
        </w:rPr>
        <w:t>Transport of Dangerous Goods</w:t>
      </w:r>
    </w:p>
    <w:p w14:paraId="7FC9F7FE" w14:textId="77777777" w:rsidR="0096344F" w:rsidRPr="006500BA" w:rsidRDefault="0096344F" w:rsidP="0096344F">
      <w:pPr>
        <w:spacing w:before="120"/>
        <w:rPr>
          <w:b/>
        </w:rPr>
      </w:pPr>
      <w:r w:rsidRPr="00480C6A">
        <w:rPr>
          <w:b/>
        </w:rPr>
        <w:t>Sixty-second</w:t>
      </w:r>
      <w:r>
        <w:rPr>
          <w:b/>
        </w:rPr>
        <w:t xml:space="preserve"> </w:t>
      </w:r>
      <w:r w:rsidRPr="006500BA">
        <w:rPr>
          <w:b/>
        </w:rPr>
        <w:t>session</w:t>
      </w:r>
    </w:p>
    <w:p w14:paraId="023BD525" w14:textId="30C743F0" w:rsidR="0096344F" w:rsidRPr="006500BA" w:rsidRDefault="0096344F" w:rsidP="0096344F">
      <w:r w:rsidRPr="006500BA">
        <w:t xml:space="preserve">Geneva, </w:t>
      </w:r>
      <w:r>
        <w:t>3-7 July</w:t>
      </w:r>
      <w:r w:rsidR="00F908BD">
        <w:t xml:space="preserve"> 2023</w:t>
      </w:r>
    </w:p>
    <w:p w14:paraId="4C6CA84F" w14:textId="2FEB6036" w:rsidR="0096344F" w:rsidRDefault="0096344F" w:rsidP="0096344F">
      <w:r w:rsidRPr="006500BA">
        <w:t xml:space="preserve">Item </w:t>
      </w:r>
      <w:r>
        <w:t>4 (f)</w:t>
      </w:r>
      <w:r w:rsidRPr="006500BA">
        <w:t xml:space="preserve"> of the provisional agenda</w:t>
      </w:r>
    </w:p>
    <w:p w14:paraId="7F81BD8F" w14:textId="4DBFD7BD" w:rsidR="0096344F" w:rsidRPr="003E2B5F" w:rsidRDefault="0096344F" w:rsidP="0096344F">
      <w:pPr>
        <w:rPr>
          <w:b/>
          <w:bCs/>
        </w:rPr>
      </w:pPr>
      <w:r w:rsidRPr="0096344F">
        <w:rPr>
          <w:b/>
          <w:bCs/>
        </w:rPr>
        <w:t>Electric storage systems</w:t>
      </w:r>
      <w:r w:rsidRPr="003E2B5F">
        <w:rPr>
          <w:b/>
          <w:bCs/>
        </w:rPr>
        <w:t>: miscellaneous</w:t>
      </w:r>
    </w:p>
    <w:p w14:paraId="2F520625" w14:textId="4B5D6DFD" w:rsidR="0096344F" w:rsidRPr="00F5561C" w:rsidRDefault="0096344F" w:rsidP="0096344F">
      <w:pPr>
        <w:pStyle w:val="HChG"/>
        <w:rPr>
          <w:color w:val="000000" w:themeColor="text1"/>
        </w:rPr>
      </w:pPr>
      <w:r>
        <w:tab/>
      </w:r>
      <w:r>
        <w:tab/>
      </w:r>
      <w:r w:rsidRPr="0096344F">
        <w:t>Exception for equipment containing both lithium batteries and lithium button cells</w:t>
      </w:r>
    </w:p>
    <w:p w14:paraId="78C28232" w14:textId="0688DC5A" w:rsidR="0096344F" w:rsidRDefault="0096344F" w:rsidP="0096344F">
      <w:pPr>
        <w:pStyle w:val="H1G"/>
        <w:rPr>
          <w:rFonts w:asciiTheme="majorBidi" w:hAnsiTheme="majorBidi" w:cstheme="majorBidi"/>
          <w:color w:val="000000" w:themeColor="text1"/>
        </w:rPr>
      </w:pPr>
      <w:r>
        <w:rPr>
          <w:rFonts w:asciiTheme="majorBidi" w:hAnsiTheme="majorBidi" w:cstheme="majorBidi"/>
        </w:rPr>
        <w:tab/>
      </w:r>
      <w:r>
        <w:rPr>
          <w:rFonts w:asciiTheme="majorBidi" w:hAnsiTheme="majorBidi" w:cstheme="majorBidi"/>
        </w:rPr>
        <w:tab/>
      </w:r>
      <w:r w:rsidRPr="00372A88">
        <w:rPr>
          <w:rFonts w:eastAsia="Arial Unicode MS"/>
          <w:lang w:val="en-US"/>
        </w:rPr>
        <w:t xml:space="preserve">Transmitted by the </w:t>
      </w:r>
      <w:r w:rsidRPr="0096344F">
        <w:rPr>
          <w:rFonts w:eastAsia="Arial Unicode MS"/>
          <w:lang w:val="en-US"/>
        </w:rPr>
        <w:t>International Air Transport Association (IATA)</w:t>
      </w:r>
      <w:r w:rsidRPr="00AA28E9">
        <w:rPr>
          <w:rStyle w:val="FootnoteReference"/>
          <w:rFonts w:eastAsia="Arial Unicode MS"/>
          <w:sz w:val="20"/>
          <w:vertAlign w:val="baseline"/>
          <w:lang w:val="en-US"/>
        </w:rPr>
        <w:footnoteReference w:customMarkFollows="1" w:id="2"/>
        <w:t>*</w:t>
      </w:r>
      <w:r w:rsidR="00F631D4" w:rsidRPr="00F631D4">
        <w:rPr>
          <w:rFonts w:eastAsia="Arial Unicode MS"/>
          <w:sz w:val="20"/>
          <w:vertAlign w:val="superscript"/>
          <w:lang w:val="en-US"/>
        </w:rPr>
        <w:t>,</w:t>
      </w:r>
      <w:r w:rsidR="00F631D4">
        <w:rPr>
          <w:rFonts w:eastAsia="Arial Unicode MS"/>
          <w:sz w:val="20"/>
          <w:lang w:val="en-US"/>
        </w:rPr>
        <w:t>**</w:t>
      </w:r>
    </w:p>
    <w:p w14:paraId="5909A050" w14:textId="77777777" w:rsidR="0096344F" w:rsidRDefault="0096344F" w:rsidP="0096344F">
      <w:pPr>
        <w:pStyle w:val="HChG"/>
      </w:pPr>
      <w:r>
        <w:tab/>
        <w:t>I.</w:t>
      </w:r>
      <w:r>
        <w:tab/>
        <w:t>Introduction</w:t>
      </w:r>
    </w:p>
    <w:p w14:paraId="0A5D2521" w14:textId="7C4B9112" w:rsidR="0096344F" w:rsidRDefault="0096344F" w:rsidP="0096344F">
      <w:pPr>
        <w:pStyle w:val="SingleTxtG"/>
      </w:pPr>
      <w:r>
        <w:t>1.</w:t>
      </w:r>
      <w:r>
        <w:tab/>
        <w:t>Special provision 188 includes an exception in subparagraph (f) (</w:t>
      </w:r>
      <w:proofErr w:type="spellStart"/>
      <w:r>
        <w:t>i</w:t>
      </w:r>
      <w:proofErr w:type="spellEnd"/>
      <w:r>
        <w:t>) stating that packages containing only button cell batteries installed in equipment (including circuit boards) are not required to bear the lithium or sodium ion battery mark.</w:t>
      </w:r>
    </w:p>
    <w:p w14:paraId="32661557" w14:textId="734756B0" w:rsidR="0096344F" w:rsidRDefault="0096344F" w:rsidP="0096344F">
      <w:pPr>
        <w:pStyle w:val="SingleTxtG"/>
      </w:pPr>
      <w:r>
        <w:t>2.</w:t>
      </w:r>
      <w:r>
        <w:tab/>
        <w:t>The exception from the application of the mark on packages for equipment containing only button cells clearly applies to packages containing small devices such as digital watches, calculators and car key fobs where the power source is a single lithium button cell.</w:t>
      </w:r>
    </w:p>
    <w:p w14:paraId="114D86D8" w14:textId="77777777" w:rsidR="0096344F" w:rsidRDefault="0096344F" w:rsidP="0096344F">
      <w:pPr>
        <w:pStyle w:val="SingleTxtG"/>
      </w:pPr>
      <w:r>
        <w:t>3.</w:t>
      </w:r>
      <w:r>
        <w:tab/>
        <w:t>However, there has also been an informal practice that packages containing laptop computers that have a lithium ion battery for main power and also have a lithium metal button cell that provides power to the complementary metal oxide semiconductor (CMOS) chip need only show “UN 3481” and there does not need to be any reference to the presence of the lithium metal button cell in the equipment by including “UN 3091” on the mark.</w:t>
      </w:r>
    </w:p>
    <w:p w14:paraId="663AD6F2" w14:textId="535A7CFA" w:rsidR="0096344F" w:rsidRDefault="0096344F" w:rsidP="0096344F">
      <w:pPr>
        <w:pStyle w:val="SingleTxtG"/>
      </w:pPr>
      <w:r>
        <w:t>4.</w:t>
      </w:r>
      <w:r>
        <w:tab/>
        <w:t>Recently, the lack of identification of the presence of the lithium metal button cells when classifying laptops was raised by a member of the IATA Dangerous Goods Board. In the discussion, there was general agreement that consignments of laptop computers would only have the packages marked with “UN 3481” on the lithium battery mark. It was though acknowledged that the exception in the regulations did not provide for this and, technically, the lithium battery mark should show both UN 3481 and UN 3091.</w:t>
      </w:r>
    </w:p>
    <w:p w14:paraId="7A54F0E1" w14:textId="50E002F6" w:rsidR="0096344F" w:rsidRDefault="0096344F" w:rsidP="0096344F">
      <w:pPr>
        <w:pStyle w:val="SingleTxtG"/>
      </w:pPr>
      <w:r>
        <w:t>5.</w:t>
      </w:r>
      <w:r>
        <w:tab/>
        <w:t xml:space="preserve">Given that it is a well-established practice for consignors of laptop computers to apply the lithium battery mark with just “UN 3481” to packages, and the presence of a lithium metal button cell inside the laptop would not materially alter the risk and the need for </w:t>
      </w:r>
      <w:r>
        <w:lastRenderedPageBreak/>
        <w:t xml:space="preserve">additional hazard communication, it is </w:t>
      </w:r>
      <w:r w:rsidRPr="0096344F">
        <w:t>proposed to include an exception</w:t>
      </w:r>
      <w:r>
        <w:t xml:space="preserve"> for the mark where the equipment contains both a button cell and a lithium battery as the primary power source.</w:t>
      </w:r>
    </w:p>
    <w:p w14:paraId="27A9E851" w14:textId="466B5F3C" w:rsidR="0096344F" w:rsidRDefault="0096344F" w:rsidP="0096344F">
      <w:pPr>
        <w:pStyle w:val="HChG"/>
      </w:pPr>
      <w:r>
        <w:tab/>
        <w:t>II.</w:t>
      </w:r>
      <w:r>
        <w:tab/>
        <w:t>Proposal</w:t>
      </w:r>
    </w:p>
    <w:p w14:paraId="3C423994" w14:textId="0740B917" w:rsidR="0096344F" w:rsidRDefault="00F176D0" w:rsidP="0096344F">
      <w:pPr>
        <w:pStyle w:val="SingleTxtG"/>
      </w:pPr>
      <w:r>
        <w:t>6</w:t>
      </w:r>
      <w:r w:rsidR="0096344F">
        <w:t>.</w:t>
      </w:r>
      <w:r w:rsidR="0096344F">
        <w:tab/>
        <w:t xml:space="preserve">The Sub-Committee is invited to amend the wording of paragraph 5.2.1.9.2 to provide for an exception from the addition of the UN number for button cells where the equipment contains both lithium batteries (ion or metal) and lithium button cells. The change proposed is as follows (new text is </w:t>
      </w:r>
      <w:r w:rsidR="0096344F" w:rsidRPr="0096344F">
        <w:rPr>
          <w:u w:val="single"/>
        </w:rPr>
        <w:t>underlined</w:t>
      </w:r>
      <w:r w:rsidR="0096344F">
        <w:t>):</w:t>
      </w:r>
    </w:p>
    <w:p w14:paraId="4ECA195A" w14:textId="0FC3AF06" w:rsidR="00AF5DE1" w:rsidRDefault="0096344F" w:rsidP="0096344F">
      <w:pPr>
        <w:pStyle w:val="SingleTxtG"/>
        <w:ind w:left="1701"/>
      </w:pPr>
      <w:r>
        <w:t>“5.2.1.9.2</w:t>
      </w:r>
      <w:r>
        <w:tab/>
        <w:t xml:space="preserve">The mark shall indicate the UN number, preceded by the letters "UN" i.e. "UN 3090" for lithium metal cells or batteries, "UN 3480" for lithium ion cells or batteries or "UN 3551" for sodium ion cells or batteries. Where the cells or batteries are contained in, or packed with, equipment, the UN number, preceded by the letters "UN", i.e. "UN 3091", "UN 3481" or "UN 3552" as appropriate shall be indicated. Where a package contains cells or batteries assigned to different UN numbers, all applicable UN numbers shall be indicated on one or more marks. </w:t>
      </w:r>
      <w:r w:rsidRPr="0096344F">
        <w:rPr>
          <w:u w:val="single"/>
        </w:rPr>
        <w:t>However, where equipment contains cells or batteries and a button cell, there is no requirement for the UN number indicating the button cell to be included on the mark in addition to the UN number(s) for the cells or batteries.</w:t>
      </w:r>
      <w:r>
        <w:t>”</w:t>
      </w:r>
    </w:p>
    <w:p w14:paraId="1AAFB2D8" w14:textId="40B31EA9" w:rsidR="003C737E" w:rsidRPr="003C737E" w:rsidRDefault="003C737E" w:rsidP="003C737E">
      <w:pPr>
        <w:spacing w:before="240"/>
        <w:jc w:val="center"/>
        <w:rPr>
          <w:u w:val="single"/>
        </w:rPr>
      </w:pPr>
      <w:r>
        <w:rPr>
          <w:u w:val="single"/>
        </w:rPr>
        <w:tab/>
      </w:r>
      <w:r>
        <w:rPr>
          <w:u w:val="single"/>
        </w:rPr>
        <w:tab/>
      </w:r>
      <w:r>
        <w:rPr>
          <w:u w:val="single"/>
        </w:rPr>
        <w:tab/>
      </w:r>
    </w:p>
    <w:sectPr w:rsidR="003C737E" w:rsidRPr="003C737E" w:rsidSect="0096344F">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A94ED" w14:textId="77777777" w:rsidR="00143853" w:rsidRPr="00C47B2E" w:rsidRDefault="00143853" w:rsidP="00C47B2E">
      <w:pPr>
        <w:pStyle w:val="Footer"/>
      </w:pPr>
    </w:p>
  </w:endnote>
  <w:endnote w:type="continuationSeparator" w:id="0">
    <w:p w14:paraId="27FCDA9C" w14:textId="77777777" w:rsidR="00143853" w:rsidRPr="00C47B2E" w:rsidRDefault="00143853" w:rsidP="00C47B2E">
      <w:pPr>
        <w:pStyle w:val="Footer"/>
      </w:pPr>
    </w:p>
  </w:endnote>
  <w:endnote w:type="continuationNotice" w:id="1">
    <w:p w14:paraId="0E5386CD" w14:textId="77777777" w:rsidR="00143853" w:rsidRPr="00C47B2E" w:rsidRDefault="0014385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7E9C" w14:textId="318FC756" w:rsidR="00D94B05" w:rsidRPr="0096344F" w:rsidRDefault="0096344F" w:rsidP="0096344F">
    <w:pPr>
      <w:pStyle w:val="Footer"/>
      <w:tabs>
        <w:tab w:val="right" w:pos="9598"/>
        <w:tab w:val="right" w:pos="9638"/>
      </w:tabs>
      <w:rPr>
        <w:sz w:val="18"/>
      </w:rPr>
    </w:pPr>
    <w:r w:rsidRPr="0096344F">
      <w:rPr>
        <w:b/>
        <w:sz w:val="18"/>
      </w:rPr>
      <w:fldChar w:fldCharType="begin"/>
    </w:r>
    <w:r w:rsidRPr="0096344F">
      <w:rPr>
        <w:b/>
        <w:sz w:val="18"/>
      </w:rPr>
      <w:instrText xml:space="preserve"> PAGE  \* MERGEFORMAT </w:instrText>
    </w:r>
    <w:r w:rsidRPr="0096344F">
      <w:rPr>
        <w:b/>
        <w:sz w:val="18"/>
      </w:rPr>
      <w:fldChar w:fldCharType="separate"/>
    </w:r>
    <w:r w:rsidRPr="0096344F">
      <w:rPr>
        <w:b/>
        <w:noProof/>
        <w:sz w:val="18"/>
      </w:rPr>
      <w:t>2</w:t>
    </w:r>
    <w:r w:rsidRPr="0096344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7640" w14:textId="6F15B359" w:rsidR="00D94B05" w:rsidRPr="0096344F" w:rsidRDefault="0096344F" w:rsidP="0096344F">
    <w:pPr>
      <w:pStyle w:val="Footer"/>
      <w:tabs>
        <w:tab w:val="left" w:pos="5775"/>
        <w:tab w:val="right" w:pos="9598"/>
        <w:tab w:val="right" w:pos="9638"/>
      </w:tabs>
      <w:rPr>
        <w:sz w:val="18"/>
      </w:rPr>
    </w:pPr>
    <w:r>
      <w:rPr>
        <w:b/>
        <w:sz w:val="18"/>
      </w:rPr>
      <w:tab/>
    </w:r>
    <w:r w:rsidRPr="0096344F">
      <w:rPr>
        <w:sz w:val="18"/>
      </w:rPr>
      <w:fldChar w:fldCharType="begin"/>
    </w:r>
    <w:r w:rsidRPr="0096344F">
      <w:rPr>
        <w:sz w:val="18"/>
      </w:rPr>
      <w:instrText xml:space="preserve"> PAGE  \* MERGEFORMAT </w:instrText>
    </w:r>
    <w:r w:rsidRPr="0096344F">
      <w:rPr>
        <w:sz w:val="18"/>
      </w:rPr>
      <w:fldChar w:fldCharType="separate"/>
    </w:r>
    <w:r w:rsidRPr="0096344F">
      <w:rPr>
        <w:noProof/>
        <w:sz w:val="18"/>
      </w:rPr>
      <w:t>3</w:t>
    </w:r>
    <w:r w:rsidRPr="0096344F">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D023" w14:textId="7AC04411" w:rsidR="00DC5F1F" w:rsidRDefault="00DC5F1F" w:rsidP="00DC5F1F">
    <w:pPr>
      <w:pStyle w:val="Footer"/>
    </w:pPr>
    <w:bookmarkStart w:id="0" w:name="_GoBack"/>
    <w:bookmarkEnd w:id="0"/>
    <w:r>
      <w:rPr>
        <w:noProof/>
        <w:lang w:val="en-US"/>
      </w:rPr>
      <w:drawing>
        <wp:anchor distT="0" distB="0" distL="114300" distR="114300" simplePos="0" relativeHeight="251659264" behindDoc="1" locked="1" layoutInCell="1" allowOverlap="1" wp14:anchorId="2C6E2FC2" wp14:editId="1A2AE5D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002DA6" w14:textId="318AB40F" w:rsidR="00DC5F1F" w:rsidRPr="00DC5F1F" w:rsidRDefault="00DC5F1F" w:rsidP="00DC5F1F">
    <w:pPr>
      <w:pStyle w:val="Footer"/>
      <w:kinsoku/>
      <w:overflowPunct/>
      <w:autoSpaceDE/>
      <w:autoSpaceDN/>
      <w:adjustRightInd/>
      <w:ind w:right="1134"/>
      <w:rPr>
        <w:sz w:val="20"/>
      </w:rPr>
    </w:pPr>
    <w:r>
      <w:rPr>
        <w:sz w:val="20"/>
      </w:rPr>
      <w:t>GE.23-07596(E)</w:t>
    </w:r>
    <w:r>
      <w:rPr>
        <w:noProof/>
        <w:sz w:val="20"/>
      </w:rPr>
      <w:drawing>
        <wp:anchor distT="0" distB="0" distL="114300" distR="114300" simplePos="0" relativeHeight="251660288" behindDoc="0" locked="0" layoutInCell="1" allowOverlap="1" wp14:anchorId="29AFBE03" wp14:editId="58D0BFA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963D" w14:textId="77777777" w:rsidR="00143853" w:rsidRPr="00C47B2E" w:rsidRDefault="00143853" w:rsidP="00C47B2E">
      <w:pPr>
        <w:tabs>
          <w:tab w:val="right" w:pos="2155"/>
        </w:tabs>
        <w:spacing w:after="80" w:line="240" w:lineRule="auto"/>
        <w:ind w:left="680"/>
      </w:pPr>
      <w:r>
        <w:rPr>
          <w:u w:val="single"/>
        </w:rPr>
        <w:tab/>
      </w:r>
    </w:p>
  </w:footnote>
  <w:footnote w:type="continuationSeparator" w:id="0">
    <w:p w14:paraId="75099D4C" w14:textId="77777777" w:rsidR="00143853" w:rsidRPr="00C47B2E" w:rsidRDefault="00143853" w:rsidP="005E716E">
      <w:pPr>
        <w:tabs>
          <w:tab w:val="right" w:pos="2155"/>
        </w:tabs>
        <w:spacing w:after="80" w:line="240" w:lineRule="auto"/>
        <w:ind w:left="680"/>
      </w:pPr>
      <w:r>
        <w:rPr>
          <w:u w:val="single"/>
        </w:rPr>
        <w:tab/>
      </w:r>
    </w:p>
  </w:footnote>
  <w:footnote w:type="continuationNotice" w:id="1">
    <w:p w14:paraId="314383EA" w14:textId="77777777" w:rsidR="00143853" w:rsidRPr="00C47B2E" w:rsidRDefault="00143853" w:rsidP="00C47B2E">
      <w:pPr>
        <w:pStyle w:val="Footer"/>
      </w:pPr>
    </w:p>
  </w:footnote>
  <w:footnote w:id="2">
    <w:p w14:paraId="6158097B" w14:textId="0F610C4B" w:rsidR="0096344F" w:rsidRDefault="0096344F" w:rsidP="0096344F">
      <w:pPr>
        <w:pStyle w:val="FootnoteText"/>
      </w:pPr>
      <w:r>
        <w:rPr>
          <w:rStyle w:val="FootnoteReference"/>
        </w:rPr>
        <w:tab/>
      </w:r>
      <w:r w:rsidRPr="00AA28E9">
        <w:rPr>
          <w:rStyle w:val="FootnoteReference"/>
          <w:sz w:val="20"/>
          <w:vertAlign w:val="baseline"/>
        </w:rPr>
        <w:t>*</w:t>
      </w:r>
      <w:r>
        <w:rPr>
          <w:rStyle w:val="FootnoteReference"/>
          <w:sz w:val="20"/>
          <w:vertAlign w:val="baseline"/>
        </w:rPr>
        <w:tab/>
      </w:r>
      <w:r w:rsidRPr="00537719">
        <w:t>A/77/6 (Sect. 20), table 20.6</w:t>
      </w:r>
    </w:p>
    <w:p w14:paraId="28E173C3" w14:textId="4B2682DB" w:rsidR="00F631D4" w:rsidRPr="00AA28E9" w:rsidRDefault="000870D3" w:rsidP="000870D3">
      <w:pPr>
        <w:pStyle w:val="FootnoteText"/>
        <w:rPr>
          <w:lang w:val="en-US"/>
        </w:rPr>
      </w:pPr>
      <w:r>
        <w:tab/>
      </w:r>
      <w:r w:rsidR="00F631D4">
        <w:t>**</w:t>
      </w:r>
      <w:r>
        <w:tab/>
      </w:r>
      <w:r w:rsidRPr="000870D3">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B14" w14:textId="3689E435" w:rsidR="0096344F" w:rsidRPr="0096344F" w:rsidRDefault="0096344F">
    <w:pPr>
      <w:pStyle w:val="Header"/>
    </w:pPr>
    <w:r>
      <w:t>ST/SG/AC.10/C.3/2023/24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FB34" w14:textId="6DA1EF2B" w:rsidR="00D94B05" w:rsidRPr="0096344F" w:rsidRDefault="00C152FB" w:rsidP="0096344F">
    <w:pPr>
      <w:pStyle w:val="Header"/>
      <w:jc w:val="right"/>
    </w:pPr>
    <w:r>
      <w:fldChar w:fldCharType="begin"/>
    </w:r>
    <w:r>
      <w:instrText xml:space="preserve"> TITLE  \* MERGEFORMAT </w:instrText>
    </w:r>
    <w:r>
      <w:fldChar w:fldCharType="separate"/>
    </w:r>
    <w:r w:rsidR="0043006A">
      <w:t>ST/SG/AC.10/C.3/2023/24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5623321">
    <w:abstractNumId w:val="5"/>
  </w:num>
  <w:num w:numId="2" w16cid:durableId="1915240016">
    <w:abstractNumId w:val="4"/>
  </w:num>
  <w:num w:numId="3" w16cid:durableId="1229151780">
    <w:abstractNumId w:val="0"/>
  </w:num>
  <w:num w:numId="4" w16cid:durableId="828447300">
    <w:abstractNumId w:val="6"/>
  </w:num>
  <w:num w:numId="5" w16cid:durableId="480079967">
    <w:abstractNumId w:val="7"/>
  </w:num>
  <w:num w:numId="6" w16cid:durableId="524102515">
    <w:abstractNumId w:val="9"/>
  </w:num>
  <w:num w:numId="7" w16cid:durableId="7485614">
    <w:abstractNumId w:val="3"/>
  </w:num>
  <w:num w:numId="8" w16cid:durableId="1554805404">
    <w:abstractNumId w:val="1"/>
  </w:num>
  <w:num w:numId="9" w16cid:durableId="1859153443">
    <w:abstractNumId w:val="8"/>
  </w:num>
  <w:num w:numId="10" w16cid:durableId="287051101">
    <w:abstractNumId w:val="1"/>
  </w:num>
  <w:num w:numId="11" w16cid:durableId="473721471">
    <w:abstractNumId w:val="8"/>
  </w:num>
  <w:num w:numId="12" w16cid:durableId="977875530">
    <w:abstractNumId w:val="2"/>
  </w:num>
  <w:num w:numId="13" w16cid:durableId="147452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F"/>
    <w:rsid w:val="00046E92"/>
    <w:rsid w:val="00063C90"/>
    <w:rsid w:val="000870D3"/>
    <w:rsid w:val="000F1628"/>
    <w:rsid w:val="00101B98"/>
    <w:rsid w:val="00143853"/>
    <w:rsid w:val="001514D1"/>
    <w:rsid w:val="00247E2C"/>
    <w:rsid w:val="002A32CB"/>
    <w:rsid w:val="002D488D"/>
    <w:rsid w:val="002D5B2C"/>
    <w:rsid w:val="002D6C53"/>
    <w:rsid w:val="002F5595"/>
    <w:rsid w:val="00334F6A"/>
    <w:rsid w:val="00342AC8"/>
    <w:rsid w:val="00343302"/>
    <w:rsid w:val="003979DE"/>
    <w:rsid w:val="003B4550"/>
    <w:rsid w:val="003C737E"/>
    <w:rsid w:val="003D2A18"/>
    <w:rsid w:val="00413386"/>
    <w:rsid w:val="0043006A"/>
    <w:rsid w:val="00461253"/>
    <w:rsid w:val="004858F5"/>
    <w:rsid w:val="004A2814"/>
    <w:rsid w:val="004C0622"/>
    <w:rsid w:val="004C6031"/>
    <w:rsid w:val="004D1796"/>
    <w:rsid w:val="005042C2"/>
    <w:rsid w:val="005E716E"/>
    <w:rsid w:val="006476E1"/>
    <w:rsid w:val="006604DF"/>
    <w:rsid w:val="00671529"/>
    <w:rsid w:val="0070489D"/>
    <w:rsid w:val="007268F9"/>
    <w:rsid w:val="00750282"/>
    <w:rsid w:val="00764440"/>
    <w:rsid w:val="0077101B"/>
    <w:rsid w:val="007C3B55"/>
    <w:rsid w:val="007C52B0"/>
    <w:rsid w:val="007C6033"/>
    <w:rsid w:val="008147C8"/>
    <w:rsid w:val="0081753A"/>
    <w:rsid w:val="00857D23"/>
    <w:rsid w:val="00865E05"/>
    <w:rsid w:val="009411B4"/>
    <w:rsid w:val="00946F1D"/>
    <w:rsid w:val="0096344F"/>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63CD2"/>
    <w:rsid w:val="00D87DC2"/>
    <w:rsid w:val="00D94B05"/>
    <w:rsid w:val="00DC5F1F"/>
    <w:rsid w:val="00E02C2B"/>
    <w:rsid w:val="00E21C27"/>
    <w:rsid w:val="00E26BCF"/>
    <w:rsid w:val="00E52109"/>
    <w:rsid w:val="00E75317"/>
    <w:rsid w:val="00EC0CE6"/>
    <w:rsid w:val="00EC7C1D"/>
    <w:rsid w:val="00ED6C48"/>
    <w:rsid w:val="00EE3045"/>
    <w:rsid w:val="00F176D0"/>
    <w:rsid w:val="00F631D4"/>
    <w:rsid w:val="00F65F5D"/>
    <w:rsid w:val="00F80CE9"/>
    <w:rsid w:val="00F86A3A"/>
    <w:rsid w:val="00F908B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875BF"/>
  <w15:docId w15:val="{E372AE5B-4E50-435B-9595-2FA58304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96344F"/>
    <w:rPr>
      <w:b/>
      <w:sz w:val="24"/>
    </w:rPr>
  </w:style>
  <w:style w:type="character" w:customStyle="1" w:styleId="HChGChar">
    <w:name w:val="_ H _Ch_G Char"/>
    <w:link w:val="HChG"/>
    <w:qFormat/>
    <w:rsid w:val="0096344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9D66B75-CC29-4E9B-8647-69B4A2F7CDDB}">
  <ds:schemaRefs>
    <ds:schemaRef ds:uri="http://schemas.microsoft.com/sharepoint/v3/contenttype/forms"/>
  </ds:schemaRefs>
</ds:datastoreItem>
</file>

<file path=customXml/itemProps2.xml><?xml version="1.0" encoding="utf-8"?>
<ds:datastoreItem xmlns:ds="http://schemas.openxmlformats.org/officeDocument/2006/customXml" ds:itemID="{D32B238E-BB64-48E1-9366-D846F4CAB0C1}"/>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1A41E72B-338A-4CE9-9528-CA021FFF99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3029</Characters>
  <Application>Microsoft Office Word</Application>
  <DocSecurity>0</DocSecurity>
  <Lines>59</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ST/SG/AC.10/C.3/2023/24</vt: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ST/SG/AC.10/C.3/2023/24</dc:title>
  <dc:subject>2307596</dc:subject>
  <dc:creator>Editorial</dc:creator>
  <cp:keywords/>
  <dc:description/>
  <cp:lastModifiedBy>Anni Vi Tirol</cp:lastModifiedBy>
  <cp:revision>3</cp:revision>
  <cp:lastPrinted>2023-04-21T14:47:00Z</cp:lastPrinted>
  <dcterms:created xsi:type="dcterms:W3CDTF">2023-04-21T14:47:00Z</dcterms:created>
  <dcterms:modified xsi:type="dcterms:W3CDTF">2023-04-21T14:48:00Z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