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8C239C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59D9DE" w14:textId="77777777" w:rsidR="00132EA9" w:rsidRPr="00DB58B5" w:rsidRDefault="00132EA9" w:rsidP="00EB6A2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07DFC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20D619" w14:textId="7F6BB519" w:rsidR="00132EA9" w:rsidRPr="00DB58B5" w:rsidRDefault="00EB6A2A" w:rsidP="00EB6A2A">
            <w:pPr>
              <w:jc w:val="right"/>
            </w:pPr>
            <w:r w:rsidRPr="00EB6A2A">
              <w:rPr>
                <w:sz w:val="40"/>
              </w:rPr>
              <w:t>ST</w:t>
            </w:r>
            <w:r>
              <w:t>/SG/AC.10/C.3/2023/21</w:t>
            </w:r>
          </w:p>
        </w:tc>
      </w:tr>
      <w:tr w:rsidR="00132EA9" w:rsidRPr="00DB58B5" w14:paraId="190EF6D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2F3FB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F814935" wp14:editId="7DE25F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AC20B4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08902C" w14:textId="77777777" w:rsidR="00132EA9" w:rsidRDefault="00EB6A2A" w:rsidP="00F01738">
            <w:pPr>
              <w:spacing w:before="240"/>
            </w:pPr>
            <w:r>
              <w:t>Distr. générale</w:t>
            </w:r>
          </w:p>
          <w:p w14:paraId="4B303B9D" w14:textId="77777777" w:rsidR="00EB6A2A" w:rsidRDefault="00EB6A2A" w:rsidP="00EB6A2A">
            <w:pPr>
              <w:spacing w:line="240" w:lineRule="exact"/>
            </w:pPr>
            <w:r>
              <w:t>20 avril 2023</w:t>
            </w:r>
          </w:p>
          <w:p w14:paraId="4FEA3416" w14:textId="77777777" w:rsidR="00EB6A2A" w:rsidRDefault="00EB6A2A" w:rsidP="00EB6A2A">
            <w:pPr>
              <w:spacing w:line="240" w:lineRule="exact"/>
            </w:pPr>
            <w:r>
              <w:t>Français</w:t>
            </w:r>
          </w:p>
          <w:p w14:paraId="476F6F55" w14:textId="481FA9F1" w:rsidR="00EB6A2A" w:rsidRPr="00DB58B5" w:rsidRDefault="00EB6A2A" w:rsidP="00EB6A2A">
            <w:pPr>
              <w:spacing w:line="240" w:lineRule="exact"/>
            </w:pPr>
            <w:r>
              <w:t>Original : anglais</w:t>
            </w:r>
          </w:p>
        </w:tc>
      </w:tr>
    </w:tbl>
    <w:p w14:paraId="549B91FB" w14:textId="591744FA" w:rsidR="00073231" w:rsidRPr="0045312C" w:rsidRDefault="00073231" w:rsidP="00073231">
      <w:pPr>
        <w:spacing w:before="120"/>
        <w:rPr>
          <w:b/>
          <w:sz w:val="32"/>
          <w:szCs w:val="32"/>
          <w:lang w:val="fr-FR"/>
        </w:rPr>
      </w:pPr>
      <w:r w:rsidRPr="0045312C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45312C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 w:rsidR="00B0002C">
        <w:rPr>
          <w:b/>
          <w:bCs/>
          <w:sz w:val="24"/>
          <w:szCs w:val="24"/>
          <w:lang w:val="fr-FR"/>
        </w:rPr>
        <w:br/>
      </w:r>
      <w:r w:rsidRPr="0045312C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B0002C">
        <w:rPr>
          <w:b/>
          <w:bCs/>
          <w:sz w:val="24"/>
          <w:szCs w:val="24"/>
          <w:lang w:val="fr-FR"/>
        </w:rPr>
        <w:br/>
      </w:r>
      <w:r w:rsidRPr="0045312C">
        <w:rPr>
          <w:b/>
          <w:bCs/>
          <w:sz w:val="24"/>
          <w:szCs w:val="24"/>
          <w:lang w:val="fr-FR"/>
        </w:rPr>
        <w:t>et d</w:t>
      </w:r>
      <w:r>
        <w:rPr>
          <w:b/>
          <w:bCs/>
          <w:sz w:val="24"/>
          <w:szCs w:val="24"/>
          <w:lang w:val="fr-FR"/>
        </w:rPr>
        <w:t>’</w:t>
      </w:r>
      <w:r w:rsidRPr="0045312C">
        <w:rPr>
          <w:b/>
          <w:bCs/>
          <w:sz w:val="24"/>
          <w:szCs w:val="24"/>
          <w:lang w:val="fr-FR"/>
        </w:rPr>
        <w:t>étiquetage des produits chimiques</w:t>
      </w:r>
    </w:p>
    <w:p w14:paraId="6F3C296A" w14:textId="77777777" w:rsidR="00073231" w:rsidRPr="00B0002C" w:rsidRDefault="00073231" w:rsidP="00073231">
      <w:pPr>
        <w:spacing w:before="120"/>
        <w:rPr>
          <w:b/>
          <w:color w:val="000000"/>
          <w:lang w:val="fr-FR"/>
        </w:rPr>
      </w:pPr>
      <w:r w:rsidRPr="00B0002C">
        <w:rPr>
          <w:b/>
          <w:bCs/>
          <w:lang w:val="fr-FR"/>
        </w:rPr>
        <w:t>Sous-Comité d’experts du transport des marchandises dangereuses</w:t>
      </w:r>
    </w:p>
    <w:p w14:paraId="720DC28A" w14:textId="77777777" w:rsidR="00073231" w:rsidRPr="00B0002C" w:rsidRDefault="00073231" w:rsidP="00073231">
      <w:pPr>
        <w:spacing w:before="120"/>
        <w:rPr>
          <w:b/>
          <w:lang w:val="fr-FR"/>
        </w:rPr>
      </w:pPr>
      <w:r w:rsidRPr="00B0002C">
        <w:rPr>
          <w:b/>
          <w:bCs/>
          <w:lang w:val="fr-FR"/>
        </w:rPr>
        <w:t>Soixante-deuxième session</w:t>
      </w:r>
    </w:p>
    <w:p w14:paraId="14ED0BDE" w14:textId="77777777" w:rsidR="00073231" w:rsidRPr="00B0002C" w:rsidRDefault="00073231" w:rsidP="00073231">
      <w:pPr>
        <w:rPr>
          <w:lang w:val="fr-FR"/>
        </w:rPr>
      </w:pPr>
      <w:r w:rsidRPr="00B0002C">
        <w:rPr>
          <w:lang w:val="fr-FR"/>
        </w:rPr>
        <w:t>Genève, 3-7 juillet 2023</w:t>
      </w:r>
    </w:p>
    <w:p w14:paraId="64ECEE21" w14:textId="3C052A58" w:rsidR="00073231" w:rsidRPr="00B0002C" w:rsidRDefault="00073231" w:rsidP="00073231">
      <w:pPr>
        <w:rPr>
          <w:lang w:val="fr-FR"/>
        </w:rPr>
      </w:pPr>
      <w:r w:rsidRPr="00B0002C">
        <w:rPr>
          <w:lang w:val="fr-FR"/>
        </w:rPr>
        <w:t>Point 5</w:t>
      </w:r>
      <w:r w:rsidR="00B0002C">
        <w:rPr>
          <w:lang w:val="fr-FR"/>
        </w:rPr>
        <w:t> </w:t>
      </w:r>
      <w:r w:rsidRPr="00B0002C">
        <w:rPr>
          <w:lang w:val="fr-FR"/>
        </w:rPr>
        <w:t>c) de l’ordre du jour provisoire</w:t>
      </w:r>
    </w:p>
    <w:p w14:paraId="707867D0" w14:textId="174C12C5" w:rsidR="00073231" w:rsidRPr="00B0002C" w:rsidRDefault="00073231" w:rsidP="00073231">
      <w:pPr>
        <w:rPr>
          <w:b/>
          <w:bCs/>
          <w:lang w:val="fr-FR"/>
        </w:rPr>
      </w:pPr>
      <w:r w:rsidRPr="00B0002C">
        <w:rPr>
          <w:b/>
          <w:bCs/>
          <w:lang w:val="fr-FR"/>
        </w:rPr>
        <w:t>Transport de gaz</w:t>
      </w:r>
      <w:r w:rsidR="00B0002C">
        <w:rPr>
          <w:b/>
          <w:bCs/>
          <w:lang w:val="fr-FR"/>
        </w:rPr>
        <w:t> </w:t>
      </w:r>
      <w:r w:rsidRPr="00B0002C">
        <w:rPr>
          <w:b/>
          <w:bCs/>
          <w:lang w:val="fr-FR"/>
        </w:rPr>
        <w:t>: autres questions</w:t>
      </w:r>
    </w:p>
    <w:p w14:paraId="5633921E" w14:textId="77777777" w:rsidR="00073231" w:rsidRPr="0045312C" w:rsidRDefault="00073231" w:rsidP="00B0002C">
      <w:pPr>
        <w:pStyle w:val="HChG"/>
        <w:rPr>
          <w:lang w:val="fr-FR"/>
        </w:rPr>
      </w:pPr>
      <w:r w:rsidRPr="0045312C">
        <w:rPr>
          <w:lang w:val="fr-FR"/>
        </w:rPr>
        <w:tab/>
      </w:r>
      <w:r w:rsidRPr="0045312C">
        <w:rPr>
          <w:lang w:val="fr-FR"/>
        </w:rPr>
        <w:tab/>
        <w:t>Normes ISO mises à jour dans la classe 2</w:t>
      </w:r>
    </w:p>
    <w:p w14:paraId="137976F9" w14:textId="33B16D7B" w:rsidR="00073231" w:rsidRPr="0045312C" w:rsidRDefault="00073231" w:rsidP="00B0002C">
      <w:pPr>
        <w:pStyle w:val="H1G"/>
        <w:rPr>
          <w:lang w:val="fr-FR"/>
        </w:rPr>
      </w:pPr>
      <w:r w:rsidRPr="0045312C">
        <w:rPr>
          <w:lang w:val="fr-FR"/>
        </w:rPr>
        <w:tab/>
      </w:r>
      <w:r w:rsidRPr="0045312C">
        <w:rPr>
          <w:lang w:val="fr-FR"/>
        </w:rPr>
        <w:tab/>
        <w:t>Communication de l</w:t>
      </w:r>
      <w:r>
        <w:rPr>
          <w:lang w:val="fr-FR"/>
        </w:rPr>
        <w:t>’</w:t>
      </w:r>
      <w:r w:rsidRPr="0045312C">
        <w:rPr>
          <w:lang w:val="fr-FR"/>
        </w:rPr>
        <w:t xml:space="preserve">Organisation internationale </w:t>
      </w:r>
      <w:r w:rsidR="00B0002C">
        <w:rPr>
          <w:lang w:val="fr-FR"/>
        </w:rPr>
        <w:br/>
      </w:r>
      <w:r w:rsidRPr="0045312C">
        <w:rPr>
          <w:lang w:val="fr-FR"/>
        </w:rPr>
        <w:t>de normalisation (ISO)</w:t>
      </w:r>
      <w:r w:rsidR="00B0002C" w:rsidRPr="00B000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5D5DB6A" w14:textId="77777777" w:rsidR="00073231" w:rsidRPr="0045312C" w:rsidRDefault="00073231" w:rsidP="00B0002C">
      <w:pPr>
        <w:pStyle w:val="HChG"/>
        <w:rPr>
          <w:lang w:val="fr-FR"/>
        </w:rPr>
      </w:pPr>
      <w:r w:rsidRPr="0045312C">
        <w:rPr>
          <w:lang w:val="fr-FR"/>
        </w:rPr>
        <w:tab/>
      </w:r>
      <w:r w:rsidRPr="0045312C">
        <w:rPr>
          <w:lang w:val="fr-FR"/>
        </w:rPr>
        <w:tab/>
        <w:t>Introduction</w:t>
      </w:r>
    </w:p>
    <w:p w14:paraId="684F4ABF" w14:textId="758EC11F" w:rsidR="00073231" w:rsidRPr="0045312C" w:rsidRDefault="00073231" w:rsidP="00B0002C">
      <w:pPr>
        <w:pStyle w:val="SingleTxtG"/>
        <w:keepNext/>
        <w:rPr>
          <w:lang w:val="fr-FR"/>
        </w:rPr>
      </w:pPr>
      <w:r w:rsidRPr="0045312C">
        <w:rPr>
          <w:lang w:val="fr-FR"/>
        </w:rPr>
        <w:t>1.</w:t>
      </w:r>
      <w:r w:rsidRPr="0045312C">
        <w:rPr>
          <w:lang w:val="fr-FR"/>
        </w:rPr>
        <w:tab/>
        <w:t>Le présent document contient des propositions concernant trois normes révisées dont les titres sont</w:t>
      </w:r>
      <w:r w:rsidR="00B0002C">
        <w:rPr>
          <w:lang w:val="fr-FR"/>
        </w:rPr>
        <w:t> </w:t>
      </w:r>
      <w:r w:rsidRPr="0045312C">
        <w:rPr>
          <w:lang w:val="fr-FR"/>
        </w:rPr>
        <w:t xml:space="preserve">: </w:t>
      </w:r>
    </w:p>
    <w:p w14:paraId="44F3680A" w14:textId="79B6714F" w:rsidR="00073231" w:rsidRPr="00F74356" w:rsidRDefault="00073231" w:rsidP="00F74356">
      <w:pPr>
        <w:pStyle w:val="SingleTxtG"/>
        <w:ind w:left="1701"/>
        <w:rPr>
          <w:i/>
          <w:iCs/>
          <w:lang w:val="fr-FR"/>
        </w:rPr>
      </w:pPr>
      <w:bookmarkStart w:id="0" w:name="_Hlk131592271"/>
      <w:r w:rsidRPr="00F74356">
        <w:rPr>
          <w:i/>
          <w:iCs/>
          <w:lang w:val="fr-FR"/>
        </w:rPr>
        <w:t xml:space="preserve">ISO 11515:2022, Bouteilles à gaz </w:t>
      </w:r>
      <w:r w:rsidR="00B0002C" w:rsidRPr="00F74356">
        <w:rPr>
          <w:i/>
          <w:iCs/>
          <w:lang w:val="fr-FR"/>
        </w:rPr>
        <w:t>−</w:t>
      </w:r>
      <w:r w:rsidRPr="00F74356">
        <w:rPr>
          <w:i/>
          <w:iCs/>
          <w:lang w:val="fr-FR"/>
        </w:rPr>
        <w:t xml:space="preserve"> Tubes composites renforcés rechargeables d’une capacité de 450</w:t>
      </w:r>
      <w:r w:rsidR="00ED0DFA" w:rsidRPr="00F74356">
        <w:rPr>
          <w:i/>
          <w:iCs/>
          <w:lang w:val="fr-FR"/>
        </w:rPr>
        <w:t> </w:t>
      </w:r>
      <w:r w:rsidRPr="00F74356">
        <w:rPr>
          <w:i/>
          <w:iCs/>
          <w:lang w:val="fr-FR"/>
        </w:rPr>
        <w:t>l à 3</w:t>
      </w:r>
      <w:r w:rsidR="00ED0DFA" w:rsidRPr="00F74356">
        <w:rPr>
          <w:i/>
          <w:iCs/>
          <w:lang w:val="fr-FR"/>
        </w:rPr>
        <w:t> </w:t>
      </w:r>
      <w:r w:rsidRPr="00F74356">
        <w:rPr>
          <w:i/>
          <w:iCs/>
          <w:lang w:val="fr-FR"/>
        </w:rPr>
        <w:t>000</w:t>
      </w:r>
      <w:r w:rsidR="00ED0DFA" w:rsidRPr="00F74356">
        <w:rPr>
          <w:i/>
          <w:iCs/>
          <w:lang w:val="fr-FR"/>
        </w:rPr>
        <w:t> </w:t>
      </w:r>
      <w:r w:rsidRPr="00F74356">
        <w:rPr>
          <w:i/>
          <w:iCs/>
          <w:lang w:val="fr-FR"/>
        </w:rPr>
        <w:t xml:space="preserve">l </w:t>
      </w:r>
      <w:r w:rsidR="00B0002C" w:rsidRPr="00F74356">
        <w:rPr>
          <w:i/>
          <w:iCs/>
          <w:lang w:val="fr-FR"/>
        </w:rPr>
        <w:t>−</w:t>
      </w:r>
      <w:r w:rsidRPr="00F74356">
        <w:rPr>
          <w:i/>
          <w:iCs/>
          <w:lang w:val="fr-FR"/>
        </w:rPr>
        <w:t xml:space="preserve"> Conception, construction et essais ;</w:t>
      </w:r>
    </w:p>
    <w:p w14:paraId="48EB1BA1" w14:textId="77284BF1" w:rsidR="00073231" w:rsidRPr="0045312C" w:rsidRDefault="00073231" w:rsidP="00073231">
      <w:pPr>
        <w:pStyle w:val="SingleTxtG"/>
        <w:ind w:left="1701"/>
        <w:rPr>
          <w:i/>
          <w:iCs/>
          <w:lang w:val="fr-FR"/>
        </w:rPr>
      </w:pPr>
      <w:bookmarkStart w:id="1" w:name="_Hlk131398873"/>
      <w:r w:rsidRPr="0045312C">
        <w:rPr>
          <w:i/>
          <w:iCs/>
          <w:lang w:val="fr-FR"/>
        </w:rPr>
        <w:t>ISO 14246:2022</w:t>
      </w:r>
      <w:r>
        <w:rPr>
          <w:i/>
          <w:iCs/>
          <w:lang w:val="fr-FR"/>
        </w:rPr>
        <w:t>,</w:t>
      </w:r>
      <w:r w:rsidRPr="0045312C">
        <w:rPr>
          <w:i/>
          <w:iCs/>
          <w:lang w:val="fr-FR"/>
        </w:rPr>
        <w:t xml:space="preserve"> Bouteilles à gaz </w:t>
      </w:r>
      <w:r w:rsidR="00ED0DFA">
        <w:rPr>
          <w:i/>
          <w:iCs/>
          <w:lang w:val="fr-FR"/>
        </w:rPr>
        <w:t>−</w:t>
      </w:r>
      <w:r w:rsidRPr="0045312C">
        <w:rPr>
          <w:i/>
          <w:iCs/>
          <w:lang w:val="fr-FR"/>
        </w:rPr>
        <w:t xml:space="preserve"> Robinets de bouteilles à gaz </w:t>
      </w:r>
      <w:r w:rsidR="00ED0DFA">
        <w:rPr>
          <w:i/>
          <w:iCs/>
          <w:lang w:val="fr-FR"/>
        </w:rPr>
        <w:t>−</w:t>
      </w:r>
      <w:r w:rsidRPr="0045312C">
        <w:rPr>
          <w:i/>
          <w:iCs/>
          <w:lang w:val="fr-FR"/>
        </w:rPr>
        <w:t xml:space="preserve"> Essais de fabrication et contrôles</w:t>
      </w:r>
      <w:r>
        <w:rPr>
          <w:i/>
          <w:iCs/>
          <w:lang w:val="fr-FR"/>
        </w:rPr>
        <w:t> ;</w:t>
      </w:r>
    </w:p>
    <w:bookmarkEnd w:id="1"/>
    <w:p w14:paraId="7E8FBAB6" w14:textId="0A903B95" w:rsidR="00073231" w:rsidRPr="0045312C" w:rsidRDefault="00073231" w:rsidP="00073231">
      <w:pPr>
        <w:pStyle w:val="SingleTxtG"/>
        <w:ind w:left="1701"/>
        <w:rPr>
          <w:i/>
          <w:iCs/>
          <w:lang w:val="fr-FR"/>
        </w:rPr>
      </w:pPr>
      <w:r w:rsidRPr="0045312C">
        <w:rPr>
          <w:i/>
          <w:iCs/>
          <w:lang w:val="fr-FR"/>
        </w:rPr>
        <w:t>ISO 22434:2022</w:t>
      </w:r>
      <w:r>
        <w:rPr>
          <w:i/>
          <w:iCs/>
          <w:lang w:val="fr-FR"/>
        </w:rPr>
        <w:t>,</w:t>
      </w:r>
      <w:r w:rsidRPr="0045312C">
        <w:rPr>
          <w:i/>
          <w:iCs/>
          <w:lang w:val="fr-FR"/>
        </w:rPr>
        <w:t xml:space="preserve"> Bouteilles à gaz </w:t>
      </w:r>
      <w:r w:rsidR="00ED0DFA">
        <w:rPr>
          <w:i/>
          <w:iCs/>
          <w:lang w:val="fr-FR"/>
        </w:rPr>
        <w:t>−</w:t>
      </w:r>
      <w:r w:rsidRPr="0045312C">
        <w:rPr>
          <w:i/>
          <w:iCs/>
          <w:lang w:val="fr-FR"/>
        </w:rPr>
        <w:t xml:space="preserve"> Contrôle et maintenance des robinets</w:t>
      </w:r>
      <w:r>
        <w:rPr>
          <w:i/>
          <w:iCs/>
          <w:lang w:val="fr-FR"/>
        </w:rPr>
        <w:t>.</w:t>
      </w:r>
    </w:p>
    <w:bookmarkEnd w:id="0"/>
    <w:p w14:paraId="6AFAE667" w14:textId="71BFC4D2" w:rsidR="00073231" w:rsidRPr="0045312C" w:rsidRDefault="00073231" w:rsidP="00ED0DFA">
      <w:pPr>
        <w:pStyle w:val="SingleTxtG"/>
        <w:ind w:firstLine="567"/>
        <w:rPr>
          <w:i/>
          <w:iCs/>
          <w:lang w:val="fr-FR"/>
        </w:rPr>
      </w:pPr>
      <w:r w:rsidRPr="0045312C">
        <w:rPr>
          <w:lang w:val="fr-FR"/>
        </w:rPr>
        <w:t>Les dispositions habituelles ont été prises avec le secrétariat pour que des versions</w:t>
      </w:r>
      <w:r w:rsidR="00ED0DFA">
        <w:rPr>
          <w:lang w:val="fr-FR"/>
        </w:rPr>
        <w:t xml:space="preserve"> </w:t>
      </w:r>
      <w:r w:rsidRPr="0045312C">
        <w:rPr>
          <w:lang w:val="fr-FR"/>
        </w:rPr>
        <w:t>PDF de ces documents soient communiquées aux experts.</w:t>
      </w:r>
    </w:p>
    <w:p w14:paraId="3665FB39" w14:textId="77777777" w:rsidR="00073231" w:rsidRPr="0045312C" w:rsidRDefault="00073231" w:rsidP="00ED0DFA">
      <w:pPr>
        <w:pStyle w:val="HChG"/>
        <w:rPr>
          <w:lang w:val="fr-FR"/>
        </w:rPr>
      </w:pPr>
      <w:r w:rsidRPr="0045312C">
        <w:rPr>
          <w:lang w:val="fr-FR"/>
        </w:rPr>
        <w:tab/>
      </w:r>
      <w:r w:rsidRPr="0045312C">
        <w:rPr>
          <w:lang w:val="fr-FR"/>
        </w:rPr>
        <w:tab/>
        <w:t>Proposition 1</w:t>
      </w:r>
    </w:p>
    <w:p w14:paraId="016392A7" w14:textId="3A43841C" w:rsidR="00073231" w:rsidRPr="0045312C" w:rsidRDefault="00073231" w:rsidP="00ED0DFA">
      <w:pPr>
        <w:pStyle w:val="SingleTxtG"/>
        <w:keepNext/>
        <w:rPr>
          <w:lang w:val="fr-FR"/>
        </w:rPr>
      </w:pPr>
      <w:r w:rsidRPr="0045312C">
        <w:rPr>
          <w:lang w:val="fr-FR"/>
        </w:rPr>
        <w:t>2.</w:t>
      </w:r>
      <w:r w:rsidRPr="0045312C">
        <w:rPr>
          <w:lang w:val="fr-FR"/>
        </w:rPr>
        <w:tab/>
        <w:t xml:space="preserve">Dans le tableau du 6.2.2.1.2, à la ligne commençant par </w:t>
      </w:r>
      <w:r>
        <w:rPr>
          <w:lang w:val="fr-FR"/>
        </w:rPr>
        <w:t>« </w:t>
      </w:r>
      <w:r w:rsidRPr="0045312C">
        <w:rPr>
          <w:lang w:val="fr-FR"/>
        </w:rPr>
        <w:t>ISO 11515:2013 + Amd 1:2018</w:t>
      </w:r>
      <w:r>
        <w:rPr>
          <w:lang w:val="fr-FR"/>
        </w:rPr>
        <w:t> »</w:t>
      </w:r>
      <w:r w:rsidRPr="0045312C">
        <w:rPr>
          <w:lang w:val="fr-FR"/>
        </w:rPr>
        <w:t>, remplacer «</w:t>
      </w:r>
      <w:r w:rsidR="00ED0DFA">
        <w:rPr>
          <w:lang w:val="fr-FR"/>
        </w:rPr>
        <w:t> </w:t>
      </w:r>
      <w:r w:rsidRPr="0045312C">
        <w:rPr>
          <w:lang w:val="fr-FR"/>
        </w:rPr>
        <w:t>Jusqu</w:t>
      </w:r>
      <w:r>
        <w:rPr>
          <w:lang w:val="fr-FR"/>
        </w:rPr>
        <w:t>’</w:t>
      </w:r>
      <w:r w:rsidRPr="0045312C">
        <w:rPr>
          <w:lang w:val="fr-FR"/>
        </w:rPr>
        <w:t>à nouvel ordre</w:t>
      </w:r>
      <w:r w:rsidR="00ED0DFA">
        <w:rPr>
          <w:lang w:val="fr-FR"/>
        </w:rPr>
        <w:t> </w:t>
      </w:r>
      <w:r w:rsidRPr="0045312C">
        <w:rPr>
          <w:lang w:val="fr-FR"/>
        </w:rPr>
        <w:t>» par «</w:t>
      </w:r>
      <w:r w:rsidR="00ED0DFA">
        <w:rPr>
          <w:lang w:val="fr-FR"/>
        </w:rPr>
        <w:t> </w:t>
      </w:r>
      <w:r w:rsidRPr="0045312C">
        <w:rPr>
          <w:lang w:val="fr-FR"/>
        </w:rPr>
        <w:t>Jusqu</w:t>
      </w:r>
      <w:r>
        <w:rPr>
          <w:lang w:val="fr-FR"/>
        </w:rPr>
        <w:t>’</w:t>
      </w:r>
      <w:r w:rsidRPr="0045312C">
        <w:rPr>
          <w:lang w:val="fr-FR"/>
        </w:rPr>
        <w:t>au 31</w:t>
      </w:r>
      <w:r w:rsidR="00ED0DFA">
        <w:rPr>
          <w:lang w:val="fr-FR"/>
        </w:rPr>
        <w:t> </w:t>
      </w:r>
      <w:r w:rsidRPr="0045312C">
        <w:rPr>
          <w:lang w:val="fr-FR"/>
        </w:rPr>
        <w:t>décembre 2030</w:t>
      </w:r>
      <w:r w:rsidR="00ED0DFA">
        <w:rPr>
          <w:lang w:val="fr-FR"/>
        </w:rPr>
        <w:t> </w:t>
      </w:r>
      <w:r w:rsidRPr="0045312C">
        <w:rPr>
          <w:lang w:val="fr-FR"/>
        </w:rPr>
        <w:t>»</w:t>
      </w:r>
      <w:r>
        <w:rPr>
          <w:lang w:val="fr-FR"/>
        </w:rPr>
        <w:t xml:space="preserve"> dans</w:t>
      </w:r>
      <w:r w:rsidRPr="00803BD0">
        <w:rPr>
          <w:lang w:val="fr-FR"/>
        </w:rPr>
        <w:t xml:space="preserve"> la troisième colonne</w:t>
      </w:r>
      <w:r w:rsidRPr="0045312C">
        <w:rPr>
          <w:lang w:val="fr-FR"/>
        </w:rPr>
        <w:t xml:space="preserve">. Dans </w:t>
      </w:r>
      <w:r>
        <w:rPr>
          <w:lang w:val="fr-FR"/>
        </w:rPr>
        <w:t>l</w:t>
      </w:r>
      <w:r w:rsidRPr="0045312C">
        <w:rPr>
          <w:lang w:val="fr-FR"/>
        </w:rPr>
        <w:t xml:space="preserve">e même tableau, </w:t>
      </w:r>
      <w:r>
        <w:rPr>
          <w:lang w:val="fr-FR"/>
        </w:rPr>
        <w:t xml:space="preserve">sous cette ligne, </w:t>
      </w:r>
      <w:r w:rsidRPr="0045312C">
        <w:rPr>
          <w:lang w:val="fr-FR"/>
        </w:rPr>
        <w:t>insérer la nouvelle ligne suivante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073231" w:rsidRPr="0045312C" w14:paraId="5CAACBC7" w14:textId="77777777" w:rsidTr="00A42A9B">
        <w:tc>
          <w:tcPr>
            <w:tcW w:w="1544" w:type="dxa"/>
            <w:shd w:val="clear" w:color="auto" w:fill="auto"/>
          </w:tcPr>
          <w:p w14:paraId="63FDB515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ISO 11515:2022</w:t>
            </w:r>
          </w:p>
        </w:tc>
        <w:tc>
          <w:tcPr>
            <w:tcW w:w="4820" w:type="dxa"/>
            <w:shd w:val="clear" w:color="auto" w:fill="auto"/>
          </w:tcPr>
          <w:p w14:paraId="1718CB1D" w14:textId="17617DFA" w:rsidR="00073231" w:rsidRPr="0045312C" w:rsidRDefault="00073231" w:rsidP="00ED0DFA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r w:rsidRPr="0045312C">
              <w:rPr>
                <w:lang w:val="fr-FR"/>
              </w:rPr>
              <w:t xml:space="preserve">Bouteilles à gaz </w:t>
            </w:r>
            <w:r w:rsidR="00ED0DFA">
              <w:rPr>
                <w:lang w:val="fr-FR"/>
              </w:rPr>
              <w:t>− </w:t>
            </w:r>
            <w:r w:rsidRPr="0045312C">
              <w:rPr>
                <w:lang w:val="fr-FR"/>
              </w:rPr>
              <w:t>Tubes composites renforcés rechargeables d</w:t>
            </w:r>
            <w:r>
              <w:rPr>
                <w:lang w:val="fr-FR"/>
              </w:rPr>
              <w:t>’</w:t>
            </w:r>
            <w:r w:rsidRPr="0045312C">
              <w:rPr>
                <w:lang w:val="fr-FR"/>
              </w:rPr>
              <w:t>une capacité de 450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l à 3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000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l</w:t>
            </w:r>
            <w:r w:rsidR="00ED0DFA">
              <w:rPr>
                <w:lang w:val="fr-FR"/>
              </w:rPr>
              <w:t> −</w:t>
            </w:r>
            <w:r w:rsidRPr="0045312C">
              <w:rPr>
                <w:lang w:val="fr-FR"/>
              </w:rPr>
              <w:t xml:space="preserve"> Conception, construction et essais</w:t>
            </w:r>
          </w:p>
        </w:tc>
        <w:tc>
          <w:tcPr>
            <w:tcW w:w="1275" w:type="dxa"/>
            <w:shd w:val="clear" w:color="auto" w:fill="auto"/>
          </w:tcPr>
          <w:p w14:paraId="2D34C65E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5312C">
              <w:rPr>
                <w:lang w:val="fr-FR"/>
              </w:rPr>
              <w:t>à nouvel ordre</w:t>
            </w:r>
          </w:p>
        </w:tc>
      </w:tr>
    </w:tbl>
    <w:p w14:paraId="21CD1E17" w14:textId="77777777" w:rsidR="00073231" w:rsidRPr="00ED0DFA" w:rsidRDefault="00073231" w:rsidP="00ED0DFA">
      <w:pPr>
        <w:pStyle w:val="H1G"/>
      </w:pPr>
      <w:r w:rsidRPr="00ED0DFA">
        <w:lastRenderedPageBreak/>
        <w:tab/>
      </w:r>
      <w:r w:rsidRPr="00ED0DFA">
        <w:tab/>
        <w:t>Justification</w:t>
      </w:r>
    </w:p>
    <w:p w14:paraId="55081845" w14:textId="6F3A5C6E" w:rsidR="00073231" w:rsidRPr="0045312C" w:rsidRDefault="00073231" w:rsidP="00ED0DFA">
      <w:pPr>
        <w:pStyle w:val="SingleTxtG"/>
        <w:rPr>
          <w:lang w:val="fr-FR"/>
        </w:rPr>
      </w:pPr>
      <w:r w:rsidRPr="0045312C">
        <w:rPr>
          <w:lang w:val="fr-FR"/>
        </w:rPr>
        <w:t>3.</w:t>
      </w:r>
      <w:r w:rsidRPr="0045312C">
        <w:rPr>
          <w:lang w:val="fr-FR"/>
        </w:rPr>
        <w:tab/>
        <w:t>Par rapport à l</w:t>
      </w:r>
      <w:r>
        <w:rPr>
          <w:lang w:val="fr-FR"/>
        </w:rPr>
        <w:t>’</w:t>
      </w:r>
      <w:r w:rsidRPr="0045312C">
        <w:rPr>
          <w:lang w:val="fr-FR"/>
        </w:rPr>
        <w:t>édition précédente, les principaux changements sont les suivants</w:t>
      </w:r>
      <w:r w:rsidR="00ED0DFA">
        <w:rPr>
          <w:lang w:val="fr-FR"/>
        </w:rPr>
        <w:t> </w:t>
      </w:r>
      <w:r w:rsidRPr="0045312C">
        <w:rPr>
          <w:lang w:val="fr-FR"/>
        </w:rPr>
        <w:t>:</w:t>
      </w:r>
    </w:p>
    <w:p w14:paraId="3297E695" w14:textId="25920D8C" w:rsidR="00073231" w:rsidRPr="00ED0DFA" w:rsidRDefault="00ED0DFA" w:rsidP="00ED0DFA">
      <w:pPr>
        <w:pStyle w:val="SingleTxtG"/>
        <w:tabs>
          <w:tab w:val="clear" w:pos="2268"/>
          <w:tab w:val="left" w:pos="1985"/>
        </w:tabs>
        <w:ind w:left="1701"/>
      </w:pPr>
      <w:r>
        <w:t>-</w:t>
      </w:r>
      <w:r>
        <w:tab/>
      </w:r>
      <w:r w:rsidR="00073231" w:rsidRPr="00ED0DFA">
        <w:t>Les références ont été mises à jour</w:t>
      </w:r>
      <w:r>
        <w:t> </w:t>
      </w:r>
      <w:r w:rsidR="00073231" w:rsidRPr="00ED0DFA">
        <w:t>;</w:t>
      </w:r>
    </w:p>
    <w:p w14:paraId="0875C1F7" w14:textId="15CD86B5" w:rsidR="00073231" w:rsidRPr="00ED0DFA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</w:pPr>
      <w:r>
        <w:t>-</w:t>
      </w:r>
      <w:r>
        <w:tab/>
      </w:r>
      <w:r w:rsidR="00073231" w:rsidRPr="00ED0DFA">
        <w:t>Un essai de résistance au cisaillement de la résine a été ajouté au document et aux tableaux 2, 3 et 4</w:t>
      </w:r>
      <w:r>
        <w:t> </w:t>
      </w:r>
      <w:r w:rsidR="00073231" w:rsidRPr="00ED0DFA">
        <w:t>;</w:t>
      </w:r>
    </w:p>
    <w:p w14:paraId="289EE06C" w14:textId="249AC9D3" w:rsidR="00073231" w:rsidRPr="00ED0DFA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</w:pPr>
      <w:r>
        <w:t>-</w:t>
      </w:r>
      <w:r>
        <w:tab/>
      </w:r>
      <w:r w:rsidR="00073231" w:rsidRPr="00ED0DFA">
        <w:t>Au paragraphe</w:t>
      </w:r>
      <w:r>
        <w:t> </w:t>
      </w:r>
      <w:r w:rsidR="00073231" w:rsidRPr="00ED0DFA">
        <w:t>8.5.10, « Essai de résistance au feu », la procédure a été modifiée afin de rendre l’essai plus cohérent et les critères du paragraphe</w:t>
      </w:r>
      <w:r>
        <w:t> </w:t>
      </w:r>
      <w:r w:rsidR="00073231" w:rsidRPr="00ED0DFA">
        <w:t>8.5.10.3 ont été révisés</w:t>
      </w:r>
      <w:r>
        <w:t> </w:t>
      </w:r>
      <w:r w:rsidR="00073231" w:rsidRPr="00ED0DFA">
        <w:t>;</w:t>
      </w:r>
    </w:p>
    <w:p w14:paraId="721451D8" w14:textId="7EAF5D28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t>-</w:t>
      </w:r>
      <w:r>
        <w:tab/>
      </w:r>
      <w:r w:rsidR="00073231" w:rsidRPr="00ED0DFA">
        <w:t>Au paragraphe</w:t>
      </w:r>
      <w:r>
        <w:t> </w:t>
      </w:r>
      <w:r w:rsidR="00073231" w:rsidRPr="00ED0DFA">
        <w:t>8.5.15 relatif à l’essai de cyclage au gaz, une nouvelle procédure a été ajoutée</w:t>
      </w:r>
      <w:r w:rsidR="00073231" w:rsidRPr="0045312C">
        <w:rPr>
          <w:lang w:val="fr-FR"/>
        </w:rPr>
        <w:t xml:space="preserve"> afin que l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essai comporte moins de cycles, mais que le temps de maintien à la pression soit important.</w:t>
      </w:r>
    </w:p>
    <w:p w14:paraId="1094B7AB" w14:textId="77777777" w:rsidR="00073231" w:rsidRPr="00ED0DFA" w:rsidRDefault="00073231" w:rsidP="00ED0DFA">
      <w:pPr>
        <w:pStyle w:val="HChG"/>
      </w:pPr>
      <w:r w:rsidRPr="00ED0DFA">
        <w:tab/>
      </w:r>
      <w:r w:rsidRPr="00ED0DFA">
        <w:tab/>
        <w:t>Proposition 2</w:t>
      </w:r>
    </w:p>
    <w:p w14:paraId="3456D9B0" w14:textId="0CDE1F7A" w:rsidR="00073231" w:rsidRPr="0045312C" w:rsidRDefault="00073231" w:rsidP="00ED0DFA">
      <w:pPr>
        <w:pStyle w:val="SingleTxtG"/>
        <w:keepNext/>
        <w:rPr>
          <w:lang w:val="fr-FR"/>
        </w:rPr>
      </w:pPr>
      <w:r w:rsidRPr="0045312C">
        <w:rPr>
          <w:lang w:val="fr-FR"/>
        </w:rPr>
        <w:t>4.</w:t>
      </w:r>
      <w:r w:rsidRPr="0045312C">
        <w:rPr>
          <w:lang w:val="fr-FR"/>
        </w:rPr>
        <w:tab/>
        <w:t xml:space="preserve">Dans le tableau du 6.2.2.3, à la ligne commençant par </w:t>
      </w:r>
      <w:r>
        <w:rPr>
          <w:lang w:val="fr-FR"/>
        </w:rPr>
        <w:t>« </w:t>
      </w:r>
      <w:r w:rsidRPr="0045312C">
        <w:rPr>
          <w:lang w:val="fr-FR"/>
        </w:rPr>
        <w:t>ISO 14246:2014 + Amd 1:2017</w:t>
      </w:r>
      <w:r>
        <w:rPr>
          <w:lang w:val="fr-FR"/>
        </w:rPr>
        <w:t> »</w:t>
      </w:r>
      <w:r w:rsidRPr="0045312C">
        <w:rPr>
          <w:lang w:val="fr-FR"/>
        </w:rPr>
        <w:t>, remplacer «</w:t>
      </w:r>
      <w:r w:rsidR="00ED0DFA">
        <w:rPr>
          <w:lang w:val="fr-FR"/>
        </w:rPr>
        <w:t> </w:t>
      </w:r>
      <w:r w:rsidRPr="0045312C">
        <w:rPr>
          <w:lang w:val="fr-FR"/>
        </w:rPr>
        <w:t>Jusqu</w:t>
      </w:r>
      <w:r>
        <w:rPr>
          <w:lang w:val="fr-FR"/>
        </w:rPr>
        <w:t>’</w:t>
      </w:r>
      <w:r w:rsidRPr="0045312C">
        <w:rPr>
          <w:lang w:val="fr-FR"/>
        </w:rPr>
        <w:t>à nouvel ordre</w:t>
      </w:r>
      <w:r w:rsidR="00ED0DFA">
        <w:rPr>
          <w:lang w:val="fr-FR"/>
        </w:rPr>
        <w:t> </w:t>
      </w:r>
      <w:r w:rsidRPr="0045312C">
        <w:rPr>
          <w:lang w:val="fr-FR"/>
        </w:rPr>
        <w:t>» par «</w:t>
      </w:r>
      <w:r w:rsidR="00ED0DFA">
        <w:rPr>
          <w:lang w:val="fr-FR"/>
        </w:rPr>
        <w:t> </w:t>
      </w:r>
      <w:r w:rsidRPr="0045312C">
        <w:rPr>
          <w:lang w:val="fr-FR"/>
        </w:rPr>
        <w:t>Jusqu</w:t>
      </w:r>
      <w:r>
        <w:rPr>
          <w:lang w:val="fr-FR"/>
        </w:rPr>
        <w:t>’</w:t>
      </w:r>
      <w:r w:rsidRPr="0045312C">
        <w:rPr>
          <w:lang w:val="fr-FR"/>
        </w:rPr>
        <w:t>au 31</w:t>
      </w:r>
      <w:r w:rsidR="00ED0DFA">
        <w:rPr>
          <w:lang w:val="fr-FR"/>
        </w:rPr>
        <w:t> </w:t>
      </w:r>
      <w:r w:rsidRPr="0045312C">
        <w:rPr>
          <w:lang w:val="fr-FR"/>
        </w:rPr>
        <w:t>décembre 2030</w:t>
      </w:r>
      <w:r w:rsidR="00ED0DFA">
        <w:rPr>
          <w:lang w:val="fr-FR"/>
        </w:rPr>
        <w:t> </w:t>
      </w:r>
      <w:r w:rsidRPr="0045312C">
        <w:rPr>
          <w:lang w:val="fr-FR"/>
        </w:rPr>
        <w:t xml:space="preserve">». Dans </w:t>
      </w:r>
      <w:r>
        <w:rPr>
          <w:lang w:val="fr-FR"/>
        </w:rPr>
        <w:t>l</w:t>
      </w:r>
      <w:r w:rsidRPr="0045312C">
        <w:rPr>
          <w:lang w:val="fr-FR"/>
        </w:rPr>
        <w:t xml:space="preserve">e même tableau, </w:t>
      </w:r>
      <w:r>
        <w:rPr>
          <w:lang w:val="fr-FR"/>
        </w:rPr>
        <w:t xml:space="preserve">sous cette ligne, </w:t>
      </w:r>
      <w:r w:rsidRPr="0045312C">
        <w:rPr>
          <w:lang w:val="fr-FR"/>
        </w:rPr>
        <w:t>insérer la nouvelle ligne suivante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073231" w:rsidRPr="0045312C" w14:paraId="14EF223A" w14:textId="77777777" w:rsidTr="00A42A9B">
        <w:tc>
          <w:tcPr>
            <w:tcW w:w="1544" w:type="dxa"/>
            <w:shd w:val="clear" w:color="auto" w:fill="auto"/>
          </w:tcPr>
          <w:p w14:paraId="02EA021E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ISO 14246:2022</w:t>
            </w:r>
          </w:p>
        </w:tc>
        <w:tc>
          <w:tcPr>
            <w:tcW w:w="4820" w:type="dxa"/>
            <w:shd w:val="clear" w:color="auto" w:fill="auto"/>
          </w:tcPr>
          <w:p w14:paraId="665FEFD2" w14:textId="40985BA8" w:rsidR="00073231" w:rsidRPr="0045312C" w:rsidRDefault="00073231" w:rsidP="00ED0DFA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r w:rsidRPr="0045312C">
              <w:rPr>
                <w:lang w:val="fr-FR"/>
              </w:rPr>
              <w:t xml:space="preserve">Bouteilles à gaz </w:t>
            </w:r>
            <w:r w:rsidR="00ED0DFA">
              <w:rPr>
                <w:lang w:val="fr-FR"/>
              </w:rPr>
              <w:t>− </w:t>
            </w:r>
            <w:r w:rsidRPr="0045312C">
              <w:rPr>
                <w:lang w:val="fr-FR"/>
              </w:rPr>
              <w:t>Robinets de bouteilles à gaz</w:t>
            </w:r>
            <w:r w:rsidR="00ED0DFA">
              <w:rPr>
                <w:lang w:val="fr-FR"/>
              </w:rPr>
              <w:t> −</w:t>
            </w:r>
            <w:r w:rsidRPr="0045312C">
              <w:rPr>
                <w:lang w:val="fr-FR"/>
              </w:rPr>
              <w:t xml:space="preserve"> Essais de fabrication et contrôles</w:t>
            </w:r>
          </w:p>
        </w:tc>
        <w:tc>
          <w:tcPr>
            <w:tcW w:w="1275" w:type="dxa"/>
            <w:shd w:val="clear" w:color="auto" w:fill="auto"/>
          </w:tcPr>
          <w:p w14:paraId="09802A9B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5312C">
              <w:rPr>
                <w:lang w:val="fr-FR"/>
              </w:rPr>
              <w:t>à nouvel ordre</w:t>
            </w:r>
          </w:p>
        </w:tc>
      </w:tr>
    </w:tbl>
    <w:p w14:paraId="3500BB1A" w14:textId="77777777" w:rsidR="00073231" w:rsidRPr="00ED0DFA" w:rsidRDefault="00073231" w:rsidP="00ED0DFA">
      <w:pPr>
        <w:pStyle w:val="H1G"/>
      </w:pPr>
      <w:r w:rsidRPr="00ED0DFA">
        <w:tab/>
      </w:r>
      <w:r w:rsidRPr="00ED0DFA">
        <w:tab/>
        <w:t>Justification</w:t>
      </w:r>
    </w:p>
    <w:p w14:paraId="7816987A" w14:textId="77777777" w:rsidR="00073231" w:rsidRPr="0045312C" w:rsidRDefault="00073231" w:rsidP="00ED0DFA">
      <w:pPr>
        <w:pStyle w:val="SingleTxtG"/>
        <w:rPr>
          <w:lang w:val="fr-FR"/>
        </w:rPr>
      </w:pPr>
      <w:r w:rsidRPr="0045312C">
        <w:rPr>
          <w:lang w:val="fr-FR"/>
        </w:rPr>
        <w:t>5.</w:t>
      </w:r>
      <w:r w:rsidRPr="0045312C">
        <w:rPr>
          <w:lang w:val="fr-FR"/>
        </w:rPr>
        <w:tab/>
        <w:t>Par rapport à l</w:t>
      </w:r>
      <w:r>
        <w:rPr>
          <w:lang w:val="fr-FR"/>
        </w:rPr>
        <w:t>’</w:t>
      </w:r>
      <w:r w:rsidRPr="0045312C">
        <w:rPr>
          <w:lang w:val="fr-FR"/>
        </w:rPr>
        <w:t>édition précédente, les principaux changements sont les suivants :</w:t>
      </w:r>
    </w:p>
    <w:p w14:paraId="15E47DD4" w14:textId="7951E98C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Un niveau maximal de contamination en hydrocarbure de 220</w:t>
      </w:r>
      <w:r>
        <w:rPr>
          <w:lang w:val="fr-FR"/>
        </w:rPr>
        <w:t> </w:t>
      </w:r>
      <w:r w:rsidR="00073231" w:rsidRPr="0045312C">
        <w:rPr>
          <w:lang w:val="fr-FR"/>
        </w:rPr>
        <w:t>mg/m</w:t>
      </w:r>
      <w:r w:rsidR="00073231" w:rsidRPr="00ED54AD">
        <w:rPr>
          <w:vertAlign w:val="superscript"/>
          <w:lang w:val="fr-FR"/>
        </w:rPr>
        <w:t>2</w:t>
      </w:r>
      <w:r w:rsidR="00073231" w:rsidRPr="0045312C">
        <w:rPr>
          <w:lang w:val="fr-FR"/>
        </w:rPr>
        <w:t xml:space="preserve"> et une taille de particule maximale de 200</w:t>
      </w:r>
      <w:r>
        <w:rPr>
          <w:lang w:val="fr-FR"/>
        </w:rPr>
        <w:t> </w:t>
      </w:r>
      <w:r w:rsidR="00073231" w:rsidRPr="0045312C">
        <w:rPr>
          <w:lang w:val="fr-FR"/>
        </w:rPr>
        <w:t>µm ont été introduits pour les robinets à oxygène et autres gaz oxydants destinés à des applications générales, et la référence obligatoire à l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ISO</w:t>
      </w:r>
      <w:r>
        <w:rPr>
          <w:lang w:val="fr-FR"/>
        </w:rPr>
        <w:t> </w:t>
      </w:r>
      <w:r w:rsidR="00073231" w:rsidRPr="0045312C">
        <w:rPr>
          <w:lang w:val="fr-FR"/>
        </w:rPr>
        <w:t>15001 a été transformée en un exemple à usage médical</w:t>
      </w:r>
      <w:r w:rsidR="00073231">
        <w:rPr>
          <w:lang w:val="fr-FR"/>
        </w:rPr>
        <w:t> ;</w:t>
      </w:r>
      <w:r w:rsidR="00073231" w:rsidRPr="0045312C">
        <w:rPr>
          <w:lang w:val="fr-FR"/>
        </w:rPr>
        <w:t xml:space="preserve"> </w:t>
      </w:r>
    </w:p>
    <w:p w14:paraId="79BBEB14" w14:textId="597FA214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La valeur de la pression d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essai pour l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essai d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étanchéité totale de robinets d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acétylène spécifiques (équipés d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un manomètre/indicateur de contenu) a été réduite de 37</w:t>
      </w:r>
      <w:r>
        <w:rPr>
          <w:lang w:val="fr-FR"/>
        </w:rPr>
        <w:t> </w:t>
      </w:r>
      <w:r w:rsidR="00073231" w:rsidRPr="0045312C">
        <w:rPr>
          <w:lang w:val="fr-FR"/>
        </w:rPr>
        <w:t>bar à 35</w:t>
      </w:r>
      <w:r>
        <w:rPr>
          <w:lang w:val="fr-FR"/>
        </w:rPr>
        <w:t> </w:t>
      </w:r>
      <w:r w:rsidR="00073231" w:rsidRPr="0045312C">
        <w:rPr>
          <w:lang w:val="fr-FR"/>
        </w:rPr>
        <w:t>bar</w:t>
      </w:r>
      <w:r w:rsidR="00073231">
        <w:rPr>
          <w:lang w:val="fr-FR"/>
        </w:rPr>
        <w:t> ;</w:t>
      </w:r>
    </w:p>
    <w:p w14:paraId="39365FE4" w14:textId="53BD45AE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Les exigences relatives à la vérification des couples de serrage lors de l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assemblage ont été clarifiées.</w:t>
      </w:r>
    </w:p>
    <w:p w14:paraId="760990F5" w14:textId="77777777" w:rsidR="00073231" w:rsidRPr="0045312C" w:rsidRDefault="00073231" w:rsidP="00ED0DFA">
      <w:pPr>
        <w:pStyle w:val="HChG"/>
        <w:rPr>
          <w:lang w:val="fr-FR"/>
        </w:rPr>
      </w:pPr>
      <w:r w:rsidRPr="0045312C">
        <w:rPr>
          <w:lang w:val="fr-FR"/>
        </w:rPr>
        <w:tab/>
      </w:r>
      <w:r w:rsidRPr="0045312C">
        <w:rPr>
          <w:lang w:val="fr-FR"/>
        </w:rPr>
        <w:tab/>
        <w:t>Proposition 3</w:t>
      </w:r>
    </w:p>
    <w:p w14:paraId="680AECC1" w14:textId="7A6092E3" w:rsidR="00073231" w:rsidRPr="0045312C" w:rsidRDefault="00073231" w:rsidP="00ED0DFA">
      <w:pPr>
        <w:pStyle w:val="SingleTxtG"/>
        <w:keepNext/>
        <w:rPr>
          <w:lang w:val="fr-FR"/>
        </w:rPr>
      </w:pPr>
      <w:r w:rsidRPr="0045312C">
        <w:rPr>
          <w:lang w:val="fr-FR"/>
        </w:rPr>
        <w:t>6.</w:t>
      </w:r>
      <w:r w:rsidRPr="0045312C">
        <w:rPr>
          <w:lang w:val="fr-FR"/>
        </w:rPr>
        <w:tab/>
        <w:t>Dans le tableau du 6.2.2.4,</w:t>
      </w:r>
      <w:r>
        <w:rPr>
          <w:lang w:val="fr-FR"/>
        </w:rPr>
        <w:t xml:space="preserve"> « </w:t>
      </w:r>
      <w:r w:rsidRPr="0045312C">
        <w:rPr>
          <w:lang w:val="fr-FR"/>
        </w:rPr>
        <w:t>Cont</w:t>
      </w:r>
      <w:r>
        <w:rPr>
          <w:lang w:val="fr-FR"/>
        </w:rPr>
        <w:t>r</w:t>
      </w:r>
      <w:r w:rsidRPr="0045312C">
        <w:rPr>
          <w:lang w:val="fr-FR"/>
        </w:rPr>
        <w:t>ôles et épreuves périodiques</w:t>
      </w:r>
      <w:r>
        <w:rPr>
          <w:lang w:val="fr-FR"/>
        </w:rPr>
        <w:t> »</w:t>
      </w:r>
      <w:r w:rsidRPr="0045312C">
        <w:rPr>
          <w:lang w:val="fr-FR"/>
        </w:rPr>
        <w:t xml:space="preserve">, à la ligne commençant par </w:t>
      </w:r>
      <w:r>
        <w:rPr>
          <w:lang w:val="fr-FR"/>
        </w:rPr>
        <w:t>« </w:t>
      </w:r>
      <w:r w:rsidRPr="0045312C">
        <w:rPr>
          <w:lang w:val="fr-FR"/>
        </w:rPr>
        <w:t>ISO 22434:2006</w:t>
      </w:r>
      <w:r>
        <w:rPr>
          <w:lang w:val="fr-FR"/>
        </w:rPr>
        <w:t> »</w:t>
      </w:r>
      <w:r w:rsidRPr="0045312C">
        <w:rPr>
          <w:lang w:val="fr-FR"/>
        </w:rPr>
        <w:t>, remplacer « Jusqu</w:t>
      </w:r>
      <w:r>
        <w:rPr>
          <w:lang w:val="fr-FR"/>
        </w:rPr>
        <w:t>’</w:t>
      </w:r>
      <w:r w:rsidRPr="0045312C">
        <w:rPr>
          <w:lang w:val="fr-FR"/>
        </w:rPr>
        <w:t>à nouvel ordre » par « Jusqu</w:t>
      </w:r>
      <w:r>
        <w:rPr>
          <w:lang w:val="fr-FR"/>
        </w:rPr>
        <w:t>’</w:t>
      </w:r>
      <w:r w:rsidRPr="0045312C">
        <w:rPr>
          <w:lang w:val="fr-FR"/>
        </w:rPr>
        <w:t xml:space="preserve">au 31 décembre 2028 ». Dans </w:t>
      </w:r>
      <w:r>
        <w:rPr>
          <w:lang w:val="fr-FR"/>
        </w:rPr>
        <w:t>l</w:t>
      </w:r>
      <w:r w:rsidRPr="0045312C">
        <w:rPr>
          <w:lang w:val="fr-FR"/>
        </w:rPr>
        <w:t xml:space="preserve">e même tableau, </w:t>
      </w:r>
      <w:r>
        <w:rPr>
          <w:lang w:val="fr-FR"/>
        </w:rPr>
        <w:t xml:space="preserve">sous cette ligne, </w:t>
      </w:r>
      <w:r w:rsidRPr="0045312C">
        <w:rPr>
          <w:lang w:val="fr-FR"/>
        </w:rPr>
        <w:t>insérer la ligne suivante</w:t>
      </w:r>
      <w:r w:rsidR="00ED0DFA">
        <w:rPr>
          <w:lang w:val="fr-FR"/>
        </w:rPr>
        <w:t> </w:t>
      </w:r>
      <w:r w:rsidRPr="0045312C">
        <w:rPr>
          <w:lang w:val="fr-FR"/>
        </w:rPr>
        <w:t>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073231" w:rsidRPr="0045312C" w14:paraId="5C21F9D6" w14:textId="77777777" w:rsidTr="00A42A9B">
        <w:tc>
          <w:tcPr>
            <w:tcW w:w="1544" w:type="dxa"/>
            <w:shd w:val="clear" w:color="auto" w:fill="auto"/>
          </w:tcPr>
          <w:p w14:paraId="06299BBB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ISO 22434:2022</w:t>
            </w:r>
          </w:p>
        </w:tc>
        <w:tc>
          <w:tcPr>
            <w:tcW w:w="4820" w:type="dxa"/>
            <w:shd w:val="clear" w:color="auto" w:fill="auto"/>
          </w:tcPr>
          <w:p w14:paraId="054812D4" w14:textId="38F3C1EB" w:rsidR="00073231" w:rsidRPr="0045312C" w:rsidRDefault="00073231" w:rsidP="00ED0DFA">
            <w:pPr>
              <w:spacing w:before="60" w:after="60"/>
              <w:ind w:left="57" w:right="57"/>
              <w:jc w:val="both"/>
              <w:rPr>
                <w:iCs/>
                <w:color w:val="000000"/>
                <w:lang w:val="fr-FR"/>
              </w:rPr>
            </w:pPr>
            <w:r w:rsidRPr="0045312C">
              <w:rPr>
                <w:lang w:val="fr-FR"/>
              </w:rPr>
              <w:t xml:space="preserve">Bouteilles à gaz </w:t>
            </w:r>
            <w:r w:rsidR="00ED0DFA">
              <w:rPr>
                <w:lang w:val="fr-FR"/>
              </w:rPr>
              <w:t>− </w:t>
            </w:r>
            <w:r w:rsidRPr="0045312C">
              <w:rPr>
                <w:lang w:val="fr-FR"/>
              </w:rPr>
              <w:t>Contrôle et maintenance des robinets</w:t>
            </w:r>
          </w:p>
          <w:p w14:paraId="390703D7" w14:textId="67F7F98B" w:rsidR="00073231" w:rsidRPr="0045312C" w:rsidRDefault="00073231" w:rsidP="00ED0DFA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r w:rsidRPr="0045312C">
              <w:rPr>
                <w:b/>
                <w:bCs/>
                <w:lang w:val="fr-FR"/>
              </w:rPr>
              <w:t>NOTA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: Il peut être satisfait à ces prescriptions à d</w:t>
            </w:r>
            <w:r>
              <w:rPr>
                <w:lang w:val="fr-FR"/>
              </w:rPr>
              <w:t>’</w:t>
            </w:r>
            <w:r w:rsidRPr="0045312C">
              <w:rPr>
                <w:lang w:val="fr-FR"/>
              </w:rPr>
              <w:t>autres moments que lors des contrôles et épreuves périodiques des bouteilles «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UN</w:t>
            </w:r>
            <w:r w:rsidR="00ED0DFA">
              <w:rPr>
                <w:lang w:val="fr-FR"/>
              </w:rPr>
              <w:t> </w:t>
            </w:r>
            <w:r w:rsidRPr="0045312C">
              <w:rPr>
                <w:lang w:val="fr-FR"/>
              </w:rPr>
              <w:t>».</w:t>
            </w:r>
            <w:bookmarkStart w:id="2" w:name="_Hlk131400704"/>
            <w:bookmarkEnd w:id="2"/>
          </w:p>
        </w:tc>
        <w:tc>
          <w:tcPr>
            <w:tcW w:w="1275" w:type="dxa"/>
            <w:shd w:val="clear" w:color="auto" w:fill="auto"/>
          </w:tcPr>
          <w:p w14:paraId="5D2B2B1E" w14:textId="77777777" w:rsidR="00073231" w:rsidRPr="0045312C" w:rsidRDefault="00073231" w:rsidP="00ED0DFA">
            <w:pPr>
              <w:spacing w:before="60" w:after="60"/>
              <w:ind w:left="57" w:right="57"/>
              <w:rPr>
                <w:lang w:val="fr-FR"/>
              </w:rPr>
            </w:pPr>
            <w:r w:rsidRPr="0045312C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5312C">
              <w:rPr>
                <w:lang w:val="fr-FR"/>
              </w:rPr>
              <w:t>à nouvel ordre</w:t>
            </w:r>
          </w:p>
        </w:tc>
      </w:tr>
    </w:tbl>
    <w:p w14:paraId="1E7A5BB7" w14:textId="77777777" w:rsidR="00073231" w:rsidRPr="0045312C" w:rsidRDefault="00073231" w:rsidP="00ED0DFA">
      <w:pPr>
        <w:pStyle w:val="H1G"/>
        <w:rPr>
          <w:lang w:val="fr-FR"/>
        </w:rPr>
      </w:pPr>
      <w:r w:rsidRPr="0045312C">
        <w:rPr>
          <w:lang w:val="fr-FR"/>
        </w:rPr>
        <w:lastRenderedPageBreak/>
        <w:tab/>
      </w:r>
      <w:r w:rsidRPr="0045312C">
        <w:rPr>
          <w:lang w:val="fr-FR"/>
        </w:rPr>
        <w:tab/>
        <w:t>Justification</w:t>
      </w:r>
    </w:p>
    <w:p w14:paraId="571D2E35" w14:textId="6E4990CD" w:rsidR="00073231" w:rsidRPr="0045312C" w:rsidRDefault="00073231" w:rsidP="00ED0DFA">
      <w:pPr>
        <w:pStyle w:val="SingleTxtG"/>
        <w:keepNext/>
        <w:keepLines/>
        <w:rPr>
          <w:lang w:val="fr-FR"/>
        </w:rPr>
      </w:pPr>
      <w:r w:rsidRPr="0045312C">
        <w:rPr>
          <w:lang w:val="fr-FR"/>
        </w:rPr>
        <w:t>7.</w:t>
      </w:r>
      <w:r w:rsidRPr="0045312C">
        <w:rPr>
          <w:lang w:val="fr-FR"/>
        </w:rPr>
        <w:tab/>
        <w:t>Par rapport à l</w:t>
      </w:r>
      <w:r>
        <w:rPr>
          <w:lang w:val="fr-FR"/>
        </w:rPr>
        <w:t>’</w:t>
      </w:r>
      <w:r w:rsidRPr="0045312C">
        <w:rPr>
          <w:lang w:val="fr-FR"/>
        </w:rPr>
        <w:t>édition précédente, les principaux changements sont les suivants</w:t>
      </w:r>
      <w:r w:rsidR="00ED0DFA">
        <w:rPr>
          <w:lang w:val="fr-FR"/>
        </w:rPr>
        <w:t> </w:t>
      </w:r>
      <w:r w:rsidRPr="0045312C">
        <w:rPr>
          <w:lang w:val="fr-FR"/>
        </w:rPr>
        <w:t>:</w:t>
      </w:r>
    </w:p>
    <w:p w14:paraId="15827FF9" w14:textId="5A8B8954" w:rsidR="00073231" w:rsidRPr="0045312C" w:rsidRDefault="00ED0DFA" w:rsidP="00ED0DFA">
      <w:pPr>
        <w:pStyle w:val="SingleTxtG"/>
        <w:keepNext/>
        <w:keepLines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 domaine d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application a été révisé de manière à indiquer que ce document est applicable aux robinets réutilisés lors du contrôle périodique des bouteilles à gaz, cadres de bouteilles, fûts à pression et tubes, et à n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>importe quel autre moment</w:t>
      </w:r>
      <w:r w:rsidR="00073231">
        <w:rPr>
          <w:lang w:val="fr-FR"/>
        </w:rPr>
        <w:t>,</w:t>
      </w:r>
      <w:r w:rsidR="00073231" w:rsidRPr="0045312C">
        <w:rPr>
          <w:lang w:val="fr-FR"/>
        </w:rPr>
        <w:t xml:space="preserve"> par exemple lors du changement de service de gaz (voir la norme ISO 11621)</w:t>
      </w:r>
      <w:r w:rsidR="00073231">
        <w:rPr>
          <w:lang w:val="fr-FR"/>
        </w:rPr>
        <w:t> ;</w:t>
      </w:r>
    </w:p>
    <w:p w14:paraId="4A742955" w14:textId="7D3C92FC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Les références normatives ont été mises à jour</w:t>
      </w:r>
      <w:r>
        <w:rPr>
          <w:lang w:val="fr-FR"/>
        </w:rPr>
        <w:t> </w:t>
      </w:r>
      <w:r w:rsidR="00073231" w:rsidRPr="0045312C">
        <w:rPr>
          <w:lang w:val="fr-FR"/>
        </w:rPr>
        <w:t>;</w:t>
      </w:r>
    </w:p>
    <w:p w14:paraId="65626C5B" w14:textId="7D081166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Les termes et définitions ont été actualisés</w:t>
      </w:r>
      <w:r w:rsidR="00073231">
        <w:rPr>
          <w:lang w:val="fr-FR"/>
        </w:rPr>
        <w:t> ;</w:t>
      </w:r>
    </w:p>
    <w:p w14:paraId="0BE3CE08" w14:textId="29D69E8C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Les paragraphes 5.1, 5.2.2 et 5.3.2 ont été modifié</w:t>
      </w:r>
      <w:r w:rsidR="00073231">
        <w:rPr>
          <w:lang w:val="fr-FR"/>
        </w:rPr>
        <w:t>s</w:t>
      </w:r>
      <w:r>
        <w:rPr>
          <w:lang w:val="fr-FR"/>
        </w:rPr>
        <w:t> </w:t>
      </w:r>
      <w:r w:rsidR="00073231" w:rsidRPr="0045312C">
        <w:rPr>
          <w:lang w:val="fr-FR"/>
        </w:rPr>
        <w:t>;</w:t>
      </w:r>
    </w:p>
    <w:p w14:paraId="3D63BCC2" w14:textId="47EC5C40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</w:t>
      </w:r>
      <w:r w:rsidR="00073231">
        <w:rPr>
          <w:lang w:val="fr-FR"/>
        </w:rPr>
        <w:t>’</w:t>
      </w:r>
      <w:r w:rsidR="00073231" w:rsidRPr="0045312C">
        <w:rPr>
          <w:lang w:val="fr-FR"/>
        </w:rPr>
        <w:t xml:space="preserve">article 6 </w:t>
      </w:r>
      <w:r w:rsidR="00073231">
        <w:rPr>
          <w:lang w:val="fr-FR"/>
        </w:rPr>
        <w:t>« </w:t>
      </w:r>
      <w:r w:rsidR="00073231" w:rsidRPr="0045312C">
        <w:rPr>
          <w:lang w:val="fr-FR"/>
        </w:rPr>
        <w:t>Essais</w:t>
      </w:r>
      <w:r w:rsidR="00073231">
        <w:rPr>
          <w:lang w:val="fr-FR"/>
        </w:rPr>
        <w:t> »</w:t>
      </w:r>
      <w:r w:rsidR="00073231" w:rsidRPr="0045312C">
        <w:rPr>
          <w:lang w:val="fr-FR"/>
        </w:rPr>
        <w:t xml:space="preserve"> a été déplacé au paragraphe</w:t>
      </w:r>
      <w:r>
        <w:rPr>
          <w:lang w:val="fr-FR"/>
        </w:rPr>
        <w:t> </w:t>
      </w:r>
      <w:r w:rsidR="00073231" w:rsidRPr="0045312C">
        <w:rPr>
          <w:lang w:val="fr-FR"/>
        </w:rPr>
        <w:t>5.4 et modifié</w:t>
      </w:r>
      <w:r>
        <w:rPr>
          <w:lang w:val="fr-FR"/>
        </w:rPr>
        <w:t> </w:t>
      </w:r>
      <w:r w:rsidR="00073231" w:rsidRPr="0045312C">
        <w:rPr>
          <w:lang w:val="fr-FR"/>
        </w:rPr>
        <w:t>;</w:t>
      </w:r>
    </w:p>
    <w:p w14:paraId="364D2CA1" w14:textId="65F310B4" w:rsidR="00073231" w:rsidRPr="0045312C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Les prescriptions de marquage ont été modifiées</w:t>
      </w:r>
      <w:r w:rsidR="00073231">
        <w:rPr>
          <w:lang w:val="fr-FR"/>
        </w:rPr>
        <w:t> </w:t>
      </w:r>
      <w:r w:rsidR="00073231" w:rsidRPr="0045312C">
        <w:rPr>
          <w:lang w:val="fr-FR"/>
        </w:rPr>
        <w:t>;</w:t>
      </w:r>
    </w:p>
    <w:p w14:paraId="49B5E146" w14:textId="6963BA92" w:rsidR="00073231" w:rsidRDefault="00ED0DFA" w:rsidP="00ED0DFA">
      <w:pPr>
        <w:pStyle w:val="SingleTxtG"/>
        <w:tabs>
          <w:tab w:val="clear" w:pos="2268"/>
          <w:tab w:val="left" w:pos="1985"/>
        </w:tabs>
        <w:ind w:left="1985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073231" w:rsidRPr="0045312C">
        <w:rPr>
          <w:lang w:val="fr-FR"/>
        </w:rPr>
        <w:t>La bibliographie a été mise à jour.</w:t>
      </w:r>
    </w:p>
    <w:p w14:paraId="31F9550C" w14:textId="7DDA9CCB" w:rsidR="00ED0DFA" w:rsidRPr="00ED0DFA" w:rsidRDefault="00ED0DFA" w:rsidP="00ED0DF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D0DFA" w:rsidRPr="00ED0DFA" w:rsidSect="00EB6A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EF6C" w14:textId="77777777" w:rsidR="002678D2" w:rsidRDefault="002678D2" w:rsidP="00F95C08">
      <w:pPr>
        <w:spacing w:line="240" w:lineRule="auto"/>
      </w:pPr>
    </w:p>
  </w:endnote>
  <w:endnote w:type="continuationSeparator" w:id="0">
    <w:p w14:paraId="4DF90258" w14:textId="77777777" w:rsidR="002678D2" w:rsidRPr="00AC3823" w:rsidRDefault="002678D2" w:rsidP="00AC3823">
      <w:pPr>
        <w:pStyle w:val="Pieddepage"/>
      </w:pPr>
    </w:p>
  </w:endnote>
  <w:endnote w:type="continuationNotice" w:id="1">
    <w:p w14:paraId="5C97DD85" w14:textId="77777777" w:rsidR="002678D2" w:rsidRDefault="002678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C580" w14:textId="28444376" w:rsidR="00EB6A2A" w:rsidRPr="00EB6A2A" w:rsidRDefault="00EB6A2A" w:rsidP="00EB6A2A">
    <w:pPr>
      <w:pStyle w:val="Pieddepage"/>
      <w:tabs>
        <w:tab w:val="right" w:pos="9638"/>
      </w:tabs>
    </w:pPr>
    <w:r w:rsidRPr="00EB6A2A">
      <w:rPr>
        <w:b/>
        <w:sz w:val="18"/>
      </w:rPr>
      <w:fldChar w:fldCharType="begin"/>
    </w:r>
    <w:r w:rsidRPr="00EB6A2A">
      <w:rPr>
        <w:b/>
        <w:sz w:val="18"/>
      </w:rPr>
      <w:instrText xml:space="preserve"> PAGE  \* MERGEFORMAT </w:instrText>
    </w:r>
    <w:r w:rsidRPr="00EB6A2A">
      <w:rPr>
        <w:b/>
        <w:sz w:val="18"/>
      </w:rPr>
      <w:fldChar w:fldCharType="separate"/>
    </w:r>
    <w:r w:rsidRPr="00EB6A2A">
      <w:rPr>
        <w:b/>
        <w:noProof/>
        <w:sz w:val="18"/>
      </w:rPr>
      <w:t>2</w:t>
    </w:r>
    <w:r w:rsidRPr="00EB6A2A">
      <w:rPr>
        <w:b/>
        <w:sz w:val="18"/>
      </w:rPr>
      <w:fldChar w:fldCharType="end"/>
    </w:r>
    <w:r>
      <w:rPr>
        <w:b/>
        <w:sz w:val="18"/>
      </w:rPr>
      <w:tab/>
    </w:r>
    <w:r>
      <w:t>GE.23-07501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5EAF" w14:textId="5B0F95F6" w:rsidR="00EB6A2A" w:rsidRPr="00EB6A2A" w:rsidRDefault="00EB6A2A" w:rsidP="00EB6A2A">
    <w:pPr>
      <w:pStyle w:val="Pieddepage"/>
      <w:tabs>
        <w:tab w:val="right" w:pos="9638"/>
      </w:tabs>
      <w:rPr>
        <w:b/>
        <w:sz w:val="18"/>
      </w:rPr>
    </w:pPr>
    <w:r>
      <w:t>GE.23-07501</w:t>
    </w:r>
    <w:r>
      <w:tab/>
    </w:r>
    <w:r w:rsidRPr="00EB6A2A">
      <w:rPr>
        <w:b/>
        <w:sz w:val="18"/>
      </w:rPr>
      <w:fldChar w:fldCharType="begin"/>
    </w:r>
    <w:r w:rsidRPr="00EB6A2A">
      <w:rPr>
        <w:b/>
        <w:sz w:val="18"/>
      </w:rPr>
      <w:instrText xml:space="preserve"> PAGE  \* MERGEFORMAT </w:instrText>
    </w:r>
    <w:r w:rsidRPr="00EB6A2A">
      <w:rPr>
        <w:b/>
        <w:sz w:val="18"/>
      </w:rPr>
      <w:fldChar w:fldCharType="separate"/>
    </w:r>
    <w:r w:rsidRPr="00EB6A2A">
      <w:rPr>
        <w:b/>
        <w:noProof/>
        <w:sz w:val="18"/>
      </w:rPr>
      <w:t>3</w:t>
    </w:r>
    <w:r w:rsidRPr="00EB6A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DE1D" w14:textId="515DC16B" w:rsidR="0068456F" w:rsidRPr="00EB6A2A" w:rsidRDefault="00EB6A2A" w:rsidP="00EB6A2A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1D84C6" wp14:editId="2A0C7DE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23-07501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10F984" wp14:editId="657A872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87322176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150523    160523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5F7D" w14:textId="77777777" w:rsidR="002678D2" w:rsidRPr="00AC3823" w:rsidRDefault="002678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A760F" w14:textId="77777777" w:rsidR="002678D2" w:rsidRPr="00AC3823" w:rsidRDefault="002678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F72235" w14:textId="77777777" w:rsidR="002678D2" w:rsidRPr="00AC3823" w:rsidRDefault="002678D2">
      <w:pPr>
        <w:spacing w:line="240" w:lineRule="auto"/>
        <w:rPr>
          <w:sz w:val="2"/>
          <w:szCs w:val="2"/>
        </w:rPr>
      </w:pPr>
    </w:p>
  </w:footnote>
  <w:footnote w:id="2">
    <w:p w14:paraId="49F83AD5" w14:textId="5B71B173" w:rsidR="00B0002C" w:rsidRPr="00B0002C" w:rsidRDefault="00B0002C">
      <w:pPr>
        <w:pStyle w:val="Notedebasdepage"/>
      </w:pPr>
      <w:r>
        <w:rPr>
          <w:rStyle w:val="Appelnotedebasdep"/>
        </w:rPr>
        <w:tab/>
      </w:r>
      <w:r w:rsidRPr="00B000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 20), tableau 20.6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1564" w14:textId="32138D1E" w:rsidR="00EB6A2A" w:rsidRPr="00EB6A2A" w:rsidRDefault="00EB6A2A">
    <w:pPr>
      <w:pStyle w:val="En-tte"/>
    </w:pPr>
    <w:fldSimple w:instr=" TITLE  \* MERGEFORMAT ">
      <w:r w:rsidR="00E47369">
        <w:t>ST/SG/AC.10/C.3/2023/21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E4F0" w14:textId="728F2428" w:rsidR="00EB6A2A" w:rsidRPr="00EB6A2A" w:rsidRDefault="00EB6A2A" w:rsidP="00EB6A2A">
    <w:pPr>
      <w:pStyle w:val="En-tte"/>
      <w:jc w:val="right"/>
    </w:pPr>
    <w:fldSimple w:instr=" TITLE  \* MERGEFORMAT ">
      <w:r w:rsidR="00E47369">
        <w:t>ST/SG/AC.10/C.3/2023/21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1341030"/>
    <w:multiLevelType w:val="hybridMultilevel"/>
    <w:tmpl w:val="448E690E"/>
    <w:lvl w:ilvl="0" w:tplc="554E2B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2989899">
    <w:abstractNumId w:val="13"/>
  </w:num>
  <w:num w:numId="2" w16cid:durableId="193738682">
    <w:abstractNumId w:val="11"/>
  </w:num>
  <w:num w:numId="3" w16cid:durableId="970205164">
    <w:abstractNumId w:val="10"/>
  </w:num>
  <w:num w:numId="4" w16cid:durableId="423499338">
    <w:abstractNumId w:val="8"/>
  </w:num>
  <w:num w:numId="5" w16cid:durableId="99569301">
    <w:abstractNumId w:val="3"/>
  </w:num>
  <w:num w:numId="6" w16cid:durableId="1359818363">
    <w:abstractNumId w:val="2"/>
  </w:num>
  <w:num w:numId="7" w16cid:durableId="211502478">
    <w:abstractNumId w:val="1"/>
  </w:num>
  <w:num w:numId="8" w16cid:durableId="1557400558">
    <w:abstractNumId w:val="0"/>
  </w:num>
  <w:num w:numId="9" w16cid:durableId="1356005838">
    <w:abstractNumId w:val="9"/>
  </w:num>
  <w:num w:numId="10" w16cid:durableId="473063761">
    <w:abstractNumId w:val="7"/>
  </w:num>
  <w:num w:numId="11" w16cid:durableId="2027900946">
    <w:abstractNumId w:val="6"/>
  </w:num>
  <w:num w:numId="12" w16cid:durableId="1975601858">
    <w:abstractNumId w:val="5"/>
  </w:num>
  <w:num w:numId="13" w16cid:durableId="107236892">
    <w:abstractNumId w:val="4"/>
  </w:num>
  <w:num w:numId="14" w16cid:durableId="857162301">
    <w:abstractNumId w:val="13"/>
  </w:num>
  <w:num w:numId="15" w16cid:durableId="1828083182">
    <w:abstractNumId w:val="11"/>
  </w:num>
  <w:num w:numId="16" w16cid:durableId="994408319">
    <w:abstractNumId w:val="10"/>
  </w:num>
  <w:num w:numId="17" w16cid:durableId="1568346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D2"/>
    <w:rsid w:val="00017F94"/>
    <w:rsid w:val="00023842"/>
    <w:rsid w:val="000305D3"/>
    <w:rsid w:val="000334F9"/>
    <w:rsid w:val="00046A55"/>
    <w:rsid w:val="00073231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678D2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561D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02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47369"/>
    <w:rsid w:val="00EB6A2A"/>
    <w:rsid w:val="00ED0DFA"/>
    <w:rsid w:val="00EF2E22"/>
    <w:rsid w:val="00F01738"/>
    <w:rsid w:val="00F660DF"/>
    <w:rsid w:val="00F730C8"/>
    <w:rsid w:val="00F74356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3339"/>
  <w15:docId w15:val="{E1AC8FCF-BFD2-4EB0-AA5F-3545730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07323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07323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07323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000E755-91B0-41F2-8256-523245CC0409}"/>
</file>

<file path=customXml/itemProps2.xml><?xml version="1.0" encoding="utf-8"?>
<ds:datastoreItem xmlns:ds="http://schemas.openxmlformats.org/officeDocument/2006/customXml" ds:itemID="{067B69CD-56FD-4EE2-B5A2-E88A0DF96CF2}"/>
</file>

<file path=customXml/itemProps3.xml><?xml version="1.0" encoding="utf-8"?>
<ds:datastoreItem xmlns:ds="http://schemas.openxmlformats.org/officeDocument/2006/customXml" ds:itemID="{241B7672-2E3C-4F74-ABBE-96E4CDAB72AF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3</Pages>
  <Words>756</Words>
  <Characters>3779</Characters>
  <Application>Microsoft Office Word</Application>
  <DocSecurity>0</DocSecurity>
  <Lines>101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ST/SG/AC.10/C.3/2023/21</vt:lpstr>
    </vt:vector>
  </TitlesOfParts>
  <Company>DCM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ST/SG/AC.10/C.3/2023/21</dc:title>
  <dc:subject/>
  <dc:creator>Christine CHAUTAGNAT</dc:creator>
  <cp:keywords/>
  <cp:lastModifiedBy>Christine Chautagnat</cp:lastModifiedBy>
  <cp:revision>3</cp:revision>
  <cp:lastPrinted>2023-05-16T07:52:00Z</cp:lastPrinted>
  <dcterms:created xsi:type="dcterms:W3CDTF">2023-05-16T07:52:00Z</dcterms:created>
  <dcterms:modified xsi:type="dcterms:W3CDTF">2023-05-16T07:53:00Z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