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38FEB443" w14:textId="77777777" w:rsidTr="00F01738">
        <w:trPr>
          <w:trHeight w:hRule="exact" w:val="851"/>
        </w:trPr>
        <w:tc>
          <w:tcPr>
            <w:tcW w:w="1276" w:type="dxa"/>
            <w:tcBorders>
              <w:bottom w:val="single" w:sz="4" w:space="0" w:color="auto"/>
            </w:tcBorders>
          </w:tcPr>
          <w:p w14:paraId="4E3200E1" w14:textId="77777777" w:rsidR="00132EA9" w:rsidRPr="00DB58B5" w:rsidRDefault="00132EA9" w:rsidP="003817F6"/>
        </w:tc>
        <w:tc>
          <w:tcPr>
            <w:tcW w:w="2268" w:type="dxa"/>
            <w:tcBorders>
              <w:bottom w:val="single" w:sz="4" w:space="0" w:color="auto"/>
            </w:tcBorders>
            <w:vAlign w:val="bottom"/>
          </w:tcPr>
          <w:p w14:paraId="6F589180"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3D2CC91" w14:textId="5ECA3CAC" w:rsidR="00132EA9" w:rsidRPr="00DB58B5" w:rsidRDefault="003817F6" w:rsidP="003817F6">
            <w:pPr>
              <w:jc w:val="right"/>
            </w:pPr>
            <w:r w:rsidRPr="003817F6">
              <w:rPr>
                <w:sz w:val="40"/>
              </w:rPr>
              <w:t>ST</w:t>
            </w:r>
            <w:r>
              <w:t>/SG/AC.10/C.3/2023/19</w:t>
            </w:r>
          </w:p>
        </w:tc>
      </w:tr>
      <w:tr w:rsidR="00132EA9" w:rsidRPr="00DB58B5" w14:paraId="1F319711" w14:textId="77777777" w:rsidTr="00F01738">
        <w:trPr>
          <w:trHeight w:hRule="exact" w:val="2835"/>
        </w:trPr>
        <w:tc>
          <w:tcPr>
            <w:tcW w:w="1276" w:type="dxa"/>
            <w:tcBorders>
              <w:top w:val="single" w:sz="4" w:space="0" w:color="auto"/>
              <w:bottom w:val="single" w:sz="12" w:space="0" w:color="auto"/>
            </w:tcBorders>
          </w:tcPr>
          <w:p w14:paraId="1E564329" w14:textId="77777777" w:rsidR="00132EA9" w:rsidRPr="00DB58B5" w:rsidRDefault="00132EA9" w:rsidP="00F01738">
            <w:pPr>
              <w:spacing w:before="120"/>
              <w:jc w:val="center"/>
            </w:pPr>
            <w:r>
              <w:rPr>
                <w:noProof/>
                <w:lang w:eastAsia="fr-CH"/>
              </w:rPr>
              <w:drawing>
                <wp:inline distT="0" distB="0" distL="0" distR="0" wp14:anchorId="774BE0A3" wp14:editId="34F5CAC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E5B470C"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71E5CB23" w14:textId="77777777" w:rsidR="00132EA9" w:rsidRDefault="003817F6" w:rsidP="00F01738">
            <w:pPr>
              <w:spacing w:before="240"/>
            </w:pPr>
            <w:r>
              <w:t>Distr. générale</w:t>
            </w:r>
          </w:p>
          <w:p w14:paraId="66AA6796" w14:textId="77777777" w:rsidR="003817F6" w:rsidRDefault="003817F6" w:rsidP="003817F6">
            <w:pPr>
              <w:spacing w:line="240" w:lineRule="exact"/>
            </w:pPr>
            <w:r>
              <w:t>20 avril 2023</w:t>
            </w:r>
          </w:p>
          <w:p w14:paraId="46C2624F" w14:textId="77777777" w:rsidR="003817F6" w:rsidRDefault="003817F6" w:rsidP="003817F6">
            <w:pPr>
              <w:spacing w:line="240" w:lineRule="exact"/>
            </w:pPr>
            <w:r>
              <w:t>Français</w:t>
            </w:r>
          </w:p>
          <w:p w14:paraId="3EC17851" w14:textId="4E040CDA" w:rsidR="003817F6" w:rsidRPr="00DB58B5" w:rsidRDefault="003817F6" w:rsidP="003817F6">
            <w:pPr>
              <w:spacing w:line="240" w:lineRule="exact"/>
            </w:pPr>
            <w:r>
              <w:t>Original : anglais</w:t>
            </w:r>
          </w:p>
        </w:tc>
      </w:tr>
    </w:tbl>
    <w:p w14:paraId="2653B7F1" w14:textId="77777777" w:rsidR="003817F6" w:rsidRPr="00CA0680" w:rsidRDefault="003817F6"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74C46340" w14:textId="77777777" w:rsidR="003817F6" w:rsidRPr="00CA0680" w:rsidRDefault="003817F6" w:rsidP="000305D3">
      <w:pPr>
        <w:spacing w:before="120"/>
        <w:rPr>
          <w:b/>
        </w:rPr>
      </w:pPr>
      <w:r w:rsidRPr="00CA0680">
        <w:rPr>
          <w:b/>
        </w:rPr>
        <w:t>Sous</w:t>
      </w:r>
      <w:r>
        <w:rPr>
          <w:b/>
        </w:rPr>
        <w:t>-</w:t>
      </w:r>
      <w:r w:rsidRPr="00CA0680">
        <w:rPr>
          <w:b/>
        </w:rPr>
        <w:t>Comité d’experts du transport des marchandises dangereuses</w:t>
      </w:r>
    </w:p>
    <w:p w14:paraId="479F2445" w14:textId="77777777" w:rsidR="003817F6" w:rsidRDefault="003817F6" w:rsidP="003817F6">
      <w:pPr>
        <w:spacing w:before="120"/>
        <w:rPr>
          <w:rFonts w:eastAsia="SimSun"/>
          <w:b/>
          <w:lang w:val="fr-FR"/>
        </w:rPr>
      </w:pPr>
      <w:r>
        <w:rPr>
          <w:b/>
          <w:bCs/>
          <w:lang w:val="fr-FR"/>
        </w:rPr>
        <w:t>Soixante-deuxième session</w:t>
      </w:r>
    </w:p>
    <w:p w14:paraId="3F3F510B" w14:textId="77777777" w:rsidR="003817F6" w:rsidRDefault="003817F6" w:rsidP="003817F6">
      <w:pPr>
        <w:rPr>
          <w:lang w:val="fr-FR"/>
        </w:rPr>
      </w:pPr>
      <w:r>
        <w:rPr>
          <w:lang w:val="fr-FR"/>
        </w:rPr>
        <w:t>Genève, 3-7 juillet 2023</w:t>
      </w:r>
    </w:p>
    <w:p w14:paraId="7B14F500" w14:textId="77777777" w:rsidR="003817F6" w:rsidRDefault="003817F6" w:rsidP="003817F6">
      <w:pPr>
        <w:rPr>
          <w:lang w:val="fr-FR"/>
        </w:rPr>
      </w:pPr>
      <w:r>
        <w:rPr>
          <w:lang w:val="fr-FR"/>
        </w:rPr>
        <w:t>Point 2 h) de l’ordre du jour provisoire</w:t>
      </w:r>
    </w:p>
    <w:p w14:paraId="6E07F151" w14:textId="77777777" w:rsidR="003817F6" w:rsidRDefault="003817F6" w:rsidP="003817F6">
      <w:pPr>
        <w:rPr>
          <w:b/>
          <w:bCs/>
          <w:lang w:val="fr-FR"/>
        </w:rPr>
      </w:pPr>
      <w:r>
        <w:rPr>
          <w:b/>
          <w:bCs/>
          <w:lang w:val="fr-FR"/>
        </w:rPr>
        <w:t>Explosifs et questions connexes : autres questions</w:t>
      </w:r>
    </w:p>
    <w:p w14:paraId="41C1950E" w14:textId="77777777" w:rsidR="003817F6" w:rsidRDefault="003817F6" w:rsidP="003817F6">
      <w:pPr>
        <w:pStyle w:val="HChG"/>
        <w:rPr>
          <w:lang w:val="fr-FR"/>
        </w:rPr>
      </w:pPr>
      <w:r>
        <w:rPr>
          <w:lang w:val="fr-FR"/>
        </w:rPr>
        <w:tab/>
      </w:r>
      <w:r>
        <w:rPr>
          <w:lang w:val="fr-FR"/>
        </w:rPr>
        <w:tab/>
        <w:t>Proposition visant à élargir la rubrique du No ONU 3375 pour tenir compte de tous les groupes d’emballage possibles</w:t>
      </w:r>
    </w:p>
    <w:p w14:paraId="3A8011D4" w14:textId="77777777" w:rsidR="003817F6" w:rsidRDefault="003817F6" w:rsidP="003817F6">
      <w:pPr>
        <w:pStyle w:val="H1G"/>
        <w:rPr>
          <w:lang w:val="fr-FR"/>
        </w:rPr>
      </w:pPr>
      <w:r>
        <w:rPr>
          <w:lang w:val="fr-FR"/>
        </w:rPr>
        <w:tab/>
      </w:r>
      <w:r>
        <w:rPr>
          <w:lang w:val="fr-FR"/>
        </w:rPr>
        <w:tab/>
      </w:r>
      <w:r>
        <w:rPr>
          <w:lang w:val="en-US"/>
        </w:rPr>
        <w:t xml:space="preserve">Communication de </w:t>
      </w:r>
      <w:proofErr w:type="spellStart"/>
      <w:r>
        <w:rPr>
          <w:lang w:val="en-US"/>
        </w:rPr>
        <w:t>l’Australasian</w:t>
      </w:r>
      <w:proofErr w:type="spellEnd"/>
      <w:r>
        <w:rPr>
          <w:lang w:val="en-US"/>
        </w:rPr>
        <w:t xml:space="preserve"> Explosives Industry Safety Group Inc. </w:t>
      </w:r>
      <w:r>
        <w:rPr>
          <w:lang w:val="fr-FR"/>
        </w:rPr>
        <w:t>(AEISG)</w:t>
      </w:r>
      <w:r w:rsidRPr="003817F6">
        <w:rPr>
          <w:rStyle w:val="Appelnotedebasdep"/>
          <w:b w:val="0"/>
          <w:bCs/>
          <w:sz w:val="20"/>
          <w:vertAlign w:val="baseline"/>
          <w:lang w:val="fr-FR"/>
        </w:rPr>
        <w:footnoteReference w:customMarkFollows="1" w:id="2"/>
        <w:t>*</w:t>
      </w:r>
    </w:p>
    <w:p w14:paraId="5E38C064" w14:textId="77777777" w:rsidR="003817F6" w:rsidRDefault="003817F6" w:rsidP="003817F6">
      <w:pPr>
        <w:pStyle w:val="HChG"/>
        <w:rPr>
          <w:lang w:val="fr-FR"/>
        </w:rPr>
      </w:pPr>
      <w:r>
        <w:rPr>
          <w:lang w:val="fr-FR"/>
        </w:rPr>
        <w:tab/>
      </w:r>
      <w:r>
        <w:rPr>
          <w:lang w:val="fr-FR"/>
        </w:rPr>
        <w:tab/>
        <w:t>Introduction</w:t>
      </w:r>
    </w:p>
    <w:p w14:paraId="42399604" w14:textId="58246DA3" w:rsidR="003817F6" w:rsidRDefault="003817F6" w:rsidP="003817F6">
      <w:pPr>
        <w:pStyle w:val="SingleTxtG"/>
        <w:rPr>
          <w:szCs w:val="21"/>
          <w:lang w:val="fr-FR"/>
        </w:rPr>
      </w:pPr>
      <w:r>
        <w:rPr>
          <w:lang w:val="fr-FR"/>
        </w:rPr>
        <w:t>1.</w:t>
      </w:r>
      <w:r>
        <w:rPr>
          <w:lang w:val="fr-FR"/>
        </w:rPr>
        <w:tab/>
        <w:t>À la quarante-troisième session du Sous-Comité, l’AEISG a souhaité que la question du groupe d’emballage du No ONU 3375, NITRATE D’AMMONIUM EN ÉMULSION, SUSPENSION ou GEL, servant à la fabrication d’explosifs de mine, soit examinée sur la base du document informel INF.32 (quarante-troisième session).</w:t>
      </w:r>
    </w:p>
    <w:p w14:paraId="363D018D" w14:textId="77777777" w:rsidR="003817F6" w:rsidRDefault="003817F6" w:rsidP="003817F6">
      <w:pPr>
        <w:pStyle w:val="SingleTxtG"/>
        <w:rPr>
          <w:szCs w:val="21"/>
          <w:lang w:val="fr-FR"/>
        </w:rPr>
      </w:pPr>
      <w:r>
        <w:rPr>
          <w:lang w:val="fr-FR"/>
        </w:rPr>
        <w:t>2.</w:t>
      </w:r>
      <w:r>
        <w:rPr>
          <w:lang w:val="fr-FR"/>
        </w:rPr>
        <w:tab/>
        <w:t>Le Groupe de travail des explosifs, après avoir examiné la question comme décrit dans son rapport (INF.61-Rev.1, quarante et unième session), a déterminé qu’il n’y avait pas d’argument scientifique justifiant d’affecter à cette rubrique le groupe d’emballage (GE) II. Il a décidé que l’AEISG pourrait établir une proposition visant à modifier le groupe d’emballage et recommandé que cette proposition se fonde sur des données obtenues au moyen de l’épreuve O.3 pour les matières solides comburantes, décrite dans le Manuel d’épreuves et de critères. Cette décision a ensuite été approuvée par le Sous-Comité, comme indiqué dans le rapport sur sa quarante-troisième session (ST/SG/AC.10/C.3/86, par. 35).</w:t>
      </w:r>
    </w:p>
    <w:p w14:paraId="5D715FDA" w14:textId="77777777" w:rsidR="003817F6" w:rsidRDefault="003817F6" w:rsidP="003817F6">
      <w:pPr>
        <w:pStyle w:val="HChG"/>
        <w:rPr>
          <w:lang w:val="fr-FR"/>
        </w:rPr>
      </w:pPr>
      <w:r>
        <w:rPr>
          <w:lang w:val="fr-FR"/>
        </w:rPr>
        <w:tab/>
      </w:r>
      <w:r>
        <w:rPr>
          <w:lang w:val="fr-FR"/>
        </w:rPr>
        <w:tab/>
        <w:t>Contexte</w:t>
      </w:r>
    </w:p>
    <w:p w14:paraId="61772208" w14:textId="77777777" w:rsidR="003817F6" w:rsidRDefault="003817F6" w:rsidP="003817F6">
      <w:pPr>
        <w:pStyle w:val="SingleTxtG"/>
        <w:rPr>
          <w:lang w:val="fr-FR"/>
        </w:rPr>
      </w:pPr>
      <w:r>
        <w:rPr>
          <w:lang w:val="fr-FR"/>
        </w:rPr>
        <w:t>3.</w:t>
      </w:r>
      <w:r>
        <w:rPr>
          <w:lang w:val="fr-FR"/>
        </w:rPr>
        <w:tab/>
        <w:t>Les émulsions de nitrate d’ammonium (ENA) sont des précurseurs d’explosifs relativement insensibles qui ont permis de réduire considérablement le transport et le stockage d’explosifs, la fabrication des explosifs pouvant se faire plus près du point d’utilisation ou sur place.</w:t>
      </w:r>
    </w:p>
    <w:p w14:paraId="32618611" w14:textId="77777777" w:rsidR="003817F6" w:rsidRDefault="003817F6" w:rsidP="003817F6">
      <w:pPr>
        <w:pStyle w:val="SingleTxtG"/>
        <w:rPr>
          <w:lang w:val="fr-FR"/>
        </w:rPr>
      </w:pPr>
      <w:r>
        <w:rPr>
          <w:lang w:val="fr-FR"/>
        </w:rPr>
        <w:t>4.</w:t>
      </w:r>
      <w:r>
        <w:rPr>
          <w:lang w:val="fr-FR"/>
        </w:rPr>
        <w:tab/>
        <w:t xml:space="preserve">Dans le document ST/SG/AC.10/1998/45, l’expert de la France proposait d’ajouter un nouveau numéro ONU pour les ENA et, en fonction de la « sensibilité » de la matière, d’affecter le groupe d’emballage approprié (I, II ou III). La recommandation concernant le placement des ENA dans la division 5.1 était solidement étayée par les travaux menés par le </w:t>
      </w:r>
      <w:r>
        <w:rPr>
          <w:lang w:val="fr-FR"/>
        </w:rPr>
        <w:lastRenderedPageBreak/>
        <w:t xml:space="preserve">Groupe d’experts international sur les risques d’explosion des matières instables (IGUS) sous l’égide de l’Organisation de coopération et de développement économiques (OCDE) (voir le document informel INF.9, seizième session), dans lesquels il avait été démontré, au moyen des épreuves O.1 et O.2 du Manuel d’épreuves et de critères, que les matières de la famille des ENA pouvaient généralement être considérées comme des « matières comburantes de la division 5.1 ». </w:t>
      </w:r>
    </w:p>
    <w:p w14:paraId="62610900" w14:textId="77777777" w:rsidR="003817F6" w:rsidRDefault="003817F6" w:rsidP="003817F6">
      <w:pPr>
        <w:pStyle w:val="SingleTxtG"/>
        <w:rPr>
          <w:lang w:val="fr-FR"/>
        </w:rPr>
      </w:pPr>
      <w:r>
        <w:rPr>
          <w:lang w:val="fr-FR"/>
        </w:rPr>
        <w:t>5.</w:t>
      </w:r>
      <w:r>
        <w:rPr>
          <w:lang w:val="fr-FR"/>
        </w:rPr>
        <w:tab/>
        <w:t>En conséquence, dans le document ST/SG/AC.10/C.3/2000/21, le Président du Groupe de travail des explosifs, appuyant la recommandation de l’expert de la France, a recommandé l’ajout d’un nouveau numéro ONU pour les ENA, classé dans la division 5.1 et affecté au groupe d’emballage III. La composition des ENA a été définie, ainsi qu’une série d’épreuves (appelées « épreuves de la série 8 ») visant à déterminer à quelle classe de matières dangereuses les ENA doivent être affectées. Ces prescriptions ont ensuite été inscrites dans la disposition spéciale 309 du Règlement type pour le transport des marchandises dangereuses.</w:t>
      </w:r>
    </w:p>
    <w:p w14:paraId="3FA32223" w14:textId="77777777" w:rsidR="003817F6" w:rsidRDefault="003817F6" w:rsidP="000E0956">
      <w:pPr>
        <w:pStyle w:val="SingleTxtG"/>
        <w:rPr>
          <w:lang w:val="fr-FR"/>
        </w:rPr>
      </w:pPr>
      <w:r>
        <w:rPr>
          <w:lang w:val="fr-FR"/>
        </w:rPr>
        <w:t>6.</w:t>
      </w:r>
      <w:r>
        <w:rPr>
          <w:lang w:val="fr-FR"/>
        </w:rPr>
        <w:tab/>
        <w:t>Par la suite, le Groupe de travail des explosifs a réexaminé et affiné les épreuves permettant de déterminer le classement des ENA, détaillées dans le document ST/SG/AC.10/C.3/2000/21, et le Président a présenté une recommandation actualisée, figurant dans le document ST/SG/AC.10/C.3/2001/6. Dans cette recommandation, le groupe d’emballage II a été affecté aux ENA. Le passage du groupe d’emballage III dans le document ST/SG/AC.10/C.3/2000/21 au groupe d’emballage II dans le document ST/SG/AC.10/C.3/2001/6 est inexpliqué, et on n’en trouve aucune justification dans les différents documents informels soumis à l’appui de la recommandation figurant dans le document ST/SG/AC.10/C.3/2001/6. On ne peut que supposer qu’il s’agit d’une coquille, qui a été reproduite dans les éditions révisées ultérieures du Règlement type.</w:t>
      </w:r>
    </w:p>
    <w:p w14:paraId="70616A16" w14:textId="77777777" w:rsidR="003817F6" w:rsidRDefault="003817F6" w:rsidP="000E0956">
      <w:pPr>
        <w:pStyle w:val="SingleTxtG"/>
        <w:rPr>
          <w:lang w:val="fr-FR"/>
        </w:rPr>
      </w:pPr>
      <w:r>
        <w:rPr>
          <w:lang w:val="fr-FR"/>
        </w:rPr>
        <w:t>7.</w:t>
      </w:r>
      <w:r>
        <w:rPr>
          <w:lang w:val="fr-FR"/>
        </w:rPr>
        <w:tab/>
        <w:t>Le No ONU 3375, accompagné du nom et de la description « NITRATE D’AMMONIUM EN ÉMULSION, SUSPENSION ou GEL, servant à la fabrication d’explosifs de mine », a été ajouté par le Comité d’experts en matière de transport des marchandises dangereuses dans la quinzième édition révisée du Règlement type. Il y est considéré comme appartenant à la division 5.1, et est affecté au groupe d’emballage II. Pour qu’une matière puisse se voir attribuer le No ONU 3375, sa composition et ses caractéristiques physiques doivent satisfaire aux prescriptions de la disposition spéciale 309.</w:t>
      </w:r>
    </w:p>
    <w:p w14:paraId="642FB1DF" w14:textId="77777777" w:rsidR="003817F6" w:rsidRDefault="003817F6" w:rsidP="000E0956">
      <w:pPr>
        <w:pStyle w:val="HChG"/>
        <w:rPr>
          <w:lang w:val="fr-FR"/>
        </w:rPr>
      </w:pPr>
      <w:r>
        <w:rPr>
          <w:lang w:val="fr-FR"/>
        </w:rPr>
        <w:tab/>
      </w:r>
      <w:r>
        <w:rPr>
          <w:lang w:val="fr-FR"/>
        </w:rPr>
        <w:tab/>
        <w:t>Examen</w:t>
      </w:r>
    </w:p>
    <w:p w14:paraId="14C796CD" w14:textId="77777777" w:rsidR="003817F6" w:rsidRDefault="003817F6" w:rsidP="000E0956">
      <w:pPr>
        <w:pStyle w:val="SingleTxtG"/>
        <w:rPr>
          <w:lang w:val="fr-FR"/>
        </w:rPr>
      </w:pPr>
      <w:r>
        <w:rPr>
          <w:lang w:val="fr-FR"/>
        </w:rPr>
        <w:t>8.</w:t>
      </w:r>
      <w:r>
        <w:rPr>
          <w:lang w:val="fr-FR"/>
        </w:rPr>
        <w:tab/>
        <w:t>Dans le Règlement type, le No ONU 3375 ne désigne pas une seule matière, mais constitue plutôt une rubrique générique correspondant à un groupe de matières défini dans la disposition spéciale 309. La plupart des ENA, si ce n’est toutes, peuvent être considérées comme des matières visqueuses ou pâteuses lorsqu’elles sont soumises à l’épreuve de détermination de la fluidité prescrite dans la section 2.3.4 de l’Accord relatif au transport international des marchandises dangereuses par route (ADR). On a constaté, sur toute une série d’ENA soumises à l’épreuve pour les matières comburantes solides (épreuve O.1) telle que définie dans la cinquième édition révisée du Manuel d’épreuves et de critères, que toutes présentaient des caractéristiques correspondant au groupe d’emballage III et que, selon les résultats de l’épreuve O.1, certaines pouvaient en fait être considérées comme non comburantes.</w:t>
      </w:r>
    </w:p>
    <w:p w14:paraId="47F0E155" w14:textId="77777777" w:rsidR="003817F6" w:rsidRDefault="003817F6" w:rsidP="000E0956">
      <w:pPr>
        <w:pStyle w:val="SingleTxtG"/>
        <w:rPr>
          <w:lang w:val="fr-FR"/>
        </w:rPr>
      </w:pPr>
      <w:r>
        <w:rPr>
          <w:lang w:val="fr-FR"/>
        </w:rPr>
        <w:t>9.</w:t>
      </w:r>
      <w:r>
        <w:rPr>
          <w:lang w:val="fr-FR"/>
        </w:rPr>
        <w:tab/>
        <w:t>Pour toutes les ENA, le principal composant est le nitrate d’ammonium, qui est affecté au groupe d’emballage III. Il semblerait logique que les ENA soient affectées au même groupe d’emballage, compte tenu de leur composition telle qu’elle est définie dans la disposition spéciale 309.</w:t>
      </w:r>
    </w:p>
    <w:p w14:paraId="7F014FD1" w14:textId="77777777" w:rsidR="003817F6" w:rsidRDefault="003817F6" w:rsidP="000E0956">
      <w:pPr>
        <w:pStyle w:val="SingleTxtG"/>
        <w:rPr>
          <w:lang w:val="fr-FR"/>
        </w:rPr>
      </w:pPr>
      <w:r>
        <w:rPr>
          <w:lang w:val="fr-FR"/>
        </w:rPr>
        <w:t>10.</w:t>
      </w:r>
      <w:r>
        <w:rPr>
          <w:lang w:val="fr-FR"/>
        </w:rPr>
        <w:tab/>
        <w:t>La plupart des ENA, voire toutes, sont stockées et transportées dans des grands récipients pour vrac (GRV) ou dans des citernes. Il est nécessaire de connaître le groupe d’emballage des ENA pour déterminer les critères d’épreuves applicables aux GRV. En outre, pour déterminer le groupe d’emballage, on tient également compte de la catégorie de danger aux fins de classification et d’étiquetage, telle qu’elle est définie aux chapitres 2.13 et 2.14 du Système général harmonisé de classification et d’étiquetage des produits chimiques (SGH).</w:t>
      </w:r>
    </w:p>
    <w:p w14:paraId="7060123D" w14:textId="77777777" w:rsidR="003817F6" w:rsidRDefault="003817F6" w:rsidP="000E0956">
      <w:pPr>
        <w:pStyle w:val="SingleTxtG"/>
        <w:rPr>
          <w:lang w:val="fr-FR"/>
        </w:rPr>
      </w:pPr>
      <w:r>
        <w:rPr>
          <w:lang w:val="fr-FR"/>
        </w:rPr>
        <w:lastRenderedPageBreak/>
        <w:t>11.</w:t>
      </w:r>
      <w:r>
        <w:rPr>
          <w:lang w:val="fr-FR"/>
        </w:rPr>
        <w:tab/>
        <w:t>Les résultats des épreuves réalisées jusqu’à présent sur les « pires » ENA (par exemple, proportion élevée de nitrate d’ammonium, faible proportion d’eau, faible proportion de combustible) sont représentés dans les figures 1 et 2 ci-dessous.</w:t>
      </w:r>
    </w:p>
    <w:p w14:paraId="30A89E2E" w14:textId="41D4C34A" w:rsidR="003817F6" w:rsidRDefault="000E0956" w:rsidP="000E0956">
      <w:pPr>
        <w:pStyle w:val="H23G"/>
        <w:rPr>
          <w:lang w:val="fr-FR"/>
        </w:rPr>
      </w:pPr>
      <w:r>
        <w:rPr>
          <w:lang w:val="fr-FR"/>
        </w:rPr>
        <w:tab/>
      </w:r>
      <w:r>
        <w:rPr>
          <w:lang w:val="fr-FR"/>
        </w:rPr>
        <w:tab/>
      </w:r>
      <w:r w:rsidR="003817F6">
        <w:rPr>
          <w:lang w:val="fr-FR"/>
        </w:rPr>
        <w:t>Figure 1 : Vitesse de combustion calculée et moyennes pour les mélanges de référence des trois groupes d’emballage et pour deux mélanges de produits à base d’ENA</w:t>
      </w:r>
    </w:p>
    <w:p w14:paraId="1A54D5A9" w14:textId="336A4A48" w:rsidR="000E0956" w:rsidRPr="000E0956" w:rsidRDefault="000E0956" w:rsidP="000E0956">
      <w:pPr>
        <w:ind w:left="1134"/>
        <w:rPr>
          <w:lang w:val="fr-FR"/>
        </w:rPr>
      </w:pPr>
      <w:r>
        <w:rPr>
          <w:noProof/>
        </w:rPr>
        <w:drawing>
          <wp:inline distT="0" distB="0" distL="0" distR="0" wp14:anchorId="0FB06E2C" wp14:editId="265F24D5">
            <wp:extent cx="4680000" cy="3098683"/>
            <wp:effectExtent l="0" t="0" r="6350" b="698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80000" cy="3098683"/>
                    </a:xfrm>
                    <a:prstGeom prst="rect">
                      <a:avLst/>
                    </a:prstGeom>
                  </pic:spPr>
                </pic:pic>
              </a:graphicData>
            </a:graphic>
          </wp:inline>
        </w:drawing>
      </w:r>
    </w:p>
    <w:p w14:paraId="4A3B0982" w14:textId="3380B91F" w:rsidR="003817F6" w:rsidRDefault="000E0956" w:rsidP="000E0956">
      <w:pPr>
        <w:pStyle w:val="H23G"/>
        <w:rPr>
          <w:lang w:val="fr-FR"/>
        </w:rPr>
      </w:pPr>
      <w:r>
        <w:rPr>
          <w:lang w:val="fr-FR"/>
        </w:rPr>
        <w:tab/>
      </w:r>
      <w:r>
        <w:rPr>
          <w:lang w:val="fr-FR"/>
        </w:rPr>
        <w:tab/>
      </w:r>
      <w:r w:rsidR="003817F6">
        <w:rPr>
          <w:lang w:val="fr-FR"/>
        </w:rPr>
        <w:t xml:space="preserve">Figure 2 : Vitesse de combustion calculée et moyennes pour les mélanges de référence des trois groupes d’emballage et pour deux mélanges de produits à base d’ENA </w:t>
      </w:r>
      <w:r w:rsidR="008E23C1">
        <w:rPr>
          <w:lang w:val="fr-FR"/>
        </w:rPr>
        <w:br/>
      </w:r>
      <w:r w:rsidR="003817F6">
        <w:rPr>
          <w:lang w:val="fr-FR"/>
        </w:rPr>
        <w:t xml:space="preserve">(pour ce produit à base d’ENA, le résultat moyen est inférieur à celui correspondant au groupe d’emballage III, et le produit pourrait donc ne pas être classé </w:t>
      </w:r>
      <w:r w:rsidR="008E23C1">
        <w:rPr>
          <w:lang w:val="fr-FR"/>
        </w:rPr>
        <w:br/>
      </w:r>
      <w:r w:rsidR="003817F6">
        <w:rPr>
          <w:lang w:val="fr-FR"/>
        </w:rPr>
        <w:t>dans la division 5.1)</w:t>
      </w:r>
    </w:p>
    <w:p w14:paraId="6C4AA689" w14:textId="36F5F95D" w:rsidR="008E23C1" w:rsidRPr="008E23C1" w:rsidRDefault="008E23C1" w:rsidP="008E23C1">
      <w:pPr>
        <w:pStyle w:val="SingleTxtG"/>
        <w:rPr>
          <w:lang w:val="fr-FR"/>
        </w:rPr>
      </w:pPr>
      <w:r>
        <w:rPr>
          <w:noProof/>
        </w:rPr>
        <w:drawing>
          <wp:inline distT="0" distB="0" distL="0" distR="0" wp14:anchorId="156C3F87" wp14:editId="6A15C02F">
            <wp:extent cx="4680000" cy="3164517"/>
            <wp:effectExtent l="0" t="0" r="635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80000" cy="3164517"/>
                    </a:xfrm>
                    <a:prstGeom prst="rect">
                      <a:avLst/>
                    </a:prstGeom>
                  </pic:spPr>
                </pic:pic>
              </a:graphicData>
            </a:graphic>
          </wp:inline>
        </w:drawing>
      </w:r>
    </w:p>
    <w:p w14:paraId="09732AC4" w14:textId="5CF330B2" w:rsidR="003817F6" w:rsidRDefault="003817F6" w:rsidP="008E23C1">
      <w:pPr>
        <w:pStyle w:val="SingleTxtG"/>
        <w:spacing w:before="240"/>
        <w:rPr>
          <w:lang w:val="fr-FR"/>
        </w:rPr>
      </w:pPr>
      <w:r>
        <w:rPr>
          <w:lang w:val="fr-FR"/>
        </w:rPr>
        <w:t>12.</w:t>
      </w:r>
      <w:r>
        <w:rPr>
          <w:lang w:val="fr-FR"/>
        </w:rPr>
        <w:tab/>
        <w:t>Compte tenu de la grande diversité que permet la rubrique générique du No</w:t>
      </w:r>
      <w:r w:rsidR="008E23C1">
        <w:rPr>
          <w:lang w:val="fr-FR"/>
        </w:rPr>
        <w:t> </w:t>
      </w:r>
      <w:r>
        <w:rPr>
          <w:lang w:val="fr-FR"/>
        </w:rPr>
        <w:t>ONU</w:t>
      </w:r>
      <w:r w:rsidR="008E23C1">
        <w:rPr>
          <w:lang w:val="fr-FR"/>
        </w:rPr>
        <w:t> </w:t>
      </w:r>
      <w:r>
        <w:rPr>
          <w:lang w:val="fr-FR"/>
        </w:rPr>
        <w:t xml:space="preserve">3375 en ce qui concerne la composition des ENA, selon les critères définis dans la disposition spéciale 309, y compris l’utilisation de différents nitrates inorganiques et perchlorates, l’AEISG estime qu’il est approprié de prévoir tous les groupes d’emballage possibles pour cette rubrique et que le groupe d’emballage applicable doit être déterminé en fonction des résultats des épreuves pour les liquides comburants (O.2) et pour les matières solides comburantes (O.3), selon le cas, décrites dans le Manuel d’épreuves et de critères. En outre, l’AEISG est d’avis que ces épreuves </w:t>
      </w:r>
      <w:r>
        <w:rPr>
          <w:b/>
          <w:bCs/>
          <w:lang w:val="fr-FR"/>
        </w:rPr>
        <w:t>ne</w:t>
      </w:r>
      <w:r>
        <w:rPr>
          <w:lang w:val="fr-FR"/>
        </w:rPr>
        <w:t xml:space="preserve"> devraient </w:t>
      </w:r>
      <w:r>
        <w:rPr>
          <w:b/>
          <w:bCs/>
          <w:lang w:val="fr-FR"/>
        </w:rPr>
        <w:t>pas</w:t>
      </w:r>
      <w:r>
        <w:rPr>
          <w:lang w:val="fr-FR"/>
        </w:rPr>
        <w:t xml:space="preserve"> être utilisées pour permettre à des produits à base d’ENA d’échapper à cette rubrique au motif qu’ils ont été qualifiés de matières non comburantes.</w:t>
      </w:r>
    </w:p>
    <w:p w14:paraId="223C5701" w14:textId="789FFB98" w:rsidR="003817F6" w:rsidRDefault="003817F6" w:rsidP="008E23C1">
      <w:pPr>
        <w:pStyle w:val="SingleTxtG"/>
        <w:rPr>
          <w:lang w:val="fr-FR"/>
        </w:rPr>
      </w:pPr>
      <w:r>
        <w:rPr>
          <w:lang w:val="fr-FR"/>
        </w:rPr>
        <w:t>13.</w:t>
      </w:r>
      <w:r>
        <w:rPr>
          <w:lang w:val="fr-FR"/>
        </w:rPr>
        <w:tab/>
        <w:t>Pour rendre compte des différents groupes d’emballage auxquels peuvent être affectés les produits relevant de rubriques génériques, ces rubriques figurent deux ou trois fois dans la liste des marchandises dangereuses du chapitre 3.2 du Règlement type, selon le cas. Il y a plus de 330 rubriques de ce type dans la vingt-deuxième édition révisée du Règlement type, actuellement en vigueur. L’AEISG considère qu’il convient de procéder de la même manière pour les produits relevant du No ONU 3375.</w:t>
      </w:r>
    </w:p>
    <w:p w14:paraId="7FE284DF" w14:textId="77777777" w:rsidR="003817F6" w:rsidRDefault="003817F6" w:rsidP="008E23C1">
      <w:pPr>
        <w:pStyle w:val="HChG"/>
        <w:rPr>
          <w:lang w:val="fr-FR"/>
        </w:rPr>
      </w:pPr>
      <w:r>
        <w:rPr>
          <w:lang w:val="fr-FR"/>
        </w:rPr>
        <w:tab/>
      </w:r>
      <w:r>
        <w:rPr>
          <w:lang w:val="fr-FR"/>
        </w:rPr>
        <w:tab/>
        <w:t>Proposition</w:t>
      </w:r>
    </w:p>
    <w:p w14:paraId="3010521A" w14:textId="77777777" w:rsidR="003817F6" w:rsidRDefault="003817F6" w:rsidP="008E23C1">
      <w:pPr>
        <w:pStyle w:val="SingleTxtG"/>
        <w:rPr>
          <w:lang w:val="fr-FR"/>
        </w:rPr>
      </w:pPr>
      <w:r>
        <w:rPr>
          <w:lang w:val="fr-FR"/>
        </w:rPr>
        <w:t>14.</w:t>
      </w:r>
      <w:r>
        <w:rPr>
          <w:lang w:val="fr-FR"/>
        </w:rPr>
        <w:tab/>
        <w:t xml:space="preserve">Il est proposé, dans la liste des marchandises dangereuses du chapitre 3.2, d’élargir la rubrique du No ONU 3375 de façon à couvrir tous les groupes d’emballage possibles, comme indiqué ci-dessous (les ajouts figurent en caractères </w:t>
      </w:r>
      <w:r>
        <w:rPr>
          <w:b/>
          <w:bCs/>
          <w:lang w:val="fr-FR"/>
        </w:rPr>
        <w:t>gras</w:t>
      </w:r>
      <w:r>
        <w:rPr>
          <w:lang w:val="fr-FR"/>
        </w:rPr>
        <w:t>)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9"/>
        <w:gridCol w:w="1682"/>
        <w:gridCol w:w="612"/>
        <w:gridCol w:w="784"/>
        <w:gridCol w:w="798"/>
        <w:gridCol w:w="882"/>
        <w:gridCol w:w="447"/>
        <w:gridCol w:w="448"/>
        <w:gridCol w:w="1022"/>
        <w:gridCol w:w="808"/>
        <w:gridCol w:w="918"/>
        <w:gridCol w:w="779"/>
      </w:tblGrid>
      <w:tr w:rsidR="0001783F" w:rsidRPr="003817F6" w14:paraId="41691AAB" w14:textId="77777777" w:rsidTr="0001783F">
        <w:trPr>
          <w:trHeight w:val="338"/>
        </w:trPr>
        <w:tc>
          <w:tcPr>
            <w:tcW w:w="459" w:type="dxa"/>
            <w:vMerge w:val="restart"/>
            <w:tcBorders>
              <w:top w:val="single" w:sz="4" w:space="0" w:color="auto"/>
              <w:left w:val="single" w:sz="4" w:space="0" w:color="auto"/>
              <w:bottom w:val="single" w:sz="4" w:space="0" w:color="auto"/>
              <w:right w:val="single" w:sz="4" w:space="0" w:color="auto"/>
            </w:tcBorders>
            <w:vAlign w:val="bottom"/>
            <w:hideMark/>
          </w:tcPr>
          <w:p w14:paraId="7D2A8948" w14:textId="77777777" w:rsidR="003817F6" w:rsidRPr="008E23C1" w:rsidRDefault="003817F6" w:rsidP="0001783F">
            <w:pPr>
              <w:pStyle w:val="SingleTxtG"/>
              <w:spacing w:before="40" w:after="40" w:line="200" w:lineRule="atLeast"/>
              <w:ind w:left="0" w:right="6"/>
              <w:jc w:val="center"/>
              <w:rPr>
                <w:sz w:val="15"/>
                <w:szCs w:val="15"/>
                <w:lang w:val="en-GB"/>
              </w:rPr>
            </w:pPr>
            <w:r w:rsidRPr="008E23C1">
              <w:rPr>
                <w:sz w:val="15"/>
                <w:szCs w:val="15"/>
                <w:lang w:val="fr-FR"/>
              </w:rPr>
              <w:t>No ONU</w:t>
            </w:r>
          </w:p>
        </w:tc>
        <w:tc>
          <w:tcPr>
            <w:tcW w:w="1682" w:type="dxa"/>
            <w:vMerge w:val="restart"/>
            <w:tcBorders>
              <w:top w:val="single" w:sz="4" w:space="0" w:color="auto"/>
              <w:left w:val="single" w:sz="4" w:space="0" w:color="auto"/>
              <w:bottom w:val="single" w:sz="4" w:space="0" w:color="auto"/>
              <w:right w:val="single" w:sz="4" w:space="0" w:color="auto"/>
            </w:tcBorders>
            <w:vAlign w:val="bottom"/>
            <w:hideMark/>
          </w:tcPr>
          <w:p w14:paraId="63E18731" w14:textId="77777777" w:rsidR="003817F6" w:rsidRPr="008E23C1" w:rsidRDefault="003817F6" w:rsidP="0001783F">
            <w:pPr>
              <w:pStyle w:val="SingleTxtG"/>
              <w:spacing w:before="40" w:after="40" w:line="200" w:lineRule="atLeast"/>
              <w:ind w:left="0" w:right="6"/>
              <w:jc w:val="center"/>
              <w:rPr>
                <w:sz w:val="15"/>
                <w:szCs w:val="15"/>
              </w:rPr>
            </w:pPr>
            <w:r w:rsidRPr="008E23C1">
              <w:rPr>
                <w:sz w:val="15"/>
                <w:szCs w:val="15"/>
                <w:lang w:val="fr-FR"/>
              </w:rPr>
              <w:t>Nom et description</w:t>
            </w:r>
          </w:p>
        </w:tc>
        <w:tc>
          <w:tcPr>
            <w:tcW w:w="612" w:type="dxa"/>
            <w:vMerge w:val="restart"/>
            <w:tcBorders>
              <w:top w:val="single" w:sz="4" w:space="0" w:color="auto"/>
              <w:left w:val="single" w:sz="4" w:space="0" w:color="auto"/>
              <w:bottom w:val="single" w:sz="4" w:space="0" w:color="auto"/>
              <w:right w:val="single" w:sz="4" w:space="0" w:color="auto"/>
            </w:tcBorders>
            <w:vAlign w:val="bottom"/>
            <w:hideMark/>
          </w:tcPr>
          <w:p w14:paraId="5E0C3C57" w14:textId="2A1641EC" w:rsidR="003817F6" w:rsidRPr="008E23C1" w:rsidRDefault="003817F6" w:rsidP="0001783F">
            <w:pPr>
              <w:pStyle w:val="SingleTxtG"/>
              <w:spacing w:before="40" w:after="40" w:line="200" w:lineRule="atLeast"/>
              <w:ind w:left="0" w:right="6"/>
              <w:jc w:val="center"/>
              <w:rPr>
                <w:sz w:val="15"/>
                <w:szCs w:val="15"/>
              </w:rPr>
            </w:pPr>
            <w:r w:rsidRPr="008E23C1">
              <w:rPr>
                <w:sz w:val="15"/>
                <w:szCs w:val="15"/>
                <w:lang w:val="fr-FR"/>
              </w:rPr>
              <w:t xml:space="preserve">Classe </w:t>
            </w:r>
            <w:r w:rsidR="0001783F">
              <w:rPr>
                <w:sz w:val="15"/>
                <w:szCs w:val="15"/>
                <w:lang w:val="fr-FR"/>
              </w:rPr>
              <w:br/>
            </w:r>
            <w:r w:rsidRPr="008E23C1">
              <w:rPr>
                <w:sz w:val="15"/>
                <w:szCs w:val="15"/>
                <w:lang w:val="fr-FR"/>
              </w:rPr>
              <w:t>ou division</w:t>
            </w:r>
          </w:p>
        </w:tc>
        <w:tc>
          <w:tcPr>
            <w:tcW w:w="784" w:type="dxa"/>
            <w:vMerge w:val="restart"/>
            <w:tcBorders>
              <w:top w:val="single" w:sz="4" w:space="0" w:color="auto"/>
              <w:left w:val="single" w:sz="4" w:space="0" w:color="auto"/>
              <w:bottom w:val="single" w:sz="4" w:space="0" w:color="auto"/>
              <w:right w:val="single" w:sz="4" w:space="0" w:color="auto"/>
            </w:tcBorders>
            <w:vAlign w:val="bottom"/>
            <w:hideMark/>
          </w:tcPr>
          <w:p w14:paraId="1673B1C5" w14:textId="77777777" w:rsidR="003817F6" w:rsidRPr="008E23C1" w:rsidRDefault="003817F6" w:rsidP="0001783F">
            <w:pPr>
              <w:pStyle w:val="SingleTxtG"/>
              <w:tabs>
                <w:tab w:val="left" w:pos="0"/>
              </w:tabs>
              <w:spacing w:before="40" w:after="40" w:line="200" w:lineRule="atLeast"/>
              <w:ind w:left="0" w:right="6"/>
              <w:jc w:val="center"/>
              <w:rPr>
                <w:sz w:val="15"/>
                <w:szCs w:val="15"/>
              </w:rPr>
            </w:pPr>
            <w:r w:rsidRPr="008E23C1">
              <w:rPr>
                <w:sz w:val="15"/>
                <w:szCs w:val="15"/>
                <w:lang w:val="fr-FR"/>
              </w:rPr>
              <w:t>Danger subsidiaire</w:t>
            </w:r>
          </w:p>
        </w:tc>
        <w:tc>
          <w:tcPr>
            <w:tcW w:w="798" w:type="dxa"/>
            <w:vMerge w:val="restart"/>
            <w:tcBorders>
              <w:top w:val="single" w:sz="4" w:space="0" w:color="auto"/>
              <w:left w:val="single" w:sz="4" w:space="0" w:color="auto"/>
              <w:bottom w:val="single" w:sz="4" w:space="0" w:color="auto"/>
              <w:right w:val="single" w:sz="4" w:space="0" w:color="auto"/>
            </w:tcBorders>
            <w:vAlign w:val="bottom"/>
            <w:hideMark/>
          </w:tcPr>
          <w:p w14:paraId="6F779613" w14:textId="77777777" w:rsidR="003817F6" w:rsidRPr="008E23C1" w:rsidRDefault="003817F6" w:rsidP="0001783F">
            <w:pPr>
              <w:pStyle w:val="SingleTxtG"/>
              <w:spacing w:before="40" w:after="40" w:line="200" w:lineRule="atLeast"/>
              <w:ind w:left="0" w:right="6"/>
              <w:jc w:val="center"/>
              <w:rPr>
                <w:sz w:val="15"/>
                <w:szCs w:val="15"/>
              </w:rPr>
            </w:pPr>
            <w:r w:rsidRPr="008E23C1">
              <w:rPr>
                <w:sz w:val="15"/>
                <w:szCs w:val="15"/>
                <w:lang w:val="fr-FR"/>
              </w:rPr>
              <w:t>Groupe d’emballage</w:t>
            </w:r>
          </w:p>
        </w:tc>
        <w:tc>
          <w:tcPr>
            <w:tcW w:w="882" w:type="dxa"/>
            <w:vMerge w:val="restart"/>
            <w:tcBorders>
              <w:top w:val="single" w:sz="4" w:space="0" w:color="auto"/>
              <w:left w:val="single" w:sz="4" w:space="0" w:color="auto"/>
              <w:bottom w:val="single" w:sz="4" w:space="0" w:color="auto"/>
              <w:right w:val="single" w:sz="4" w:space="0" w:color="auto"/>
            </w:tcBorders>
            <w:vAlign w:val="bottom"/>
            <w:hideMark/>
          </w:tcPr>
          <w:p w14:paraId="59C549FE" w14:textId="77777777" w:rsidR="003817F6" w:rsidRPr="008E23C1" w:rsidRDefault="003817F6" w:rsidP="0001783F">
            <w:pPr>
              <w:pStyle w:val="SingleTxtG"/>
              <w:spacing w:before="40" w:after="40" w:line="200" w:lineRule="atLeast"/>
              <w:ind w:left="0" w:right="6"/>
              <w:jc w:val="center"/>
              <w:rPr>
                <w:sz w:val="15"/>
                <w:szCs w:val="15"/>
              </w:rPr>
            </w:pPr>
            <w:r w:rsidRPr="008E23C1">
              <w:rPr>
                <w:sz w:val="15"/>
                <w:szCs w:val="15"/>
                <w:lang w:val="fr-FR"/>
              </w:rPr>
              <w:t>Dispositions spéciales</w:t>
            </w:r>
          </w:p>
        </w:tc>
        <w:tc>
          <w:tcPr>
            <w:tcW w:w="895"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00B46F1E" w14:textId="77777777" w:rsidR="003817F6" w:rsidRPr="008E23C1" w:rsidRDefault="003817F6" w:rsidP="0001783F">
            <w:pPr>
              <w:pStyle w:val="SingleTxtG"/>
              <w:spacing w:before="40" w:after="40" w:line="200" w:lineRule="atLeast"/>
              <w:ind w:left="0" w:right="6"/>
              <w:jc w:val="center"/>
              <w:rPr>
                <w:sz w:val="15"/>
                <w:szCs w:val="15"/>
                <w:lang w:val="fr-FR"/>
              </w:rPr>
            </w:pPr>
            <w:r w:rsidRPr="008E23C1">
              <w:rPr>
                <w:sz w:val="15"/>
                <w:szCs w:val="15"/>
                <w:lang w:val="fr-FR"/>
              </w:rPr>
              <w:t>Quantités limitées et quantités exceptées</w:t>
            </w:r>
          </w:p>
        </w:tc>
        <w:tc>
          <w:tcPr>
            <w:tcW w:w="1830" w:type="dxa"/>
            <w:gridSpan w:val="2"/>
            <w:tcBorders>
              <w:top w:val="single" w:sz="4" w:space="0" w:color="auto"/>
              <w:left w:val="single" w:sz="4" w:space="0" w:color="auto"/>
              <w:bottom w:val="single" w:sz="4" w:space="0" w:color="auto"/>
              <w:right w:val="single" w:sz="4" w:space="0" w:color="auto"/>
            </w:tcBorders>
            <w:vAlign w:val="bottom"/>
            <w:hideMark/>
          </w:tcPr>
          <w:p w14:paraId="25177D35" w14:textId="77777777" w:rsidR="003817F6" w:rsidRPr="008E23C1" w:rsidRDefault="003817F6" w:rsidP="0001783F">
            <w:pPr>
              <w:pStyle w:val="SingleTxtG"/>
              <w:tabs>
                <w:tab w:val="left" w:pos="0"/>
              </w:tabs>
              <w:spacing w:before="40" w:after="40" w:line="200" w:lineRule="atLeast"/>
              <w:ind w:left="0" w:right="6"/>
              <w:jc w:val="center"/>
              <w:rPr>
                <w:sz w:val="15"/>
                <w:szCs w:val="15"/>
                <w:lang w:val="en-GB"/>
              </w:rPr>
            </w:pPr>
            <w:r w:rsidRPr="008E23C1">
              <w:rPr>
                <w:sz w:val="15"/>
                <w:szCs w:val="15"/>
                <w:lang w:val="fr-FR"/>
              </w:rPr>
              <w:t>Emballages et GRV</w:t>
            </w:r>
          </w:p>
        </w:tc>
        <w:tc>
          <w:tcPr>
            <w:tcW w:w="1697" w:type="dxa"/>
            <w:gridSpan w:val="2"/>
            <w:tcBorders>
              <w:top w:val="single" w:sz="4" w:space="0" w:color="auto"/>
              <w:left w:val="single" w:sz="4" w:space="0" w:color="auto"/>
              <w:bottom w:val="single" w:sz="4" w:space="0" w:color="auto"/>
              <w:right w:val="single" w:sz="4" w:space="0" w:color="auto"/>
            </w:tcBorders>
            <w:vAlign w:val="bottom"/>
            <w:hideMark/>
          </w:tcPr>
          <w:p w14:paraId="112B33A6" w14:textId="77777777" w:rsidR="003817F6" w:rsidRPr="008E23C1" w:rsidRDefault="003817F6" w:rsidP="0001783F">
            <w:pPr>
              <w:pStyle w:val="SingleTxtG"/>
              <w:spacing w:before="40" w:after="40" w:line="200" w:lineRule="atLeast"/>
              <w:ind w:left="0" w:right="6"/>
              <w:jc w:val="center"/>
              <w:rPr>
                <w:sz w:val="15"/>
                <w:szCs w:val="15"/>
                <w:lang w:val="fr-FR"/>
              </w:rPr>
            </w:pPr>
            <w:r w:rsidRPr="008E23C1">
              <w:rPr>
                <w:sz w:val="15"/>
                <w:szCs w:val="15"/>
                <w:lang w:val="fr-FR"/>
              </w:rPr>
              <w:t>Citernes mobiles et conteneurs pour vrac</w:t>
            </w:r>
          </w:p>
        </w:tc>
      </w:tr>
      <w:tr w:rsidR="008E23C1" w14:paraId="55EF4159" w14:textId="77777777" w:rsidTr="0001783F">
        <w:trPr>
          <w:trHeight w:val="338"/>
        </w:trPr>
        <w:tc>
          <w:tcPr>
            <w:tcW w:w="459" w:type="dxa"/>
            <w:vMerge/>
            <w:tcBorders>
              <w:top w:val="single" w:sz="4" w:space="0" w:color="auto"/>
              <w:left w:val="single" w:sz="4" w:space="0" w:color="auto"/>
              <w:bottom w:val="single" w:sz="4" w:space="0" w:color="auto"/>
              <w:right w:val="single" w:sz="4" w:space="0" w:color="auto"/>
            </w:tcBorders>
            <w:vAlign w:val="bottom"/>
            <w:hideMark/>
          </w:tcPr>
          <w:p w14:paraId="7830EC85" w14:textId="77777777" w:rsidR="003817F6" w:rsidRPr="008E23C1" w:rsidRDefault="003817F6" w:rsidP="0001783F">
            <w:pPr>
              <w:spacing w:before="40" w:after="40" w:line="200" w:lineRule="atLeast"/>
              <w:ind w:right="6"/>
              <w:jc w:val="center"/>
              <w:rPr>
                <w:sz w:val="15"/>
                <w:szCs w:val="15"/>
                <w:lang w:eastAsia="zh-CN"/>
              </w:rPr>
            </w:pPr>
          </w:p>
        </w:tc>
        <w:tc>
          <w:tcPr>
            <w:tcW w:w="1682" w:type="dxa"/>
            <w:vMerge/>
            <w:tcBorders>
              <w:top w:val="single" w:sz="4" w:space="0" w:color="auto"/>
              <w:left w:val="single" w:sz="4" w:space="0" w:color="auto"/>
              <w:bottom w:val="single" w:sz="4" w:space="0" w:color="auto"/>
              <w:right w:val="single" w:sz="4" w:space="0" w:color="auto"/>
            </w:tcBorders>
            <w:vAlign w:val="bottom"/>
            <w:hideMark/>
          </w:tcPr>
          <w:p w14:paraId="07EE9D1C" w14:textId="77777777" w:rsidR="003817F6" w:rsidRPr="008E23C1" w:rsidRDefault="003817F6" w:rsidP="0001783F">
            <w:pPr>
              <w:spacing w:before="40" w:after="40" w:line="200" w:lineRule="atLeast"/>
              <w:ind w:right="6"/>
              <w:jc w:val="center"/>
              <w:rPr>
                <w:sz w:val="15"/>
                <w:szCs w:val="15"/>
                <w:lang w:eastAsia="zh-CN"/>
              </w:rPr>
            </w:pPr>
          </w:p>
        </w:tc>
        <w:tc>
          <w:tcPr>
            <w:tcW w:w="612" w:type="dxa"/>
            <w:vMerge/>
            <w:tcBorders>
              <w:top w:val="single" w:sz="4" w:space="0" w:color="auto"/>
              <w:left w:val="single" w:sz="4" w:space="0" w:color="auto"/>
              <w:bottom w:val="single" w:sz="4" w:space="0" w:color="auto"/>
              <w:right w:val="single" w:sz="4" w:space="0" w:color="auto"/>
            </w:tcBorders>
            <w:vAlign w:val="bottom"/>
            <w:hideMark/>
          </w:tcPr>
          <w:p w14:paraId="680DF923" w14:textId="77777777" w:rsidR="003817F6" w:rsidRPr="008E23C1" w:rsidRDefault="003817F6" w:rsidP="0001783F">
            <w:pPr>
              <w:spacing w:before="40" w:after="40" w:line="200" w:lineRule="atLeast"/>
              <w:ind w:right="6"/>
              <w:jc w:val="center"/>
              <w:rPr>
                <w:sz w:val="15"/>
                <w:szCs w:val="15"/>
                <w:lang w:eastAsia="zh-CN"/>
              </w:rPr>
            </w:pPr>
          </w:p>
        </w:tc>
        <w:tc>
          <w:tcPr>
            <w:tcW w:w="784" w:type="dxa"/>
            <w:vMerge/>
            <w:tcBorders>
              <w:top w:val="single" w:sz="4" w:space="0" w:color="auto"/>
              <w:left w:val="single" w:sz="4" w:space="0" w:color="auto"/>
              <w:bottom w:val="single" w:sz="4" w:space="0" w:color="auto"/>
              <w:right w:val="single" w:sz="4" w:space="0" w:color="auto"/>
            </w:tcBorders>
            <w:vAlign w:val="bottom"/>
            <w:hideMark/>
          </w:tcPr>
          <w:p w14:paraId="7B1B95DE" w14:textId="77777777" w:rsidR="003817F6" w:rsidRPr="008E23C1" w:rsidRDefault="003817F6" w:rsidP="0001783F">
            <w:pPr>
              <w:spacing w:before="40" w:after="40" w:line="200" w:lineRule="atLeast"/>
              <w:ind w:right="6"/>
              <w:jc w:val="center"/>
              <w:rPr>
                <w:sz w:val="15"/>
                <w:szCs w:val="15"/>
                <w:lang w:eastAsia="zh-CN"/>
              </w:rPr>
            </w:pPr>
          </w:p>
        </w:tc>
        <w:tc>
          <w:tcPr>
            <w:tcW w:w="798" w:type="dxa"/>
            <w:vMerge/>
            <w:tcBorders>
              <w:top w:val="single" w:sz="4" w:space="0" w:color="auto"/>
              <w:left w:val="single" w:sz="4" w:space="0" w:color="auto"/>
              <w:bottom w:val="single" w:sz="4" w:space="0" w:color="auto"/>
              <w:right w:val="single" w:sz="4" w:space="0" w:color="auto"/>
            </w:tcBorders>
            <w:vAlign w:val="bottom"/>
            <w:hideMark/>
          </w:tcPr>
          <w:p w14:paraId="6C5163E6" w14:textId="77777777" w:rsidR="003817F6" w:rsidRPr="008E23C1" w:rsidRDefault="003817F6" w:rsidP="0001783F">
            <w:pPr>
              <w:spacing w:before="40" w:after="40" w:line="200" w:lineRule="atLeast"/>
              <w:ind w:right="6"/>
              <w:jc w:val="center"/>
              <w:rPr>
                <w:sz w:val="15"/>
                <w:szCs w:val="15"/>
                <w:lang w:eastAsia="zh-CN"/>
              </w:rPr>
            </w:pPr>
          </w:p>
        </w:tc>
        <w:tc>
          <w:tcPr>
            <w:tcW w:w="882" w:type="dxa"/>
            <w:vMerge/>
            <w:tcBorders>
              <w:top w:val="single" w:sz="4" w:space="0" w:color="auto"/>
              <w:left w:val="single" w:sz="4" w:space="0" w:color="auto"/>
              <w:bottom w:val="single" w:sz="4" w:space="0" w:color="auto"/>
              <w:right w:val="single" w:sz="4" w:space="0" w:color="auto"/>
            </w:tcBorders>
            <w:vAlign w:val="bottom"/>
            <w:hideMark/>
          </w:tcPr>
          <w:p w14:paraId="0972714F" w14:textId="77777777" w:rsidR="003817F6" w:rsidRPr="008E23C1" w:rsidRDefault="003817F6" w:rsidP="0001783F">
            <w:pPr>
              <w:spacing w:before="40" w:after="40" w:line="200" w:lineRule="atLeast"/>
              <w:ind w:right="6"/>
              <w:jc w:val="center"/>
              <w:rPr>
                <w:sz w:val="15"/>
                <w:szCs w:val="15"/>
                <w:lang w:eastAsia="zh-CN"/>
              </w:rPr>
            </w:pPr>
          </w:p>
        </w:tc>
        <w:tc>
          <w:tcPr>
            <w:tcW w:w="895" w:type="dxa"/>
            <w:gridSpan w:val="2"/>
            <w:vMerge/>
            <w:tcBorders>
              <w:top w:val="single" w:sz="4" w:space="0" w:color="auto"/>
              <w:left w:val="single" w:sz="4" w:space="0" w:color="auto"/>
              <w:bottom w:val="single" w:sz="4" w:space="0" w:color="auto"/>
              <w:right w:val="single" w:sz="4" w:space="0" w:color="auto"/>
            </w:tcBorders>
            <w:vAlign w:val="bottom"/>
            <w:hideMark/>
          </w:tcPr>
          <w:p w14:paraId="067195D5" w14:textId="77777777" w:rsidR="003817F6" w:rsidRPr="008E23C1" w:rsidRDefault="003817F6" w:rsidP="0001783F">
            <w:pPr>
              <w:spacing w:before="40" w:after="40" w:line="200" w:lineRule="atLeast"/>
              <w:ind w:right="6"/>
              <w:jc w:val="center"/>
              <w:rPr>
                <w:sz w:val="15"/>
                <w:szCs w:val="15"/>
                <w:lang w:val="fr-FR" w:eastAsia="zh-CN"/>
              </w:rPr>
            </w:pPr>
          </w:p>
        </w:tc>
        <w:tc>
          <w:tcPr>
            <w:tcW w:w="1022" w:type="dxa"/>
            <w:tcBorders>
              <w:top w:val="single" w:sz="4" w:space="0" w:color="auto"/>
              <w:left w:val="single" w:sz="4" w:space="0" w:color="auto"/>
              <w:bottom w:val="single" w:sz="4" w:space="0" w:color="auto"/>
              <w:right w:val="single" w:sz="4" w:space="0" w:color="auto"/>
            </w:tcBorders>
            <w:vAlign w:val="bottom"/>
            <w:hideMark/>
          </w:tcPr>
          <w:p w14:paraId="4E8DAD59" w14:textId="77777777" w:rsidR="003817F6" w:rsidRPr="008E23C1" w:rsidRDefault="003817F6" w:rsidP="0001783F">
            <w:pPr>
              <w:pStyle w:val="SingleTxtG"/>
              <w:tabs>
                <w:tab w:val="left" w:pos="0"/>
              </w:tabs>
              <w:spacing w:before="40" w:after="40" w:line="200" w:lineRule="atLeast"/>
              <w:ind w:left="0" w:right="6"/>
              <w:jc w:val="center"/>
              <w:rPr>
                <w:sz w:val="15"/>
                <w:szCs w:val="15"/>
                <w:lang w:val="en-GB"/>
              </w:rPr>
            </w:pPr>
            <w:r w:rsidRPr="008E23C1">
              <w:rPr>
                <w:sz w:val="15"/>
                <w:szCs w:val="15"/>
                <w:lang w:val="fr-FR"/>
              </w:rPr>
              <w:t>Instructions d’emballage</w:t>
            </w:r>
          </w:p>
        </w:tc>
        <w:tc>
          <w:tcPr>
            <w:tcW w:w="808" w:type="dxa"/>
            <w:tcBorders>
              <w:top w:val="single" w:sz="4" w:space="0" w:color="auto"/>
              <w:left w:val="single" w:sz="4" w:space="0" w:color="auto"/>
              <w:bottom w:val="single" w:sz="4" w:space="0" w:color="auto"/>
              <w:right w:val="single" w:sz="4" w:space="0" w:color="auto"/>
            </w:tcBorders>
            <w:vAlign w:val="bottom"/>
            <w:hideMark/>
          </w:tcPr>
          <w:p w14:paraId="2C40062D" w14:textId="77777777" w:rsidR="003817F6" w:rsidRPr="008E23C1" w:rsidRDefault="003817F6" w:rsidP="0001783F">
            <w:pPr>
              <w:pStyle w:val="SingleTxtG"/>
              <w:tabs>
                <w:tab w:val="left" w:pos="0"/>
              </w:tabs>
              <w:spacing w:before="40" w:after="40" w:line="200" w:lineRule="atLeast"/>
              <w:ind w:left="0" w:right="6"/>
              <w:jc w:val="center"/>
              <w:rPr>
                <w:sz w:val="15"/>
                <w:szCs w:val="15"/>
              </w:rPr>
            </w:pPr>
            <w:r w:rsidRPr="008E23C1">
              <w:rPr>
                <w:sz w:val="15"/>
                <w:szCs w:val="15"/>
                <w:lang w:val="fr-FR"/>
              </w:rPr>
              <w:t>Dispositions spéciales</w:t>
            </w:r>
          </w:p>
        </w:tc>
        <w:tc>
          <w:tcPr>
            <w:tcW w:w="918" w:type="dxa"/>
            <w:tcBorders>
              <w:top w:val="single" w:sz="4" w:space="0" w:color="auto"/>
              <w:left w:val="single" w:sz="4" w:space="0" w:color="auto"/>
              <w:bottom w:val="single" w:sz="4" w:space="0" w:color="auto"/>
              <w:right w:val="single" w:sz="4" w:space="0" w:color="auto"/>
            </w:tcBorders>
            <w:vAlign w:val="bottom"/>
            <w:hideMark/>
          </w:tcPr>
          <w:p w14:paraId="2F39B3D5" w14:textId="6A2F11E9" w:rsidR="003817F6" w:rsidRPr="008E23C1" w:rsidRDefault="003817F6" w:rsidP="0001783F">
            <w:pPr>
              <w:pStyle w:val="SingleTxtG"/>
              <w:spacing w:before="40" w:after="40" w:line="200" w:lineRule="atLeast"/>
              <w:ind w:left="0" w:right="6"/>
              <w:jc w:val="center"/>
              <w:rPr>
                <w:sz w:val="15"/>
                <w:szCs w:val="15"/>
              </w:rPr>
            </w:pPr>
            <w:r w:rsidRPr="008E23C1">
              <w:rPr>
                <w:sz w:val="15"/>
                <w:szCs w:val="15"/>
                <w:lang w:val="fr-FR"/>
              </w:rPr>
              <w:t xml:space="preserve">Instructions </w:t>
            </w:r>
            <w:r w:rsidR="0001783F">
              <w:rPr>
                <w:sz w:val="15"/>
                <w:szCs w:val="15"/>
                <w:lang w:val="fr-FR"/>
              </w:rPr>
              <w:br/>
            </w:r>
            <w:r w:rsidRPr="008E23C1">
              <w:rPr>
                <w:sz w:val="15"/>
                <w:szCs w:val="15"/>
                <w:lang w:val="fr-FR"/>
              </w:rPr>
              <w:t>de transport</w:t>
            </w:r>
          </w:p>
        </w:tc>
        <w:tc>
          <w:tcPr>
            <w:tcW w:w="779" w:type="dxa"/>
            <w:tcBorders>
              <w:top w:val="single" w:sz="4" w:space="0" w:color="auto"/>
              <w:left w:val="single" w:sz="4" w:space="0" w:color="auto"/>
              <w:bottom w:val="single" w:sz="4" w:space="0" w:color="auto"/>
              <w:right w:val="single" w:sz="4" w:space="0" w:color="auto"/>
            </w:tcBorders>
            <w:vAlign w:val="bottom"/>
            <w:hideMark/>
          </w:tcPr>
          <w:p w14:paraId="53B4B0CB" w14:textId="77777777" w:rsidR="003817F6" w:rsidRPr="008E23C1" w:rsidRDefault="003817F6" w:rsidP="0001783F">
            <w:pPr>
              <w:pStyle w:val="SingleTxtG"/>
              <w:spacing w:before="40" w:after="40" w:line="200" w:lineRule="atLeast"/>
              <w:ind w:left="0" w:right="6"/>
              <w:jc w:val="center"/>
              <w:rPr>
                <w:sz w:val="15"/>
                <w:szCs w:val="15"/>
              </w:rPr>
            </w:pPr>
            <w:r w:rsidRPr="008E23C1">
              <w:rPr>
                <w:sz w:val="15"/>
                <w:szCs w:val="15"/>
                <w:lang w:val="fr-FR"/>
              </w:rPr>
              <w:t>Dispositions spéciales</w:t>
            </w:r>
          </w:p>
        </w:tc>
      </w:tr>
      <w:tr w:rsidR="008E23C1" w14:paraId="09B61528" w14:textId="77777777" w:rsidTr="0001783F">
        <w:tc>
          <w:tcPr>
            <w:tcW w:w="459" w:type="dxa"/>
            <w:tcBorders>
              <w:top w:val="single" w:sz="4" w:space="0" w:color="auto"/>
              <w:left w:val="single" w:sz="4" w:space="0" w:color="auto"/>
              <w:bottom w:val="single" w:sz="4" w:space="0" w:color="auto"/>
              <w:right w:val="single" w:sz="4" w:space="0" w:color="auto"/>
            </w:tcBorders>
            <w:hideMark/>
          </w:tcPr>
          <w:p w14:paraId="56AAD8DC" w14:textId="77777777" w:rsidR="003817F6" w:rsidRPr="008E23C1" w:rsidRDefault="003817F6" w:rsidP="0001783F">
            <w:pPr>
              <w:pStyle w:val="SingleTxtG"/>
              <w:spacing w:before="40" w:after="40" w:line="200" w:lineRule="atLeast"/>
              <w:ind w:left="0" w:right="17"/>
              <w:jc w:val="center"/>
              <w:rPr>
                <w:sz w:val="15"/>
                <w:szCs w:val="15"/>
              </w:rPr>
            </w:pPr>
            <w:r w:rsidRPr="008E23C1">
              <w:rPr>
                <w:sz w:val="15"/>
                <w:szCs w:val="15"/>
                <w:lang w:val="fr-FR"/>
              </w:rPr>
              <w:t>(1)</w:t>
            </w:r>
          </w:p>
        </w:tc>
        <w:tc>
          <w:tcPr>
            <w:tcW w:w="1682" w:type="dxa"/>
            <w:tcBorders>
              <w:top w:val="single" w:sz="4" w:space="0" w:color="auto"/>
              <w:left w:val="single" w:sz="4" w:space="0" w:color="auto"/>
              <w:bottom w:val="single" w:sz="4" w:space="0" w:color="auto"/>
              <w:right w:val="single" w:sz="4" w:space="0" w:color="auto"/>
            </w:tcBorders>
            <w:hideMark/>
          </w:tcPr>
          <w:p w14:paraId="734E4E7B" w14:textId="77777777" w:rsidR="003817F6" w:rsidRPr="008E23C1" w:rsidRDefault="003817F6" w:rsidP="0001783F">
            <w:pPr>
              <w:pStyle w:val="SingleTxtG"/>
              <w:spacing w:before="40" w:after="40" w:line="200" w:lineRule="atLeast"/>
              <w:ind w:left="0" w:right="17"/>
              <w:jc w:val="center"/>
              <w:rPr>
                <w:sz w:val="15"/>
                <w:szCs w:val="15"/>
              </w:rPr>
            </w:pPr>
            <w:r w:rsidRPr="008E23C1">
              <w:rPr>
                <w:sz w:val="15"/>
                <w:szCs w:val="15"/>
                <w:lang w:val="fr-FR"/>
              </w:rPr>
              <w:t>(2)</w:t>
            </w:r>
          </w:p>
        </w:tc>
        <w:tc>
          <w:tcPr>
            <w:tcW w:w="612" w:type="dxa"/>
            <w:tcBorders>
              <w:top w:val="single" w:sz="4" w:space="0" w:color="auto"/>
              <w:left w:val="single" w:sz="4" w:space="0" w:color="auto"/>
              <w:bottom w:val="single" w:sz="4" w:space="0" w:color="auto"/>
              <w:right w:val="single" w:sz="4" w:space="0" w:color="auto"/>
            </w:tcBorders>
            <w:hideMark/>
          </w:tcPr>
          <w:p w14:paraId="1E25A75E" w14:textId="77777777" w:rsidR="003817F6" w:rsidRPr="008E23C1" w:rsidRDefault="003817F6" w:rsidP="0001783F">
            <w:pPr>
              <w:pStyle w:val="SingleTxtG"/>
              <w:spacing w:before="40" w:after="40" w:line="200" w:lineRule="atLeast"/>
              <w:ind w:left="0" w:right="17"/>
              <w:jc w:val="center"/>
              <w:rPr>
                <w:sz w:val="15"/>
                <w:szCs w:val="15"/>
              </w:rPr>
            </w:pPr>
            <w:r w:rsidRPr="008E23C1">
              <w:rPr>
                <w:sz w:val="15"/>
                <w:szCs w:val="15"/>
                <w:lang w:val="fr-FR"/>
              </w:rPr>
              <w:t>(3)</w:t>
            </w:r>
          </w:p>
        </w:tc>
        <w:tc>
          <w:tcPr>
            <w:tcW w:w="784" w:type="dxa"/>
            <w:tcBorders>
              <w:top w:val="single" w:sz="4" w:space="0" w:color="auto"/>
              <w:left w:val="single" w:sz="4" w:space="0" w:color="auto"/>
              <w:bottom w:val="single" w:sz="4" w:space="0" w:color="auto"/>
              <w:right w:val="single" w:sz="4" w:space="0" w:color="auto"/>
            </w:tcBorders>
            <w:hideMark/>
          </w:tcPr>
          <w:p w14:paraId="25927D2B" w14:textId="77777777" w:rsidR="003817F6" w:rsidRPr="008E23C1" w:rsidRDefault="003817F6" w:rsidP="0001783F">
            <w:pPr>
              <w:pStyle w:val="SingleTxtG"/>
              <w:spacing w:before="40" w:after="40" w:line="200" w:lineRule="atLeast"/>
              <w:ind w:left="0" w:right="17"/>
              <w:jc w:val="center"/>
              <w:rPr>
                <w:sz w:val="15"/>
                <w:szCs w:val="15"/>
              </w:rPr>
            </w:pPr>
            <w:r w:rsidRPr="008E23C1">
              <w:rPr>
                <w:sz w:val="15"/>
                <w:szCs w:val="15"/>
                <w:lang w:val="fr-FR"/>
              </w:rPr>
              <w:t>(4)</w:t>
            </w:r>
          </w:p>
        </w:tc>
        <w:tc>
          <w:tcPr>
            <w:tcW w:w="798" w:type="dxa"/>
            <w:tcBorders>
              <w:top w:val="single" w:sz="4" w:space="0" w:color="auto"/>
              <w:left w:val="single" w:sz="4" w:space="0" w:color="auto"/>
              <w:bottom w:val="single" w:sz="4" w:space="0" w:color="auto"/>
              <w:right w:val="single" w:sz="4" w:space="0" w:color="auto"/>
            </w:tcBorders>
            <w:hideMark/>
          </w:tcPr>
          <w:p w14:paraId="7FD8A10D" w14:textId="77777777" w:rsidR="003817F6" w:rsidRPr="008E23C1" w:rsidRDefault="003817F6" w:rsidP="0001783F">
            <w:pPr>
              <w:pStyle w:val="SingleTxtG"/>
              <w:spacing w:before="40" w:after="40" w:line="200" w:lineRule="atLeast"/>
              <w:ind w:left="0" w:right="17"/>
              <w:jc w:val="center"/>
              <w:rPr>
                <w:sz w:val="15"/>
                <w:szCs w:val="15"/>
              </w:rPr>
            </w:pPr>
            <w:r w:rsidRPr="008E23C1">
              <w:rPr>
                <w:sz w:val="15"/>
                <w:szCs w:val="15"/>
                <w:lang w:val="fr-FR"/>
              </w:rPr>
              <w:t>(5)</w:t>
            </w:r>
          </w:p>
        </w:tc>
        <w:tc>
          <w:tcPr>
            <w:tcW w:w="882" w:type="dxa"/>
            <w:tcBorders>
              <w:top w:val="single" w:sz="4" w:space="0" w:color="auto"/>
              <w:left w:val="single" w:sz="4" w:space="0" w:color="auto"/>
              <w:bottom w:val="single" w:sz="4" w:space="0" w:color="auto"/>
              <w:right w:val="single" w:sz="4" w:space="0" w:color="auto"/>
            </w:tcBorders>
            <w:hideMark/>
          </w:tcPr>
          <w:p w14:paraId="34A76609" w14:textId="77777777" w:rsidR="003817F6" w:rsidRPr="008E23C1" w:rsidRDefault="003817F6" w:rsidP="0001783F">
            <w:pPr>
              <w:pStyle w:val="SingleTxtG"/>
              <w:spacing w:before="40" w:after="40" w:line="200" w:lineRule="atLeast"/>
              <w:ind w:left="0" w:right="17"/>
              <w:jc w:val="center"/>
              <w:rPr>
                <w:sz w:val="15"/>
                <w:szCs w:val="15"/>
              </w:rPr>
            </w:pPr>
            <w:r w:rsidRPr="008E23C1">
              <w:rPr>
                <w:sz w:val="15"/>
                <w:szCs w:val="15"/>
                <w:lang w:val="fr-FR"/>
              </w:rPr>
              <w:t>(6)</w:t>
            </w:r>
          </w:p>
        </w:tc>
        <w:tc>
          <w:tcPr>
            <w:tcW w:w="447" w:type="dxa"/>
            <w:tcBorders>
              <w:top w:val="single" w:sz="4" w:space="0" w:color="auto"/>
              <w:left w:val="single" w:sz="4" w:space="0" w:color="auto"/>
              <w:bottom w:val="single" w:sz="4" w:space="0" w:color="auto"/>
              <w:right w:val="single" w:sz="4" w:space="0" w:color="auto"/>
            </w:tcBorders>
            <w:hideMark/>
          </w:tcPr>
          <w:p w14:paraId="150239EB" w14:textId="77777777" w:rsidR="003817F6" w:rsidRPr="008E23C1" w:rsidRDefault="003817F6" w:rsidP="0001783F">
            <w:pPr>
              <w:pStyle w:val="SingleTxtG"/>
              <w:spacing w:before="40" w:after="40" w:line="200" w:lineRule="atLeast"/>
              <w:ind w:left="0" w:right="17"/>
              <w:jc w:val="center"/>
              <w:rPr>
                <w:sz w:val="15"/>
                <w:szCs w:val="15"/>
              </w:rPr>
            </w:pPr>
            <w:r w:rsidRPr="008E23C1">
              <w:rPr>
                <w:sz w:val="15"/>
                <w:szCs w:val="15"/>
                <w:lang w:val="fr-FR"/>
              </w:rPr>
              <w:t>(7a)</w:t>
            </w:r>
          </w:p>
        </w:tc>
        <w:tc>
          <w:tcPr>
            <w:tcW w:w="448" w:type="dxa"/>
            <w:tcBorders>
              <w:top w:val="single" w:sz="4" w:space="0" w:color="auto"/>
              <w:left w:val="single" w:sz="4" w:space="0" w:color="auto"/>
              <w:bottom w:val="single" w:sz="4" w:space="0" w:color="auto"/>
              <w:right w:val="single" w:sz="4" w:space="0" w:color="auto"/>
            </w:tcBorders>
            <w:hideMark/>
          </w:tcPr>
          <w:p w14:paraId="1174AD43" w14:textId="77777777" w:rsidR="003817F6" w:rsidRPr="008E23C1" w:rsidRDefault="003817F6" w:rsidP="0001783F">
            <w:pPr>
              <w:pStyle w:val="SingleTxtG"/>
              <w:spacing w:before="40" w:after="40" w:line="200" w:lineRule="atLeast"/>
              <w:ind w:left="0" w:right="17"/>
              <w:jc w:val="center"/>
              <w:rPr>
                <w:sz w:val="15"/>
                <w:szCs w:val="15"/>
              </w:rPr>
            </w:pPr>
            <w:r w:rsidRPr="008E23C1">
              <w:rPr>
                <w:sz w:val="15"/>
                <w:szCs w:val="15"/>
                <w:lang w:val="fr-FR"/>
              </w:rPr>
              <w:t>(7b)</w:t>
            </w:r>
          </w:p>
        </w:tc>
        <w:tc>
          <w:tcPr>
            <w:tcW w:w="1022" w:type="dxa"/>
            <w:tcBorders>
              <w:top w:val="single" w:sz="4" w:space="0" w:color="auto"/>
              <w:left w:val="single" w:sz="4" w:space="0" w:color="auto"/>
              <w:bottom w:val="single" w:sz="4" w:space="0" w:color="auto"/>
              <w:right w:val="single" w:sz="4" w:space="0" w:color="auto"/>
            </w:tcBorders>
            <w:hideMark/>
          </w:tcPr>
          <w:p w14:paraId="4427A25B" w14:textId="77777777" w:rsidR="003817F6" w:rsidRPr="008E23C1" w:rsidRDefault="003817F6" w:rsidP="0001783F">
            <w:pPr>
              <w:pStyle w:val="SingleTxtG"/>
              <w:spacing w:before="40" w:after="40" w:line="200" w:lineRule="atLeast"/>
              <w:ind w:left="0" w:right="17"/>
              <w:jc w:val="center"/>
              <w:rPr>
                <w:sz w:val="15"/>
                <w:szCs w:val="15"/>
              </w:rPr>
            </w:pPr>
            <w:r w:rsidRPr="008E23C1">
              <w:rPr>
                <w:sz w:val="15"/>
                <w:szCs w:val="15"/>
                <w:lang w:val="fr-FR"/>
              </w:rPr>
              <w:t>(8)</w:t>
            </w:r>
          </w:p>
        </w:tc>
        <w:tc>
          <w:tcPr>
            <w:tcW w:w="808" w:type="dxa"/>
            <w:tcBorders>
              <w:top w:val="single" w:sz="4" w:space="0" w:color="auto"/>
              <w:left w:val="single" w:sz="4" w:space="0" w:color="auto"/>
              <w:bottom w:val="single" w:sz="4" w:space="0" w:color="auto"/>
              <w:right w:val="single" w:sz="4" w:space="0" w:color="auto"/>
            </w:tcBorders>
            <w:hideMark/>
          </w:tcPr>
          <w:p w14:paraId="3F8C4DAF" w14:textId="77777777" w:rsidR="003817F6" w:rsidRPr="008E23C1" w:rsidRDefault="003817F6" w:rsidP="0001783F">
            <w:pPr>
              <w:pStyle w:val="SingleTxtG"/>
              <w:spacing w:before="40" w:after="40" w:line="200" w:lineRule="atLeast"/>
              <w:ind w:left="0" w:right="17"/>
              <w:jc w:val="center"/>
              <w:rPr>
                <w:sz w:val="15"/>
                <w:szCs w:val="15"/>
              </w:rPr>
            </w:pPr>
            <w:r w:rsidRPr="008E23C1">
              <w:rPr>
                <w:sz w:val="15"/>
                <w:szCs w:val="15"/>
                <w:lang w:val="fr-FR"/>
              </w:rPr>
              <w:t>(9)</w:t>
            </w:r>
          </w:p>
        </w:tc>
        <w:tc>
          <w:tcPr>
            <w:tcW w:w="918" w:type="dxa"/>
            <w:tcBorders>
              <w:top w:val="single" w:sz="4" w:space="0" w:color="auto"/>
              <w:left w:val="single" w:sz="4" w:space="0" w:color="auto"/>
              <w:bottom w:val="single" w:sz="4" w:space="0" w:color="auto"/>
              <w:right w:val="single" w:sz="4" w:space="0" w:color="auto"/>
            </w:tcBorders>
            <w:hideMark/>
          </w:tcPr>
          <w:p w14:paraId="048CF723" w14:textId="77777777" w:rsidR="003817F6" w:rsidRPr="008E23C1" w:rsidRDefault="003817F6" w:rsidP="0001783F">
            <w:pPr>
              <w:pStyle w:val="SingleTxtG"/>
              <w:spacing w:before="40" w:after="40" w:line="200" w:lineRule="atLeast"/>
              <w:ind w:left="0" w:right="17"/>
              <w:jc w:val="center"/>
              <w:rPr>
                <w:sz w:val="15"/>
                <w:szCs w:val="15"/>
              </w:rPr>
            </w:pPr>
            <w:r w:rsidRPr="008E23C1">
              <w:rPr>
                <w:sz w:val="15"/>
                <w:szCs w:val="15"/>
                <w:lang w:val="fr-FR"/>
              </w:rPr>
              <w:t>(10)</w:t>
            </w:r>
          </w:p>
        </w:tc>
        <w:tc>
          <w:tcPr>
            <w:tcW w:w="779" w:type="dxa"/>
            <w:tcBorders>
              <w:top w:val="single" w:sz="4" w:space="0" w:color="auto"/>
              <w:left w:val="single" w:sz="4" w:space="0" w:color="auto"/>
              <w:bottom w:val="single" w:sz="4" w:space="0" w:color="auto"/>
              <w:right w:val="single" w:sz="4" w:space="0" w:color="auto"/>
            </w:tcBorders>
            <w:hideMark/>
          </w:tcPr>
          <w:p w14:paraId="2EF1B4E9" w14:textId="77777777" w:rsidR="003817F6" w:rsidRPr="008E23C1" w:rsidRDefault="003817F6" w:rsidP="0001783F">
            <w:pPr>
              <w:pStyle w:val="SingleTxtG"/>
              <w:spacing w:before="40" w:after="40" w:line="200" w:lineRule="atLeast"/>
              <w:ind w:left="0" w:right="17"/>
              <w:jc w:val="center"/>
              <w:rPr>
                <w:sz w:val="15"/>
                <w:szCs w:val="15"/>
              </w:rPr>
            </w:pPr>
            <w:r w:rsidRPr="008E23C1">
              <w:rPr>
                <w:sz w:val="15"/>
                <w:szCs w:val="15"/>
                <w:lang w:val="fr-FR"/>
              </w:rPr>
              <w:t>(11)</w:t>
            </w:r>
          </w:p>
        </w:tc>
      </w:tr>
      <w:tr w:rsidR="008E23C1" w14:paraId="673E6ADC" w14:textId="77777777" w:rsidTr="0001783F">
        <w:trPr>
          <w:trHeight w:val="1055"/>
        </w:trPr>
        <w:tc>
          <w:tcPr>
            <w:tcW w:w="459" w:type="dxa"/>
            <w:tcBorders>
              <w:top w:val="single" w:sz="4" w:space="0" w:color="auto"/>
              <w:left w:val="single" w:sz="4" w:space="0" w:color="auto"/>
              <w:bottom w:val="single" w:sz="4" w:space="0" w:color="auto"/>
              <w:right w:val="single" w:sz="4" w:space="0" w:color="auto"/>
            </w:tcBorders>
            <w:hideMark/>
          </w:tcPr>
          <w:p w14:paraId="29565016" w14:textId="77777777" w:rsidR="003817F6" w:rsidRDefault="003817F6" w:rsidP="0001783F">
            <w:pPr>
              <w:pStyle w:val="SingleTxtG"/>
              <w:spacing w:before="40" w:after="40" w:line="220" w:lineRule="atLeast"/>
              <w:ind w:left="57" w:right="57"/>
              <w:jc w:val="left"/>
              <w:rPr>
                <w:b/>
                <w:bCs/>
                <w:sz w:val="16"/>
                <w:szCs w:val="16"/>
              </w:rPr>
            </w:pPr>
            <w:r>
              <w:rPr>
                <w:b/>
                <w:bCs/>
                <w:sz w:val="16"/>
                <w:szCs w:val="16"/>
                <w:lang w:val="fr-FR"/>
              </w:rPr>
              <w:t>3375</w:t>
            </w:r>
          </w:p>
        </w:tc>
        <w:tc>
          <w:tcPr>
            <w:tcW w:w="1682" w:type="dxa"/>
            <w:tcBorders>
              <w:top w:val="single" w:sz="4" w:space="0" w:color="auto"/>
              <w:left w:val="single" w:sz="4" w:space="0" w:color="auto"/>
              <w:bottom w:val="single" w:sz="4" w:space="0" w:color="auto"/>
              <w:right w:val="single" w:sz="4" w:space="0" w:color="auto"/>
            </w:tcBorders>
            <w:hideMark/>
          </w:tcPr>
          <w:p w14:paraId="6F4B2A71" w14:textId="77777777" w:rsidR="003817F6" w:rsidRDefault="003817F6" w:rsidP="0001783F">
            <w:pPr>
              <w:pStyle w:val="SingleTxtG"/>
              <w:spacing w:before="40" w:after="40" w:line="220" w:lineRule="atLeast"/>
              <w:ind w:left="57" w:right="57"/>
              <w:jc w:val="left"/>
              <w:rPr>
                <w:b/>
                <w:bCs/>
                <w:sz w:val="16"/>
                <w:szCs w:val="16"/>
                <w:lang w:val="fr-FR"/>
              </w:rPr>
            </w:pPr>
            <w:r>
              <w:rPr>
                <w:b/>
                <w:bCs/>
                <w:sz w:val="16"/>
                <w:szCs w:val="16"/>
                <w:lang w:val="fr-FR"/>
              </w:rPr>
              <w:t>NITRATE D’AMMONIUM EN ÉMULSION, SUSPENSION ou GEL, servant à la fabrication d’explosifs de mine</w:t>
            </w:r>
          </w:p>
        </w:tc>
        <w:tc>
          <w:tcPr>
            <w:tcW w:w="612" w:type="dxa"/>
            <w:tcBorders>
              <w:top w:val="single" w:sz="4" w:space="0" w:color="auto"/>
              <w:left w:val="single" w:sz="4" w:space="0" w:color="auto"/>
              <w:bottom w:val="single" w:sz="4" w:space="0" w:color="auto"/>
              <w:right w:val="single" w:sz="4" w:space="0" w:color="auto"/>
            </w:tcBorders>
            <w:hideMark/>
          </w:tcPr>
          <w:p w14:paraId="31A811B6" w14:textId="77777777" w:rsidR="003817F6" w:rsidRDefault="003817F6" w:rsidP="0001783F">
            <w:pPr>
              <w:pStyle w:val="SingleTxtG"/>
              <w:spacing w:before="40" w:after="40" w:line="220" w:lineRule="atLeast"/>
              <w:ind w:left="57" w:right="57"/>
              <w:jc w:val="center"/>
              <w:rPr>
                <w:b/>
                <w:bCs/>
                <w:sz w:val="16"/>
                <w:szCs w:val="16"/>
                <w:lang w:val="en-GB"/>
              </w:rPr>
            </w:pPr>
            <w:r>
              <w:rPr>
                <w:b/>
                <w:bCs/>
                <w:sz w:val="16"/>
                <w:szCs w:val="16"/>
                <w:lang w:val="fr-FR"/>
              </w:rPr>
              <w:t>5.1</w:t>
            </w:r>
          </w:p>
        </w:tc>
        <w:tc>
          <w:tcPr>
            <w:tcW w:w="784" w:type="dxa"/>
            <w:tcBorders>
              <w:top w:val="single" w:sz="4" w:space="0" w:color="auto"/>
              <w:left w:val="single" w:sz="4" w:space="0" w:color="auto"/>
              <w:bottom w:val="single" w:sz="4" w:space="0" w:color="auto"/>
              <w:right w:val="single" w:sz="4" w:space="0" w:color="auto"/>
            </w:tcBorders>
          </w:tcPr>
          <w:p w14:paraId="17BC32E2" w14:textId="77777777" w:rsidR="003817F6" w:rsidRDefault="003817F6" w:rsidP="0001783F">
            <w:pPr>
              <w:pStyle w:val="SingleTxtG"/>
              <w:spacing w:before="40" w:after="40" w:line="220" w:lineRule="atLeast"/>
              <w:ind w:left="57" w:right="57"/>
              <w:jc w:val="center"/>
              <w:rPr>
                <w:b/>
                <w:bCs/>
                <w:sz w:val="16"/>
                <w:szCs w:val="16"/>
              </w:rPr>
            </w:pPr>
          </w:p>
        </w:tc>
        <w:tc>
          <w:tcPr>
            <w:tcW w:w="798" w:type="dxa"/>
            <w:tcBorders>
              <w:top w:val="single" w:sz="4" w:space="0" w:color="auto"/>
              <w:left w:val="single" w:sz="4" w:space="0" w:color="auto"/>
              <w:bottom w:val="single" w:sz="4" w:space="0" w:color="auto"/>
              <w:right w:val="single" w:sz="4" w:space="0" w:color="auto"/>
            </w:tcBorders>
            <w:hideMark/>
          </w:tcPr>
          <w:p w14:paraId="29F8D1AF" w14:textId="77777777" w:rsidR="003817F6" w:rsidRDefault="003817F6" w:rsidP="0001783F">
            <w:pPr>
              <w:pStyle w:val="SingleTxtG"/>
              <w:spacing w:before="40" w:after="40" w:line="220" w:lineRule="atLeast"/>
              <w:ind w:left="57" w:right="57"/>
              <w:jc w:val="center"/>
              <w:rPr>
                <w:b/>
                <w:bCs/>
                <w:sz w:val="16"/>
                <w:szCs w:val="16"/>
              </w:rPr>
            </w:pPr>
            <w:r>
              <w:rPr>
                <w:b/>
                <w:bCs/>
                <w:sz w:val="16"/>
                <w:szCs w:val="16"/>
                <w:lang w:val="fr-FR"/>
              </w:rPr>
              <w:t>I</w:t>
            </w:r>
          </w:p>
        </w:tc>
        <w:tc>
          <w:tcPr>
            <w:tcW w:w="882" w:type="dxa"/>
            <w:tcBorders>
              <w:top w:val="single" w:sz="4" w:space="0" w:color="auto"/>
              <w:left w:val="single" w:sz="4" w:space="0" w:color="auto"/>
              <w:bottom w:val="single" w:sz="4" w:space="0" w:color="auto"/>
              <w:right w:val="single" w:sz="4" w:space="0" w:color="auto"/>
            </w:tcBorders>
            <w:hideMark/>
          </w:tcPr>
          <w:p w14:paraId="4990E849" w14:textId="77777777" w:rsidR="003817F6" w:rsidRDefault="003817F6" w:rsidP="0001783F">
            <w:pPr>
              <w:pStyle w:val="SingleTxtG"/>
              <w:spacing w:before="40" w:after="40" w:line="220" w:lineRule="atLeast"/>
              <w:ind w:left="57" w:right="57"/>
              <w:jc w:val="center"/>
              <w:rPr>
                <w:b/>
                <w:bCs/>
                <w:sz w:val="16"/>
                <w:szCs w:val="16"/>
              </w:rPr>
            </w:pPr>
            <w:r>
              <w:rPr>
                <w:b/>
                <w:bCs/>
                <w:sz w:val="16"/>
                <w:szCs w:val="16"/>
                <w:lang w:val="fr-FR"/>
              </w:rPr>
              <w:t xml:space="preserve">309 </w:t>
            </w:r>
            <w:r>
              <w:rPr>
                <w:b/>
                <w:bCs/>
                <w:sz w:val="16"/>
                <w:szCs w:val="16"/>
                <w:lang w:val="fr-FR"/>
              </w:rPr>
              <w:br/>
              <w:t>3XX</w:t>
            </w:r>
          </w:p>
        </w:tc>
        <w:tc>
          <w:tcPr>
            <w:tcW w:w="447" w:type="dxa"/>
            <w:tcBorders>
              <w:top w:val="single" w:sz="4" w:space="0" w:color="auto"/>
              <w:left w:val="single" w:sz="4" w:space="0" w:color="auto"/>
              <w:bottom w:val="single" w:sz="4" w:space="0" w:color="auto"/>
              <w:right w:val="single" w:sz="4" w:space="0" w:color="auto"/>
            </w:tcBorders>
            <w:hideMark/>
          </w:tcPr>
          <w:p w14:paraId="572C1DD2" w14:textId="77777777" w:rsidR="003817F6" w:rsidRDefault="003817F6" w:rsidP="0001783F">
            <w:pPr>
              <w:pStyle w:val="SingleTxtG"/>
              <w:spacing w:before="40" w:after="40" w:line="220" w:lineRule="atLeast"/>
              <w:ind w:left="57" w:right="57"/>
              <w:jc w:val="center"/>
              <w:rPr>
                <w:b/>
                <w:bCs/>
                <w:sz w:val="16"/>
                <w:szCs w:val="16"/>
              </w:rPr>
            </w:pPr>
            <w:r>
              <w:rPr>
                <w:b/>
                <w:bCs/>
                <w:sz w:val="16"/>
                <w:szCs w:val="16"/>
                <w:lang w:val="fr-FR"/>
              </w:rPr>
              <w:t>0</w:t>
            </w:r>
          </w:p>
        </w:tc>
        <w:tc>
          <w:tcPr>
            <w:tcW w:w="448" w:type="dxa"/>
            <w:tcBorders>
              <w:top w:val="single" w:sz="4" w:space="0" w:color="auto"/>
              <w:left w:val="single" w:sz="4" w:space="0" w:color="auto"/>
              <w:bottom w:val="single" w:sz="4" w:space="0" w:color="auto"/>
              <w:right w:val="single" w:sz="4" w:space="0" w:color="auto"/>
            </w:tcBorders>
            <w:hideMark/>
          </w:tcPr>
          <w:p w14:paraId="5280F14E" w14:textId="77777777" w:rsidR="003817F6" w:rsidRDefault="003817F6" w:rsidP="0001783F">
            <w:pPr>
              <w:pStyle w:val="SingleTxtG"/>
              <w:spacing w:before="40" w:after="40" w:line="220" w:lineRule="atLeast"/>
              <w:ind w:left="57" w:right="57"/>
              <w:jc w:val="center"/>
              <w:rPr>
                <w:b/>
                <w:bCs/>
                <w:sz w:val="16"/>
                <w:szCs w:val="16"/>
              </w:rPr>
            </w:pPr>
            <w:r>
              <w:rPr>
                <w:b/>
                <w:bCs/>
                <w:sz w:val="16"/>
                <w:szCs w:val="16"/>
                <w:lang w:val="fr-FR"/>
              </w:rPr>
              <w:t>E2</w:t>
            </w:r>
          </w:p>
        </w:tc>
        <w:tc>
          <w:tcPr>
            <w:tcW w:w="1022" w:type="dxa"/>
            <w:tcBorders>
              <w:top w:val="single" w:sz="4" w:space="0" w:color="auto"/>
              <w:left w:val="single" w:sz="4" w:space="0" w:color="auto"/>
              <w:bottom w:val="single" w:sz="4" w:space="0" w:color="auto"/>
              <w:right w:val="single" w:sz="4" w:space="0" w:color="auto"/>
            </w:tcBorders>
            <w:hideMark/>
          </w:tcPr>
          <w:p w14:paraId="37B62C61" w14:textId="77777777" w:rsidR="003817F6" w:rsidRDefault="003817F6" w:rsidP="0001783F">
            <w:pPr>
              <w:pStyle w:val="SingleTxtG"/>
              <w:spacing w:before="40" w:after="40" w:line="220" w:lineRule="atLeast"/>
              <w:ind w:left="57" w:right="57"/>
              <w:jc w:val="center"/>
              <w:rPr>
                <w:b/>
                <w:bCs/>
                <w:sz w:val="16"/>
                <w:szCs w:val="16"/>
              </w:rPr>
            </w:pPr>
            <w:r>
              <w:rPr>
                <w:b/>
                <w:bCs/>
                <w:sz w:val="16"/>
                <w:szCs w:val="16"/>
                <w:lang w:val="fr-FR"/>
              </w:rPr>
              <w:t xml:space="preserve">P505 </w:t>
            </w:r>
            <w:r>
              <w:rPr>
                <w:b/>
                <w:bCs/>
                <w:sz w:val="16"/>
                <w:szCs w:val="16"/>
                <w:lang w:val="fr-FR"/>
              </w:rPr>
              <w:br/>
              <w:t>IBC02</w:t>
            </w:r>
          </w:p>
        </w:tc>
        <w:tc>
          <w:tcPr>
            <w:tcW w:w="808" w:type="dxa"/>
            <w:tcBorders>
              <w:top w:val="single" w:sz="4" w:space="0" w:color="auto"/>
              <w:left w:val="single" w:sz="4" w:space="0" w:color="auto"/>
              <w:bottom w:val="single" w:sz="4" w:space="0" w:color="auto"/>
              <w:right w:val="single" w:sz="4" w:space="0" w:color="auto"/>
            </w:tcBorders>
            <w:hideMark/>
          </w:tcPr>
          <w:p w14:paraId="62D1666B" w14:textId="1005A543" w:rsidR="003817F6" w:rsidRDefault="0001783F" w:rsidP="0001783F">
            <w:pPr>
              <w:pStyle w:val="SingleTxtG"/>
              <w:tabs>
                <w:tab w:val="left" w:pos="270"/>
                <w:tab w:val="center" w:pos="481"/>
              </w:tabs>
              <w:spacing w:before="40" w:after="40" w:line="220" w:lineRule="atLeast"/>
              <w:ind w:left="57" w:right="57"/>
              <w:jc w:val="center"/>
              <w:rPr>
                <w:b/>
                <w:bCs/>
                <w:sz w:val="16"/>
                <w:szCs w:val="16"/>
              </w:rPr>
            </w:pPr>
            <w:r>
              <w:rPr>
                <w:b/>
                <w:bCs/>
                <w:sz w:val="16"/>
                <w:szCs w:val="16"/>
                <w:lang w:val="fr-FR"/>
              </w:rPr>
              <w:br/>
            </w:r>
            <w:r w:rsidR="003817F6">
              <w:rPr>
                <w:b/>
                <w:bCs/>
                <w:sz w:val="16"/>
                <w:szCs w:val="16"/>
                <w:lang w:val="fr-FR"/>
              </w:rPr>
              <w:t>B16</w:t>
            </w:r>
          </w:p>
        </w:tc>
        <w:tc>
          <w:tcPr>
            <w:tcW w:w="918" w:type="dxa"/>
            <w:tcBorders>
              <w:top w:val="single" w:sz="4" w:space="0" w:color="auto"/>
              <w:left w:val="single" w:sz="4" w:space="0" w:color="auto"/>
              <w:bottom w:val="single" w:sz="4" w:space="0" w:color="auto"/>
              <w:right w:val="single" w:sz="4" w:space="0" w:color="auto"/>
            </w:tcBorders>
            <w:hideMark/>
          </w:tcPr>
          <w:p w14:paraId="16530744" w14:textId="77777777" w:rsidR="003817F6" w:rsidRDefault="003817F6" w:rsidP="0001783F">
            <w:pPr>
              <w:pStyle w:val="SingleTxtG"/>
              <w:spacing w:before="40" w:after="40" w:line="220" w:lineRule="atLeast"/>
              <w:ind w:left="57" w:right="57"/>
              <w:jc w:val="center"/>
              <w:rPr>
                <w:b/>
                <w:bCs/>
                <w:sz w:val="16"/>
                <w:szCs w:val="16"/>
              </w:rPr>
            </w:pPr>
            <w:r>
              <w:rPr>
                <w:b/>
                <w:bCs/>
                <w:sz w:val="16"/>
                <w:szCs w:val="16"/>
                <w:lang w:val="fr-FR"/>
              </w:rPr>
              <w:t>T1</w:t>
            </w:r>
          </w:p>
        </w:tc>
        <w:tc>
          <w:tcPr>
            <w:tcW w:w="779" w:type="dxa"/>
            <w:tcBorders>
              <w:top w:val="single" w:sz="4" w:space="0" w:color="auto"/>
              <w:left w:val="single" w:sz="4" w:space="0" w:color="auto"/>
              <w:bottom w:val="single" w:sz="4" w:space="0" w:color="auto"/>
              <w:right w:val="single" w:sz="4" w:space="0" w:color="auto"/>
            </w:tcBorders>
            <w:hideMark/>
          </w:tcPr>
          <w:p w14:paraId="0A4A80DE" w14:textId="77777777" w:rsidR="003817F6" w:rsidRDefault="003817F6" w:rsidP="0001783F">
            <w:pPr>
              <w:pStyle w:val="SingleTxtG"/>
              <w:spacing w:before="40" w:after="40" w:line="220" w:lineRule="atLeast"/>
              <w:ind w:left="57" w:right="57"/>
              <w:jc w:val="center"/>
              <w:rPr>
                <w:b/>
                <w:bCs/>
                <w:sz w:val="16"/>
                <w:szCs w:val="16"/>
              </w:rPr>
            </w:pPr>
            <w:r>
              <w:rPr>
                <w:b/>
                <w:bCs/>
                <w:sz w:val="16"/>
                <w:szCs w:val="16"/>
                <w:lang w:val="fr-FR"/>
              </w:rPr>
              <w:t xml:space="preserve">TP1 </w:t>
            </w:r>
            <w:r>
              <w:rPr>
                <w:b/>
                <w:bCs/>
                <w:sz w:val="16"/>
                <w:szCs w:val="16"/>
                <w:lang w:val="fr-FR"/>
              </w:rPr>
              <w:br/>
              <w:t xml:space="preserve">TP9 </w:t>
            </w:r>
            <w:r>
              <w:rPr>
                <w:b/>
                <w:bCs/>
                <w:sz w:val="16"/>
                <w:szCs w:val="16"/>
                <w:lang w:val="fr-FR"/>
              </w:rPr>
              <w:br/>
              <w:t xml:space="preserve">TP17 </w:t>
            </w:r>
            <w:r>
              <w:rPr>
                <w:b/>
                <w:bCs/>
                <w:sz w:val="16"/>
                <w:szCs w:val="16"/>
                <w:lang w:val="fr-FR"/>
              </w:rPr>
              <w:br/>
              <w:t>TP32</w:t>
            </w:r>
          </w:p>
        </w:tc>
      </w:tr>
      <w:tr w:rsidR="008E23C1" w14:paraId="4E7B86EE" w14:textId="77777777" w:rsidTr="0001783F">
        <w:tc>
          <w:tcPr>
            <w:tcW w:w="459" w:type="dxa"/>
            <w:tcBorders>
              <w:top w:val="single" w:sz="4" w:space="0" w:color="auto"/>
              <w:left w:val="single" w:sz="4" w:space="0" w:color="auto"/>
              <w:bottom w:val="single" w:sz="4" w:space="0" w:color="auto"/>
              <w:right w:val="single" w:sz="4" w:space="0" w:color="auto"/>
            </w:tcBorders>
            <w:hideMark/>
          </w:tcPr>
          <w:p w14:paraId="60966C30" w14:textId="77777777" w:rsidR="003817F6" w:rsidRDefault="003817F6" w:rsidP="0001783F">
            <w:pPr>
              <w:pStyle w:val="SingleTxtG"/>
              <w:spacing w:before="40" w:after="40" w:line="220" w:lineRule="atLeast"/>
              <w:ind w:left="57" w:right="57"/>
              <w:jc w:val="left"/>
              <w:rPr>
                <w:sz w:val="16"/>
                <w:szCs w:val="16"/>
              </w:rPr>
            </w:pPr>
            <w:r>
              <w:rPr>
                <w:sz w:val="16"/>
                <w:szCs w:val="16"/>
                <w:lang w:val="fr-FR"/>
              </w:rPr>
              <w:t>3375</w:t>
            </w:r>
          </w:p>
        </w:tc>
        <w:tc>
          <w:tcPr>
            <w:tcW w:w="1682" w:type="dxa"/>
            <w:tcBorders>
              <w:top w:val="single" w:sz="4" w:space="0" w:color="auto"/>
              <w:left w:val="single" w:sz="4" w:space="0" w:color="auto"/>
              <w:bottom w:val="single" w:sz="4" w:space="0" w:color="auto"/>
              <w:right w:val="single" w:sz="4" w:space="0" w:color="auto"/>
            </w:tcBorders>
            <w:hideMark/>
          </w:tcPr>
          <w:p w14:paraId="05C1475B" w14:textId="77777777" w:rsidR="003817F6" w:rsidRDefault="003817F6" w:rsidP="0001783F">
            <w:pPr>
              <w:pStyle w:val="SingleTxtG"/>
              <w:spacing w:before="40" w:after="40" w:line="220" w:lineRule="atLeast"/>
              <w:ind w:left="57" w:right="57"/>
              <w:jc w:val="left"/>
              <w:rPr>
                <w:snapToGrid w:val="0"/>
                <w:sz w:val="16"/>
                <w:szCs w:val="16"/>
                <w:lang w:val="fr-FR"/>
              </w:rPr>
            </w:pPr>
            <w:r>
              <w:rPr>
                <w:sz w:val="16"/>
                <w:szCs w:val="16"/>
                <w:lang w:val="fr-FR"/>
              </w:rPr>
              <w:t>NITRATE D’AMMONIUM EN ÉMULSION, SUSPENSION ou GEL, servant à la fabrication d’explosifs de mine</w:t>
            </w:r>
          </w:p>
        </w:tc>
        <w:tc>
          <w:tcPr>
            <w:tcW w:w="612" w:type="dxa"/>
            <w:tcBorders>
              <w:top w:val="single" w:sz="4" w:space="0" w:color="auto"/>
              <w:left w:val="single" w:sz="4" w:space="0" w:color="auto"/>
              <w:bottom w:val="single" w:sz="4" w:space="0" w:color="auto"/>
              <w:right w:val="single" w:sz="4" w:space="0" w:color="auto"/>
            </w:tcBorders>
            <w:hideMark/>
          </w:tcPr>
          <w:p w14:paraId="62DB2055" w14:textId="77777777" w:rsidR="003817F6" w:rsidRDefault="003817F6" w:rsidP="0001783F">
            <w:pPr>
              <w:pStyle w:val="SingleTxtG"/>
              <w:spacing w:before="40" w:after="40" w:line="220" w:lineRule="atLeast"/>
              <w:ind w:left="57" w:right="57"/>
              <w:jc w:val="center"/>
              <w:rPr>
                <w:sz w:val="16"/>
                <w:szCs w:val="16"/>
                <w:lang w:val="en-GB"/>
              </w:rPr>
            </w:pPr>
            <w:r>
              <w:rPr>
                <w:sz w:val="16"/>
                <w:szCs w:val="16"/>
                <w:lang w:val="fr-FR"/>
              </w:rPr>
              <w:t>5.1</w:t>
            </w:r>
          </w:p>
        </w:tc>
        <w:tc>
          <w:tcPr>
            <w:tcW w:w="784" w:type="dxa"/>
            <w:tcBorders>
              <w:top w:val="single" w:sz="4" w:space="0" w:color="auto"/>
              <w:left w:val="single" w:sz="4" w:space="0" w:color="auto"/>
              <w:bottom w:val="single" w:sz="4" w:space="0" w:color="auto"/>
              <w:right w:val="single" w:sz="4" w:space="0" w:color="auto"/>
            </w:tcBorders>
          </w:tcPr>
          <w:p w14:paraId="0B745884" w14:textId="77777777" w:rsidR="003817F6" w:rsidRDefault="003817F6" w:rsidP="0001783F">
            <w:pPr>
              <w:pStyle w:val="SingleTxtG"/>
              <w:spacing w:before="40" w:after="40" w:line="220" w:lineRule="atLeast"/>
              <w:ind w:left="57" w:right="57"/>
              <w:jc w:val="center"/>
              <w:rPr>
                <w:sz w:val="16"/>
                <w:szCs w:val="16"/>
              </w:rPr>
            </w:pPr>
          </w:p>
        </w:tc>
        <w:tc>
          <w:tcPr>
            <w:tcW w:w="798" w:type="dxa"/>
            <w:tcBorders>
              <w:top w:val="single" w:sz="4" w:space="0" w:color="auto"/>
              <w:left w:val="single" w:sz="4" w:space="0" w:color="auto"/>
              <w:bottom w:val="single" w:sz="4" w:space="0" w:color="auto"/>
              <w:right w:val="single" w:sz="4" w:space="0" w:color="auto"/>
            </w:tcBorders>
            <w:hideMark/>
          </w:tcPr>
          <w:p w14:paraId="09746831" w14:textId="77777777" w:rsidR="003817F6" w:rsidRDefault="003817F6" w:rsidP="0001783F">
            <w:pPr>
              <w:pStyle w:val="SingleTxtG"/>
              <w:spacing w:before="40" w:after="40" w:line="220" w:lineRule="atLeast"/>
              <w:ind w:left="57" w:right="57"/>
              <w:jc w:val="center"/>
              <w:rPr>
                <w:sz w:val="16"/>
                <w:szCs w:val="16"/>
              </w:rPr>
            </w:pPr>
            <w:r>
              <w:rPr>
                <w:sz w:val="16"/>
                <w:szCs w:val="16"/>
                <w:lang w:val="fr-FR"/>
              </w:rPr>
              <w:t>II</w:t>
            </w:r>
          </w:p>
        </w:tc>
        <w:tc>
          <w:tcPr>
            <w:tcW w:w="882" w:type="dxa"/>
            <w:tcBorders>
              <w:top w:val="single" w:sz="4" w:space="0" w:color="auto"/>
              <w:left w:val="single" w:sz="4" w:space="0" w:color="auto"/>
              <w:bottom w:val="single" w:sz="4" w:space="0" w:color="auto"/>
              <w:right w:val="single" w:sz="4" w:space="0" w:color="auto"/>
            </w:tcBorders>
            <w:hideMark/>
          </w:tcPr>
          <w:p w14:paraId="51CDE808" w14:textId="77777777" w:rsidR="003817F6" w:rsidRDefault="003817F6" w:rsidP="0001783F">
            <w:pPr>
              <w:pStyle w:val="SingleTxtG"/>
              <w:spacing w:before="40" w:after="40" w:line="220" w:lineRule="atLeast"/>
              <w:ind w:left="57" w:right="57"/>
              <w:jc w:val="center"/>
              <w:rPr>
                <w:b/>
                <w:bCs/>
                <w:sz w:val="16"/>
                <w:szCs w:val="16"/>
              </w:rPr>
            </w:pPr>
            <w:r>
              <w:rPr>
                <w:sz w:val="16"/>
                <w:szCs w:val="16"/>
                <w:lang w:val="fr-FR"/>
              </w:rPr>
              <w:t xml:space="preserve">309 </w:t>
            </w:r>
            <w:r>
              <w:rPr>
                <w:sz w:val="16"/>
                <w:szCs w:val="16"/>
                <w:lang w:val="fr-FR"/>
              </w:rPr>
              <w:br/>
            </w:r>
            <w:r>
              <w:rPr>
                <w:b/>
                <w:bCs/>
                <w:sz w:val="16"/>
                <w:szCs w:val="16"/>
                <w:lang w:val="fr-FR"/>
              </w:rPr>
              <w:t>3XX</w:t>
            </w:r>
          </w:p>
        </w:tc>
        <w:tc>
          <w:tcPr>
            <w:tcW w:w="447" w:type="dxa"/>
            <w:tcBorders>
              <w:top w:val="single" w:sz="4" w:space="0" w:color="auto"/>
              <w:left w:val="single" w:sz="4" w:space="0" w:color="auto"/>
              <w:bottom w:val="single" w:sz="4" w:space="0" w:color="auto"/>
              <w:right w:val="single" w:sz="4" w:space="0" w:color="auto"/>
            </w:tcBorders>
            <w:hideMark/>
          </w:tcPr>
          <w:p w14:paraId="634B58A4" w14:textId="77777777" w:rsidR="003817F6" w:rsidRDefault="003817F6" w:rsidP="0001783F">
            <w:pPr>
              <w:pStyle w:val="SingleTxtG"/>
              <w:spacing w:before="40" w:after="40" w:line="220" w:lineRule="atLeast"/>
              <w:ind w:left="57" w:right="57"/>
              <w:jc w:val="center"/>
              <w:rPr>
                <w:sz w:val="16"/>
                <w:szCs w:val="16"/>
              </w:rPr>
            </w:pPr>
            <w:r>
              <w:rPr>
                <w:sz w:val="16"/>
                <w:szCs w:val="16"/>
                <w:lang w:val="fr-FR"/>
              </w:rPr>
              <w:t>0</w:t>
            </w:r>
          </w:p>
        </w:tc>
        <w:tc>
          <w:tcPr>
            <w:tcW w:w="448" w:type="dxa"/>
            <w:tcBorders>
              <w:top w:val="single" w:sz="4" w:space="0" w:color="auto"/>
              <w:left w:val="single" w:sz="4" w:space="0" w:color="auto"/>
              <w:bottom w:val="single" w:sz="4" w:space="0" w:color="auto"/>
              <w:right w:val="single" w:sz="4" w:space="0" w:color="auto"/>
            </w:tcBorders>
            <w:hideMark/>
          </w:tcPr>
          <w:p w14:paraId="5C946E55" w14:textId="77777777" w:rsidR="003817F6" w:rsidRDefault="003817F6" w:rsidP="0001783F">
            <w:pPr>
              <w:pStyle w:val="SingleTxtG"/>
              <w:spacing w:before="40" w:after="40" w:line="220" w:lineRule="atLeast"/>
              <w:ind w:left="57" w:right="57"/>
              <w:jc w:val="center"/>
              <w:rPr>
                <w:sz w:val="16"/>
                <w:szCs w:val="16"/>
              </w:rPr>
            </w:pPr>
            <w:r>
              <w:rPr>
                <w:sz w:val="16"/>
                <w:szCs w:val="16"/>
                <w:lang w:val="fr-FR"/>
              </w:rPr>
              <w:t>E2</w:t>
            </w:r>
          </w:p>
        </w:tc>
        <w:tc>
          <w:tcPr>
            <w:tcW w:w="1022" w:type="dxa"/>
            <w:tcBorders>
              <w:top w:val="single" w:sz="4" w:space="0" w:color="auto"/>
              <w:left w:val="single" w:sz="4" w:space="0" w:color="auto"/>
              <w:bottom w:val="single" w:sz="4" w:space="0" w:color="auto"/>
              <w:right w:val="single" w:sz="4" w:space="0" w:color="auto"/>
            </w:tcBorders>
            <w:hideMark/>
          </w:tcPr>
          <w:p w14:paraId="45599C27" w14:textId="77777777" w:rsidR="003817F6" w:rsidRDefault="003817F6" w:rsidP="0001783F">
            <w:pPr>
              <w:pStyle w:val="SingleTxtG"/>
              <w:spacing w:before="40" w:after="40" w:line="220" w:lineRule="atLeast"/>
              <w:ind w:left="57" w:right="57"/>
              <w:jc w:val="center"/>
              <w:rPr>
                <w:sz w:val="16"/>
                <w:szCs w:val="16"/>
              </w:rPr>
            </w:pPr>
            <w:r>
              <w:rPr>
                <w:sz w:val="16"/>
                <w:szCs w:val="16"/>
                <w:lang w:val="fr-FR"/>
              </w:rPr>
              <w:t xml:space="preserve">P505 </w:t>
            </w:r>
            <w:r>
              <w:rPr>
                <w:sz w:val="16"/>
                <w:szCs w:val="16"/>
                <w:lang w:val="fr-FR"/>
              </w:rPr>
              <w:br/>
              <w:t>IBC02</w:t>
            </w:r>
          </w:p>
        </w:tc>
        <w:tc>
          <w:tcPr>
            <w:tcW w:w="808" w:type="dxa"/>
            <w:tcBorders>
              <w:top w:val="single" w:sz="4" w:space="0" w:color="auto"/>
              <w:left w:val="single" w:sz="4" w:space="0" w:color="auto"/>
              <w:bottom w:val="single" w:sz="4" w:space="0" w:color="auto"/>
              <w:right w:val="single" w:sz="4" w:space="0" w:color="auto"/>
            </w:tcBorders>
            <w:hideMark/>
          </w:tcPr>
          <w:p w14:paraId="19C865E1" w14:textId="2F123EB3" w:rsidR="003817F6" w:rsidRDefault="0001783F" w:rsidP="0001783F">
            <w:pPr>
              <w:pStyle w:val="SingleTxtG"/>
              <w:tabs>
                <w:tab w:val="left" w:pos="270"/>
                <w:tab w:val="center" w:pos="481"/>
              </w:tabs>
              <w:spacing w:before="40" w:after="40" w:line="220" w:lineRule="atLeast"/>
              <w:ind w:left="57" w:right="57"/>
              <w:jc w:val="center"/>
              <w:rPr>
                <w:sz w:val="16"/>
                <w:szCs w:val="16"/>
              </w:rPr>
            </w:pPr>
            <w:r>
              <w:rPr>
                <w:sz w:val="16"/>
                <w:szCs w:val="16"/>
                <w:lang w:val="fr-FR"/>
              </w:rPr>
              <w:br/>
            </w:r>
            <w:r w:rsidR="003817F6">
              <w:rPr>
                <w:sz w:val="16"/>
                <w:szCs w:val="16"/>
                <w:lang w:val="fr-FR"/>
              </w:rPr>
              <w:t>B16</w:t>
            </w:r>
          </w:p>
        </w:tc>
        <w:tc>
          <w:tcPr>
            <w:tcW w:w="918" w:type="dxa"/>
            <w:tcBorders>
              <w:top w:val="single" w:sz="4" w:space="0" w:color="auto"/>
              <w:left w:val="single" w:sz="4" w:space="0" w:color="auto"/>
              <w:bottom w:val="single" w:sz="4" w:space="0" w:color="auto"/>
              <w:right w:val="single" w:sz="4" w:space="0" w:color="auto"/>
            </w:tcBorders>
            <w:hideMark/>
          </w:tcPr>
          <w:p w14:paraId="37F916D2" w14:textId="77777777" w:rsidR="003817F6" w:rsidRDefault="003817F6" w:rsidP="0001783F">
            <w:pPr>
              <w:pStyle w:val="SingleTxtG"/>
              <w:spacing w:before="40" w:after="40" w:line="220" w:lineRule="atLeast"/>
              <w:ind w:left="57" w:right="57"/>
              <w:jc w:val="center"/>
              <w:rPr>
                <w:sz w:val="16"/>
                <w:szCs w:val="16"/>
              </w:rPr>
            </w:pPr>
            <w:r>
              <w:rPr>
                <w:sz w:val="16"/>
                <w:szCs w:val="16"/>
                <w:lang w:val="fr-FR"/>
              </w:rPr>
              <w:t>T1</w:t>
            </w:r>
          </w:p>
        </w:tc>
        <w:tc>
          <w:tcPr>
            <w:tcW w:w="779" w:type="dxa"/>
            <w:tcBorders>
              <w:top w:val="single" w:sz="4" w:space="0" w:color="auto"/>
              <w:left w:val="single" w:sz="4" w:space="0" w:color="auto"/>
              <w:bottom w:val="single" w:sz="4" w:space="0" w:color="auto"/>
              <w:right w:val="single" w:sz="4" w:space="0" w:color="auto"/>
            </w:tcBorders>
            <w:hideMark/>
          </w:tcPr>
          <w:p w14:paraId="69ED44F6" w14:textId="77777777" w:rsidR="003817F6" w:rsidRDefault="003817F6" w:rsidP="0001783F">
            <w:pPr>
              <w:pStyle w:val="SingleTxtG"/>
              <w:spacing w:before="40" w:after="40" w:line="220" w:lineRule="atLeast"/>
              <w:ind w:left="57" w:right="57"/>
              <w:jc w:val="center"/>
              <w:rPr>
                <w:sz w:val="16"/>
                <w:szCs w:val="16"/>
              </w:rPr>
            </w:pPr>
            <w:r>
              <w:rPr>
                <w:sz w:val="16"/>
                <w:szCs w:val="16"/>
                <w:lang w:val="fr-FR"/>
              </w:rPr>
              <w:t xml:space="preserve">TP1 </w:t>
            </w:r>
            <w:r>
              <w:rPr>
                <w:sz w:val="16"/>
                <w:szCs w:val="16"/>
                <w:lang w:val="fr-FR"/>
              </w:rPr>
              <w:br/>
              <w:t xml:space="preserve">TP9 </w:t>
            </w:r>
            <w:r>
              <w:rPr>
                <w:sz w:val="16"/>
                <w:szCs w:val="16"/>
                <w:lang w:val="fr-FR"/>
              </w:rPr>
              <w:br/>
              <w:t xml:space="preserve">TP17 </w:t>
            </w:r>
            <w:r>
              <w:rPr>
                <w:sz w:val="16"/>
                <w:szCs w:val="16"/>
                <w:lang w:val="fr-FR"/>
              </w:rPr>
              <w:br/>
              <w:t>TP32</w:t>
            </w:r>
          </w:p>
        </w:tc>
      </w:tr>
      <w:tr w:rsidR="008E23C1" w14:paraId="3B645501" w14:textId="77777777" w:rsidTr="0001783F">
        <w:tc>
          <w:tcPr>
            <w:tcW w:w="459" w:type="dxa"/>
            <w:tcBorders>
              <w:top w:val="single" w:sz="4" w:space="0" w:color="auto"/>
              <w:left w:val="single" w:sz="4" w:space="0" w:color="auto"/>
              <w:bottom w:val="single" w:sz="4" w:space="0" w:color="auto"/>
              <w:right w:val="single" w:sz="4" w:space="0" w:color="auto"/>
            </w:tcBorders>
            <w:hideMark/>
          </w:tcPr>
          <w:p w14:paraId="73F43213" w14:textId="77777777" w:rsidR="003817F6" w:rsidRDefault="003817F6" w:rsidP="0001783F">
            <w:pPr>
              <w:pStyle w:val="SingleTxtG"/>
              <w:spacing w:before="40" w:after="40" w:line="220" w:lineRule="atLeast"/>
              <w:ind w:left="57" w:right="57"/>
              <w:jc w:val="left"/>
              <w:rPr>
                <w:b/>
                <w:bCs/>
                <w:sz w:val="16"/>
                <w:szCs w:val="16"/>
              </w:rPr>
            </w:pPr>
            <w:r>
              <w:rPr>
                <w:b/>
                <w:bCs/>
                <w:sz w:val="16"/>
                <w:szCs w:val="16"/>
                <w:lang w:val="fr-FR"/>
              </w:rPr>
              <w:t>3375</w:t>
            </w:r>
          </w:p>
        </w:tc>
        <w:tc>
          <w:tcPr>
            <w:tcW w:w="1682" w:type="dxa"/>
            <w:tcBorders>
              <w:top w:val="single" w:sz="4" w:space="0" w:color="auto"/>
              <w:left w:val="single" w:sz="4" w:space="0" w:color="auto"/>
              <w:bottom w:val="single" w:sz="4" w:space="0" w:color="auto"/>
              <w:right w:val="single" w:sz="4" w:space="0" w:color="auto"/>
            </w:tcBorders>
            <w:hideMark/>
          </w:tcPr>
          <w:p w14:paraId="7A31E607" w14:textId="77777777" w:rsidR="003817F6" w:rsidRDefault="003817F6" w:rsidP="0001783F">
            <w:pPr>
              <w:pStyle w:val="SingleTxtG"/>
              <w:spacing w:before="40" w:after="40" w:line="220" w:lineRule="atLeast"/>
              <w:ind w:left="57" w:right="57"/>
              <w:jc w:val="left"/>
              <w:rPr>
                <w:b/>
                <w:bCs/>
                <w:snapToGrid w:val="0"/>
                <w:sz w:val="16"/>
                <w:szCs w:val="16"/>
                <w:lang w:val="fr-FR"/>
              </w:rPr>
            </w:pPr>
            <w:r>
              <w:rPr>
                <w:b/>
                <w:bCs/>
                <w:sz w:val="16"/>
                <w:szCs w:val="16"/>
                <w:lang w:val="fr-FR"/>
              </w:rPr>
              <w:t>NITRATE D’AMMONIUM EN ÉMULSION, SUSPENSION ou GEL, servant à la fabrication d’explosifs de mine</w:t>
            </w:r>
          </w:p>
        </w:tc>
        <w:tc>
          <w:tcPr>
            <w:tcW w:w="612" w:type="dxa"/>
            <w:tcBorders>
              <w:top w:val="single" w:sz="4" w:space="0" w:color="auto"/>
              <w:left w:val="single" w:sz="4" w:space="0" w:color="auto"/>
              <w:bottom w:val="single" w:sz="4" w:space="0" w:color="auto"/>
              <w:right w:val="single" w:sz="4" w:space="0" w:color="auto"/>
            </w:tcBorders>
            <w:hideMark/>
          </w:tcPr>
          <w:p w14:paraId="6752A6BB" w14:textId="77777777" w:rsidR="003817F6" w:rsidRDefault="003817F6" w:rsidP="0001783F">
            <w:pPr>
              <w:pStyle w:val="SingleTxtG"/>
              <w:spacing w:before="40" w:after="40" w:line="220" w:lineRule="atLeast"/>
              <w:ind w:left="57" w:right="57"/>
              <w:jc w:val="center"/>
              <w:rPr>
                <w:b/>
                <w:bCs/>
                <w:sz w:val="16"/>
                <w:szCs w:val="16"/>
                <w:lang w:val="en-GB"/>
              </w:rPr>
            </w:pPr>
            <w:r>
              <w:rPr>
                <w:b/>
                <w:bCs/>
                <w:sz w:val="16"/>
                <w:szCs w:val="16"/>
                <w:lang w:val="fr-FR"/>
              </w:rPr>
              <w:t>5.1</w:t>
            </w:r>
          </w:p>
        </w:tc>
        <w:tc>
          <w:tcPr>
            <w:tcW w:w="784" w:type="dxa"/>
            <w:tcBorders>
              <w:top w:val="single" w:sz="4" w:space="0" w:color="auto"/>
              <w:left w:val="single" w:sz="4" w:space="0" w:color="auto"/>
              <w:bottom w:val="single" w:sz="4" w:space="0" w:color="auto"/>
              <w:right w:val="single" w:sz="4" w:space="0" w:color="auto"/>
            </w:tcBorders>
          </w:tcPr>
          <w:p w14:paraId="68D34E70" w14:textId="77777777" w:rsidR="003817F6" w:rsidRDefault="003817F6" w:rsidP="0001783F">
            <w:pPr>
              <w:pStyle w:val="SingleTxtG"/>
              <w:spacing w:before="40" w:after="40" w:line="220" w:lineRule="atLeast"/>
              <w:ind w:left="57" w:right="57"/>
              <w:jc w:val="center"/>
              <w:rPr>
                <w:b/>
                <w:bCs/>
                <w:sz w:val="16"/>
                <w:szCs w:val="16"/>
              </w:rPr>
            </w:pPr>
          </w:p>
        </w:tc>
        <w:tc>
          <w:tcPr>
            <w:tcW w:w="798" w:type="dxa"/>
            <w:tcBorders>
              <w:top w:val="single" w:sz="4" w:space="0" w:color="auto"/>
              <w:left w:val="single" w:sz="4" w:space="0" w:color="auto"/>
              <w:bottom w:val="single" w:sz="4" w:space="0" w:color="auto"/>
              <w:right w:val="single" w:sz="4" w:space="0" w:color="auto"/>
            </w:tcBorders>
            <w:hideMark/>
          </w:tcPr>
          <w:p w14:paraId="0D751E38" w14:textId="77777777" w:rsidR="003817F6" w:rsidRDefault="003817F6" w:rsidP="0001783F">
            <w:pPr>
              <w:pStyle w:val="SingleTxtG"/>
              <w:spacing w:before="40" w:after="40" w:line="220" w:lineRule="atLeast"/>
              <w:ind w:left="57" w:right="57"/>
              <w:jc w:val="center"/>
              <w:rPr>
                <w:b/>
                <w:bCs/>
                <w:sz w:val="16"/>
                <w:szCs w:val="16"/>
              </w:rPr>
            </w:pPr>
            <w:r>
              <w:rPr>
                <w:b/>
                <w:bCs/>
                <w:sz w:val="16"/>
                <w:szCs w:val="16"/>
                <w:lang w:val="fr-FR"/>
              </w:rPr>
              <w:t>III</w:t>
            </w:r>
          </w:p>
        </w:tc>
        <w:tc>
          <w:tcPr>
            <w:tcW w:w="882" w:type="dxa"/>
            <w:tcBorders>
              <w:top w:val="single" w:sz="4" w:space="0" w:color="auto"/>
              <w:left w:val="single" w:sz="4" w:space="0" w:color="auto"/>
              <w:bottom w:val="single" w:sz="4" w:space="0" w:color="auto"/>
              <w:right w:val="single" w:sz="4" w:space="0" w:color="auto"/>
            </w:tcBorders>
            <w:hideMark/>
          </w:tcPr>
          <w:p w14:paraId="611503AA" w14:textId="77777777" w:rsidR="003817F6" w:rsidRDefault="003817F6" w:rsidP="0001783F">
            <w:pPr>
              <w:pStyle w:val="SingleTxtG"/>
              <w:spacing w:before="40" w:after="40" w:line="220" w:lineRule="atLeast"/>
              <w:ind w:left="57" w:right="57"/>
              <w:jc w:val="center"/>
              <w:rPr>
                <w:b/>
                <w:bCs/>
                <w:sz w:val="16"/>
                <w:szCs w:val="16"/>
              </w:rPr>
            </w:pPr>
            <w:r>
              <w:rPr>
                <w:b/>
                <w:bCs/>
                <w:sz w:val="16"/>
                <w:szCs w:val="16"/>
                <w:lang w:val="fr-FR"/>
              </w:rPr>
              <w:t xml:space="preserve">309 </w:t>
            </w:r>
            <w:r>
              <w:rPr>
                <w:b/>
                <w:bCs/>
                <w:sz w:val="16"/>
                <w:szCs w:val="16"/>
                <w:lang w:val="fr-FR"/>
              </w:rPr>
              <w:br/>
              <w:t>3XX</w:t>
            </w:r>
          </w:p>
        </w:tc>
        <w:tc>
          <w:tcPr>
            <w:tcW w:w="447" w:type="dxa"/>
            <w:tcBorders>
              <w:top w:val="single" w:sz="4" w:space="0" w:color="auto"/>
              <w:left w:val="single" w:sz="4" w:space="0" w:color="auto"/>
              <w:bottom w:val="single" w:sz="4" w:space="0" w:color="auto"/>
              <w:right w:val="single" w:sz="4" w:space="0" w:color="auto"/>
            </w:tcBorders>
            <w:hideMark/>
          </w:tcPr>
          <w:p w14:paraId="7E3A68DF" w14:textId="77777777" w:rsidR="003817F6" w:rsidRDefault="003817F6" w:rsidP="0001783F">
            <w:pPr>
              <w:pStyle w:val="SingleTxtG"/>
              <w:spacing w:before="40" w:after="40" w:line="220" w:lineRule="atLeast"/>
              <w:ind w:left="57" w:right="57"/>
              <w:jc w:val="center"/>
              <w:rPr>
                <w:b/>
                <w:bCs/>
                <w:sz w:val="16"/>
                <w:szCs w:val="16"/>
              </w:rPr>
            </w:pPr>
            <w:r>
              <w:rPr>
                <w:b/>
                <w:bCs/>
                <w:sz w:val="16"/>
                <w:szCs w:val="16"/>
                <w:lang w:val="fr-FR"/>
              </w:rPr>
              <w:t>0</w:t>
            </w:r>
          </w:p>
        </w:tc>
        <w:tc>
          <w:tcPr>
            <w:tcW w:w="448" w:type="dxa"/>
            <w:tcBorders>
              <w:top w:val="single" w:sz="4" w:space="0" w:color="auto"/>
              <w:left w:val="single" w:sz="4" w:space="0" w:color="auto"/>
              <w:bottom w:val="single" w:sz="4" w:space="0" w:color="auto"/>
              <w:right w:val="single" w:sz="4" w:space="0" w:color="auto"/>
            </w:tcBorders>
            <w:hideMark/>
          </w:tcPr>
          <w:p w14:paraId="21D6243B" w14:textId="77777777" w:rsidR="003817F6" w:rsidRDefault="003817F6" w:rsidP="0001783F">
            <w:pPr>
              <w:pStyle w:val="SingleTxtG"/>
              <w:spacing w:before="40" w:after="40" w:line="220" w:lineRule="atLeast"/>
              <w:ind w:left="57" w:right="57"/>
              <w:jc w:val="center"/>
              <w:rPr>
                <w:b/>
                <w:bCs/>
                <w:sz w:val="16"/>
                <w:szCs w:val="16"/>
              </w:rPr>
            </w:pPr>
            <w:r>
              <w:rPr>
                <w:b/>
                <w:bCs/>
                <w:sz w:val="16"/>
                <w:szCs w:val="16"/>
                <w:lang w:val="fr-FR"/>
              </w:rPr>
              <w:t>E2</w:t>
            </w:r>
          </w:p>
        </w:tc>
        <w:tc>
          <w:tcPr>
            <w:tcW w:w="1022" w:type="dxa"/>
            <w:tcBorders>
              <w:top w:val="single" w:sz="4" w:space="0" w:color="auto"/>
              <w:left w:val="single" w:sz="4" w:space="0" w:color="auto"/>
              <w:bottom w:val="single" w:sz="4" w:space="0" w:color="auto"/>
              <w:right w:val="single" w:sz="4" w:space="0" w:color="auto"/>
            </w:tcBorders>
            <w:hideMark/>
          </w:tcPr>
          <w:p w14:paraId="2F38B098" w14:textId="77777777" w:rsidR="003817F6" w:rsidRDefault="003817F6" w:rsidP="0001783F">
            <w:pPr>
              <w:pStyle w:val="SingleTxtG"/>
              <w:spacing w:before="40" w:after="40" w:line="220" w:lineRule="atLeast"/>
              <w:ind w:left="57" w:right="57"/>
              <w:jc w:val="center"/>
              <w:rPr>
                <w:b/>
                <w:bCs/>
                <w:sz w:val="16"/>
                <w:szCs w:val="16"/>
              </w:rPr>
            </w:pPr>
            <w:r>
              <w:rPr>
                <w:b/>
                <w:bCs/>
                <w:sz w:val="16"/>
                <w:szCs w:val="16"/>
                <w:lang w:val="fr-FR"/>
              </w:rPr>
              <w:t xml:space="preserve">P505 </w:t>
            </w:r>
            <w:r>
              <w:rPr>
                <w:b/>
                <w:bCs/>
                <w:sz w:val="16"/>
                <w:szCs w:val="16"/>
                <w:lang w:val="fr-FR"/>
              </w:rPr>
              <w:br/>
              <w:t>IBC02</w:t>
            </w:r>
          </w:p>
        </w:tc>
        <w:tc>
          <w:tcPr>
            <w:tcW w:w="808" w:type="dxa"/>
            <w:tcBorders>
              <w:top w:val="single" w:sz="4" w:space="0" w:color="auto"/>
              <w:left w:val="single" w:sz="4" w:space="0" w:color="auto"/>
              <w:bottom w:val="single" w:sz="4" w:space="0" w:color="auto"/>
              <w:right w:val="single" w:sz="4" w:space="0" w:color="auto"/>
            </w:tcBorders>
            <w:hideMark/>
          </w:tcPr>
          <w:p w14:paraId="2CDB83CC" w14:textId="092D17DC" w:rsidR="003817F6" w:rsidRDefault="0001783F" w:rsidP="0001783F">
            <w:pPr>
              <w:pStyle w:val="SingleTxtG"/>
              <w:tabs>
                <w:tab w:val="left" w:pos="270"/>
                <w:tab w:val="center" w:pos="481"/>
              </w:tabs>
              <w:spacing w:before="40" w:after="40" w:line="220" w:lineRule="atLeast"/>
              <w:ind w:left="57" w:right="57"/>
              <w:jc w:val="center"/>
              <w:rPr>
                <w:b/>
                <w:bCs/>
                <w:sz w:val="16"/>
                <w:szCs w:val="16"/>
              </w:rPr>
            </w:pPr>
            <w:r>
              <w:rPr>
                <w:sz w:val="16"/>
                <w:szCs w:val="16"/>
                <w:lang w:val="fr-FR"/>
              </w:rPr>
              <w:br/>
            </w:r>
            <w:r w:rsidR="003817F6">
              <w:rPr>
                <w:b/>
                <w:bCs/>
                <w:sz w:val="16"/>
                <w:szCs w:val="16"/>
                <w:lang w:val="fr-FR"/>
              </w:rPr>
              <w:t>B16</w:t>
            </w:r>
          </w:p>
        </w:tc>
        <w:tc>
          <w:tcPr>
            <w:tcW w:w="918" w:type="dxa"/>
            <w:tcBorders>
              <w:top w:val="single" w:sz="4" w:space="0" w:color="auto"/>
              <w:left w:val="single" w:sz="4" w:space="0" w:color="auto"/>
              <w:bottom w:val="single" w:sz="4" w:space="0" w:color="auto"/>
              <w:right w:val="single" w:sz="4" w:space="0" w:color="auto"/>
            </w:tcBorders>
            <w:hideMark/>
          </w:tcPr>
          <w:p w14:paraId="7C5BF502" w14:textId="77777777" w:rsidR="003817F6" w:rsidRDefault="003817F6" w:rsidP="0001783F">
            <w:pPr>
              <w:pStyle w:val="SingleTxtG"/>
              <w:spacing w:before="40" w:after="40" w:line="220" w:lineRule="atLeast"/>
              <w:ind w:left="57" w:right="57"/>
              <w:jc w:val="center"/>
              <w:rPr>
                <w:b/>
                <w:bCs/>
                <w:sz w:val="16"/>
                <w:szCs w:val="16"/>
              </w:rPr>
            </w:pPr>
            <w:r>
              <w:rPr>
                <w:b/>
                <w:bCs/>
                <w:sz w:val="16"/>
                <w:szCs w:val="16"/>
                <w:lang w:val="fr-FR"/>
              </w:rPr>
              <w:t>T1</w:t>
            </w:r>
          </w:p>
        </w:tc>
        <w:tc>
          <w:tcPr>
            <w:tcW w:w="779" w:type="dxa"/>
            <w:tcBorders>
              <w:top w:val="single" w:sz="4" w:space="0" w:color="auto"/>
              <w:left w:val="single" w:sz="4" w:space="0" w:color="auto"/>
              <w:bottom w:val="single" w:sz="4" w:space="0" w:color="auto"/>
              <w:right w:val="single" w:sz="4" w:space="0" w:color="auto"/>
            </w:tcBorders>
            <w:hideMark/>
          </w:tcPr>
          <w:p w14:paraId="6ED34E00" w14:textId="77777777" w:rsidR="003817F6" w:rsidRDefault="003817F6" w:rsidP="0001783F">
            <w:pPr>
              <w:pStyle w:val="SingleTxtG"/>
              <w:spacing w:before="40" w:after="40" w:line="220" w:lineRule="atLeast"/>
              <w:ind w:left="57" w:right="57"/>
              <w:jc w:val="center"/>
              <w:rPr>
                <w:b/>
                <w:bCs/>
                <w:sz w:val="16"/>
                <w:szCs w:val="16"/>
              </w:rPr>
            </w:pPr>
            <w:r>
              <w:rPr>
                <w:b/>
                <w:bCs/>
                <w:sz w:val="16"/>
                <w:szCs w:val="16"/>
                <w:lang w:val="fr-FR"/>
              </w:rPr>
              <w:t xml:space="preserve">TP1 </w:t>
            </w:r>
            <w:r>
              <w:rPr>
                <w:b/>
                <w:bCs/>
                <w:sz w:val="16"/>
                <w:szCs w:val="16"/>
                <w:lang w:val="fr-FR"/>
              </w:rPr>
              <w:br/>
              <w:t xml:space="preserve">TP9 </w:t>
            </w:r>
            <w:r>
              <w:rPr>
                <w:b/>
                <w:bCs/>
                <w:sz w:val="16"/>
                <w:szCs w:val="16"/>
                <w:lang w:val="fr-FR"/>
              </w:rPr>
              <w:br/>
              <w:t xml:space="preserve">TP17 </w:t>
            </w:r>
            <w:r>
              <w:rPr>
                <w:b/>
                <w:bCs/>
                <w:sz w:val="16"/>
                <w:szCs w:val="16"/>
                <w:lang w:val="fr-FR"/>
              </w:rPr>
              <w:br/>
              <w:t>TP32</w:t>
            </w:r>
          </w:p>
        </w:tc>
      </w:tr>
    </w:tbl>
    <w:p w14:paraId="131DDCB6" w14:textId="77777777" w:rsidR="003817F6" w:rsidRDefault="003817F6" w:rsidP="0001783F">
      <w:pPr>
        <w:pStyle w:val="SingleTxtG"/>
        <w:spacing w:before="240"/>
        <w:rPr>
          <w:lang w:val="fr-FR" w:eastAsia="zh-CN"/>
        </w:rPr>
      </w:pPr>
      <w:r>
        <w:rPr>
          <w:lang w:val="fr-FR"/>
        </w:rPr>
        <w:t>15.</w:t>
      </w:r>
      <w:r>
        <w:rPr>
          <w:lang w:val="fr-FR"/>
        </w:rPr>
        <w:tab/>
        <w:t>Il est également proposé d’ajouter au chapitre 3.3 du Règlement type une nouvelle disposition spéciale libellée comme suit :</w:t>
      </w:r>
    </w:p>
    <w:p w14:paraId="7BA8E152" w14:textId="452C8D47" w:rsidR="003817F6" w:rsidRDefault="003817F6" w:rsidP="0001783F">
      <w:pPr>
        <w:pStyle w:val="SingleTxtG"/>
        <w:tabs>
          <w:tab w:val="clear" w:pos="1701"/>
        </w:tabs>
        <w:ind w:left="2268" w:hanging="1134"/>
        <w:rPr>
          <w:lang w:val="fr-FR"/>
        </w:rPr>
      </w:pPr>
      <w:r>
        <w:rPr>
          <w:lang w:val="fr-FR"/>
        </w:rPr>
        <w:t>« 3XX</w:t>
      </w:r>
      <w:r w:rsidR="0001783F">
        <w:rPr>
          <w:lang w:val="fr-FR"/>
        </w:rPr>
        <w:tab/>
      </w:r>
      <w:r>
        <w:rPr>
          <w:lang w:val="fr-FR"/>
        </w:rPr>
        <w:t>Le groupe d’emballage applicable doit être déterminé au moyen des épreuves pour les liquides comburants (O.2) et pour les matières solides comburantes (O.3), selon le cas, décrites dans la section 34 du Manuel d’épreuves et de critères. Lorsque les résultats des épreuves indiquent que le produit n’est pas un liquide comburant ou n’est pas une matière solide comburante, le produit doit être inclus dans cette rubrique et affecté au groupe d’emballage III. »</w:t>
      </w:r>
    </w:p>
    <w:p w14:paraId="0F537F40" w14:textId="6D43ABD8" w:rsidR="00446FE5" w:rsidRPr="003817F6" w:rsidRDefault="003817F6" w:rsidP="003817F6">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446FE5" w:rsidRPr="003817F6" w:rsidSect="003817F6">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967E0" w14:textId="77777777" w:rsidR="00A368BC" w:rsidRDefault="00A368BC" w:rsidP="00F95C08">
      <w:pPr>
        <w:spacing w:line="240" w:lineRule="auto"/>
      </w:pPr>
    </w:p>
  </w:endnote>
  <w:endnote w:type="continuationSeparator" w:id="0">
    <w:p w14:paraId="4BE73548" w14:textId="77777777" w:rsidR="00A368BC" w:rsidRPr="00AC3823" w:rsidRDefault="00A368BC" w:rsidP="00AC3823">
      <w:pPr>
        <w:pStyle w:val="Pieddepage"/>
      </w:pPr>
    </w:p>
  </w:endnote>
  <w:endnote w:type="continuationNotice" w:id="1">
    <w:p w14:paraId="4C84E6B6" w14:textId="77777777" w:rsidR="00A368BC" w:rsidRDefault="00A368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96606" w14:textId="2DBFCE17" w:rsidR="003817F6" w:rsidRPr="003817F6" w:rsidRDefault="003817F6" w:rsidP="003817F6">
    <w:pPr>
      <w:pStyle w:val="Pieddepage"/>
      <w:tabs>
        <w:tab w:val="right" w:pos="9638"/>
      </w:tabs>
    </w:pPr>
    <w:r w:rsidRPr="003817F6">
      <w:rPr>
        <w:b/>
        <w:sz w:val="18"/>
      </w:rPr>
      <w:fldChar w:fldCharType="begin"/>
    </w:r>
    <w:r w:rsidRPr="003817F6">
      <w:rPr>
        <w:b/>
        <w:sz w:val="18"/>
      </w:rPr>
      <w:instrText xml:space="preserve"> PAGE  \* MERGEFORMAT </w:instrText>
    </w:r>
    <w:r w:rsidRPr="003817F6">
      <w:rPr>
        <w:b/>
        <w:sz w:val="18"/>
      </w:rPr>
      <w:fldChar w:fldCharType="separate"/>
    </w:r>
    <w:r w:rsidRPr="003817F6">
      <w:rPr>
        <w:b/>
        <w:noProof/>
        <w:sz w:val="18"/>
      </w:rPr>
      <w:t>2</w:t>
    </w:r>
    <w:r w:rsidRPr="003817F6">
      <w:rPr>
        <w:b/>
        <w:sz w:val="18"/>
      </w:rPr>
      <w:fldChar w:fldCharType="end"/>
    </w:r>
    <w:r>
      <w:rPr>
        <w:b/>
        <w:sz w:val="18"/>
      </w:rPr>
      <w:tab/>
    </w:r>
    <w:r>
      <w:t>GE.23-07499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53D9D" w14:textId="5A49D182" w:rsidR="003817F6" w:rsidRPr="003817F6" w:rsidRDefault="003817F6" w:rsidP="003817F6">
    <w:pPr>
      <w:pStyle w:val="Pieddepage"/>
      <w:tabs>
        <w:tab w:val="right" w:pos="9638"/>
      </w:tabs>
      <w:rPr>
        <w:b/>
        <w:sz w:val="18"/>
      </w:rPr>
    </w:pPr>
    <w:r>
      <w:t>GE.23-07499</w:t>
    </w:r>
    <w:r>
      <w:tab/>
    </w:r>
    <w:r w:rsidRPr="003817F6">
      <w:rPr>
        <w:b/>
        <w:sz w:val="18"/>
      </w:rPr>
      <w:fldChar w:fldCharType="begin"/>
    </w:r>
    <w:r w:rsidRPr="003817F6">
      <w:rPr>
        <w:b/>
        <w:sz w:val="18"/>
      </w:rPr>
      <w:instrText xml:space="preserve"> PAGE  \* MERGEFORMAT </w:instrText>
    </w:r>
    <w:r w:rsidRPr="003817F6">
      <w:rPr>
        <w:b/>
        <w:sz w:val="18"/>
      </w:rPr>
      <w:fldChar w:fldCharType="separate"/>
    </w:r>
    <w:r w:rsidRPr="003817F6">
      <w:rPr>
        <w:b/>
        <w:noProof/>
        <w:sz w:val="18"/>
      </w:rPr>
      <w:t>3</w:t>
    </w:r>
    <w:r w:rsidRPr="003817F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01E50" w14:textId="7517EE0C" w:rsidR="0068456F" w:rsidRPr="003817F6" w:rsidRDefault="003817F6" w:rsidP="003817F6">
    <w:pPr>
      <w:pStyle w:val="Pieddepage"/>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5258C650" wp14:editId="1ECC068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23-07499  (F)</w:t>
    </w:r>
    <w:r>
      <w:rPr>
        <w:noProof/>
        <w:sz w:val="20"/>
      </w:rPr>
      <w:drawing>
        <wp:anchor distT="0" distB="0" distL="114300" distR="114300" simplePos="0" relativeHeight="251660288" behindDoc="0" locked="0" layoutInCell="1" allowOverlap="1" wp14:anchorId="663F1247" wp14:editId="2753ADC8">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110523    110523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1B812" w14:textId="77777777" w:rsidR="00A368BC" w:rsidRPr="00AC3823" w:rsidRDefault="00A368BC" w:rsidP="00AC3823">
      <w:pPr>
        <w:pStyle w:val="Pieddepage"/>
        <w:tabs>
          <w:tab w:val="right" w:pos="2155"/>
        </w:tabs>
        <w:spacing w:after="80" w:line="240" w:lineRule="atLeast"/>
        <w:ind w:left="680"/>
        <w:rPr>
          <w:u w:val="single"/>
        </w:rPr>
      </w:pPr>
      <w:r>
        <w:rPr>
          <w:u w:val="single"/>
        </w:rPr>
        <w:tab/>
      </w:r>
    </w:p>
  </w:footnote>
  <w:footnote w:type="continuationSeparator" w:id="0">
    <w:p w14:paraId="4737DF98" w14:textId="77777777" w:rsidR="00A368BC" w:rsidRPr="00AC3823" w:rsidRDefault="00A368BC" w:rsidP="00AC3823">
      <w:pPr>
        <w:pStyle w:val="Pieddepage"/>
        <w:tabs>
          <w:tab w:val="right" w:pos="2155"/>
        </w:tabs>
        <w:spacing w:after="80" w:line="240" w:lineRule="atLeast"/>
        <w:ind w:left="680"/>
        <w:rPr>
          <w:u w:val="single"/>
        </w:rPr>
      </w:pPr>
      <w:r>
        <w:rPr>
          <w:u w:val="single"/>
        </w:rPr>
        <w:tab/>
      </w:r>
    </w:p>
  </w:footnote>
  <w:footnote w:type="continuationNotice" w:id="1">
    <w:p w14:paraId="4B848F56" w14:textId="77777777" w:rsidR="00A368BC" w:rsidRPr="00AC3823" w:rsidRDefault="00A368BC">
      <w:pPr>
        <w:spacing w:line="240" w:lineRule="auto"/>
        <w:rPr>
          <w:sz w:val="2"/>
          <w:szCs w:val="2"/>
        </w:rPr>
      </w:pPr>
    </w:p>
  </w:footnote>
  <w:footnote w:id="2">
    <w:p w14:paraId="18D8F144" w14:textId="77777777" w:rsidR="003817F6" w:rsidRDefault="003817F6" w:rsidP="0001783F">
      <w:pPr>
        <w:pStyle w:val="Notedebasdepage"/>
        <w:rPr>
          <w:lang w:val="en-GB"/>
        </w:rPr>
      </w:pPr>
      <w:r>
        <w:rPr>
          <w:lang w:val="fr-FR"/>
        </w:rPr>
        <w:tab/>
      </w:r>
      <w:r w:rsidRPr="0001783F">
        <w:rPr>
          <w:sz w:val="20"/>
          <w:lang w:val="fr-FR"/>
        </w:rPr>
        <w:t>*</w:t>
      </w:r>
      <w:r>
        <w:rPr>
          <w:lang w:val="fr-FR"/>
        </w:rPr>
        <w:tab/>
        <w:t>A/77/6 (Sect. 20), tableau 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969FE" w14:textId="10D2FDD0" w:rsidR="003817F6" w:rsidRPr="003817F6" w:rsidRDefault="003817F6">
    <w:pPr>
      <w:pStyle w:val="En-tte"/>
    </w:pPr>
    <w:fldSimple w:instr=" TITLE  \* MERGEFORMAT ">
      <w:r>
        <w:t>ST/SG/AC.10/C.3/2023/19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792D6" w14:textId="51087185" w:rsidR="003817F6" w:rsidRPr="003817F6" w:rsidRDefault="003817F6" w:rsidP="003817F6">
    <w:pPr>
      <w:pStyle w:val="En-tte"/>
      <w:jc w:val="right"/>
    </w:pPr>
    <w:fldSimple w:instr=" TITLE  \* MERGEFORMAT ">
      <w:r>
        <w:t>ST/SG/AC.10/C.3/2023/19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273904140">
    <w:abstractNumId w:val="12"/>
  </w:num>
  <w:num w:numId="2" w16cid:durableId="1727560242">
    <w:abstractNumId w:val="11"/>
  </w:num>
  <w:num w:numId="3" w16cid:durableId="54477586">
    <w:abstractNumId w:val="10"/>
  </w:num>
  <w:num w:numId="4" w16cid:durableId="391318558">
    <w:abstractNumId w:val="8"/>
  </w:num>
  <w:num w:numId="5" w16cid:durableId="1594627058">
    <w:abstractNumId w:val="3"/>
  </w:num>
  <w:num w:numId="6" w16cid:durableId="994797138">
    <w:abstractNumId w:val="2"/>
  </w:num>
  <w:num w:numId="7" w16cid:durableId="1120413298">
    <w:abstractNumId w:val="1"/>
  </w:num>
  <w:num w:numId="8" w16cid:durableId="933629946">
    <w:abstractNumId w:val="0"/>
  </w:num>
  <w:num w:numId="9" w16cid:durableId="1705708658">
    <w:abstractNumId w:val="9"/>
  </w:num>
  <w:num w:numId="10" w16cid:durableId="1945767868">
    <w:abstractNumId w:val="7"/>
  </w:num>
  <w:num w:numId="11" w16cid:durableId="195242832">
    <w:abstractNumId w:val="6"/>
  </w:num>
  <w:num w:numId="12" w16cid:durableId="380447480">
    <w:abstractNumId w:val="5"/>
  </w:num>
  <w:num w:numId="13" w16cid:durableId="1586839790">
    <w:abstractNumId w:val="4"/>
  </w:num>
  <w:num w:numId="14" w16cid:durableId="204758423">
    <w:abstractNumId w:val="12"/>
  </w:num>
  <w:num w:numId="15" w16cid:durableId="1414089411">
    <w:abstractNumId w:val="11"/>
  </w:num>
  <w:num w:numId="16" w16cid:durableId="10767792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567"/>
  <w:hyphenationZone w:val="425"/>
  <w:evenAndOddHeaders/>
  <w:characterSpacingControl w:val="doNotCompress"/>
  <w:hdrShapeDefaults>
    <o:shapedefaults v:ext="edit" spidmax="206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8BC"/>
    <w:rsid w:val="0001783F"/>
    <w:rsid w:val="00017F94"/>
    <w:rsid w:val="00023842"/>
    <w:rsid w:val="000305D3"/>
    <w:rsid w:val="000334F9"/>
    <w:rsid w:val="0007796D"/>
    <w:rsid w:val="000B7790"/>
    <w:rsid w:val="000E0956"/>
    <w:rsid w:val="00111F2F"/>
    <w:rsid w:val="00132EA9"/>
    <w:rsid w:val="0014365E"/>
    <w:rsid w:val="00147663"/>
    <w:rsid w:val="00172E49"/>
    <w:rsid w:val="00176178"/>
    <w:rsid w:val="001F525A"/>
    <w:rsid w:val="00223272"/>
    <w:rsid w:val="0024779E"/>
    <w:rsid w:val="00283190"/>
    <w:rsid w:val="002832AC"/>
    <w:rsid w:val="002D7C93"/>
    <w:rsid w:val="003817F6"/>
    <w:rsid w:val="00441C3B"/>
    <w:rsid w:val="00446FE5"/>
    <w:rsid w:val="00452396"/>
    <w:rsid w:val="004E468C"/>
    <w:rsid w:val="005505B7"/>
    <w:rsid w:val="00573BE5"/>
    <w:rsid w:val="00584DC4"/>
    <w:rsid w:val="00586ED3"/>
    <w:rsid w:val="00596AA9"/>
    <w:rsid w:val="0068456F"/>
    <w:rsid w:val="0071601D"/>
    <w:rsid w:val="007A62E6"/>
    <w:rsid w:val="0080684C"/>
    <w:rsid w:val="008123E0"/>
    <w:rsid w:val="00871C75"/>
    <w:rsid w:val="008776DC"/>
    <w:rsid w:val="008B40CD"/>
    <w:rsid w:val="008E23C1"/>
    <w:rsid w:val="009705C8"/>
    <w:rsid w:val="009C1CF4"/>
    <w:rsid w:val="00A30353"/>
    <w:rsid w:val="00A368BC"/>
    <w:rsid w:val="00A81281"/>
    <w:rsid w:val="00AC3823"/>
    <w:rsid w:val="00AE323C"/>
    <w:rsid w:val="00B00181"/>
    <w:rsid w:val="00B00B0D"/>
    <w:rsid w:val="00B765F7"/>
    <w:rsid w:val="00BA0CA9"/>
    <w:rsid w:val="00C02897"/>
    <w:rsid w:val="00D3439C"/>
    <w:rsid w:val="00DB1831"/>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2"/>
    </o:shapelayout>
  </w:shapeDefaults>
  <w:decimalSymbol w:val=","/>
  <w:listSeparator w:val=";"/>
  <w14:docId w14:val="1E122602"/>
  <w15:docId w15:val="{386EC3C0-8AC9-4554-B0A7-E5D83AE37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584DC4"/>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584DC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584DC4"/>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584DC4"/>
    <w:pPr>
      <w:spacing w:line="240" w:lineRule="auto"/>
    </w:pPr>
    <w:rPr>
      <w:sz w:val="16"/>
    </w:rPr>
  </w:style>
  <w:style w:type="character" w:customStyle="1" w:styleId="PieddepageCar">
    <w:name w:val="Pied de page Car"/>
    <w:aliases w:val="3_G Car"/>
    <w:basedOn w:val="Policepardfaut"/>
    <w:link w:val="Pieddepage"/>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uiPriority w:val="99"/>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uiPriority w:val="99"/>
    <w:qFormat/>
    <w:rsid w:val="00584DC4"/>
    <w:rPr>
      <w:rFonts w:ascii="Times New Roman" w:hAnsi="Times New Roman"/>
      <w:sz w:val="18"/>
      <w:vertAlign w:val="superscript"/>
      <w:lang w:val="fr-CH"/>
    </w:rPr>
  </w:style>
  <w:style w:type="character" w:styleId="Appeldenotedefin">
    <w:name w:val="endnote reference"/>
    <w:aliases w:val="1_G"/>
    <w:basedOn w:val="Appelnotedebasdep"/>
    <w:qFormat/>
    <w:rsid w:val="00584DC4"/>
    <w:rPr>
      <w:rFonts w:ascii="Times New Roman" w:hAnsi="Times New Roman"/>
      <w:sz w:val="18"/>
      <w:vertAlign w:val="superscript"/>
      <w:lang w:val="fr-CH"/>
    </w:rPr>
  </w:style>
  <w:style w:type="table" w:styleId="Grilledutableau">
    <w:name w:val="Table Grid"/>
    <w:basedOn w:val="Tableau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84DC4"/>
    <w:rPr>
      <w:color w:val="0000FF"/>
      <w:u w:val="none"/>
    </w:rPr>
  </w:style>
  <w:style w:type="character" w:styleId="Lienhypertextesuivivisit">
    <w:name w:val="FollowedHyperlink"/>
    <w:basedOn w:val="Policepardfaut"/>
    <w:unhideWhenUsed/>
    <w:rsid w:val="00584DC4"/>
    <w:rPr>
      <w:color w:val="0000FF"/>
      <w:u w:val="none"/>
    </w:rPr>
  </w:style>
  <w:style w:type="paragraph" w:styleId="Notedebasdepage">
    <w:name w:val="footnote text"/>
    <w:aliases w:val="5_G"/>
    <w:basedOn w:val="Normal"/>
    <w:link w:val="NotedebasdepageCar"/>
    <w:uiPriority w:val="99"/>
    <w:qFormat/>
    <w:rsid w:val="00584DC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uiPriority w:val="99"/>
    <w:rsid w:val="00584DC4"/>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584DC4"/>
  </w:style>
  <w:style w:type="character" w:customStyle="1" w:styleId="NotedefinCar">
    <w:name w:val="Note de fin Car"/>
    <w:aliases w:val="2_G Car"/>
    <w:basedOn w:val="Policepardfaut"/>
    <w:link w:val="Notedefin"/>
    <w:rsid w:val="00584DC4"/>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584DC4"/>
    <w:rPr>
      <w:rFonts w:ascii="Times New Roman" w:hAnsi="Times New Roman"/>
      <w:b/>
      <w:sz w:val="18"/>
      <w:lang w:val="fr-CH"/>
    </w:rPr>
  </w:style>
  <w:style w:type="character" w:customStyle="1" w:styleId="Titre1Car">
    <w:name w:val="Titre 1 Car"/>
    <w:aliases w:val="Table_G Car"/>
    <w:basedOn w:val="Policepardfaut"/>
    <w:link w:val="Titre1"/>
    <w:rsid w:val="00584DC4"/>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32EA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2EA9"/>
    <w:rPr>
      <w:rFonts w:ascii="Tahoma" w:hAnsi="Tahoma" w:cs="Tahoma"/>
      <w:sz w:val="16"/>
      <w:szCs w:val="16"/>
      <w:lang w:eastAsia="en-US"/>
    </w:rPr>
  </w:style>
  <w:style w:type="character" w:customStyle="1" w:styleId="HChGChar">
    <w:name w:val="_ H _Ch_G Char"/>
    <w:link w:val="HChG"/>
    <w:qFormat/>
    <w:locked/>
    <w:rsid w:val="003817F6"/>
    <w:rPr>
      <w:rFonts w:ascii="Times New Roman" w:eastAsiaTheme="minorHAnsi" w:hAnsi="Times New Roman" w:cs="Times New Roman"/>
      <w:b/>
      <w:sz w:val="28"/>
      <w:szCs w:val="20"/>
      <w:lang w:eastAsia="en-US"/>
    </w:rPr>
  </w:style>
  <w:style w:type="character" w:customStyle="1" w:styleId="H1GChar">
    <w:name w:val="_ H_1_G Char"/>
    <w:link w:val="H1G"/>
    <w:uiPriority w:val="99"/>
    <w:locked/>
    <w:rsid w:val="003817F6"/>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locked/>
    <w:rsid w:val="003817F6"/>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64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8E9C4-0D00-4207-A03B-1DFEE449E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ST.dotm</Template>
  <TotalTime>1</TotalTime>
  <Pages>4</Pages>
  <Words>1201</Words>
  <Characters>9204</Characters>
  <Application>Microsoft Office Word</Application>
  <DocSecurity>0</DocSecurity>
  <Lines>3068</Lines>
  <Paragraphs>867</Paragraphs>
  <ScaleCrop>false</ScaleCrop>
  <HeadingPairs>
    <vt:vector size="2" baseType="variant">
      <vt:variant>
        <vt:lpstr>Titre</vt:lpstr>
      </vt:variant>
      <vt:variant>
        <vt:i4>1</vt:i4>
      </vt:variant>
    </vt:vector>
  </HeadingPairs>
  <TitlesOfParts>
    <vt:vector size="1" baseType="lpstr">
      <vt:lpstr>ST/SG/AC.10/C.3/2023/19</vt:lpstr>
    </vt:vector>
  </TitlesOfParts>
  <Company>DCM</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ST/SG/AC.10/C.3/2023/19</dc:title>
  <dc:subject/>
  <dc:creator>Sandrine CLERE</dc:creator>
  <cp:keywords/>
  <cp:lastModifiedBy>Sandrine Clere</cp:lastModifiedBy>
  <cp:revision>2</cp:revision>
  <cp:lastPrinted>2014-05-14T10:59:00Z</cp:lastPrinted>
  <dcterms:created xsi:type="dcterms:W3CDTF">2023-05-11T12:49:00Z</dcterms:created>
  <dcterms:modified xsi:type="dcterms:W3CDTF">2023-05-11T12:49:00Z</dcterms:modified>
</cp:coreProperties>
</file>