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F7E8EF9" w14:textId="77777777" w:rsidTr="00F01738">
        <w:trPr>
          <w:trHeight w:hRule="exact" w:val="851"/>
        </w:trPr>
        <w:tc>
          <w:tcPr>
            <w:tcW w:w="1276" w:type="dxa"/>
            <w:tcBorders>
              <w:bottom w:val="single" w:sz="4" w:space="0" w:color="auto"/>
            </w:tcBorders>
          </w:tcPr>
          <w:p w14:paraId="3D8BD52A" w14:textId="77777777" w:rsidR="00132EA9" w:rsidRPr="00DB58B5" w:rsidRDefault="00132EA9" w:rsidP="00BE0DF3"/>
        </w:tc>
        <w:tc>
          <w:tcPr>
            <w:tcW w:w="2268" w:type="dxa"/>
            <w:tcBorders>
              <w:bottom w:val="single" w:sz="4" w:space="0" w:color="auto"/>
            </w:tcBorders>
            <w:vAlign w:val="bottom"/>
          </w:tcPr>
          <w:p w14:paraId="387D8BF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36E74AB" w14:textId="1A6085EB" w:rsidR="00132EA9" w:rsidRPr="00DB58B5" w:rsidRDefault="00BE0DF3" w:rsidP="00BE0DF3">
            <w:pPr>
              <w:jc w:val="right"/>
            </w:pPr>
            <w:r w:rsidRPr="00BE0DF3">
              <w:rPr>
                <w:sz w:val="40"/>
              </w:rPr>
              <w:t>ST</w:t>
            </w:r>
            <w:r>
              <w:t>/SG/AC.10/C.3/2023/18</w:t>
            </w:r>
          </w:p>
        </w:tc>
      </w:tr>
      <w:tr w:rsidR="00132EA9" w:rsidRPr="00DB58B5" w14:paraId="20E5D0AB" w14:textId="77777777" w:rsidTr="00F01738">
        <w:trPr>
          <w:trHeight w:hRule="exact" w:val="2835"/>
        </w:trPr>
        <w:tc>
          <w:tcPr>
            <w:tcW w:w="1276" w:type="dxa"/>
            <w:tcBorders>
              <w:top w:val="single" w:sz="4" w:space="0" w:color="auto"/>
              <w:bottom w:val="single" w:sz="12" w:space="0" w:color="auto"/>
            </w:tcBorders>
          </w:tcPr>
          <w:p w14:paraId="353FD1E8" w14:textId="77777777" w:rsidR="00132EA9" w:rsidRPr="00DB58B5" w:rsidRDefault="00132EA9" w:rsidP="00F01738">
            <w:pPr>
              <w:spacing w:before="120"/>
              <w:jc w:val="center"/>
            </w:pPr>
            <w:r>
              <w:rPr>
                <w:noProof/>
                <w:lang w:eastAsia="fr-CH"/>
              </w:rPr>
              <w:drawing>
                <wp:inline distT="0" distB="0" distL="0" distR="0" wp14:anchorId="59EEB8E5" wp14:editId="36381A2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647709"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55F024E" w14:textId="77777777" w:rsidR="00132EA9" w:rsidRDefault="00BE0DF3" w:rsidP="00F01738">
            <w:pPr>
              <w:spacing w:before="240"/>
            </w:pPr>
            <w:proofErr w:type="spellStart"/>
            <w:r>
              <w:t>Distr</w:t>
            </w:r>
            <w:proofErr w:type="spellEnd"/>
            <w:r>
              <w:t>. générale</w:t>
            </w:r>
          </w:p>
          <w:p w14:paraId="4BCC3F44" w14:textId="77777777" w:rsidR="00BE0DF3" w:rsidRDefault="00BE0DF3" w:rsidP="00BE0DF3">
            <w:pPr>
              <w:spacing w:line="240" w:lineRule="exact"/>
            </w:pPr>
            <w:r>
              <w:t>20 avril 2023</w:t>
            </w:r>
          </w:p>
          <w:p w14:paraId="4D4A1359" w14:textId="77777777" w:rsidR="00BE0DF3" w:rsidRDefault="00BE0DF3" w:rsidP="00BE0DF3">
            <w:pPr>
              <w:spacing w:line="240" w:lineRule="exact"/>
            </w:pPr>
            <w:r>
              <w:t>Français</w:t>
            </w:r>
          </w:p>
          <w:p w14:paraId="65379897" w14:textId="622BED10" w:rsidR="00BE0DF3" w:rsidRPr="00DB58B5" w:rsidRDefault="00BE0DF3" w:rsidP="00BE0DF3">
            <w:pPr>
              <w:spacing w:line="240" w:lineRule="exact"/>
            </w:pPr>
            <w:r>
              <w:t>Original : anglais</w:t>
            </w:r>
          </w:p>
        </w:tc>
      </w:tr>
    </w:tbl>
    <w:p w14:paraId="52BBBDC7" w14:textId="77777777" w:rsidR="00BE0DF3" w:rsidRPr="00CA0680" w:rsidRDefault="00BE0DF3"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076C53A3" w14:textId="77777777" w:rsidR="00BE0DF3" w:rsidRPr="00CA0680" w:rsidRDefault="00BE0DF3" w:rsidP="000305D3">
      <w:pPr>
        <w:spacing w:before="120"/>
        <w:rPr>
          <w:b/>
        </w:rPr>
      </w:pPr>
      <w:r w:rsidRPr="00CA0680">
        <w:rPr>
          <w:b/>
        </w:rPr>
        <w:t>Sous</w:t>
      </w:r>
      <w:r>
        <w:rPr>
          <w:b/>
        </w:rPr>
        <w:t>-</w:t>
      </w:r>
      <w:r w:rsidRPr="00CA0680">
        <w:rPr>
          <w:b/>
        </w:rPr>
        <w:t>Comité d’experts du transport des marchandises dangereuses</w:t>
      </w:r>
    </w:p>
    <w:p w14:paraId="5FE9CC25" w14:textId="77777777" w:rsidR="009C068C" w:rsidRPr="00451744" w:rsidRDefault="009C068C" w:rsidP="009C068C">
      <w:pPr>
        <w:spacing w:before="120"/>
        <w:rPr>
          <w:b/>
          <w:lang w:val="fr-FR"/>
        </w:rPr>
      </w:pPr>
      <w:r>
        <w:rPr>
          <w:b/>
          <w:bCs/>
          <w:lang w:val="fr-FR"/>
        </w:rPr>
        <w:t>Soixante-deuxième session</w:t>
      </w:r>
    </w:p>
    <w:p w14:paraId="27498AA6" w14:textId="77777777" w:rsidR="009C068C" w:rsidRPr="00451744" w:rsidRDefault="009C068C" w:rsidP="009C068C">
      <w:pPr>
        <w:rPr>
          <w:lang w:val="fr-FR"/>
        </w:rPr>
      </w:pPr>
      <w:r>
        <w:rPr>
          <w:lang w:val="fr-FR"/>
        </w:rPr>
        <w:t>Genève, 3-7 juillet 2023</w:t>
      </w:r>
    </w:p>
    <w:p w14:paraId="4B58C8A9" w14:textId="77777777" w:rsidR="009C068C" w:rsidRPr="00451744" w:rsidRDefault="009C068C" w:rsidP="009C068C">
      <w:pPr>
        <w:rPr>
          <w:lang w:val="fr-FR"/>
        </w:rPr>
      </w:pPr>
      <w:r>
        <w:rPr>
          <w:lang w:val="fr-FR"/>
        </w:rPr>
        <w:t>Point 2 h) de l’ordre du jour provisoire</w:t>
      </w:r>
    </w:p>
    <w:p w14:paraId="2816EABD" w14:textId="1C0A6416" w:rsidR="009C068C" w:rsidRPr="00451744" w:rsidRDefault="009C068C" w:rsidP="009C068C">
      <w:pPr>
        <w:rPr>
          <w:b/>
          <w:bCs/>
          <w:lang w:val="fr-FR"/>
        </w:rPr>
      </w:pPr>
      <w:r>
        <w:rPr>
          <w:b/>
          <w:bCs/>
          <w:lang w:val="fr-FR"/>
        </w:rPr>
        <w:t xml:space="preserve">Explosifs et questions connexes : </w:t>
      </w:r>
      <w:r>
        <w:rPr>
          <w:b/>
          <w:bCs/>
          <w:lang w:val="fr-FR"/>
        </w:rPr>
        <w:br/>
      </w:r>
      <w:r>
        <w:rPr>
          <w:b/>
          <w:bCs/>
          <w:lang w:val="fr-FR"/>
        </w:rPr>
        <w:t>autres questions</w:t>
      </w:r>
    </w:p>
    <w:p w14:paraId="12382B5B" w14:textId="339FFF1A" w:rsidR="009C068C" w:rsidRPr="00451744" w:rsidRDefault="009C068C" w:rsidP="009C068C">
      <w:pPr>
        <w:pStyle w:val="HChG"/>
        <w:rPr>
          <w:lang w:val="fr-FR"/>
        </w:rPr>
      </w:pPr>
      <w:r>
        <w:rPr>
          <w:lang w:val="fr-FR"/>
        </w:rPr>
        <w:tab/>
      </w:r>
      <w:r>
        <w:rPr>
          <w:lang w:val="fr-FR"/>
        </w:rPr>
        <w:tab/>
      </w:r>
      <w:r>
        <w:rPr>
          <w:lang w:val="fr-FR"/>
        </w:rPr>
        <w:tab/>
        <w:t xml:space="preserve">Proposition de modification de la définition des explosifs </w:t>
      </w:r>
      <w:r>
        <w:rPr>
          <w:lang w:val="fr-FR"/>
        </w:rPr>
        <w:br/>
      </w:r>
      <w:r>
        <w:rPr>
          <w:lang w:val="fr-FR"/>
        </w:rPr>
        <w:t>de la classe 1</w:t>
      </w:r>
    </w:p>
    <w:p w14:paraId="0FE3FB9B" w14:textId="77777777" w:rsidR="009C068C" w:rsidRPr="00451744" w:rsidRDefault="009C068C" w:rsidP="009C068C">
      <w:pPr>
        <w:pStyle w:val="H1G"/>
        <w:rPr>
          <w:lang w:val="fr-FR"/>
        </w:rPr>
      </w:pPr>
      <w:r>
        <w:rPr>
          <w:lang w:val="fr-FR"/>
        </w:rPr>
        <w:tab/>
      </w:r>
      <w:r>
        <w:rPr>
          <w:lang w:val="fr-FR"/>
        </w:rPr>
        <w:tab/>
      </w:r>
      <w:r w:rsidRPr="009C068C">
        <w:rPr>
          <w:lang w:val="en-US"/>
        </w:rPr>
        <w:t xml:space="preserve">Communication de </w:t>
      </w:r>
      <w:proofErr w:type="spellStart"/>
      <w:r w:rsidRPr="009C068C">
        <w:rPr>
          <w:lang w:val="en-US"/>
        </w:rPr>
        <w:t>l’Australasian</w:t>
      </w:r>
      <w:proofErr w:type="spellEnd"/>
      <w:r w:rsidRPr="009C068C">
        <w:rPr>
          <w:lang w:val="en-US"/>
        </w:rPr>
        <w:t xml:space="preserve"> Explosives Industry Safety Group Inc. </w:t>
      </w:r>
      <w:r>
        <w:rPr>
          <w:lang w:val="fr-FR"/>
        </w:rPr>
        <w:t>(AEISG)</w:t>
      </w:r>
      <w:r w:rsidRPr="009C068C">
        <w:rPr>
          <w:rStyle w:val="Appelnotedebasdep"/>
          <w:b w:val="0"/>
          <w:bCs/>
          <w:sz w:val="20"/>
          <w:vertAlign w:val="baseline"/>
          <w:lang w:val="fr-FR"/>
        </w:rPr>
        <w:footnoteReference w:customMarkFollows="1" w:id="2"/>
        <w:t>*</w:t>
      </w:r>
      <w:r>
        <w:rPr>
          <w:lang w:val="fr-FR"/>
        </w:rPr>
        <w:t xml:space="preserve"> </w:t>
      </w:r>
    </w:p>
    <w:p w14:paraId="38382FF7" w14:textId="77777777" w:rsidR="009C068C" w:rsidRPr="00451744" w:rsidRDefault="009C068C" w:rsidP="009C068C">
      <w:pPr>
        <w:pStyle w:val="HChG"/>
        <w:rPr>
          <w:lang w:val="fr-FR"/>
        </w:rPr>
      </w:pPr>
      <w:r>
        <w:rPr>
          <w:lang w:val="fr-FR"/>
        </w:rPr>
        <w:tab/>
      </w:r>
      <w:r>
        <w:rPr>
          <w:lang w:val="fr-FR"/>
        </w:rPr>
        <w:tab/>
        <w:t>Introduction</w:t>
      </w:r>
    </w:p>
    <w:p w14:paraId="5E94FB95" w14:textId="5DB70EDD" w:rsidR="009C068C" w:rsidRPr="00451744" w:rsidRDefault="009C068C" w:rsidP="009C068C">
      <w:pPr>
        <w:pStyle w:val="SingleTxtG"/>
        <w:rPr>
          <w:szCs w:val="21"/>
          <w:lang w:val="fr-FR"/>
        </w:rPr>
      </w:pPr>
      <w:r>
        <w:rPr>
          <w:lang w:val="fr-FR"/>
        </w:rPr>
        <w:t>1.</w:t>
      </w:r>
      <w:r>
        <w:rPr>
          <w:lang w:val="fr-FR"/>
        </w:rPr>
        <w:tab/>
        <w:t>La définition des matières et objets explosibles de la classe 1 est énoncée à la section</w:t>
      </w:r>
      <w:r>
        <w:rPr>
          <w:lang w:val="fr-FR"/>
        </w:rPr>
        <w:t> </w:t>
      </w:r>
      <w:r>
        <w:rPr>
          <w:lang w:val="fr-FR"/>
        </w:rPr>
        <w:t>2.1.1.1 du Règlement type annexé aux Recommandations de l’ONU relatives au transport des marchandises dangereuses. À la soixantième session du Sous-Comité d’experts du transport des marchandises dangereuses, l’expert de la Suède, au nom du groupe de travail informel des explosifs (chargé d’examiner la définition des matières et objets explosibles de la classe</w:t>
      </w:r>
      <w:r w:rsidR="004C499F">
        <w:rPr>
          <w:lang w:val="fr-FR"/>
        </w:rPr>
        <w:t> </w:t>
      </w:r>
      <w:r>
        <w:rPr>
          <w:lang w:val="fr-FR"/>
        </w:rPr>
        <w:t>1), a présenté le document INF.12, qui mettait en évidence un certain nombre d’ambiguïtés dans la définition et d’incohérences entre la définition et la procédure de classement des explosifs de la classe 1. Les auteurs du document proposaient que la définition énoncée au 2.1.1.1 du Règlement type soit modifiée.</w:t>
      </w:r>
    </w:p>
    <w:p w14:paraId="14846FB4" w14:textId="77777777" w:rsidR="009C068C" w:rsidRPr="00451744" w:rsidRDefault="009C068C" w:rsidP="009C068C">
      <w:pPr>
        <w:pStyle w:val="SingleTxtG"/>
        <w:rPr>
          <w:szCs w:val="21"/>
          <w:lang w:val="fr-FR"/>
        </w:rPr>
      </w:pPr>
      <w:r>
        <w:rPr>
          <w:lang w:val="fr-FR"/>
        </w:rPr>
        <w:t>2.</w:t>
      </w:r>
      <w:r>
        <w:rPr>
          <w:lang w:val="fr-FR"/>
        </w:rPr>
        <w:tab/>
        <w:t>Le groupe de travail informel a conclu que les travaux de la Suède avaient permis de mettre au jour de véritables problèmes et incohérences et qu’il faudrait approfondir la réflexion, en particulier au sujet de la proposition 1 concernant le 2.1.1.1 du Règlement type. Bien que n’étant pas favorable à ladite proposition à ce stade, il a estimé qu’il était important d’intégrer des éclaircissements et des orientations dans le Règlement type de manière à expliquer les incohérences.</w:t>
      </w:r>
    </w:p>
    <w:p w14:paraId="37BE076F" w14:textId="77777777" w:rsidR="009C068C" w:rsidRPr="00451744" w:rsidRDefault="009C068C" w:rsidP="009C068C">
      <w:pPr>
        <w:pStyle w:val="SingleTxtG"/>
        <w:rPr>
          <w:szCs w:val="21"/>
          <w:lang w:val="fr-FR"/>
        </w:rPr>
      </w:pPr>
      <w:r>
        <w:rPr>
          <w:lang w:val="fr-FR"/>
        </w:rPr>
        <w:t>3.</w:t>
      </w:r>
      <w:r>
        <w:rPr>
          <w:lang w:val="fr-FR"/>
        </w:rPr>
        <w:tab/>
        <w:t>Si, dans le document INF.12, la Suède propose de modifier sensiblement la définition des matières et objets explosibles de la classe 1 afin de régler plusieurs problèmes à la fois, l’AEISG estime pour sa part qu’en apportant une correction relativement mineure, mais importante, à la définition actuelle, on pourrait remédier à une incohérence majeure.</w:t>
      </w:r>
    </w:p>
    <w:p w14:paraId="10300C43" w14:textId="77777777" w:rsidR="009C068C" w:rsidRPr="00451744" w:rsidRDefault="009C068C" w:rsidP="009C068C">
      <w:pPr>
        <w:pStyle w:val="HChG"/>
        <w:rPr>
          <w:lang w:val="fr-FR"/>
        </w:rPr>
      </w:pPr>
      <w:r>
        <w:rPr>
          <w:lang w:val="fr-FR"/>
        </w:rPr>
        <w:lastRenderedPageBreak/>
        <w:tab/>
      </w:r>
      <w:r>
        <w:rPr>
          <w:lang w:val="fr-FR"/>
        </w:rPr>
        <w:tab/>
        <w:t>Contexte</w:t>
      </w:r>
    </w:p>
    <w:p w14:paraId="1E531F23" w14:textId="36EF0B60" w:rsidR="009C068C" w:rsidRPr="00451744" w:rsidRDefault="009C068C" w:rsidP="009C068C">
      <w:pPr>
        <w:pStyle w:val="SingleTxtG"/>
        <w:rPr>
          <w:lang w:val="fr-FR"/>
        </w:rPr>
      </w:pPr>
      <w:r>
        <w:rPr>
          <w:lang w:val="fr-FR"/>
        </w:rPr>
        <w:t>4.</w:t>
      </w:r>
      <w:r>
        <w:rPr>
          <w:lang w:val="fr-FR"/>
        </w:rPr>
        <w:tab/>
        <w:t>Les matières et objets explosibles qui sont trop dangereux pour être transportés ne sont pas inclus dans la classe 1. Les essais de stabilité et de sensibilité décrits dans les séries d’épreuves 3 et 4 du Manuel d’épreuves et de critères sont utilisés dans la procédure de classement pour déterminer si un produit doit ou non être accepté dans la classe 1 (voir</w:t>
      </w:r>
      <w:r w:rsidR="001C21CB">
        <w:rPr>
          <w:lang w:val="fr-FR"/>
        </w:rPr>
        <w:t xml:space="preserve"> le </w:t>
      </w:r>
      <w:r>
        <w:rPr>
          <w:lang w:val="fr-FR"/>
        </w:rPr>
        <w:t>2.1.3.3 du Règlement type).</w:t>
      </w:r>
    </w:p>
    <w:p w14:paraId="75DE4F6A" w14:textId="17F15785" w:rsidR="009C068C" w:rsidRPr="00451744" w:rsidRDefault="009C068C" w:rsidP="009C068C">
      <w:pPr>
        <w:pStyle w:val="SingleTxtG"/>
        <w:rPr>
          <w:lang w:val="fr-FR"/>
        </w:rPr>
      </w:pPr>
      <w:r>
        <w:rPr>
          <w:lang w:val="fr-FR"/>
        </w:rPr>
        <w:t>5.</w:t>
      </w:r>
      <w:r>
        <w:rPr>
          <w:lang w:val="fr-FR"/>
        </w:rPr>
        <w:tab/>
        <w:t>En ce qui concerne les objets explosibles, les épreuves de la série 4 visent à répondre à la question suivante : «</w:t>
      </w:r>
      <w:r w:rsidR="001C21CB">
        <w:rPr>
          <w:lang w:val="fr-FR"/>
        </w:rPr>
        <w:t> </w:t>
      </w:r>
      <w:r>
        <w:rPr>
          <w:lang w:val="fr-FR"/>
        </w:rPr>
        <w:t>L’objet, l’objet emballé ou la matière emballée sont-ils trop dangereux pour être transporté</w:t>
      </w:r>
      <w:r w:rsidR="001C21CB">
        <w:rPr>
          <w:lang w:val="fr-FR"/>
        </w:rPr>
        <w:t>s </w:t>
      </w:r>
      <w:r>
        <w:rPr>
          <w:lang w:val="fr-FR"/>
        </w:rPr>
        <w:t xml:space="preserve">? » (case 16 de la figure 10.2 du </w:t>
      </w:r>
      <w:r w:rsidR="00D1779A">
        <w:rPr>
          <w:lang w:val="fr-FR"/>
        </w:rPr>
        <w:t>Manuel d’épreuves et de critères</w:t>
      </w:r>
      <w:r>
        <w:rPr>
          <w:lang w:val="fr-FR"/>
        </w:rPr>
        <w:t>).</w:t>
      </w:r>
      <w:r w:rsidR="00803F25">
        <w:rPr>
          <w:lang w:val="fr-FR"/>
        </w:rPr>
        <w:t xml:space="preserve"> </w:t>
      </w:r>
      <w:r>
        <w:rPr>
          <w:lang w:val="fr-FR"/>
        </w:rPr>
        <w:t>Tout objet explosible qui ne réussit pas les épreuves de la série 4 est exclu de la classe 1 (case 17 de la figure</w:t>
      </w:r>
      <w:r w:rsidR="001C21CB">
        <w:rPr>
          <w:lang w:val="fr-FR"/>
        </w:rPr>
        <w:t> </w:t>
      </w:r>
      <w:r>
        <w:rPr>
          <w:lang w:val="fr-FR"/>
        </w:rPr>
        <w:t>10.2 du Manuel).</w:t>
      </w:r>
    </w:p>
    <w:p w14:paraId="6C997D35" w14:textId="70D47BD2" w:rsidR="009C068C" w:rsidRPr="00451744" w:rsidRDefault="009C068C" w:rsidP="009C068C">
      <w:pPr>
        <w:pStyle w:val="SingleTxtG"/>
        <w:rPr>
          <w:lang w:val="fr-FR"/>
        </w:rPr>
      </w:pPr>
      <w:r>
        <w:rPr>
          <w:lang w:val="fr-FR"/>
        </w:rPr>
        <w:t>6.</w:t>
      </w:r>
      <w:r>
        <w:rPr>
          <w:lang w:val="fr-FR"/>
        </w:rPr>
        <w:tab/>
        <w:t xml:space="preserve">La définition de la classe 1, telle qu’elle est actuellement énoncée au 2.1.1.1 du Règlement type, exclut les matières explosibles trop dangereuses pour être transportées, mais pas les objets explosibles trop dangereux pour être transportés, contrairement à ce qui est prévu et illustré par la procédure de classement (voir </w:t>
      </w:r>
      <w:r w:rsidR="00F709FA">
        <w:rPr>
          <w:lang w:val="fr-FR"/>
        </w:rPr>
        <w:t xml:space="preserve">la </w:t>
      </w:r>
      <w:r>
        <w:rPr>
          <w:lang w:val="fr-FR"/>
        </w:rPr>
        <w:t>figure 10.2 du Manuel d’épreuves et de critères).</w:t>
      </w:r>
    </w:p>
    <w:p w14:paraId="57654314" w14:textId="77777777" w:rsidR="009C068C" w:rsidRPr="00451744" w:rsidRDefault="009C068C" w:rsidP="00F709FA">
      <w:pPr>
        <w:pStyle w:val="HChG"/>
        <w:rPr>
          <w:lang w:val="fr-FR"/>
        </w:rPr>
      </w:pPr>
      <w:r>
        <w:rPr>
          <w:lang w:val="fr-FR"/>
        </w:rPr>
        <w:tab/>
      </w:r>
      <w:r>
        <w:rPr>
          <w:lang w:val="fr-FR"/>
        </w:rPr>
        <w:tab/>
        <w:t>Proposition</w:t>
      </w:r>
    </w:p>
    <w:p w14:paraId="62CB3499" w14:textId="04ED2BA6" w:rsidR="009C068C" w:rsidRPr="00451744" w:rsidRDefault="009C068C" w:rsidP="00F709FA">
      <w:pPr>
        <w:pStyle w:val="SingleTxtG"/>
        <w:keepNext/>
        <w:rPr>
          <w:lang w:val="fr-FR"/>
        </w:rPr>
      </w:pPr>
      <w:r>
        <w:rPr>
          <w:lang w:val="fr-FR"/>
        </w:rPr>
        <w:t>7.</w:t>
      </w:r>
      <w:r>
        <w:rPr>
          <w:lang w:val="fr-FR"/>
        </w:rPr>
        <w:tab/>
        <w:t xml:space="preserve">Pour corriger cette grosse incohérence, il est proposé de modifier comme suit la définition des matières et objets explosibles de la classe 1, telle qu’elle figure au 2.1.1.1 du Règlement type (les ajouts sont </w:t>
      </w:r>
      <w:r>
        <w:rPr>
          <w:u w:val="single"/>
          <w:lang w:val="fr-FR"/>
        </w:rPr>
        <w:t>soulignés</w:t>
      </w:r>
      <w:r>
        <w:rPr>
          <w:lang w:val="fr-FR"/>
        </w:rPr>
        <w:t xml:space="preserve">, les suppressions sont </w:t>
      </w:r>
      <w:r>
        <w:rPr>
          <w:strike/>
          <w:lang w:val="fr-FR"/>
        </w:rPr>
        <w:t>biffées</w:t>
      </w:r>
      <w:r>
        <w:rPr>
          <w:lang w:val="fr-FR"/>
        </w:rPr>
        <w:t>)</w:t>
      </w:r>
      <w:r w:rsidR="00F709FA">
        <w:rPr>
          <w:lang w:val="fr-FR"/>
        </w:rPr>
        <w:t> :</w:t>
      </w:r>
    </w:p>
    <w:p w14:paraId="28ADC5B9" w14:textId="716BF784" w:rsidR="009C068C" w:rsidRPr="00451744" w:rsidRDefault="009C068C" w:rsidP="00F709FA">
      <w:pPr>
        <w:pStyle w:val="SingleTxtG"/>
        <w:keepNext/>
        <w:ind w:left="2268" w:hanging="1134"/>
        <w:rPr>
          <w:lang w:val="fr-FR"/>
        </w:rPr>
      </w:pPr>
      <w:r>
        <w:rPr>
          <w:lang w:val="fr-FR"/>
        </w:rPr>
        <w:t>« 2.1.1.1</w:t>
      </w:r>
      <w:r>
        <w:rPr>
          <w:lang w:val="fr-FR"/>
        </w:rPr>
        <w:tab/>
        <w:t>La classe 1 comprend</w:t>
      </w:r>
      <w:r w:rsidR="00F709FA">
        <w:rPr>
          <w:lang w:val="fr-FR"/>
        </w:rPr>
        <w:t> :</w:t>
      </w:r>
    </w:p>
    <w:p w14:paraId="69F143DD" w14:textId="67C5653A" w:rsidR="002C459B" w:rsidRDefault="009C068C" w:rsidP="002C459B">
      <w:pPr>
        <w:pStyle w:val="SingleTxtG"/>
        <w:ind w:left="2835" w:hanging="567"/>
        <w:rPr>
          <w:lang w:val="fr-FR"/>
        </w:rPr>
      </w:pPr>
      <w:r>
        <w:rPr>
          <w:lang w:val="fr-FR"/>
        </w:rPr>
        <w:t>a)</w:t>
      </w:r>
      <w:r>
        <w:rPr>
          <w:lang w:val="fr-FR"/>
        </w:rPr>
        <w:tab/>
      </w:r>
      <w:r w:rsidR="00F709FA">
        <w:rPr>
          <w:lang w:val="fr-FR"/>
        </w:rPr>
        <w:t>L</w:t>
      </w:r>
      <w:r>
        <w:rPr>
          <w:lang w:val="fr-FR"/>
        </w:rPr>
        <w:t>es matières explosibles (une matière qui, sans être elle-même explosible, peut former un mélange explosif si elle est présente sous forme de gaz, vapeurs ou poussières, ne relève pas de la classe 1), à l’exception de celles qui sont trop dangereuses pour être transportées et de celles dont le risque principal relève d’une autre classe</w:t>
      </w:r>
      <w:r w:rsidR="002C459B">
        <w:rPr>
          <w:lang w:val="fr-FR"/>
        </w:rPr>
        <w:t> </w:t>
      </w:r>
      <w:r>
        <w:rPr>
          <w:lang w:val="fr-FR"/>
        </w:rPr>
        <w:t>;</w:t>
      </w:r>
    </w:p>
    <w:p w14:paraId="31DE104B" w14:textId="2C81770B" w:rsidR="009C068C" w:rsidRPr="00451744" w:rsidRDefault="009C068C" w:rsidP="002C459B">
      <w:pPr>
        <w:pStyle w:val="SingleTxtG"/>
        <w:ind w:left="2835" w:hanging="567"/>
        <w:rPr>
          <w:lang w:val="fr-FR"/>
        </w:rPr>
      </w:pPr>
      <w:r>
        <w:rPr>
          <w:lang w:val="fr-FR"/>
        </w:rPr>
        <w:t>b)</w:t>
      </w:r>
      <w:r>
        <w:rPr>
          <w:lang w:val="fr-FR"/>
        </w:rPr>
        <w:tab/>
      </w:r>
      <w:r w:rsidR="002C459B">
        <w:rPr>
          <w:lang w:val="fr-FR"/>
        </w:rPr>
        <w:t>L</w:t>
      </w:r>
      <w:r>
        <w:rPr>
          <w:lang w:val="fr-FR"/>
        </w:rPr>
        <w:t xml:space="preserve">es objets explosibles, à l’exception </w:t>
      </w:r>
      <w:r>
        <w:rPr>
          <w:u w:val="single"/>
          <w:lang w:val="fr-FR"/>
        </w:rPr>
        <w:t>de ceux qui sont trop dangereux pour être transportés ou qui contiennent</w:t>
      </w:r>
      <w:r w:rsidRPr="009B6783">
        <w:rPr>
          <w:strike/>
          <w:lang w:val="fr-FR"/>
        </w:rPr>
        <w:t xml:space="preserve"> </w:t>
      </w:r>
      <w:r>
        <w:rPr>
          <w:strike/>
          <w:lang w:val="fr-FR"/>
        </w:rPr>
        <w:t>des engins</w:t>
      </w:r>
      <w:r w:rsidRPr="00212914">
        <w:rPr>
          <w:strike/>
          <w:lang w:val="fr-FR"/>
        </w:rPr>
        <w:t xml:space="preserve"> contenant</w:t>
      </w:r>
      <w:r>
        <w:rPr>
          <w:lang w:val="fr-FR"/>
        </w:rPr>
        <w:t xml:space="preserve"> des matières explosibles en quantité ou d’une nature telles que leur inflammation ou leur amorçage par erreur ou par accident au cours du transport n’entraîne aucun effet de projection, de feu, de fumée, de chaleur ou de bruit intense extérieur à l’engin (voir </w:t>
      </w:r>
      <w:r w:rsidR="009B6783">
        <w:rPr>
          <w:lang w:val="fr-FR"/>
        </w:rPr>
        <w:t xml:space="preserve">le </w:t>
      </w:r>
      <w:r>
        <w:rPr>
          <w:lang w:val="fr-FR"/>
        </w:rPr>
        <w:t>2.1.3.6)</w:t>
      </w:r>
      <w:r w:rsidR="00511F2A">
        <w:rPr>
          <w:lang w:val="fr-FR"/>
        </w:rPr>
        <w:t> </w:t>
      </w:r>
      <w:r>
        <w:rPr>
          <w:lang w:val="fr-FR"/>
        </w:rPr>
        <w:t>; et</w:t>
      </w:r>
    </w:p>
    <w:p w14:paraId="26A3E164" w14:textId="54C9A91A" w:rsidR="00446FE5" w:rsidRDefault="009C068C" w:rsidP="002C459B">
      <w:pPr>
        <w:pStyle w:val="SingleTxtG"/>
        <w:ind w:left="2835" w:hanging="567"/>
        <w:rPr>
          <w:lang w:val="fr-FR"/>
        </w:rPr>
      </w:pPr>
      <w:r>
        <w:rPr>
          <w:lang w:val="fr-FR"/>
        </w:rPr>
        <w:t>c)</w:t>
      </w:r>
      <w:r>
        <w:rPr>
          <w:lang w:val="fr-FR"/>
        </w:rPr>
        <w:tab/>
      </w:r>
      <w:r w:rsidR="002C459B">
        <w:rPr>
          <w:lang w:val="fr-FR"/>
        </w:rPr>
        <w:t>L</w:t>
      </w:r>
      <w:r>
        <w:rPr>
          <w:lang w:val="fr-FR"/>
        </w:rPr>
        <w:t>es matières et objets non mentionnés sous a) et b) ci-dessus qui sont fabriqués en vue de produire un effet pratique par explosion ou effet pyrotechnique</w:t>
      </w:r>
      <w:r w:rsidR="002C459B">
        <w:rPr>
          <w:lang w:val="fr-FR"/>
        </w:rPr>
        <w:t>.</w:t>
      </w:r>
      <w:r>
        <w:rPr>
          <w:lang w:val="fr-FR"/>
        </w:rPr>
        <w:t> ».</w:t>
      </w:r>
    </w:p>
    <w:p w14:paraId="5769251C" w14:textId="77C174C4" w:rsidR="00511F2A" w:rsidRPr="00511F2A" w:rsidRDefault="00511F2A" w:rsidP="00511F2A">
      <w:pPr>
        <w:pStyle w:val="SingleTxtG"/>
        <w:spacing w:before="240" w:after="0"/>
        <w:jc w:val="center"/>
        <w:rPr>
          <w:u w:val="single"/>
        </w:rPr>
      </w:pPr>
      <w:r>
        <w:rPr>
          <w:u w:val="single"/>
        </w:rPr>
        <w:tab/>
      </w:r>
      <w:r>
        <w:rPr>
          <w:u w:val="single"/>
        </w:rPr>
        <w:tab/>
      </w:r>
      <w:r>
        <w:rPr>
          <w:u w:val="single"/>
        </w:rPr>
        <w:tab/>
      </w:r>
    </w:p>
    <w:sectPr w:rsidR="00511F2A" w:rsidRPr="00511F2A" w:rsidSect="00BE0DF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1698" w14:textId="77777777" w:rsidR="004D246B" w:rsidRDefault="004D246B" w:rsidP="00F95C08">
      <w:pPr>
        <w:spacing w:line="240" w:lineRule="auto"/>
      </w:pPr>
    </w:p>
  </w:endnote>
  <w:endnote w:type="continuationSeparator" w:id="0">
    <w:p w14:paraId="556E8CCF" w14:textId="77777777" w:rsidR="004D246B" w:rsidRPr="00AC3823" w:rsidRDefault="004D246B" w:rsidP="00AC3823">
      <w:pPr>
        <w:pStyle w:val="Pieddepage"/>
      </w:pPr>
    </w:p>
  </w:endnote>
  <w:endnote w:type="continuationNotice" w:id="1">
    <w:p w14:paraId="21884895" w14:textId="77777777" w:rsidR="004D246B" w:rsidRDefault="004D24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A1C2" w14:textId="22CE7992" w:rsidR="00BE0DF3" w:rsidRPr="00BE0DF3" w:rsidRDefault="00BE0DF3" w:rsidP="00BE0DF3">
    <w:pPr>
      <w:pStyle w:val="Pieddepage"/>
      <w:tabs>
        <w:tab w:val="right" w:pos="9638"/>
      </w:tabs>
    </w:pPr>
    <w:r w:rsidRPr="00BE0DF3">
      <w:rPr>
        <w:b/>
        <w:sz w:val="18"/>
      </w:rPr>
      <w:fldChar w:fldCharType="begin"/>
    </w:r>
    <w:r w:rsidRPr="00BE0DF3">
      <w:rPr>
        <w:b/>
        <w:sz w:val="18"/>
      </w:rPr>
      <w:instrText xml:space="preserve"> PAGE  \* MERGEFORMAT </w:instrText>
    </w:r>
    <w:r w:rsidRPr="00BE0DF3">
      <w:rPr>
        <w:b/>
        <w:sz w:val="18"/>
      </w:rPr>
      <w:fldChar w:fldCharType="separate"/>
    </w:r>
    <w:r w:rsidRPr="00BE0DF3">
      <w:rPr>
        <w:b/>
        <w:noProof/>
        <w:sz w:val="18"/>
      </w:rPr>
      <w:t>2</w:t>
    </w:r>
    <w:r w:rsidRPr="00BE0DF3">
      <w:rPr>
        <w:b/>
        <w:sz w:val="18"/>
      </w:rPr>
      <w:fldChar w:fldCharType="end"/>
    </w:r>
    <w:r>
      <w:rPr>
        <w:b/>
        <w:sz w:val="18"/>
      </w:rPr>
      <w:tab/>
    </w:r>
    <w:r>
      <w:t>GE.23-07491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DCD9" w14:textId="5473F418" w:rsidR="00BE0DF3" w:rsidRPr="00BE0DF3" w:rsidRDefault="00BE0DF3" w:rsidP="00BE0DF3">
    <w:pPr>
      <w:pStyle w:val="Pieddepage"/>
      <w:tabs>
        <w:tab w:val="right" w:pos="9638"/>
      </w:tabs>
      <w:rPr>
        <w:b/>
        <w:sz w:val="18"/>
      </w:rPr>
    </w:pPr>
    <w:r>
      <w:t>GE.23-07491</w:t>
    </w:r>
    <w:r>
      <w:tab/>
    </w:r>
    <w:r w:rsidRPr="00BE0DF3">
      <w:rPr>
        <w:b/>
        <w:sz w:val="18"/>
      </w:rPr>
      <w:fldChar w:fldCharType="begin"/>
    </w:r>
    <w:r w:rsidRPr="00BE0DF3">
      <w:rPr>
        <w:b/>
        <w:sz w:val="18"/>
      </w:rPr>
      <w:instrText xml:space="preserve"> PAGE  \* MERGEFORMAT </w:instrText>
    </w:r>
    <w:r w:rsidRPr="00BE0DF3">
      <w:rPr>
        <w:b/>
        <w:sz w:val="18"/>
      </w:rPr>
      <w:fldChar w:fldCharType="separate"/>
    </w:r>
    <w:r w:rsidRPr="00BE0DF3">
      <w:rPr>
        <w:b/>
        <w:noProof/>
        <w:sz w:val="18"/>
      </w:rPr>
      <w:t>3</w:t>
    </w:r>
    <w:r w:rsidRPr="00BE0D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A5D1" w14:textId="29259A10" w:rsidR="0068456F" w:rsidRPr="00BE0DF3" w:rsidRDefault="00BE0DF3" w:rsidP="00BE0DF3">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A9B6257" wp14:editId="3637096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23-07491  (F)</w:t>
    </w:r>
    <w:r>
      <w:rPr>
        <w:noProof/>
        <w:sz w:val="20"/>
      </w:rPr>
      <w:drawing>
        <wp:anchor distT="0" distB="0" distL="114300" distR="114300" simplePos="0" relativeHeight="251660288" behindDoc="0" locked="0" layoutInCell="1" allowOverlap="1" wp14:anchorId="41BE5F88" wp14:editId="3425CBF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150523    150523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539E" w14:textId="77777777" w:rsidR="004D246B" w:rsidRPr="00AC3823" w:rsidRDefault="004D246B" w:rsidP="00AC3823">
      <w:pPr>
        <w:pStyle w:val="Pieddepage"/>
        <w:tabs>
          <w:tab w:val="right" w:pos="2155"/>
        </w:tabs>
        <w:spacing w:after="80" w:line="240" w:lineRule="atLeast"/>
        <w:ind w:left="680"/>
        <w:rPr>
          <w:u w:val="single"/>
        </w:rPr>
      </w:pPr>
      <w:r>
        <w:rPr>
          <w:u w:val="single"/>
        </w:rPr>
        <w:tab/>
      </w:r>
    </w:p>
  </w:footnote>
  <w:footnote w:type="continuationSeparator" w:id="0">
    <w:p w14:paraId="0258596A" w14:textId="77777777" w:rsidR="004D246B" w:rsidRPr="00AC3823" w:rsidRDefault="004D246B" w:rsidP="00AC3823">
      <w:pPr>
        <w:pStyle w:val="Pieddepage"/>
        <w:tabs>
          <w:tab w:val="right" w:pos="2155"/>
        </w:tabs>
        <w:spacing w:after="80" w:line="240" w:lineRule="atLeast"/>
        <w:ind w:left="680"/>
        <w:rPr>
          <w:u w:val="single"/>
        </w:rPr>
      </w:pPr>
      <w:r>
        <w:rPr>
          <w:u w:val="single"/>
        </w:rPr>
        <w:tab/>
      </w:r>
    </w:p>
  </w:footnote>
  <w:footnote w:type="continuationNotice" w:id="1">
    <w:p w14:paraId="2C4F6581" w14:textId="77777777" w:rsidR="004D246B" w:rsidRPr="00AC3823" w:rsidRDefault="004D246B">
      <w:pPr>
        <w:spacing w:line="240" w:lineRule="auto"/>
        <w:rPr>
          <w:sz w:val="2"/>
          <w:szCs w:val="2"/>
        </w:rPr>
      </w:pPr>
    </w:p>
  </w:footnote>
  <w:footnote w:id="2">
    <w:p w14:paraId="101D0064" w14:textId="77777777" w:rsidR="009C068C" w:rsidRPr="005D4FAF" w:rsidRDefault="009C068C" w:rsidP="009C068C">
      <w:pPr>
        <w:pStyle w:val="Notedebasdepage"/>
      </w:pPr>
      <w:r>
        <w:rPr>
          <w:lang w:val="fr-FR"/>
        </w:rPr>
        <w:tab/>
      </w:r>
      <w:r w:rsidRPr="009C068C">
        <w:rPr>
          <w:sz w:val="20"/>
          <w:lang w:val="fr-FR"/>
        </w:rPr>
        <w:t>*</w:t>
      </w:r>
      <w:r>
        <w:rPr>
          <w:lang w:val="fr-FR"/>
        </w:rPr>
        <w:tab/>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39CE" w14:textId="5BB65DC3" w:rsidR="00BE0DF3" w:rsidRPr="00BE0DF3" w:rsidRDefault="00BE0DF3">
    <w:pPr>
      <w:pStyle w:val="En-tte"/>
    </w:pPr>
    <w:fldSimple w:instr=" TITLE  \* MERGEFORMAT ">
      <w:r>
        <w:t>ST/SG/AC.10/C.3/2023/18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A934" w14:textId="00F4FC7C" w:rsidR="00BE0DF3" w:rsidRPr="00BE0DF3" w:rsidRDefault="00BE0DF3" w:rsidP="00BE0DF3">
    <w:pPr>
      <w:pStyle w:val="En-tte"/>
      <w:jc w:val="right"/>
    </w:pPr>
    <w:fldSimple w:instr=" TITLE  \* MERGEFORMAT ">
      <w:r>
        <w:t>ST/SG/AC.10/C.3/2023/18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35556607">
    <w:abstractNumId w:val="12"/>
  </w:num>
  <w:num w:numId="2" w16cid:durableId="1246384245">
    <w:abstractNumId w:val="11"/>
  </w:num>
  <w:num w:numId="3" w16cid:durableId="1820537961">
    <w:abstractNumId w:val="10"/>
  </w:num>
  <w:num w:numId="4" w16cid:durableId="2323685">
    <w:abstractNumId w:val="8"/>
  </w:num>
  <w:num w:numId="5" w16cid:durableId="554853610">
    <w:abstractNumId w:val="3"/>
  </w:num>
  <w:num w:numId="6" w16cid:durableId="1690716373">
    <w:abstractNumId w:val="2"/>
  </w:num>
  <w:num w:numId="7" w16cid:durableId="1327050524">
    <w:abstractNumId w:val="1"/>
  </w:num>
  <w:num w:numId="8" w16cid:durableId="1581284693">
    <w:abstractNumId w:val="0"/>
  </w:num>
  <w:num w:numId="9" w16cid:durableId="1640459108">
    <w:abstractNumId w:val="9"/>
  </w:num>
  <w:num w:numId="10" w16cid:durableId="1340347630">
    <w:abstractNumId w:val="7"/>
  </w:num>
  <w:num w:numId="11" w16cid:durableId="2019309154">
    <w:abstractNumId w:val="6"/>
  </w:num>
  <w:num w:numId="12" w16cid:durableId="1530341414">
    <w:abstractNumId w:val="5"/>
  </w:num>
  <w:num w:numId="13" w16cid:durableId="460926266">
    <w:abstractNumId w:val="4"/>
  </w:num>
  <w:num w:numId="14" w16cid:durableId="324481453">
    <w:abstractNumId w:val="12"/>
  </w:num>
  <w:num w:numId="15" w16cid:durableId="549728717">
    <w:abstractNumId w:val="11"/>
  </w:num>
  <w:num w:numId="16" w16cid:durableId="10090220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6B"/>
    <w:rsid w:val="00017F94"/>
    <w:rsid w:val="00023842"/>
    <w:rsid w:val="000305D3"/>
    <w:rsid w:val="000334F9"/>
    <w:rsid w:val="0007796D"/>
    <w:rsid w:val="000B7790"/>
    <w:rsid w:val="00111F2F"/>
    <w:rsid w:val="00132EA9"/>
    <w:rsid w:val="0014365E"/>
    <w:rsid w:val="00172E49"/>
    <w:rsid w:val="00176178"/>
    <w:rsid w:val="001C21CB"/>
    <w:rsid w:val="001F525A"/>
    <w:rsid w:val="00223272"/>
    <w:rsid w:val="0024779E"/>
    <w:rsid w:val="00283190"/>
    <w:rsid w:val="002832AC"/>
    <w:rsid w:val="002C459B"/>
    <w:rsid w:val="002D7C93"/>
    <w:rsid w:val="00441C3B"/>
    <w:rsid w:val="00446FE5"/>
    <w:rsid w:val="00452396"/>
    <w:rsid w:val="004C499F"/>
    <w:rsid w:val="004D246B"/>
    <w:rsid w:val="004E468C"/>
    <w:rsid w:val="00511F2A"/>
    <w:rsid w:val="005505B7"/>
    <w:rsid w:val="00573BE5"/>
    <w:rsid w:val="00584DC4"/>
    <w:rsid w:val="00586ED3"/>
    <w:rsid w:val="00596AA9"/>
    <w:rsid w:val="0068456F"/>
    <w:rsid w:val="0071601D"/>
    <w:rsid w:val="007A62E6"/>
    <w:rsid w:val="00803F25"/>
    <w:rsid w:val="0080684C"/>
    <w:rsid w:val="008123E0"/>
    <w:rsid w:val="00871C75"/>
    <w:rsid w:val="008776DC"/>
    <w:rsid w:val="008B40CD"/>
    <w:rsid w:val="009705C8"/>
    <w:rsid w:val="009B6783"/>
    <w:rsid w:val="009C068C"/>
    <w:rsid w:val="009C1CF4"/>
    <w:rsid w:val="00A30353"/>
    <w:rsid w:val="00A74F38"/>
    <w:rsid w:val="00A81281"/>
    <w:rsid w:val="00AC3823"/>
    <w:rsid w:val="00AE323C"/>
    <w:rsid w:val="00B00181"/>
    <w:rsid w:val="00B00B0D"/>
    <w:rsid w:val="00B765F7"/>
    <w:rsid w:val="00BA0CA9"/>
    <w:rsid w:val="00BE0DF3"/>
    <w:rsid w:val="00C02897"/>
    <w:rsid w:val="00D1779A"/>
    <w:rsid w:val="00D3439C"/>
    <w:rsid w:val="00DB1831"/>
    <w:rsid w:val="00DD3BFD"/>
    <w:rsid w:val="00DF6678"/>
    <w:rsid w:val="00EF2E22"/>
    <w:rsid w:val="00F01738"/>
    <w:rsid w:val="00F660DF"/>
    <w:rsid w:val="00F709FA"/>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E7A22"/>
  <w15:docId w15:val="{A16F6DBD-308C-4037-85EE-9C932034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9C068C"/>
    <w:rPr>
      <w:rFonts w:ascii="Times New Roman" w:eastAsiaTheme="minorHAnsi" w:hAnsi="Times New Roman" w:cs="Times New Roman"/>
      <w:b/>
      <w:sz w:val="28"/>
      <w:szCs w:val="20"/>
      <w:lang w:eastAsia="en-US"/>
    </w:rPr>
  </w:style>
  <w:style w:type="character" w:customStyle="1" w:styleId="H1GChar">
    <w:name w:val="_ H_1_G Char"/>
    <w:link w:val="H1G"/>
    <w:locked/>
    <w:rsid w:val="009C068C"/>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9C068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736F2D-F2BC-4825-BE5E-25F4A4D0A07F}"/>
</file>

<file path=customXml/itemProps2.xml><?xml version="1.0" encoding="utf-8"?>
<ds:datastoreItem xmlns:ds="http://schemas.openxmlformats.org/officeDocument/2006/customXml" ds:itemID="{A73C0AA3-1067-474E-BA8F-F73F7696A318}"/>
</file>

<file path=docProps/app.xml><?xml version="1.0" encoding="utf-8"?>
<Properties xmlns="http://schemas.openxmlformats.org/officeDocument/2006/extended-properties" xmlns:vt="http://schemas.openxmlformats.org/officeDocument/2006/docPropsVTypes">
  <Template>ST.dotm</Template>
  <TotalTime>77</TotalTime>
  <Pages>2</Pages>
  <Words>540</Words>
  <Characters>4139</Characters>
  <Application>Microsoft Office Word</Application>
  <DocSecurity>0</DocSecurity>
  <Lines>1379</Lines>
  <Paragraphs>389</Paragraphs>
  <ScaleCrop>false</ScaleCrop>
  <HeadingPairs>
    <vt:vector size="2" baseType="variant">
      <vt:variant>
        <vt:lpstr>Titre</vt:lpstr>
      </vt:variant>
      <vt:variant>
        <vt:i4>1</vt:i4>
      </vt:variant>
    </vt:vector>
  </HeadingPairs>
  <TitlesOfParts>
    <vt:vector size="1" baseType="lpstr">
      <vt:lpstr>ST/SG/AC.10/C.3/2023/18</vt:lpstr>
    </vt:vector>
  </TitlesOfParts>
  <Company>DCM</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ST/SG/AC.10/C.3/2023/18</dc:title>
  <dc:subject/>
  <dc:creator>Nathalie VITTOZ</dc:creator>
  <cp:keywords/>
  <cp:lastModifiedBy>Nathalie Vittoz</cp:lastModifiedBy>
  <cp:revision>2</cp:revision>
  <cp:lastPrinted>2014-05-14T10:59:00Z</cp:lastPrinted>
  <dcterms:created xsi:type="dcterms:W3CDTF">2023-05-15T12:15:00Z</dcterms:created>
  <dcterms:modified xsi:type="dcterms:W3CDTF">2023-05-15T12:15:00Z</dcterms:modified>
</cp:coreProperties>
</file>