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D8C6011" w14:textId="77777777" w:rsidTr="006476E1">
        <w:trPr>
          <w:trHeight w:val="851"/>
        </w:trPr>
        <w:tc>
          <w:tcPr>
            <w:tcW w:w="1259" w:type="dxa"/>
            <w:tcBorders>
              <w:top w:val="nil"/>
              <w:left w:val="nil"/>
              <w:bottom w:val="single" w:sz="4" w:space="0" w:color="auto"/>
              <w:right w:val="nil"/>
            </w:tcBorders>
          </w:tcPr>
          <w:p w14:paraId="50653712" w14:textId="77777777" w:rsidR="00E52109" w:rsidRPr="002A32CB" w:rsidRDefault="00E52109" w:rsidP="004858F5"/>
        </w:tc>
        <w:tc>
          <w:tcPr>
            <w:tcW w:w="2236" w:type="dxa"/>
            <w:tcBorders>
              <w:top w:val="nil"/>
              <w:left w:val="nil"/>
              <w:bottom w:val="single" w:sz="4" w:space="0" w:color="auto"/>
              <w:right w:val="nil"/>
            </w:tcBorders>
            <w:vAlign w:val="bottom"/>
          </w:tcPr>
          <w:p w14:paraId="55FE8D8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1881B4F" w14:textId="0D58DFE8" w:rsidR="00E52109" w:rsidRDefault="009F0D0D" w:rsidP="009F0D0D">
            <w:pPr>
              <w:suppressAutoHyphens w:val="0"/>
              <w:jc w:val="right"/>
            </w:pPr>
            <w:r w:rsidRPr="009F0D0D">
              <w:rPr>
                <w:sz w:val="40"/>
              </w:rPr>
              <w:t>ST</w:t>
            </w:r>
            <w:r>
              <w:t>/SG/AC.10/C.3/2023/14</w:t>
            </w:r>
          </w:p>
        </w:tc>
      </w:tr>
      <w:tr w:rsidR="00E52109" w14:paraId="4A44712A" w14:textId="77777777" w:rsidTr="006476E1">
        <w:trPr>
          <w:trHeight w:val="2835"/>
        </w:trPr>
        <w:tc>
          <w:tcPr>
            <w:tcW w:w="1259" w:type="dxa"/>
            <w:tcBorders>
              <w:top w:val="single" w:sz="4" w:space="0" w:color="auto"/>
              <w:left w:val="nil"/>
              <w:bottom w:val="single" w:sz="12" w:space="0" w:color="auto"/>
              <w:right w:val="nil"/>
            </w:tcBorders>
          </w:tcPr>
          <w:p w14:paraId="0D4E5920" w14:textId="77777777" w:rsidR="00E52109" w:rsidRDefault="00E52109" w:rsidP="006476E1">
            <w:pPr>
              <w:spacing w:before="120"/>
              <w:jc w:val="center"/>
            </w:pPr>
            <w:r>
              <w:rPr>
                <w:noProof/>
                <w:lang w:val="fr-CH" w:eastAsia="fr-CH"/>
              </w:rPr>
              <w:drawing>
                <wp:inline distT="0" distB="0" distL="0" distR="0" wp14:anchorId="70140A96" wp14:editId="4BE70B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1BDD84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2AEB242" w14:textId="77777777" w:rsidR="00D94B05" w:rsidRDefault="009F0D0D" w:rsidP="009F0D0D">
            <w:pPr>
              <w:suppressAutoHyphens w:val="0"/>
              <w:spacing w:before="240" w:line="240" w:lineRule="exact"/>
            </w:pPr>
            <w:r>
              <w:t>Distr.: General</w:t>
            </w:r>
          </w:p>
          <w:p w14:paraId="56A286D9" w14:textId="77777777" w:rsidR="009F0D0D" w:rsidRDefault="009F0D0D" w:rsidP="009F0D0D">
            <w:pPr>
              <w:suppressAutoHyphens w:val="0"/>
              <w:spacing w:line="240" w:lineRule="exact"/>
            </w:pPr>
            <w:r>
              <w:t>20 April 2023</w:t>
            </w:r>
          </w:p>
          <w:p w14:paraId="348643FE" w14:textId="77777777" w:rsidR="009F0D0D" w:rsidRDefault="009F0D0D" w:rsidP="009F0D0D">
            <w:pPr>
              <w:suppressAutoHyphens w:val="0"/>
              <w:spacing w:line="240" w:lineRule="exact"/>
            </w:pPr>
          </w:p>
          <w:p w14:paraId="3B1FB3E0" w14:textId="1DEB3042" w:rsidR="009F0D0D" w:rsidRDefault="009F0D0D" w:rsidP="009F0D0D">
            <w:pPr>
              <w:suppressAutoHyphens w:val="0"/>
              <w:spacing w:line="240" w:lineRule="exact"/>
            </w:pPr>
            <w:r>
              <w:t>Original: English</w:t>
            </w:r>
          </w:p>
        </w:tc>
      </w:tr>
    </w:tbl>
    <w:p w14:paraId="0364D5BE" w14:textId="77777777" w:rsidR="00F3368C" w:rsidRPr="006500BA" w:rsidRDefault="00F3368C" w:rsidP="00F3368C">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E688136" w14:textId="77777777" w:rsidR="00F3368C" w:rsidRPr="006500BA" w:rsidRDefault="00F3368C" w:rsidP="00F3368C">
      <w:pPr>
        <w:spacing w:before="120"/>
        <w:rPr>
          <w:rFonts w:ascii="Helv" w:hAnsi="Helv" w:cs="Helv"/>
          <w:b/>
          <w:color w:val="000000"/>
        </w:rPr>
      </w:pPr>
      <w:r w:rsidRPr="006500BA">
        <w:rPr>
          <w:b/>
        </w:rPr>
        <w:t xml:space="preserve">Sub-Committee of Experts on the </w:t>
      </w:r>
      <w:r>
        <w:rPr>
          <w:b/>
        </w:rPr>
        <w:t>Transport of Dangerous Goods</w:t>
      </w:r>
    </w:p>
    <w:p w14:paraId="6167A25F" w14:textId="77777777" w:rsidR="00AA0465" w:rsidRPr="006500BA" w:rsidRDefault="00AA0465" w:rsidP="00AA0465">
      <w:pPr>
        <w:spacing w:before="120"/>
        <w:rPr>
          <w:b/>
        </w:rPr>
      </w:pPr>
      <w:r>
        <w:rPr>
          <w:b/>
        </w:rPr>
        <w:t xml:space="preserve">Sixty-second </w:t>
      </w:r>
      <w:r w:rsidRPr="006500BA">
        <w:rPr>
          <w:b/>
        </w:rPr>
        <w:t>session</w:t>
      </w:r>
    </w:p>
    <w:p w14:paraId="5FCD01F5" w14:textId="77777777" w:rsidR="00AA0465" w:rsidRPr="006500BA" w:rsidRDefault="00AA0465" w:rsidP="00AA0465">
      <w:r w:rsidRPr="006500BA">
        <w:t xml:space="preserve">Geneva, </w:t>
      </w:r>
      <w:r>
        <w:t>3-7 July 2023</w:t>
      </w:r>
    </w:p>
    <w:p w14:paraId="56D0FFF9" w14:textId="77777777" w:rsidR="00AA0465" w:rsidRPr="006500BA" w:rsidRDefault="00AA0465" w:rsidP="00AA0465">
      <w:r w:rsidRPr="006500BA">
        <w:t xml:space="preserve">Item </w:t>
      </w:r>
      <w:r>
        <w:t>7</w:t>
      </w:r>
      <w:r w:rsidRPr="006500BA">
        <w:t xml:space="preserve"> of the provisional agenda</w:t>
      </w:r>
    </w:p>
    <w:p w14:paraId="2AF8E9D8" w14:textId="77777777" w:rsidR="00AA0465" w:rsidRDefault="00AA0465" w:rsidP="00AA0465">
      <w:pPr>
        <w:rPr>
          <w:b/>
          <w:bCs/>
        </w:rPr>
      </w:pPr>
      <w:r w:rsidRPr="00EF7080">
        <w:rPr>
          <w:b/>
          <w:bCs/>
        </w:rPr>
        <w:t xml:space="preserve">Global harmonization of transport of dangerous </w:t>
      </w:r>
      <w:r>
        <w:rPr>
          <w:b/>
          <w:bCs/>
        </w:rPr>
        <w:br/>
      </w:r>
      <w:r w:rsidRPr="00EF7080">
        <w:rPr>
          <w:b/>
          <w:bCs/>
        </w:rPr>
        <w:t>goods regulations with the Model Regulations</w:t>
      </w:r>
    </w:p>
    <w:p w14:paraId="2A2FDD02" w14:textId="77777777" w:rsidR="00AA0465" w:rsidRDefault="00AA0465" w:rsidP="00AA0465">
      <w:pPr>
        <w:pStyle w:val="HChG"/>
        <w:ind w:right="992"/>
      </w:pPr>
      <w:r>
        <w:tab/>
      </w:r>
      <w:r>
        <w:tab/>
        <w:t xml:space="preserve">International Maritime Organisation </w:t>
      </w:r>
      <w:r w:rsidRPr="00A80588">
        <w:rPr>
          <w:rFonts w:eastAsia="Times New Roman"/>
          <w:lang w:eastAsia="ko-KR"/>
        </w:rPr>
        <w:t xml:space="preserve">draft amendments to 5.5.4 of the </w:t>
      </w:r>
      <w:r>
        <w:t>International Maritime Dangerous Goods c</w:t>
      </w:r>
      <w:r w:rsidRPr="00A80588">
        <w:rPr>
          <w:rFonts w:eastAsia="Times New Roman"/>
          <w:lang w:eastAsia="ko-KR"/>
        </w:rPr>
        <w:t>ode</w:t>
      </w:r>
    </w:p>
    <w:p w14:paraId="093E71E4" w14:textId="77777777" w:rsidR="00AA0465" w:rsidRDefault="00AA0465" w:rsidP="00AA0465">
      <w:pPr>
        <w:pStyle w:val="H1G"/>
      </w:pPr>
      <w:r>
        <w:tab/>
      </w:r>
      <w:r>
        <w:tab/>
      </w:r>
      <w:r w:rsidRPr="00043167">
        <w:t>Transmitted</w:t>
      </w:r>
      <w:r>
        <w:t xml:space="preserve"> by the </w:t>
      </w:r>
      <w:r w:rsidRPr="00AF2D23">
        <w:rPr>
          <w:rFonts w:eastAsia="Arial Unicode MS" w:cs="Arial Unicode MS"/>
          <w:lang w:eastAsia="en-US"/>
        </w:rPr>
        <w:t xml:space="preserve">expert from </w:t>
      </w:r>
      <w:r>
        <w:rPr>
          <w:rFonts w:eastAsia="Arial Unicode MS" w:cs="Arial Unicode MS"/>
          <w:lang w:eastAsia="en-US"/>
        </w:rPr>
        <w:t>France</w:t>
      </w:r>
      <w:r>
        <w:rPr>
          <w:rStyle w:val="FootnoteReference"/>
        </w:rPr>
        <w:footnoteReference w:id="2"/>
      </w:r>
    </w:p>
    <w:p w14:paraId="3BA3FB57" w14:textId="77777777" w:rsidR="00AA0465" w:rsidRDefault="00AA0465" w:rsidP="00AA0465">
      <w:pPr>
        <w:pStyle w:val="HChG"/>
      </w:pPr>
      <w:r>
        <w:tab/>
      </w:r>
      <w:r>
        <w:tab/>
        <w:t>Introduction</w:t>
      </w:r>
    </w:p>
    <w:p w14:paraId="1CEE0556" w14:textId="77777777" w:rsidR="00AA0465" w:rsidRDefault="00AA0465" w:rsidP="00AA0465">
      <w:pPr>
        <w:pStyle w:val="SingleTxtG"/>
        <w:kinsoku/>
        <w:overflowPunct/>
        <w:autoSpaceDE/>
        <w:autoSpaceDN/>
        <w:adjustRightInd/>
        <w:snapToGrid/>
      </w:pPr>
      <w:r>
        <w:t>1.</w:t>
      </w:r>
      <w:r>
        <w:tab/>
        <w:t>At its last session, the Sub-Committee discussed amendments to chapter 5.5.4 to reach a multimodal harmonisation of the requirement in this chapter based on debates held in the Carriage of Containers and Cargo (CCC) committee of the (IMO) and its</w:t>
      </w:r>
      <w:r w:rsidRPr="00214861">
        <w:rPr>
          <w:rFonts w:cstheme="minorHAnsi"/>
        </w:rPr>
        <w:t xml:space="preserve"> </w:t>
      </w:r>
      <w:r>
        <w:rPr>
          <w:rFonts w:cstheme="minorHAnsi"/>
        </w:rPr>
        <w:t xml:space="preserve">Editorial and Technical (E&amp;T) </w:t>
      </w:r>
      <w:r>
        <w:t>group (see paras. 61 to 63 of report ST/SG/AC.10/C.3/122).</w:t>
      </w:r>
    </w:p>
    <w:p w14:paraId="724F67B7" w14:textId="77777777" w:rsidR="00AA0465" w:rsidRPr="00CF4F33" w:rsidRDefault="00AA0465" w:rsidP="00AA0465">
      <w:pPr>
        <w:pStyle w:val="SingleTxtG"/>
        <w:tabs>
          <w:tab w:val="left" w:pos="1701"/>
        </w:tabs>
        <w:spacing w:before="240"/>
      </w:pPr>
      <w:r>
        <w:rPr>
          <w:rFonts w:cstheme="minorHAnsi"/>
        </w:rPr>
        <w:t>2.</w:t>
      </w:r>
      <w:r>
        <w:rPr>
          <w:rFonts w:cstheme="minorHAnsi"/>
        </w:rPr>
        <w:tab/>
        <w:t xml:space="preserve">The </w:t>
      </w:r>
      <w:r w:rsidRPr="00FC39BF">
        <w:rPr>
          <w:rFonts w:cstheme="minorHAnsi"/>
        </w:rPr>
        <w:t xml:space="preserve">Sub-Committee </w:t>
      </w:r>
      <w:r>
        <w:rPr>
          <w:rFonts w:cstheme="minorHAnsi"/>
        </w:rPr>
        <w:t>agreed to resume discussion on this subject at its July 2023 session based on the outcome of discussions held at the E&amp;T group during its spring session. France volunteered to draft an official proposal based on the outcome of the discussions at E&amp;T, if necessary.</w:t>
      </w:r>
    </w:p>
    <w:p w14:paraId="6B4ACF83" w14:textId="77777777" w:rsidR="00AA0465" w:rsidRPr="00585730" w:rsidRDefault="00AA0465" w:rsidP="00AA0465">
      <w:pPr>
        <w:pStyle w:val="SingleTxtG"/>
        <w:tabs>
          <w:tab w:val="left" w:pos="1701"/>
        </w:tabs>
        <w:spacing w:before="240"/>
      </w:pPr>
      <w:r>
        <w:rPr>
          <w:rFonts w:cstheme="minorHAnsi"/>
        </w:rPr>
        <w:t>3.</w:t>
      </w:r>
      <w:r>
        <w:rPr>
          <w:rFonts w:cstheme="minorHAnsi"/>
        </w:rPr>
        <w:tab/>
        <w:t>In March 2023, the E&amp;T group agreed on a modified draft amendment to chapter 5.5.4 that in our view is suitable for all modes of transport and adds relevant safety standards to data loggers and tracking devices.</w:t>
      </w:r>
    </w:p>
    <w:p w14:paraId="3007D47E" w14:textId="77777777" w:rsidR="00AA0465" w:rsidRDefault="00AA0465" w:rsidP="00AA0465">
      <w:pPr>
        <w:pStyle w:val="SingleTxtG"/>
        <w:tabs>
          <w:tab w:val="left" w:pos="1701"/>
        </w:tabs>
        <w:spacing w:before="240"/>
      </w:pPr>
      <w:r>
        <w:t>4.</w:t>
      </w:r>
      <w:r>
        <w:tab/>
        <w:t>The main change consists in:</w:t>
      </w:r>
    </w:p>
    <w:p w14:paraId="376FC203" w14:textId="77777777" w:rsidR="00AA0465" w:rsidRDefault="00AA0465" w:rsidP="00AA0465">
      <w:pPr>
        <w:pStyle w:val="SingleTxtG"/>
        <w:ind w:left="1701"/>
      </w:pPr>
      <w:r>
        <w:t>(a)</w:t>
      </w:r>
      <w:r>
        <w:tab/>
        <w:t>A revised vocabulary for the title that doesn’t fundamentally affect the way these requirements are used in real life but makes it clearer for some users.</w:t>
      </w:r>
    </w:p>
    <w:p w14:paraId="5572B791" w14:textId="77777777" w:rsidR="00AA0465" w:rsidRDefault="00AA0465" w:rsidP="00AA0465">
      <w:pPr>
        <w:pStyle w:val="SingleTxtG"/>
        <w:ind w:left="1701"/>
      </w:pPr>
      <w:r>
        <w:t>(b)</w:t>
      </w:r>
      <w:r>
        <w:tab/>
        <w:t>The addition of safety standards in particular on data loggers and similar devices. The way the amendment is currently drafted clearly separates the scope for the use of these standards from the general case. They are only relevant for data loggers.</w:t>
      </w:r>
    </w:p>
    <w:p w14:paraId="2CF924A5" w14:textId="77777777" w:rsidR="00AA0465" w:rsidRDefault="00AA0465" w:rsidP="00AA0465">
      <w:pPr>
        <w:pStyle w:val="SingleTxtG"/>
        <w:ind w:left="1701"/>
      </w:pPr>
      <w:r>
        <w:lastRenderedPageBreak/>
        <w:t>(c)</w:t>
      </w:r>
      <w:r>
        <w:tab/>
        <w:t xml:space="preserve">As drafted for the International Maritime Dangerous Goods (IMDG) code, 5.5.4.3 refers to 7.3.5 of the code but has been modified for the </w:t>
      </w:r>
      <w:r w:rsidRPr="000A1DE7">
        <w:rPr>
          <w:i/>
          <w:iCs/>
        </w:rPr>
        <w:t>Model Regulations</w:t>
      </w:r>
      <w:r>
        <w:t xml:space="preserve"> to include the provisions of 7.3.5 themselves.</w:t>
      </w:r>
    </w:p>
    <w:p w14:paraId="6CFFA827" w14:textId="77777777" w:rsidR="00AA0465" w:rsidRDefault="00AA0465" w:rsidP="00AA0465">
      <w:pPr>
        <w:pStyle w:val="SingleTxtG"/>
        <w:ind w:left="1701"/>
      </w:pPr>
      <w:r>
        <w:t>(d)</w:t>
      </w:r>
      <w:r>
        <w:tab/>
        <w:t>A transition period allowing the operators to adapt to the new requirements.</w:t>
      </w:r>
    </w:p>
    <w:p w14:paraId="26E2D4AF" w14:textId="77777777" w:rsidR="00AA0465" w:rsidRPr="00374442" w:rsidRDefault="00AA0465" w:rsidP="00AA0465">
      <w:pPr>
        <w:pStyle w:val="SingleTxtG"/>
        <w:kinsoku/>
        <w:overflowPunct/>
        <w:autoSpaceDE/>
        <w:autoSpaceDN/>
        <w:adjustRightInd/>
        <w:snapToGrid/>
      </w:pPr>
      <w:r>
        <w:t>5.</w:t>
      </w:r>
      <w:r>
        <w:tab/>
        <w:t xml:space="preserve">The amendments proposed by the E&amp;T group are reproduced in the annex to this document (extract from report E&amp;T 38/WP.1). The proposal for amending the </w:t>
      </w:r>
      <w:r w:rsidRPr="000A1DE7">
        <w:rPr>
          <w:i/>
          <w:iCs/>
        </w:rPr>
        <w:t xml:space="preserve">Model Regulations </w:t>
      </w:r>
      <w:r>
        <w:t>reproduces the new draft with some editorial amendments to align formally the text with the recommendations.</w:t>
      </w:r>
    </w:p>
    <w:p w14:paraId="6706026E" w14:textId="77777777" w:rsidR="00AA0465" w:rsidRDefault="00AA0465" w:rsidP="00AA0465">
      <w:pPr>
        <w:pStyle w:val="SingleTxtG"/>
        <w:kinsoku/>
        <w:overflowPunct/>
        <w:autoSpaceDE/>
        <w:autoSpaceDN/>
        <w:adjustRightInd/>
        <w:snapToGrid/>
      </w:pPr>
      <w:r>
        <w:t>6.</w:t>
      </w:r>
      <w:r>
        <w:tab/>
        <w:t>The provision in a note on the transition period is kept in square brackets. The Sub-Committee may decide separately on this issue and consider that it must be dealt with in the different modal bodies. However, a harmonized transition would certainly make sense and facilitate multimodal transport.</w:t>
      </w:r>
    </w:p>
    <w:p w14:paraId="6C983363" w14:textId="77777777" w:rsidR="00AA0465" w:rsidRDefault="00AA0465" w:rsidP="00AA0465">
      <w:pPr>
        <w:pStyle w:val="SingleTxtG"/>
        <w:kinsoku/>
        <w:overflowPunct/>
        <w:autoSpaceDE/>
        <w:autoSpaceDN/>
        <w:adjustRightInd/>
        <w:snapToGrid/>
      </w:pPr>
      <w:r>
        <w:t>7.</w:t>
      </w:r>
      <w:r>
        <w:tab/>
        <w:t>The Sub-Committee is invited to comment the following proposal and adopt the amendments, as appropriate</w:t>
      </w:r>
    </w:p>
    <w:p w14:paraId="25F85FB7" w14:textId="77777777" w:rsidR="00AA0465" w:rsidRPr="00C315AA" w:rsidRDefault="00AA0465" w:rsidP="00AA0465">
      <w:pPr>
        <w:pStyle w:val="HChG"/>
        <w:rPr>
          <w:rFonts w:eastAsia="Arial"/>
          <w:b w:val="0"/>
          <w:color w:val="000000"/>
          <w:szCs w:val="28"/>
          <w:lang w:eastAsia="fr-FR"/>
        </w:rPr>
      </w:pPr>
      <w:r>
        <w:tab/>
      </w:r>
      <w:r>
        <w:tab/>
      </w:r>
      <w:r w:rsidRPr="00CE491E">
        <w:t>Proposal</w:t>
      </w:r>
    </w:p>
    <w:p w14:paraId="447CC7F9" w14:textId="77777777" w:rsidR="00AA0465" w:rsidRPr="00AB4F10" w:rsidRDefault="00AA0465" w:rsidP="00AA0465">
      <w:pPr>
        <w:pStyle w:val="SingleTxtG"/>
        <w:kinsoku/>
        <w:overflowPunct/>
        <w:autoSpaceDE/>
        <w:autoSpaceDN/>
        <w:adjustRightInd/>
        <w:snapToGrid/>
        <w:rPr>
          <w:rFonts w:eastAsia="Arial" w:cs="Arial"/>
          <w:color w:val="000000"/>
          <w:lang w:eastAsia="fr-FR"/>
        </w:rPr>
      </w:pPr>
      <w:r>
        <w:rPr>
          <w:rFonts w:eastAsia="Arial" w:cs="Arial"/>
          <w:color w:val="000000"/>
          <w:lang w:eastAsia="fr-FR"/>
        </w:rPr>
        <w:t>8.</w:t>
      </w:r>
      <w:r>
        <w:rPr>
          <w:rFonts w:eastAsia="Arial" w:cs="Arial"/>
          <w:color w:val="000000"/>
          <w:lang w:eastAsia="fr-FR"/>
        </w:rPr>
        <w:tab/>
        <w:t>Amend</w:t>
      </w:r>
      <w:r w:rsidRPr="00AB4F10">
        <w:rPr>
          <w:rFonts w:eastAsia="Arial" w:cs="Arial"/>
          <w:color w:val="000000"/>
          <w:lang w:eastAsia="fr-FR"/>
        </w:rPr>
        <w:t xml:space="preserve"> the </w:t>
      </w:r>
      <w:r w:rsidRPr="00010A67">
        <w:t>text</w:t>
      </w:r>
      <w:r w:rsidRPr="00AB4F10">
        <w:rPr>
          <w:rFonts w:eastAsia="Arial" w:cs="Arial"/>
          <w:color w:val="000000"/>
          <w:lang w:eastAsia="fr-FR"/>
        </w:rPr>
        <w:t xml:space="preserve"> in 5.5.4 to read as follows</w:t>
      </w:r>
      <w:r>
        <w:rPr>
          <w:rFonts w:eastAsia="Arial" w:cs="Arial"/>
          <w:color w:val="000000"/>
          <w:lang w:eastAsia="fr-FR"/>
        </w:rPr>
        <w:t xml:space="preserve"> (new text is </w:t>
      </w:r>
      <w:r w:rsidRPr="0029291A">
        <w:rPr>
          <w:rFonts w:eastAsia="Arial" w:cs="Arial"/>
          <w:color w:val="000000"/>
          <w:u w:val="single"/>
          <w:lang w:eastAsia="fr-FR"/>
        </w:rPr>
        <w:t>underlined</w:t>
      </w:r>
      <w:r>
        <w:rPr>
          <w:rFonts w:eastAsia="Arial" w:cs="Arial"/>
          <w:color w:val="000000"/>
          <w:lang w:eastAsia="fr-FR"/>
        </w:rPr>
        <w:t>)</w:t>
      </w:r>
      <w:r w:rsidRPr="00AB4F10">
        <w:rPr>
          <w:rFonts w:eastAsia="Arial" w:cs="Arial"/>
          <w:color w:val="000000"/>
          <w:lang w:eastAsia="fr-FR"/>
        </w:rPr>
        <w:t>:</w:t>
      </w:r>
    </w:p>
    <w:p w14:paraId="021062CB" w14:textId="77777777" w:rsidR="00AA0465" w:rsidRPr="00AB4F10" w:rsidRDefault="00AA0465" w:rsidP="00AA0465">
      <w:pPr>
        <w:pStyle w:val="SingleTxtG"/>
        <w:tabs>
          <w:tab w:val="left" w:pos="1985"/>
        </w:tabs>
        <w:kinsoku/>
        <w:overflowPunct/>
        <w:autoSpaceDE/>
        <w:autoSpaceDN/>
        <w:adjustRightInd/>
        <w:snapToGrid/>
        <w:rPr>
          <w:rFonts w:eastAsia="Arial" w:cs="Arial"/>
          <w:b/>
          <w:color w:val="000000"/>
          <w:lang w:eastAsia="fr-FR"/>
        </w:rPr>
      </w:pPr>
      <w:r>
        <w:rPr>
          <w:rFonts w:eastAsia="Arial" w:cs="Arial"/>
          <w:b/>
          <w:color w:val="000000"/>
          <w:lang w:eastAsia="fr-FR"/>
        </w:rPr>
        <w:t>“</w:t>
      </w:r>
      <w:r w:rsidRPr="00AB4F10">
        <w:rPr>
          <w:rFonts w:eastAsia="Arial" w:cs="Arial"/>
          <w:b/>
          <w:color w:val="000000"/>
          <w:lang w:eastAsia="fr-FR"/>
        </w:rPr>
        <w:t>5.5.4</w:t>
      </w:r>
      <w:r>
        <w:rPr>
          <w:rFonts w:eastAsia="Arial" w:cs="Arial"/>
          <w:b/>
          <w:color w:val="000000"/>
          <w:lang w:eastAsia="fr-FR"/>
        </w:rPr>
        <w:tab/>
      </w:r>
      <w:r w:rsidRPr="00E6565B">
        <w:rPr>
          <w:rFonts w:eastAsia="Arial" w:cs="Arial"/>
          <w:b/>
          <w:color w:val="000000"/>
          <w:u w:val="single"/>
          <w:lang w:eastAsia="fr-FR"/>
        </w:rPr>
        <w:t>Devices containing dangerous goods, which are in use or</w:t>
      </w:r>
      <w:r w:rsidRPr="00AB4F10">
        <w:rPr>
          <w:rFonts w:eastAsia="Arial" w:cs="Arial"/>
          <w:b/>
          <w:color w:val="000000"/>
          <w:lang w:eastAsia="fr-FR"/>
        </w:rPr>
        <w:t xml:space="preserve"> intended for use during transport</w:t>
      </w:r>
    </w:p>
    <w:p w14:paraId="49AAB639" w14:textId="77777777" w:rsidR="00AA0465" w:rsidRPr="00AB4F10" w:rsidRDefault="00AA0465" w:rsidP="00AA0465">
      <w:pPr>
        <w:pStyle w:val="SingleTxtG"/>
        <w:tabs>
          <w:tab w:val="left" w:pos="1985"/>
        </w:tabs>
        <w:kinsoku/>
        <w:overflowPunct/>
        <w:autoSpaceDE/>
        <w:autoSpaceDN/>
        <w:adjustRightInd/>
        <w:snapToGrid/>
        <w:rPr>
          <w:rFonts w:eastAsia="Arial" w:cs="Arial"/>
          <w:color w:val="000000"/>
          <w:lang w:eastAsia="fr-FR"/>
        </w:rPr>
      </w:pPr>
      <w:r w:rsidRPr="00AB4F10">
        <w:rPr>
          <w:rFonts w:eastAsia="Arial" w:cs="Arial"/>
          <w:color w:val="000000"/>
          <w:lang w:eastAsia="fr-FR"/>
        </w:rPr>
        <w:t>5.5.4.1</w:t>
      </w:r>
      <w:r>
        <w:rPr>
          <w:rFonts w:eastAsia="Arial" w:cs="Arial"/>
          <w:color w:val="000000"/>
          <w:lang w:eastAsia="fr-FR"/>
        </w:rPr>
        <w:tab/>
      </w:r>
      <w:r w:rsidRPr="00E6565B">
        <w:rPr>
          <w:rFonts w:eastAsia="Arial" w:cs="Arial"/>
          <w:color w:val="000000"/>
          <w:u w:val="single"/>
          <w:lang w:eastAsia="fr-FR"/>
        </w:rPr>
        <w:t xml:space="preserve">Devices in </w:t>
      </w:r>
      <w:r w:rsidRPr="00E6565B">
        <w:rPr>
          <w:u w:val="single"/>
        </w:rPr>
        <w:t>use</w:t>
      </w:r>
      <w:r w:rsidRPr="00E6565B">
        <w:rPr>
          <w:rFonts w:eastAsia="Arial" w:cs="Arial"/>
          <w:color w:val="000000"/>
          <w:u w:val="single"/>
          <w:lang w:eastAsia="fr-FR"/>
        </w:rPr>
        <w:t xml:space="preserve"> or intended for use during transport containing dangerous goods, </w:t>
      </w:r>
      <w:r w:rsidRPr="00E6565B">
        <w:rPr>
          <w:rFonts w:eastAsia="Arial" w:cs="Arial"/>
          <w:color w:val="000000"/>
          <w:lang w:eastAsia="fr-FR"/>
        </w:rPr>
        <w:t>such as data loggers, sensors and</w:t>
      </w:r>
      <w:r w:rsidRPr="00AB4F10">
        <w:rPr>
          <w:rFonts w:eastAsia="Arial" w:cs="Arial"/>
          <w:color w:val="000000"/>
          <w:lang w:eastAsia="fr-FR"/>
        </w:rPr>
        <w:t xml:space="preserve"> cargo tracking devices, attached to or placed in packages, overpacks, </w:t>
      </w:r>
      <w:r w:rsidRPr="00F8355F">
        <w:rPr>
          <w:rFonts w:eastAsia="Arial" w:cs="Arial"/>
          <w:color w:val="000000"/>
          <w:u w:val="single"/>
          <w:lang w:eastAsia="fr-FR"/>
        </w:rPr>
        <w:t>bulk containers, freight containers or other types of cargo transport units,</w:t>
      </w:r>
      <w:r w:rsidRPr="00AB4F10">
        <w:rPr>
          <w:rFonts w:eastAsia="Arial" w:cs="Arial"/>
          <w:color w:val="000000"/>
          <w:lang w:eastAsia="fr-FR"/>
        </w:rPr>
        <w:t xml:space="preserve"> are not subject to </w:t>
      </w:r>
      <w:r>
        <w:rPr>
          <w:rFonts w:eastAsia="Arial" w:cs="Arial"/>
          <w:color w:val="000000"/>
          <w:lang w:eastAsia="fr-FR"/>
        </w:rPr>
        <w:t>any</w:t>
      </w:r>
      <w:r w:rsidRPr="00AB4F10">
        <w:rPr>
          <w:rFonts w:eastAsia="Arial" w:cs="Arial"/>
          <w:color w:val="000000"/>
          <w:lang w:eastAsia="fr-FR"/>
        </w:rPr>
        <w:t xml:space="preserve"> provisions of th</w:t>
      </w:r>
      <w:r>
        <w:rPr>
          <w:rFonts w:eastAsia="Arial" w:cs="Arial"/>
          <w:color w:val="000000"/>
          <w:lang w:eastAsia="fr-FR"/>
        </w:rPr>
        <w:t>e</w:t>
      </w:r>
      <w:r w:rsidRPr="00AB4F10">
        <w:rPr>
          <w:rFonts w:eastAsia="Arial" w:cs="Arial"/>
          <w:color w:val="000000"/>
          <w:lang w:eastAsia="fr-FR"/>
        </w:rPr>
        <w:t>s</w:t>
      </w:r>
      <w:r>
        <w:rPr>
          <w:rFonts w:eastAsia="Arial" w:cs="Arial"/>
          <w:color w:val="000000"/>
          <w:lang w:eastAsia="fr-FR"/>
        </w:rPr>
        <w:t>e R</w:t>
      </w:r>
      <w:r w:rsidRPr="00AB4F10">
        <w:rPr>
          <w:rFonts w:eastAsia="Arial" w:cs="Arial"/>
          <w:color w:val="000000"/>
          <w:lang w:eastAsia="fr-FR"/>
        </w:rPr>
        <w:t xml:space="preserve">egulations other than the </w:t>
      </w:r>
      <w:r w:rsidRPr="000846D6">
        <w:rPr>
          <w:rFonts w:eastAsia="Arial" w:cs="Arial"/>
          <w:color w:val="000000"/>
          <w:u w:val="single"/>
          <w:lang w:eastAsia="fr-FR"/>
        </w:rPr>
        <w:t>requirements set out in 5.5.4.1(a) to 5.5.4.4, as follows</w:t>
      </w:r>
      <w:r w:rsidRPr="00AB4F10">
        <w:rPr>
          <w:rFonts w:eastAsia="Arial" w:cs="Arial"/>
          <w:color w:val="000000"/>
          <w:lang w:eastAsia="fr-FR"/>
        </w:rPr>
        <w:t xml:space="preserve">: </w:t>
      </w:r>
    </w:p>
    <w:p w14:paraId="351D968E" w14:textId="77777777" w:rsidR="00AA0465" w:rsidRPr="00AB4F10" w:rsidRDefault="00AA0465" w:rsidP="00AA0465">
      <w:pPr>
        <w:pStyle w:val="SingleTxtG"/>
        <w:tabs>
          <w:tab w:val="left" w:pos="2410"/>
        </w:tabs>
        <w:ind w:left="1985"/>
        <w:rPr>
          <w:rFonts w:eastAsia="Arial" w:cs="Arial"/>
          <w:color w:val="000000"/>
          <w:lang w:eastAsia="fr-FR"/>
        </w:rPr>
      </w:pPr>
      <w:r>
        <w:rPr>
          <w:rFonts w:eastAsia="Arial" w:cs="Arial"/>
          <w:color w:val="000000"/>
          <w:lang w:eastAsia="fr-FR"/>
        </w:rPr>
        <w:t>(a)</w:t>
      </w:r>
      <w:r>
        <w:rPr>
          <w:rFonts w:eastAsia="Arial" w:cs="Arial"/>
          <w:color w:val="000000"/>
          <w:lang w:eastAsia="fr-FR"/>
        </w:rPr>
        <w:tab/>
      </w:r>
      <w:r w:rsidRPr="002F4B1A">
        <w:rPr>
          <w:rFonts w:eastAsia="Arial" w:cs="Arial"/>
          <w:color w:val="000000"/>
          <w:u w:val="single"/>
          <w:lang w:eastAsia="fr-FR"/>
        </w:rPr>
        <w:t>the device</w:t>
      </w:r>
      <w:r w:rsidRPr="00AB4F10">
        <w:rPr>
          <w:rFonts w:eastAsia="Arial" w:cs="Arial"/>
          <w:color w:val="000000"/>
          <w:lang w:eastAsia="fr-FR"/>
        </w:rPr>
        <w:t xml:space="preserve"> shall be </w:t>
      </w:r>
      <w:r w:rsidRPr="00F44C11">
        <w:t>in</w:t>
      </w:r>
      <w:r w:rsidRPr="00AB4F10">
        <w:rPr>
          <w:rFonts w:eastAsia="Arial" w:cs="Arial"/>
          <w:color w:val="000000"/>
          <w:lang w:eastAsia="fr-FR"/>
        </w:rPr>
        <w:t xml:space="preserve"> use or intended for use during transport;</w:t>
      </w:r>
    </w:p>
    <w:p w14:paraId="4B259B01" w14:textId="77777777" w:rsidR="00AA0465" w:rsidRPr="00AB4F10" w:rsidRDefault="00AA0465" w:rsidP="00AA0465">
      <w:pPr>
        <w:pStyle w:val="SingleTxtG"/>
        <w:tabs>
          <w:tab w:val="left" w:pos="2410"/>
        </w:tabs>
        <w:ind w:left="1985"/>
        <w:rPr>
          <w:rFonts w:eastAsia="Arial" w:cs="Arial"/>
          <w:color w:val="000000"/>
          <w:lang w:eastAsia="fr-FR"/>
        </w:rPr>
      </w:pPr>
      <w:r w:rsidRPr="00AB4F10">
        <w:rPr>
          <w:rFonts w:eastAsia="Arial" w:cs="Arial"/>
          <w:color w:val="000000"/>
          <w:lang w:eastAsia="fr-FR"/>
        </w:rPr>
        <w:t>(b)</w:t>
      </w:r>
      <w:r w:rsidRPr="00AB4F10">
        <w:rPr>
          <w:rFonts w:eastAsia="Arial" w:cs="Arial"/>
          <w:color w:val="000000"/>
          <w:lang w:eastAsia="fr-FR"/>
        </w:rPr>
        <w:tab/>
        <w:t xml:space="preserve">the contained </w:t>
      </w:r>
      <w:r w:rsidRPr="00F44C11">
        <w:t>dangerous</w:t>
      </w:r>
      <w:r w:rsidRPr="00AB4F10">
        <w:rPr>
          <w:rFonts w:eastAsia="Arial" w:cs="Arial"/>
          <w:color w:val="000000"/>
          <w:lang w:eastAsia="fr-FR"/>
        </w:rPr>
        <w:t xml:space="preserve"> goods (e.g. lithium batteries, fuel cell cartridges) shall meet the applicable construction and tes</w:t>
      </w:r>
      <w:r>
        <w:rPr>
          <w:rFonts w:eastAsia="Arial" w:cs="Arial"/>
          <w:color w:val="000000"/>
          <w:lang w:eastAsia="fr-FR"/>
        </w:rPr>
        <w:t>t requirements specified in these Regulations</w:t>
      </w:r>
      <w:r w:rsidRPr="00AB4F10">
        <w:rPr>
          <w:rFonts w:eastAsia="Arial" w:cs="Arial"/>
          <w:color w:val="000000"/>
          <w:lang w:eastAsia="fr-FR"/>
        </w:rPr>
        <w:t>; and</w:t>
      </w:r>
    </w:p>
    <w:p w14:paraId="7CB851E5" w14:textId="77777777" w:rsidR="00AA0465" w:rsidRPr="00AB4F10" w:rsidRDefault="00AA0465" w:rsidP="00AA0465">
      <w:pPr>
        <w:pStyle w:val="SingleTxtG"/>
        <w:tabs>
          <w:tab w:val="left" w:pos="2410"/>
        </w:tabs>
        <w:ind w:left="1985"/>
        <w:rPr>
          <w:rFonts w:eastAsia="Arial" w:cs="Arial"/>
          <w:color w:val="000000"/>
          <w:lang w:eastAsia="fr-FR"/>
        </w:rPr>
      </w:pPr>
      <w:r w:rsidRPr="00AB4F10">
        <w:rPr>
          <w:rFonts w:eastAsia="Arial" w:cs="Arial"/>
          <w:color w:val="000000"/>
          <w:lang w:eastAsia="fr-FR"/>
        </w:rPr>
        <w:t>(c)</w:t>
      </w:r>
      <w:r w:rsidRPr="00AB4F10">
        <w:rPr>
          <w:rFonts w:eastAsia="Arial" w:cs="Arial"/>
          <w:color w:val="000000"/>
          <w:lang w:eastAsia="fr-FR"/>
        </w:rPr>
        <w:tab/>
      </w:r>
      <w:r w:rsidRPr="0077471C">
        <w:rPr>
          <w:rFonts w:eastAsia="Arial" w:cs="Arial"/>
          <w:color w:val="000000"/>
          <w:u w:val="single"/>
          <w:lang w:eastAsia="fr-FR"/>
        </w:rPr>
        <w:t>the device</w:t>
      </w:r>
      <w:r w:rsidRPr="00AB4F10">
        <w:rPr>
          <w:rFonts w:eastAsia="Arial" w:cs="Arial"/>
          <w:color w:val="000000"/>
          <w:lang w:eastAsia="fr-FR"/>
        </w:rPr>
        <w:t xml:space="preserve"> shall be capable of withstanding the shocks and loadings normally encountered during transport </w:t>
      </w:r>
      <w:r w:rsidRPr="008D29C8">
        <w:rPr>
          <w:rFonts w:eastAsia="Arial" w:cs="Arial"/>
          <w:color w:val="000000"/>
          <w:u w:val="single"/>
          <w:lang w:eastAsia="fr-FR"/>
        </w:rPr>
        <w:t>and shall be safe for use in the dangerous environments to which it may be exposed</w:t>
      </w:r>
      <w:r w:rsidRPr="00AB4F10">
        <w:rPr>
          <w:rFonts w:eastAsia="Arial" w:cs="Arial"/>
          <w:color w:val="000000"/>
          <w:lang w:eastAsia="fr-FR"/>
        </w:rPr>
        <w:t>.</w:t>
      </w:r>
    </w:p>
    <w:p w14:paraId="462ACAE8" w14:textId="77777777" w:rsidR="00AA0465" w:rsidRPr="00515F39" w:rsidRDefault="00AA0465" w:rsidP="00AA0465">
      <w:pPr>
        <w:pStyle w:val="SingleTxtG"/>
        <w:tabs>
          <w:tab w:val="left" w:pos="1985"/>
        </w:tabs>
        <w:kinsoku/>
        <w:overflowPunct/>
        <w:autoSpaceDE/>
        <w:autoSpaceDN/>
        <w:adjustRightInd/>
        <w:snapToGrid/>
        <w:rPr>
          <w:rFonts w:eastAsia="Arial" w:cs="Arial"/>
          <w:color w:val="000000"/>
          <w:lang w:eastAsia="fr-FR"/>
        </w:rPr>
      </w:pPr>
      <w:r w:rsidRPr="00515F39">
        <w:rPr>
          <w:rFonts w:eastAsia="Arial" w:cs="Arial"/>
          <w:color w:val="000000"/>
          <w:lang w:eastAsia="fr-FR"/>
        </w:rPr>
        <w:t>5.5.4.2</w:t>
      </w:r>
      <w:r w:rsidRPr="00515F39">
        <w:rPr>
          <w:rFonts w:eastAsia="Arial" w:cs="Arial"/>
          <w:color w:val="000000"/>
          <w:lang w:eastAsia="fr-FR"/>
        </w:rPr>
        <w:tab/>
        <w:t xml:space="preserve">When such </w:t>
      </w:r>
      <w:r w:rsidRPr="00515F39">
        <w:rPr>
          <w:rFonts w:eastAsia="Arial" w:cs="Arial"/>
          <w:color w:val="000000"/>
          <w:u w:val="single"/>
          <w:lang w:eastAsia="fr-FR"/>
        </w:rPr>
        <w:t>a device</w:t>
      </w:r>
      <w:r w:rsidRPr="00515F39">
        <w:rPr>
          <w:rFonts w:eastAsia="Arial" w:cs="Arial"/>
          <w:color w:val="000000"/>
          <w:lang w:eastAsia="fr-FR"/>
        </w:rPr>
        <w:t xml:space="preserve"> containing dangerous goods is transported as a consignment, the relevant entry of the Dangerous Goods List in chapter 3.2 shall be used and all applicable provisions of these Regulations shall apply.”</w:t>
      </w:r>
    </w:p>
    <w:p w14:paraId="72B704EA" w14:textId="77777777" w:rsidR="00AA0465" w:rsidRPr="00515F39" w:rsidRDefault="00AA0465" w:rsidP="00AA0465">
      <w:pPr>
        <w:pStyle w:val="SingleTxtG"/>
        <w:tabs>
          <w:tab w:val="left" w:pos="1985"/>
        </w:tabs>
        <w:kinsoku/>
        <w:overflowPunct/>
        <w:autoSpaceDE/>
        <w:autoSpaceDN/>
        <w:adjustRightInd/>
        <w:snapToGrid/>
        <w:rPr>
          <w:rFonts w:eastAsia="Arial" w:cs="Arial"/>
          <w:color w:val="000000"/>
          <w:u w:val="single"/>
          <w:lang w:eastAsia="fr-FR"/>
        </w:rPr>
      </w:pPr>
      <w:r w:rsidRPr="00515F39">
        <w:rPr>
          <w:rFonts w:eastAsia="Arial" w:cs="Arial"/>
          <w:color w:val="000000"/>
          <w:u w:val="single"/>
          <w:lang w:eastAsia="fr-FR"/>
        </w:rPr>
        <w:t>5.5.4.3</w:t>
      </w:r>
      <w:r w:rsidRPr="00515F39">
        <w:rPr>
          <w:rFonts w:eastAsia="Arial" w:cs="Arial"/>
          <w:color w:val="000000"/>
          <w:u w:val="single"/>
          <w:lang w:eastAsia="fr-FR"/>
        </w:rPr>
        <w:tab/>
        <w:t>Data loggers, sensors and cargo tracking devices, attached to packages and overpacks in a closed cargo transport unit transporting dangerous goods shall be securely installed to the cargo transport unit and shall be of a safe type for the dangerous goods that will be transported within the cargo transport unit.</w:t>
      </w:r>
    </w:p>
    <w:p w14:paraId="72446EA7" w14:textId="77777777" w:rsidR="00AA0465" w:rsidRPr="00515F39" w:rsidRDefault="00AA0465" w:rsidP="00AA0465">
      <w:pPr>
        <w:pStyle w:val="SingleTxtG"/>
        <w:tabs>
          <w:tab w:val="left" w:pos="1985"/>
        </w:tabs>
        <w:kinsoku/>
        <w:overflowPunct/>
        <w:autoSpaceDE/>
        <w:autoSpaceDN/>
        <w:adjustRightInd/>
        <w:snapToGrid/>
        <w:rPr>
          <w:rFonts w:eastAsia="Arial" w:cs="Arial"/>
          <w:color w:val="000000"/>
          <w:u w:val="single"/>
          <w:lang w:eastAsia="fr-FR"/>
        </w:rPr>
      </w:pPr>
      <w:r w:rsidRPr="00515F39">
        <w:rPr>
          <w:rFonts w:eastAsia="Arial" w:cs="Arial"/>
          <w:color w:val="000000"/>
          <w:u w:val="single"/>
          <w:lang w:eastAsia="fr-FR"/>
        </w:rPr>
        <w:t>5.5.4.4</w:t>
      </w:r>
      <w:r w:rsidRPr="00515F39">
        <w:rPr>
          <w:rFonts w:eastAsia="Arial" w:cs="Arial"/>
          <w:color w:val="000000"/>
          <w:u w:val="single"/>
          <w:lang w:eastAsia="fr-FR"/>
        </w:rPr>
        <w:tab/>
        <w:t xml:space="preserve">Data loggers, sensors and </w:t>
      </w:r>
      <w:r w:rsidRPr="00515F39">
        <w:rPr>
          <w:u w:val="single"/>
        </w:rPr>
        <w:t>cargo</w:t>
      </w:r>
      <w:r w:rsidRPr="00515F39">
        <w:rPr>
          <w:rFonts w:eastAsia="Arial" w:cs="Arial"/>
          <w:color w:val="000000"/>
          <w:u w:val="single"/>
          <w:lang w:eastAsia="fr-FR"/>
        </w:rPr>
        <w:t xml:space="preserve"> tracking devices, attached directly to the interior or exterior of cargo transport units shall comply with the following criteria, as </w:t>
      </w:r>
      <w:r>
        <w:rPr>
          <w:rFonts w:eastAsia="Arial" w:cs="Arial"/>
          <w:color w:val="000000"/>
          <w:u w:val="single"/>
          <w:lang w:eastAsia="fr-FR"/>
        </w:rPr>
        <w:t>specified</w:t>
      </w:r>
      <w:r w:rsidRPr="00515F39">
        <w:rPr>
          <w:rFonts w:eastAsia="Arial" w:cs="Arial"/>
          <w:color w:val="000000"/>
          <w:u w:val="single"/>
          <w:lang w:eastAsia="fr-FR"/>
        </w:rPr>
        <w:t xml:space="preserve"> in </w:t>
      </w:r>
      <w:r>
        <w:rPr>
          <w:rFonts w:eastAsia="Arial" w:cs="Arial"/>
          <w:color w:val="000000"/>
          <w:u w:val="single"/>
          <w:lang w:eastAsia="fr-FR"/>
        </w:rPr>
        <w:t xml:space="preserve">standards </w:t>
      </w:r>
      <w:r w:rsidRPr="00515F39">
        <w:rPr>
          <w:rFonts w:eastAsia="Arial" w:cs="Arial"/>
          <w:color w:val="000000"/>
          <w:u w:val="single"/>
          <w:lang w:eastAsia="fr-FR"/>
        </w:rPr>
        <w:t>IEC 60079-0:2017 and IEC 60529:2013:</w:t>
      </w:r>
    </w:p>
    <w:p w14:paraId="4656015E" w14:textId="77777777" w:rsidR="00AA0465" w:rsidRPr="00012880" w:rsidRDefault="00AA0465" w:rsidP="00AA0465">
      <w:pPr>
        <w:pStyle w:val="SingleTxtG"/>
        <w:tabs>
          <w:tab w:val="left" w:pos="2410"/>
        </w:tabs>
        <w:ind w:left="1985"/>
        <w:rPr>
          <w:rFonts w:eastAsia="Arial" w:cs="Arial"/>
          <w:color w:val="000000"/>
          <w:u w:val="single"/>
          <w:lang w:eastAsia="fr-FR"/>
        </w:rPr>
      </w:pPr>
      <w:r w:rsidRPr="00012880">
        <w:rPr>
          <w:rFonts w:eastAsia="Arial" w:cs="Arial"/>
          <w:color w:val="000000"/>
          <w:u w:val="single"/>
          <w:lang w:eastAsia="fr-FR"/>
        </w:rPr>
        <w:t>(a)</w:t>
      </w:r>
      <w:r w:rsidRPr="00012880">
        <w:rPr>
          <w:rFonts w:eastAsia="Arial" w:cs="Arial"/>
          <w:color w:val="000000"/>
          <w:u w:val="single"/>
          <w:lang w:eastAsia="fr-FR"/>
        </w:rPr>
        <w:tab/>
        <w:t>Temperature class T4: the device maximum surface temperature attained in service under the most adverse conditions is ≤ 135</w:t>
      </w:r>
      <w:r>
        <w:rPr>
          <w:rFonts w:eastAsia="Arial" w:cs="Arial"/>
          <w:color w:val="000000"/>
          <w:u w:val="single"/>
          <w:lang w:eastAsia="fr-FR"/>
        </w:rPr>
        <w:t xml:space="preserve"> </w:t>
      </w:r>
      <w:r w:rsidRPr="00012880">
        <w:rPr>
          <w:rFonts w:eastAsia="Arial" w:cs="Arial"/>
          <w:color w:val="000000"/>
          <w:u w:val="single"/>
          <w:lang w:eastAsia="fr-FR"/>
        </w:rPr>
        <w:t>°C;</w:t>
      </w:r>
    </w:p>
    <w:p w14:paraId="6C7F40FF" w14:textId="77777777" w:rsidR="00AA0465" w:rsidRPr="00012880" w:rsidRDefault="00AA0465" w:rsidP="00AA0465">
      <w:pPr>
        <w:pStyle w:val="SingleTxtG"/>
        <w:tabs>
          <w:tab w:val="left" w:pos="2410"/>
        </w:tabs>
        <w:ind w:left="1985"/>
        <w:rPr>
          <w:rFonts w:eastAsia="Arial" w:cs="Arial"/>
          <w:color w:val="000000"/>
          <w:u w:val="single"/>
          <w:lang w:eastAsia="fr-FR"/>
        </w:rPr>
      </w:pPr>
      <w:r w:rsidRPr="00012880">
        <w:rPr>
          <w:rFonts w:eastAsia="Arial" w:cs="Arial"/>
          <w:color w:val="000000"/>
          <w:u w:val="single"/>
          <w:lang w:eastAsia="fr-FR"/>
        </w:rPr>
        <w:t>(b)</w:t>
      </w:r>
      <w:r w:rsidRPr="00012880">
        <w:rPr>
          <w:rFonts w:eastAsia="Arial" w:cs="Arial"/>
          <w:color w:val="000000"/>
          <w:u w:val="single"/>
          <w:lang w:eastAsia="fr-FR"/>
        </w:rPr>
        <w:tab/>
        <w:t>Equipment group IIB: the device is intended for use in places with an explosive gas atmosphere other than mines susceptible to firedamp and in explosive gas atmospheres other than those containing hydrogen;</w:t>
      </w:r>
    </w:p>
    <w:p w14:paraId="68ED6C46" w14:textId="77777777" w:rsidR="00AA0465" w:rsidRPr="00012880" w:rsidRDefault="00AA0465" w:rsidP="00AA0465">
      <w:pPr>
        <w:pStyle w:val="SingleTxtG"/>
        <w:tabs>
          <w:tab w:val="left" w:pos="2410"/>
        </w:tabs>
        <w:ind w:left="1985"/>
        <w:rPr>
          <w:rFonts w:eastAsia="Arial" w:cs="Arial"/>
          <w:color w:val="000000"/>
          <w:u w:val="single"/>
          <w:lang w:eastAsia="fr-FR"/>
        </w:rPr>
      </w:pPr>
      <w:r w:rsidRPr="00012880">
        <w:rPr>
          <w:rFonts w:eastAsia="Arial" w:cs="Arial"/>
          <w:color w:val="000000"/>
          <w:u w:val="single"/>
          <w:lang w:eastAsia="fr-FR"/>
        </w:rPr>
        <w:t>(c)</w:t>
      </w:r>
      <w:r w:rsidRPr="00012880">
        <w:rPr>
          <w:rFonts w:eastAsia="Arial" w:cs="Arial"/>
          <w:color w:val="000000"/>
          <w:u w:val="single"/>
          <w:lang w:eastAsia="fr-FR"/>
        </w:rPr>
        <w:tab/>
        <w:t>Degree of protection IP65: the device enclosure protects internal equipment against ingress of dust and protects against harmful effects due to water jets against the enclosure from any direction</w:t>
      </w:r>
      <w:r>
        <w:rPr>
          <w:rFonts w:eastAsia="Arial" w:cs="Arial"/>
          <w:color w:val="000000"/>
          <w:u w:val="single"/>
          <w:lang w:eastAsia="fr-FR"/>
        </w:rPr>
        <w:t>; and</w:t>
      </w:r>
    </w:p>
    <w:p w14:paraId="775F9A29" w14:textId="77777777" w:rsidR="00AA0465" w:rsidRPr="00515F39" w:rsidRDefault="00AA0465" w:rsidP="00AA0465">
      <w:pPr>
        <w:pStyle w:val="SingleTxtG"/>
        <w:tabs>
          <w:tab w:val="left" w:pos="2410"/>
        </w:tabs>
        <w:ind w:left="1985"/>
        <w:rPr>
          <w:rFonts w:eastAsia="Arial" w:cs="Arial"/>
          <w:color w:val="000000"/>
          <w:u w:val="single"/>
          <w:lang w:eastAsia="fr-FR"/>
        </w:rPr>
      </w:pPr>
      <w:r>
        <w:rPr>
          <w:rFonts w:eastAsia="Arial" w:cs="Arial"/>
          <w:color w:val="000000"/>
          <w:u w:val="single"/>
          <w:lang w:eastAsia="fr-FR"/>
        </w:rPr>
        <w:lastRenderedPageBreak/>
        <w:t>(d)</w:t>
      </w:r>
      <w:r>
        <w:rPr>
          <w:rFonts w:eastAsia="Arial" w:cs="Arial"/>
          <w:color w:val="000000"/>
          <w:u w:val="single"/>
          <w:lang w:eastAsia="fr-FR"/>
        </w:rPr>
        <w:tab/>
      </w:r>
      <w:r w:rsidRPr="00515F39">
        <w:rPr>
          <w:rFonts w:eastAsia="Arial" w:cs="Arial"/>
          <w:color w:val="000000"/>
          <w:u w:val="single"/>
          <w:lang w:eastAsia="fr-FR"/>
        </w:rPr>
        <w:t xml:space="preserve">For </w:t>
      </w:r>
      <w:r w:rsidRPr="00515F39">
        <w:rPr>
          <w:u w:val="single"/>
        </w:rPr>
        <w:t>devices</w:t>
      </w:r>
      <w:r w:rsidRPr="00515F39">
        <w:rPr>
          <w:rFonts w:eastAsia="Arial" w:cs="Arial"/>
          <w:color w:val="000000"/>
          <w:u w:val="single"/>
          <w:lang w:eastAsia="fr-FR"/>
        </w:rPr>
        <w:t xml:space="preserve"> in a reefer controller box, the requirement of </w:t>
      </w:r>
      <w:r>
        <w:rPr>
          <w:rFonts w:eastAsia="Arial" w:cs="Arial"/>
          <w:color w:val="000000"/>
          <w:u w:val="single"/>
          <w:lang w:eastAsia="fr-FR"/>
        </w:rPr>
        <w:t>(</w:t>
      </w:r>
      <w:r w:rsidRPr="00515F39">
        <w:rPr>
          <w:rFonts w:eastAsia="Arial" w:cs="Arial"/>
          <w:color w:val="000000"/>
          <w:u w:val="single"/>
          <w:lang w:eastAsia="fr-FR"/>
        </w:rPr>
        <w:t xml:space="preserve">c) is complied with when the casing of the controller box conforms to </w:t>
      </w:r>
      <w:r>
        <w:rPr>
          <w:rFonts w:eastAsia="Arial" w:cs="Arial"/>
          <w:color w:val="000000"/>
          <w:u w:val="single"/>
          <w:lang w:eastAsia="fr-FR"/>
        </w:rPr>
        <w:t>(</w:t>
      </w:r>
      <w:r w:rsidRPr="00515F39">
        <w:rPr>
          <w:rFonts w:eastAsia="Arial" w:cs="Arial"/>
          <w:color w:val="000000"/>
          <w:u w:val="single"/>
          <w:lang w:eastAsia="fr-FR"/>
        </w:rPr>
        <w:t>c).</w:t>
      </w:r>
    </w:p>
    <w:p w14:paraId="29AA03D8" w14:textId="77777777" w:rsidR="00AA0465" w:rsidRPr="00AB4F10" w:rsidRDefault="00AA0465" w:rsidP="00AA0465">
      <w:pPr>
        <w:pStyle w:val="SingleTxtG"/>
        <w:kinsoku/>
        <w:overflowPunct/>
        <w:autoSpaceDE/>
        <w:autoSpaceDN/>
        <w:adjustRightInd/>
        <w:snapToGrid/>
        <w:rPr>
          <w:rFonts w:eastAsia="Arial" w:cs="Arial"/>
          <w:i/>
          <w:color w:val="000000"/>
          <w:lang w:eastAsia="fr-FR"/>
        </w:rPr>
      </w:pPr>
      <w:r w:rsidRPr="00515F39">
        <w:rPr>
          <w:rFonts w:eastAsia="Arial" w:cs="Arial"/>
          <w:color w:val="000000"/>
          <w:u w:val="single"/>
          <w:lang w:eastAsia="fr-FR"/>
        </w:rPr>
        <w:t>[</w:t>
      </w:r>
      <w:r w:rsidRPr="00515F39">
        <w:rPr>
          <w:rFonts w:eastAsia="Arial" w:cs="Arial"/>
          <w:b/>
          <w:i/>
          <w:color w:val="000000"/>
          <w:u w:val="single"/>
          <w:lang w:eastAsia="fr-FR"/>
        </w:rPr>
        <w:t>NOTE</w:t>
      </w:r>
      <w:r w:rsidRPr="00515F39">
        <w:rPr>
          <w:rFonts w:eastAsia="Arial" w:cs="Arial"/>
          <w:i/>
          <w:color w:val="000000"/>
          <w:u w:val="single"/>
          <w:lang w:eastAsia="fr-FR"/>
        </w:rPr>
        <w:t> :  Devices subject to 5.5.4.4 shall comply with the requirements from 1 January 2028, with the exception for fixed devices on or in reefer containers, which shall comply with these requirements as soon as possible, but not later than 1 January 2032.</w:t>
      </w:r>
      <w:r w:rsidRPr="00515F39">
        <w:rPr>
          <w:rFonts w:eastAsia="Arial" w:cs="Arial"/>
          <w:color w:val="000000"/>
          <w:u w:val="single"/>
          <w:lang w:eastAsia="fr-FR"/>
        </w:rPr>
        <w:t>]</w:t>
      </w:r>
      <w:r>
        <w:rPr>
          <w:rFonts w:eastAsia="Arial" w:cs="Arial"/>
          <w:color w:val="000000"/>
          <w:lang w:eastAsia="fr-FR"/>
        </w:rPr>
        <w:t>”</w:t>
      </w:r>
    </w:p>
    <w:p w14:paraId="236A9659" w14:textId="77777777" w:rsidR="00AA0465" w:rsidRDefault="00AA0465" w:rsidP="00AA0465">
      <w:pPr>
        <w:suppressAutoHyphens w:val="0"/>
        <w:kinsoku/>
        <w:overflowPunct/>
        <w:autoSpaceDE/>
        <w:autoSpaceDN/>
        <w:adjustRightInd/>
        <w:snapToGrid/>
        <w:spacing w:after="200" w:line="276" w:lineRule="auto"/>
      </w:pPr>
      <w:r>
        <w:br w:type="page"/>
      </w:r>
    </w:p>
    <w:p w14:paraId="44B492B3" w14:textId="77777777" w:rsidR="00577BAF" w:rsidRDefault="00AA0465" w:rsidP="00AA0465">
      <w:pPr>
        <w:pStyle w:val="HChG"/>
        <w:tabs>
          <w:tab w:val="left" w:pos="6804"/>
        </w:tabs>
        <w:kinsoku/>
        <w:overflowPunct/>
        <w:autoSpaceDE/>
        <w:autoSpaceDN/>
        <w:adjustRightInd/>
        <w:snapToGrid/>
        <w:rPr>
          <w:szCs w:val="28"/>
          <w:lang w:val="en-US"/>
        </w:rPr>
      </w:pPr>
      <w:r w:rsidRPr="00423B21">
        <w:rPr>
          <w:szCs w:val="28"/>
          <w:lang w:val="en-US"/>
        </w:rPr>
        <w:lastRenderedPageBreak/>
        <w:t>A</w:t>
      </w:r>
      <w:r>
        <w:rPr>
          <w:szCs w:val="28"/>
          <w:lang w:val="en-US"/>
        </w:rPr>
        <w:t>nnex</w:t>
      </w:r>
      <w:r>
        <w:rPr>
          <w:szCs w:val="28"/>
          <w:lang w:val="en-US"/>
        </w:rPr>
        <w:tab/>
      </w:r>
    </w:p>
    <w:p w14:paraId="4B1686E9" w14:textId="3065993D" w:rsidR="00AA0465" w:rsidRPr="00524CBE" w:rsidRDefault="00AA0465" w:rsidP="00577BAF">
      <w:pPr>
        <w:pStyle w:val="SingleTxtG"/>
        <w:jc w:val="right"/>
        <w:rPr>
          <w:b/>
          <w:lang w:val="en-US"/>
        </w:rPr>
      </w:pPr>
      <w:r w:rsidRPr="00524CBE">
        <w:rPr>
          <w:lang w:val="en-US"/>
        </w:rPr>
        <w:t>[English only]</w:t>
      </w:r>
    </w:p>
    <w:p w14:paraId="3A42636C" w14:textId="77777777" w:rsidR="00AA0465" w:rsidRPr="00423B21" w:rsidRDefault="00AA0465" w:rsidP="00AA0465">
      <w:pPr>
        <w:pStyle w:val="HChG"/>
        <w:kinsoku/>
        <w:overflowPunct/>
        <w:autoSpaceDE/>
        <w:autoSpaceDN/>
        <w:adjustRightInd/>
        <w:snapToGrid/>
        <w:rPr>
          <w:rFonts w:eastAsia="Times New Roman"/>
          <w:lang w:eastAsia="fr-FR"/>
        </w:rPr>
      </w:pPr>
      <w:r>
        <w:rPr>
          <w:rFonts w:eastAsia="Times New Roman"/>
          <w:lang w:eastAsia="fr-FR"/>
        </w:rPr>
        <w:tab/>
      </w:r>
      <w:r>
        <w:rPr>
          <w:rFonts w:eastAsia="Times New Roman"/>
          <w:lang w:eastAsia="fr-FR"/>
        </w:rPr>
        <w:tab/>
      </w:r>
      <w:r w:rsidRPr="00423B21">
        <w:rPr>
          <w:rFonts w:eastAsia="Times New Roman"/>
          <w:lang w:eastAsia="fr-FR"/>
        </w:rPr>
        <w:t xml:space="preserve">Draft report </w:t>
      </w:r>
      <w:r>
        <w:rPr>
          <w:rFonts w:eastAsia="Times New Roman"/>
          <w:lang w:eastAsia="fr-FR"/>
        </w:rPr>
        <w:t>of</w:t>
      </w:r>
      <w:r w:rsidRPr="00423B21">
        <w:rPr>
          <w:rFonts w:eastAsia="Times New Roman"/>
          <w:lang w:eastAsia="fr-FR"/>
        </w:rPr>
        <w:t xml:space="preserve"> the sub-committee on carriage of cargoes and containers </w:t>
      </w:r>
      <w:r>
        <w:rPr>
          <w:rFonts w:eastAsia="Times New Roman"/>
          <w:lang w:eastAsia="fr-FR"/>
        </w:rPr>
        <w:t>E</w:t>
      </w:r>
      <w:r w:rsidRPr="00423B21">
        <w:rPr>
          <w:rFonts w:eastAsia="Times New Roman"/>
          <w:lang w:eastAsia="fr-FR"/>
        </w:rPr>
        <w:t>&amp;</w:t>
      </w:r>
      <w:r>
        <w:rPr>
          <w:rFonts w:eastAsia="Times New Roman"/>
          <w:lang w:eastAsia="fr-FR"/>
        </w:rPr>
        <w:t>T</w:t>
      </w:r>
      <w:r w:rsidRPr="00423B21">
        <w:rPr>
          <w:rFonts w:eastAsia="Times New Roman"/>
          <w:lang w:eastAsia="fr-FR"/>
        </w:rPr>
        <w:t xml:space="preserve"> 38/WP.1 - 24 March 2023</w:t>
      </w:r>
    </w:p>
    <w:p w14:paraId="1FED0AB7" w14:textId="788EF176" w:rsidR="00AA0465" w:rsidRPr="007E527C" w:rsidRDefault="00AA0465" w:rsidP="007E527C">
      <w:pPr>
        <w:pStyle w:val="H1G"/>
      </w:pPr>
      <w:r>
        <w:rPr>
          <w:lang w:eastAsia="fr-FR"/>
        </w:rPr>
        <w:tab/>
      </w:r>
      <w:r>
        <w:rPr>
          <w:lang w:eastAsia="fr-FR"/>
        </w:rPr>
        <w:tab/>
      </w:r>
      <w:r w:rsidR="007E527C" w:rsidRPr="007E527C">
        <w:t>Extract</w:t>
      </w:r>
    </w:p>
    <w:p w14:paraId="63C0D835" w14:textId="77777777" w:rsidR="00AA0465" w:rsidRPr="007E7D38" w:rsidRDefault="00AA0465" w:rsidP="00AA0465">
      <w:pPr>
        <w:pStyle w:val="SingleTxtG"/>
        <w:tabs>
          <w:tab w:val="left" w:pos="1985"/>
        </w:tabs>
        <w:kinsoku/>
        <w:overflowPunct/>
        <w:autoSpaceDE/>
        <w:autoSpaceDN/>
        <w:adjustRightInd/>
        <w:snapToGrid/>
        <w:rPr>
          <w:rFonts w:eastAsia="Times New Roman"/>
          <w:i/>
          <w:iCs/>
          <w:lang w:eastAsia="fr-FR"/>
        </w:rPr>
      </w:pPr>
      <w:r w:rsidRPr="007E7D38">
        <w:rPr>
          <w:rFonts w:eastAsia="Times New Roman"/>
          <w:i/>
          <w:iCs/>
          <w:lang w:eastAsia="fr-FR"/>
        </w:rPr>
        <w:t>5.5.4</w:t>
      </w:r>
      <w:r w:rsidRPr="007E7D38">
        <w:rPr>
          <w:rFonts w:eastAsia="Times New Roman"/>
          <w:i/>
          <w:iCs/>
          <w:lang w:eastAsia="fr-FR"/>
        </w:rPr>
        <w:tab/>
        <w:t>Dangerous goods in equipment in use or intended for use during transport</w:t>
      </w:r>
    </w:p>
    <w:p w14:paraId="78335F43" w14:textId="77777777" w:rsidR="00AA0465" w:rsidRPr="007E7D38" w:rsidRDefault="00AA0465" w:rsidP="00AA0465">
      <w:pPr>
        <w:pStyle w:val="SingleTxtG"/>
        <w:tabs>
          <w:tab w:val="left" w:pos="1985"/>
        </w:tabs>
        <w:kinsoku/>
        <w:overflowPunct/>
        <w:autoSpaceDE/>
        <w:autoSpaceDN/>
        <w:adjustRightInd/>
        <w:snapToGrid/>
        <w:rPr>
          <w:rFonts w:eastAsia="Times New Roman"/>
          <w:i/>
          <w:iCs/>
          <w:lang w:eastAsia="fr-FR"/>
        </w:rPr>
      </w:pPr>
      <w:r w:rsidRPr="007E7D38">
        <w:rPr>
          <w:rFonts w:eastAsia="Times New Roman"/>
          <w:i/>
          <w:iCs/>
          <w:lang w:eastAsia="fr-FR"/>
        </w:rPr>
        <w:t>Replace the text in paragraph to read as follows:</w:t>
      </w:r>
    </w:p>
    <w:p w14:paraId="65DA90C3" w14:textId="77777777" w:rsidR="00AA0465" w:rsidRPr="007E7D38" w:rsidRDefault="00AA0465" w:rsidP="00AA0465">
      <w:pPr>
        <w:pStyle w:val="SingleTxtG"/>
        <w:tabs>
          <w:tab w:val="left" w:pos="1985"/>
        </w:tabs>
        <w:kinsoku/>
        <w:overflowPunct/>
        <w:autoSpaceDE/>
        <w:autoSpaceDN/>
        <w:adjustRightInd/>
        <w:snapToGrid/>
        <w:rPr>
          <w:rFonts w:eastAsia="Times New Roman"/>
          <w:i/>
          <w:iCs/>
          <w:lang w:eastAsia="fr-FR"/>
        </w:rPr>
      </w:pPr>
      <w:r w:rsidRPr="007E7D38">
        <w:rPr>
          <w:rFonts w:eastAsia="Times New Roman"/>
          <w:i/>
          <w:iCs/>
          <w:lang w:eastAsia="fr-FR"/>
        </w:rPr>
        <w:t>“5.5.4</w:t>
      </w:r>
      <w:r w:rsidRPr="007E7D38">
        <w:rPr>
          <w:rFonts w:eastAsia="Times New Roman"/>
          <w:i/>
          <w:iCs/>
          <w:lang w:eastAsia="fr-FR"/>
        </w:rPr>
        <w:tab/>
        <w:t>Devices containing dangerous goods, which are in use or intended for use during transport</w:t>
      </w:r>
    </w:p>
    <w:p w14:paraId="0CF079C3" w14:textId="77777777" w:rsidR="00AA0465" w:rsidRPr="007E7D38" w:rsidRDefault="00AA0465" w:rsidP="00AA0465">
      <w:pPr>
        <w:pStyle w:val="SingleTxtG"/>
        <w:tabs>
          <w:tab w:val="left" w:pos="1985"/>
        </w:tabs>
        <w:kinsoku/>
        <w:overflowPunct/>
        <w:autoSpaceDE/>
        <w:autoSpaceDN/>
        <w:adjustRightInd/>
        <w:snapToGrid/>
        <w:rPr>
          <w:rFonts w:eastAsia="Times New Roman"/>
          <w:i/>
          <w:iCs/>
          <w:lang w:eastAsia="fr-FR"/>
        </w:rPr>
      </w:pPr>
      <w:r w:rsidRPr="007E7D38">
        <w:rPr>
          <w:rFonts w:eastAsia="Times New Roman"/>
          <w:i/>
          <w:iCs/>
          <w:lang w:eastAsia="fr-FR"/>
        </w:rPr>
        <w:t>5.5.4.1</w:t>
      </w:r>
      <w:r w:rsidRPr="007E7D38">
        <w:rPr>
          <w:rFonts w:eastAsia="Times New Roman"/>
          <w:i/>
          <w:iCs/>
          <w:lang w:eastAsia="fr-FR"/>
        </w:rPr>
        <w:tab/>
        <w:t xml:space="preserve">Devices in use or intended for use during transport containing dangerous goods, such as data loggers, sensors and cargo tracking devices, attached to or placed in packages, overpacks, bulk containers, freight containers or other types of cargo transport units, are not subject to the provisions of this Code other than the requirements set out in 5.5.4.1.1 to 5.5.4.5, as follows: </w:t>
      </w:r>
    </w:p>
    <w:p w14:paraId="007BD70E"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.1</w:t>
      </w:r>
      <w:r w:rsidRPr="007E7D38">
        <w:rPr>
          <w:i/>
          <w:iCs/>
        </w:rPr>
        <w:tab/>
        <w:t xml:space="preserve">the device shall be in use or </w:t>
      </w:r>
      <w:r w:rsidRPr="007E7D38">
        <w:rPr>
          <w:rFonts w:eastAsia="Times New Roman"/>
          <w:i/>
          <w:iCs/>
          <w:lang w:eastAsia="fr-FR"/>
        </w:rPr>
        <w:t>intended</w:t>
      </w:r>
      <w:r w:rsidRPr="007E7D38">
        <w:rPr>
          <w:i/>
          <w:iCs/>
        </w:rPr>
        <w:t xml:space="preserve"> for use during transport; </w:t>
      </w:r>
    </w:p>
    <w:p w14:paraId="29F5E3D1"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.2</w:t>
      </w:r>
      <w:r w:rsidRPr="007E7D38">
        <w:rPr>
          <w:i/>
          <w:iCs/>
        </w:rPr>
        <w:tab/>
        <w:t xml:space="preserve">the contained dangerous goods (e.g. lithium batteries, fuel cell cartridges) shall meet the applicable construction and test requirements specified in this Code; and </w:t>
      </w:r>
    </w:p>
    <w:p w14:paraId="59319773"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.3</w:t>
      </w:r>
      <w:r w:rsidRPr="007E7D38">
        <w:rPr>
          <w:i/>
          <w:iCs/>
        </w:rPr>
        <w:tab/>
        <w:t xml:space="preserve"> the device shall be capable of withstanding the shocks and loadings normally encountered during transport and shall be safe for use in the dangerous environments to which it may be exposed. </w:t>
      </w:r>
    </w:p>
    <w:p w14:paraId="5E8C09E7" w14:textId="77777777" w:rsidR="00AA0465" w:rsidRPr="007E7D38" w:rsidRDefault="00AA0465" w:rsidP="00AA0465">
      <w:pPr>
        <w:pStyle w:val="SingleTxtG"/>
        <w:tabs>
          <w:tab w:val="left" w:pos="1985"/>
        </w:tabs>
        <w:kinsoku/>
        <w:overflowPunct/>
        <w:autoSpaceDE/>
        <w:autoSpaceDN/>
        <w:adjustRightInd/>
        <w:snapToGrid/>
        <w:rPr>
          <w:i/>
          <w:iCs/>
        </w:rPr>
      </w:pPr>
      <w:r w:rsidRPr="007E7D38">
        <w:rPr>
          <w:i/>
          <w:iCs/>
        </w:rPr>
        <w:t>5.5.4.2</w:t>
      </w:r>
      <w:r w:rsidRPr="007E7D38">
        <w:rPr>
          <w:i/>
          <w:iCs/>
        </w:rPr>
        <w:tab/>
        <w:t xml:space="preserve">When </w:t>
      </w:r>
      <w:r w:rsidRPr="007E7D38">
        <w:rPr>
          <w:rFonts w:eastAsia="Times New Roman"/>
          <w:i/>
          <w:iCs/>
          <w:lang w:eastAsia="fr-FR"/>
        </w:rPr>
        <w:t>such</w:t>
      </w:r>
      <w:r w:rsidRPr="007E7D38">
        <w:rPr>
          <w:i/>
          <w:iCs/>
        </w:rPr>
        <w:t xml:space="preserve"> device containing dangerous goods is transported as a consignment, the relevant entry of the Dangerous Goods List in chapter 3.2 shall be used and all applicable provisions of this Code shall apply. </w:t>
      </w:r>
    </w:p>
    <w:p w14:paraId="3D64D376" w14:textId="77777777" w:rsidR="00AA0465" w:rsidRPr="007E7D38" w:rsidRDefault="00AA0465" w:rsidP="00AA0465">
      <w:pPr>
        <w:pStyle w:val="SingleTxtG"/>
        <w:tabs>
          <w:tab w:val="left" w:pos="1985"/>
        </w:tabs>
        <w:kinsoku/>
        <w:overflowPunct/>
        <w:autoSpaceDE/>
        <w:autoSpaceDN/>
        <w:adjustRightInd/>
        <w:snapToGrid/>
        <w:rPr>
          <w:i/>
          <w:iCs/>
        </w:rPr>
      </w:pPr>
      <w:r w:rsidRPr="007E7D38">
        <w:rPr>
          <w:i/>
          <w:iCs/>
        </w:rPr>
        <w:t>5.5.4.3</w:t>
      </w:r>
      <w:r w:rsidRPr="007E7D38">
        <w:rPr>
          <w:i/>
          <w:iCs/>
        </w:rPr>
        <w:tab/>
        <w:t xml:space="preserve">Data </w:t>
      </w:r>
      <w:r w:rsidRPr="007E7D38">
        <w:rPr>
          <w:rFonts w:eastAsia="Times New Roman"/>
          <w:i/>
          <w:iCs/>
          <w:lang w:eastAsia="fr-FR"/>
        </w:rPr>
        <w:t>loggers</w:t>
      </w:r>
      <w:r w:rsidRPr="007E7D38">
        <w:rPr>
          <w:i/>
          <w:iCs/>
        </w:rPr>
        <w:t xml:space="preserve">, sensors and cargo tracking devices, attached to packages and overpacks in a closed cargo transport unit are subject to 7.3.5 when dangerous goods are transported in that cargo transport unit. </w:t>
      </w:r>
    </w:p>
    <w:p w14:paraId="601128F6" w14:textId="77777777" w:rsidR="00AA0465" w:rsidRPr="007E7D38" w:rsidRDefault="00AA0465" w:rsidP="00AA0465">
      <w:pPr>
        <w:pStyle w:val="SingleTxtG"/>
        <w:tabs>
          <w:tab w:val="left" w:pos="1985"/>
        </w:tabs>
        <w:kinsoku/>
        <w:overflowPunct/>
        <w:autoSpaceDE/>
        <w:autoSpaceDN/>
        <w:adjustRightInd/>
        <w:snapToGrid/>
        <w:rPr>
          <w:i/>
          <w:iCs/>
        </w:rPr>
      </w:pPr>
      <w:r w:rsidRPr="007E7D38">
        <w:rPr>
          <w:i/>
          <w:iCs/>
        </w:rPr>
        <w:t>5.5.4.4</w:t>
      </w:r>
      <w:r w:rsidRPr="007E7D38">
        <w:rPr>
          <w:i/>
          <w:iCs/>
        </w:rPr>
        <w:tab/>
        <w:t xml:space="preserve">Data loggers, </w:t>
      </w:r>
      <w:r w:rsidRPr="007E7D38">
        <w:rPr>
          <w:rFonts w:eastAsia="Times New Roman"/>
          <w:i/>
          <w:iCs/>
          <w:lang w:eastAsia="fr-FR"/>
        </w:rPr>
        <w:t>sensors</w:t>
      </w:r>
      <w:r w:rsidRPr="007E7D38">
        <w:rPr>
          <w:i/>
          <w:iCs/>
        </w:rPr>
        <w:t xml:space="preserve"> and cargo tracking devices, attached directly to the interior or exterior of cargo transport units shall comply with the following criteria, as found in IEC 60079-0:2017 and IEC 60529:2013:</w:t>
      </w:r>
    </w:p>
    <w:p w14:paraId="0D5D5012"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 xml:space="preserve">.1 </w:t>
      </w:r>
      <w:r w:rsidRPr="007E7D38">
        <w:rPr>
          <w:i/>
          <w:iCs/>
        </w:rPr>
        <w:tab/>
        <w:t xml:space="preserve">Temperature class T4: the device maximum surface temperature attained in service under the most adverse conditions is ≤ 135°C;  </w:t>
      </w:r>
    </w:p>
    <w:p w14:paraId="4FD568D4"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 xml:space="preserve">.2 </w:t>
      </w:r>
      <w:r w:rsidRPr="007E7D38">
        <w:rPr>
          <w:i/>
          <w:iCs/>
        </w:rPr>
        <w:tab/>
        <w:t xml:space="preserve">Equipment group IIB: the device is intended for use in places with an explosive gas atmosphere other than mines susceptible to firedamp and in explosive gas atmospheres other than those containing hydrogen; and  </w:t>
      </w:r>
    </w:p>
    <w:p w14:paraId="49235FE3" w14:textId="77777777" w:rsidR="00AA0465" w:rsidRPr="007E7D38" w:rsidRDefault="00AA0465" w:rsidP="00AA0465">
      <w:pPr>
        <w:pStyle w:val="SingleTxtG"/>
        <w:tabs>
          <w:tab w:val="left" w:pos="2268"/>
        </w:tabs>
        <w:kinsoku/>
        <w:overflowPunct/>
        <w:autoSpaceDE/>
        <w:autoSpaceDN/>
        <w:adjustRightInd/>
        <w:snapToGrid/>
        <w:ind w:left="2268" w:hanging="283"/>
        <w:rPr>
          <w:i/>
          <w:iCs/>
        </w:rPr>
      </w:pPr>
      <w:r w:rsidRPr="007E7D38">
        <w:rPr>
          <w:i/>
          <w:iCs/>
        </w:rPr>
        <w:t xml:space="preserve">.3 </w:t>
      </w:r>
      <w:r w:rsidRPr="007E7D38">
        <w:rPr>
          <w:i/>
          <w:iCs/>
        </w:rPr>
        <w:tab/>
        <w:t>Degree of protection IP65: the device enclosure protects internal equipment against ingress of dust and protects against harmful effects due to water jets against the enclosure from any direction</w:t>
      </w:r>
      <w:r>
        <w:rPr>
          <w:i/>
          <w:iCs/>
        </w:rPr>
        <w:t>.</w:t>
      </w:r>
    </w:p>
    <w:p w14:paraId="6D225D41" w14:textId="77777777" w:rsidR="00AA0465" w:rsidRPr="007E7D38" w:rsidRDefault="00AA0465" w:rsidP="00AA0465">
      <w:pPr>
        <w:pStyle w:val="SingleTxtG"/>
        <w:tabs>
          <w:tab w:val="left" w:pos="1985"/>
        </w:tabs>
        <w:kinsoku/>
        <w:overflowPunct/>
        <w:autoSpaceDE/>
        <w:autoSpaceDN/>
        <w:adjustRightInd/>
        <w:snapToGrid/>
        <w:rPr>
          <w:i/>
          <w:iCs/>
        </w:rPr>
      </w:pPr>
      <w:r w:rsidRPr="007E7D38">
        <w:rPr>
          <w:rFonts w:eastAsia="Arial"/>
          <w:b/>
          <w:i/>
          <w:iCs/>
        </w:rPr>
        <w:t>Note:</w:t>
      </w:r>
      <w:r w:rsidRPr="007E7D38">
        <w:rPr>
          <w:i/>
          <w:iCs/>
        </w:rPr>
        <w:t xml:space="preserve">  For </w:t>
      </w:r>
      <w:r w:rsidRPr="007E7D38">
        <w:rPr>
          <w:rFonts w:eastAsia="Times New Roman"/>
          <w:i/>
          <w:iCs/>
          <w:lang w:eastAsia="fr-FR"/>
        </w:rPr>
        <w:t>devices</w:t>
      </w:r>
      <w:r w:rsidRPr="007E7D38">
        <w:rPr>
          <w:i/>
          <w:iCs/>
        </w:rPr>
        <w:t xml:space="preserve"> in a reefer controller box, the requirement in 5.5.4.4.3 is complied with when the casing of the controller box conforms to 5.5.4.4.3.</w:t>
      </w:r>
    </w:p>
    <w:p w14:paraId="5A6085FD" w14:textId="77777777" w:rsidR="00AA0465" w:rsidRPr="007E7D38" w:rsidRDefault="00AA0465" w:rsidP="00AA0465">
      <w:pPr>
        <w:pStyle w:val="SingleTxtG"/>
        <w:tabs>
          <w:tab w:val="left" w:pos="1985"/>
        </w:tabs>
        <w:kinsoku/>
        <w:overflowPunct/>
        <w:autoSpaceDE/>
        <w:autoSpaceDN/>
        <w:adjustRightInd/>
        <w:snapToGrid/>
        <w:rPr>
          <w:i/>
          <w:iCs/>
        </w:rPr>
      </w:pPr>
      <w:r w:rsidRPr="007E7D38">
        <w:rPr>
          <w:i/>
          <w:iCs/>
        </w:rPr>
        <w:t>5.5.4.5</w:t>
      </w:r>
      <w:r>
        <w:rPr>
          <w:i/>
          <w:iCs/>
        </w:rPr>
        <w:tab/>
      </w:r>
      <w:r w:rsidRPr="007E7D38">
        <w:rPr>
          <w:i/>
          <w:iCs/>
        </w:rPr>
        <w:t>Devices subject to 5.5.4.4 shall comply with the requirements from 1 January 2028, with the exception for fixed devices on or in reefer containers, which shall comply with these requirements as soon as possible, but not later than 1 January 2032.”</w:t>
      </w:r>
    </w:p>
    <w:p w14:paraId="44013305" w14:textId="77777777" w:rsidR="00AA0465" w:rsidRPr="00423B21" w:rsidRDefault="00AA0465" w:rsidP="00AA0465">
      <w:pPr>
        <w:pStyle w:val="SingleTxtG"/>
        <w:tabs>
          <w:tab w:val="left" w:pos="1985"/>
        </w:tabs>
        <w:kinsoku/>
        <w:overflowPunct/>
        <w:autoSpaceDE/>
        <w:autoSpaceDN/>
        <w:adjustRightInd/>
        <w:snapToGrid/>
        <w:jc w:val="center"/>
      </w:pPr>
      <w:r>
        <w:t>_________________</w:t>
      </w:r>
    </w:p>
    <w:sectPr w:rsidR="00AA0465" w:rsidRPr="00423B21" w:rsidSect="009F0D0D">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1E3C" w14:textId="77777777" w:rsidR="00E34509" w:rsidRPr="00C47B2E" w:rsidRDefault="00E34509" w:rsidP="00C47B2E">
      <w:pPr>
        <w:pStyle w:val="Footer"/>
      </w:pPr>
    </w:p>
  </w:endnote>
  <w:endnote w:type="continuationSeparator" w:id="0">
    <w:p w14:paraId="605F950F" w14:textId="77777777" w:rsidR="00E34509" w:rsidRPr="00C47B2E" w:rsidRDefault="00E34509" w:rsidP="00C47B2E">
      <w:pPr>
        <w:pStyle w:val="Footer"/>
      </w:pPr>
    </w:p>
  </w:endnote>
  <w:endnote w:type="continuationNotice" w:id="1">
    <w:p w14:paraId="18C66779" w14:textId="77777777" w:rsidR="00E34509" w:rsidRPr="00C47B2E" w:rsidRDefault="00E3450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52A6" w14:textId="0117F71C" w:rsidR="00D94B05" w:rsidRPr="009F0D0D" w:rsidRDefault="009F0D0D" w:rsidP="009F0D0D">
    <w:pPr>
      <w:pStyle w:val="Footer"/>
      <w:tabs>
        <w:tab w:val="right" w:pos="9598"/>
        <w:tab w:val="right" w:pos="9638"/>
      </w:tabs>
      <w:rPr>
        <w:sz w:val="18"/>
      </w:rPr>
    </w:pPr>
    <w:r w:rsidRPr="009F0D0D">
      <w:rPr>
        <w:b/>
        <w:sz w:val="18"/>
      </w:rPr>
      <w:fldChar w:fldCharType="begin"/>
    </w:r>
    <w:r w:rsidRPr="009F0D0D">
      <w:rPr>
        <w:b/>
        <w:sz w:val="18"/>
      </w:rPr>
      <w:instrText xml:space="preserve"> PAGE  \* MERGEFORMAT </w:instrText>
    </w:r>
    <w:r w:rsidRPr="009F0D0D">
      <w:rPr>
        <w:b/>
        <w:sz w:val="18"/>
      </w:rPr>
      <w:fldChar w:fldCharType="separate"/>
    </w:r>
    <w:r w:rsidRPr="009F0D0D">
      <w:rPr>
        <w:b/>
        <w:noProof/>
        <w:sz w:val="18"/>
      </w:rPr>
      <w:t>2</w:t>
    </w:r>
    <w:r w:rsidRPr="009F0D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D6FF" w14:textId="75F19AC7" w:rsidR="00D94B05" w:rsidRPr="009F0D0D" w:rsidRDefault="009F0D0D" w:rsidP="00D93553">
    <w:pPr>
      <w:pStyle w:val="Footer"/>
      <w:tabs>
        <w:tab w:val="right" w:pos="9598"/>
        <w:tab w:val="right" w:pos="9638"/>
      </w:tabs>
      <w:rPr>
        <w:sz w:val="18"/>
      </w:rPr>
    </w:pPr>
    <w:r>
      <w:rPr>
        <w:b/>
        <w:sz w:val="18"/>
      </w:rPr>
      <w:tab/>
    </w:r>
    <w:r w:rsidRPr="009F0D0D">
      <w:rPr>
        <w:sz w:val="18"/>
      </w:rPr>
      <w:fldChar w:fldCharType="begin"/>
    </w:r>
    <w:r w:rsidRPr="009F0D0D">
      <w:rPr>
        <w:sz w:val="18"/>
      </w:rPr>
      <w:instrText xml:space="preserve"> PAGE  \* MERGEFORMAT </w:instrText>
    </w:r>
    <w:r w:rsidRPr="009F0D0D">
      <w:rPr>
        <w:sz w:val="18"/>
      </w:rPr>
      <w:fldChar w:fldCharType="separate"/>
    </w:r>
    <w:r w:rsidRPr="009F0D0D">
      <w:rPr>
        <w:noProof/>
        <w:sz w:val="18"/>
      </w:rPr>
      <w:t>3</w:t>
    </w:r>
    <w:r w:rsidRPr="009F0D0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1D76" w14:textId="5085C976" w:rsidR="00D94B05" w:rsidRDefault="00261217" w:rsidP="00261217">
    <w:pPr>
      <w:pStyle w:val="Footer"/>
      <w:rPr>
        <w:rFonts w:asciiTheme="majorBidi" w:hAnsiTheme="majorBidi" w:cstheme="majorBidi"/>
        <w:sz w:val="20"/>
      </w:rPr>
    </w:pPr>
    <w:r w:rsidRPr="00261217">
      <w:rPr>
        <w:rFonts w:asciiTheme="majorBidi" w:hAnsiTheme="majorBidi" w:cstheme="majorBidi"/>
        <w:noProof/>
        <w:sz w:val="20"/>
        <w:lang w:val="en-US"/>
      </w:rPr>
      <w:drawing>
        <wp:anchor distT="0" distB="0" distL="114300" distR="114300" simplePos="0" relativeHeight="251661312" behindDoc="0" locked="1" layoutInCell="1" allowOverlap="1" wp14:anchorId="1093321A" wp14:editId="79F5BC1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BF3032" w14:textId="6A62495E" w:rsidR="00261217" w:rsidRPr="00261217" w:rsidRDefault="00261217" w:rsidP="00261217">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GE.23-07453(E)</w:t>
    </w:r>
    <w:r>
      <w:rPr>
        <w:rFonts w:asciiTheme="majorBidi" w:hAnsiTheme="majorBidi" w:cstheme="majorBidi"/>
        <w:noProof/>
        <w:sz w:val="20"/>
      </w:rPr>
      <w:drawing>
        <wp:anchor distT="0" distB="0" distL="114300" distR="114300" simplePos="0" relativeHeight="251662336" behindDoc="0" locked="0" layoutInCell="1" allowOverlap="1" wp14:anchorId="282F6B45" wp14:editId="120652B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DFA8" w14:textId="77777777" w:rsidR="00E34509" w:rsidRPr="00C47B2E" w:rsidRDefault="00E34509" w:rsidP="00C47B2E">
      <w:pPr>
        <w:tabs>
          <w:tab w:val="right" w:pos="2155"/>
        </w:tabs>
        <w:spacing w:after="80" w:line="240" w:lineRule="auto"/>
        <w:ind w:left="680"/>
      </w:pPr>
      <w:r>
        <w:rPr>
          <w:u w:val="single"/>
        </w:rPr>
        <w:tab/>
      </w:r>
    </w:p>
  </w:footnote>
  <w:footnote w:type="continuationSeparator" w:id="0">
    <w:p w14:paraId="7BECDFF1" w14:textId="77777777" w:rsidR="00E34509" w:rsidRPr="00C47B2E" w:rsidRDefault="00E34509" w:rsidP="005E716E">
      <w:pPr>
        <w:tabs>
          <w:tab w:val="right" w:pos="2155"/>
        </w:tabs>
        <w:spacing w:after="80" w:line="240" w:lineRule="auto"/>
        <w:ind w:left="680"/>
      </w:pPr>
      <w:r>
        <w:rPr>
          <w:u w:val="single"/>
        </w:rPr>
        <w:tab/>
      </w:r>
    </w:p>
  </w:footnote>
  <w:footnote w:type="continuationNotice" w:id="1">
    <w:p w14:paraId="55A55595" w14:textId="77777777" w:rsidR="00E34509" w:rsidRPr="00C47B2E" w:rsidRDefault="00E34509" w:rsidP="00C47B2E">
      <w:pPr>
        <w:pStyle w:val="Footer"/>
      </w:pPr>
    </w:p>
  </w:footnote>
  <w:footnote w:id="2">
    <w:p w14:paraId="7D0F272C" w14:textId="77777777" w:rsidR="00AA0465" w:rsidRPr="00537719" w:rsidRDefault="00AA0465" w:rsidP="00AA0465">
      <w:pPr>
        <w:pStyle w:val="FootnoteText"/>
        <w:ind w:firstLine="0"/>
        <w:rPr>
          <w:lang w:val="fr-CH"/>
        </w:rPr>
      </w:pPr>
      <w:r>
        <w:rPr>
          <w:rStyle w:val="FootnoteReference"/>
        </w:rPr>
        <w:footnoteRef/>
      </w:r>
      <w:r>
        <w:t xml:space="preserve"> </w:t>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FE7" w14:textId="229F9F07" w:rsidR="009F0D0D" w:rsidRPr="009F0D0D" w:rsidRDefault="00C657F3">
    <w:pPr>
      <w:pStyle w:val="Header"/>
    </w:pPr>
    <w:r>
      <w:fldChar w:fldCharType="begin"/>
    </w:r>
    <w:r>
      <w:instrText xml:space="preserve"> TITLE  \* MERGEFORMAT </w:instrText>
    </w:r>
    <w:r>
      <w:fldChar w:fldCharType="separate"/>
    </w:r>
    <w:r w:rsidR="009F0D0D">
      <w:t>ST/SG/AC.10/C.3/2023/14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5303" w14:textId="47F0D9B2" w:rsidR="00D94B05" w:rsidRPr="009F0D0D" w:rsidRDefault="00C657F3" w:rsidP="009F0D0D">
    <w:pPr>
      <w:pStyle w:val="Header"/>
      <w:jc w:val="right"/>
    </w:pPr>
    <w:r>
      <w:fldChar w:fldCharType="begin"/>
    </w:r>
    <w:r>
      <w:instrText xml:space="preserve"> TITLE  \* MERGEFORMAT </w:instrText>
    </w:r>
    <w:r>
      <w:fldChar w:fldCharType="separate"/>
    </w:r>
    <w:r w:rsidR="009F0D0D">
      <w:t>ST/SG/AC.10/C.3/2023/14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63443934">
    <w:abstractNumId w:val="5"/>
  </w:num>
  <w:num w:numId="2" w16cid:durableId="929506194">
    <w:abstractNumId w:val="4"/>
  </w:num>
  <w:num w:numId="3" w16cid:durableId="1576931861">
    <w:abstractNumId w:val="0"/>
  </w:num>
  <w:num w:numId="4" w16cid:durableId="151067887">
    <w:abstractNumId w:val="6"/>
  </w:num>
  <w:num w:numId="5" w16cid:durableId="1936554395">
    <w:abstractNumId w:val="7"/>
  </w:num>
  <w:num w:numId="6" w16cid:durableId="1612863104">
    <w:abstractNumId w:val="9"/>
  </w:num>
  <w:num w:numId="7" w16cid:durableId="1314718903">
    <w:abstractNumId w:val="3"/>
  </w:num>
  <w:num w:numId="8" w16cid:durableId="89172">
    <w:abstractNumId w:val="1"/>
  </w:num>
  <w:num w:numId="9" w16cid:durableId="740326278">
    <w:abstractNumId w:val="8"/>
  </w:num>
  <w:num w:numId="10" w16cid:durableId="657348882">
    <w:abstractNumId w:val="1"/>
  </w:num>
  <w:num w:numId="11" w16cid:durableId="820196569">
    <w:abstractNumId w:val="8"/>
  </w:num>
  <w:num w:numId="12" w16cid:durableId="1975867885">
    <w:abstractNumId w:val="2"/>
  </w:num>
  <w:num w:numId="13" w16cid:durableId="49638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0D"/>
    <w:rsid w:val="00046E92"/>
    <w:rsid w:val="00063C90"/>
    <w:rsid w:val="000A1DE7"/>
    <w:rsid w:val="00101B98"/>
    <w:rsid w:val="001514D1"/>
    <w:rsid w:val="00217511"/>
    <w:rsid w:val="00247E2C"/>
    <w:rsid w:val="00261217"/>
    <w:rsid w:val="002A32CB"/>
    <w:rsid w:val="002D5B2C"/>
    <w:rsid w:val="002D6C53"/>
    <w:rsid w:val="002F5595"/>
    <w:rsid w:val="00334F6A"/>
    <w:rsid w:val="00342AC8"/>
    <w:rsid w:val="00343302"/>
    <w:rsid w:val="00346921"/>
    <w:rsid w:val="003979DE"/>
    <w:rsid w:val="003B4550"/>
    <w:rsid w:val="003D2A18"/>
    <w:rsid w:val="00413386"/>
    <w:rsid w:val="00461253"/>
    <w:rsid w:val="004858F5"/>
    <w:rsid w:val="004A2814"/>
    <w:rsid w:val="004C0622"/>
    <w:rsid w:val="005042C2"/>
    <w:rsid w:val="00577BAF"/>
    <w:rsid w:val="005E716E"/>
    <w:rsid w:val="006476E1"/>
    <w:rsid w:val="006604DF"/>
    <w:rsid w:val="00671529"/>
    <w:rsid w:val="006C1B4C"/>
    <w:rsid w:val="0070489D"/>
    <w:rsid w:val="007268F9"/>
    <w:rsid w:val="00750282"/>
    <w:rsid w:val="00764440"/>
    <w:rsid w:val="0077101B"/>
    <w:rsid w:val="007C52B0"/>
    <w:rsid w:val="007C6033"/>
    <w:rsid w:val="007E527C"/>
    <w:rsid w:val="008147C8"/>
    <w:rsid w:val="0081753A"/>
    <w:rsid w:val="00857D23"/>
    <w:rsid w:val="009411B4"/>
    <w:rsid w:val="00946F1D"/>
    <w:rsid w:val="009D0139"/>
    <w:rsid w:val="009D717D"/>
    <w:rsid w:val="009F0D0D"/>
    <w:rsid w:val="009F5CDC"/>
    <w:rsid w:val="00A072D7"/>
    <w:rsid w:val="00A775CF"/>
    <w:rsid w:val="00AA0465"/>
    <w:rsid w:val="00AD1A9C"/>
    <w:rsid w:val="00AF5DE1"/>
    <w:rsid w:val="00B06045"/>
    <w:rsid w:val="00B206DD"/>
    <w:rsid w:val="00B5075B"/>
    <w:rsid w:val="00B52EF4"/>
    <w:rsid w:val="00B777AD"/>
    <w:rsid w:val="00C03015"/>
    <w:rsid w:val="00C0358D"/>
    <w:rsid w:val="00C35A27"/>
    <w:rsid w:val="00C47B2E"/>
    <w:rsid w:val="00D63CD2"/>
    <w:rsid w:val="00D87DC2"/>
    <w:rsid w:val="00D93553"/>
    <w:rsid w:val="00D94B05"/>
    <w:rsid w:val="00E02C2B"/>
    <w:rsid w:val="00E21C27"/>
    <w:rsid w:val="00E26BCF"/>
    <w:rsid w:val="00E34509"/>
    <w:rsid w:val="00E52109"/>
    <w:rsid w:val="00E75317"/>
    <w:rsid w:val="00EC0CE6"/>
    <w:rsid w:val="00EC7C1D"/>
    <w:rsid w:val="00ED6C48"/>
    <w:rsid w:val="00EE3045"/>
    <w:rsid w:val="00F3368C"/>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254A9"/>
  <w15:docId w15:val="{C36EEF2F-4A8F-4CA2-92AE-A56E88C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AA0465"/>
    <w:rPr>
      <w:b/>
      <w:sz w:val="28"/>
    </w:rPr>
  </w:style>
  <w:style w:type="character" w:customStyle="1" w:styleId="H1GChar">
    <w:name w:val="_ H_1_G Char"/>
    <w:link w:val="H1G"/>
    <w:qFormat/>
    <w:locked/>
    <w:rsid w:val="00AA0465"/>
    <w:rPr>
      <w:b/>
      <w:sz w:val="24"/>
    </w:rPr>
  </w:style>
  <w:style w:type="character" w:customStyle="1" w:styleId="SingleTxtGChar">
    <w:name w:val="_ Single Txt_G Char"/>
    <w:link w:val="SingleTxtG"/>
    <w:qFormat/>
    <w:locked/>
    <w:rsid w:val="00AA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F56AE-E0B8-4753-8AE2-9D7D16C9F1DD}">
  <ds:schemaRefs>
    <ds:schemaRef ds:uri="http://schemas.microsoft.com/sharepoint/v3/contenttype/forms"/>
  </ds:schemaRefs>
</ds:datastoreItem>
</file>

<file path=customXml/itemProps2.xml><?xml version="1.0" encoding="utf-8"?>
<ds:datastoreItem xmlns:ds="http://schemas.openxmlformats.org/officeDocument/2006/customXml" ds:itemID="{8B820C37-9732-4318-9B23-44756242EE9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08499A2C-6D7C-4EAF-88B9-ECFBC604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7105</Characters>
  <Application>Microsoft Office Word</Application>
  <DocSecurity>0</DocSecurity>
  <Lines>138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ST/SG/AC.10/C.3/2023/14</dc:title>
  <dc:subject>2307453</dc:subject>
  <dc:creator>Editorial</dc:creator>
  <cp:keywords/>
  <dc:description/>
  <cp:lastModifiedBy>Maria Rosario Corazon Gatmaytan</cp:lastModifiedBy>
  <cp:revision>2</cp:revision>
  <dcterms:created xsi:type="dcterms:W3CDTF">2023-04-20T11:57:00Z</dcterms:created>
  <dcterms:modified xsi:type="dcterms:W3CDTF">2023-04-20T11:57:00Z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