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02598" w14:paraId="4E25E395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0AA341" w14:textId="77777777" w:rsidR="00502598" w:rsidRPr="00502598" w:rsidRDefault="00502598" w:rsidP="00502598">
            <w:pPr>
              <w:jc w:val="right"/>
              <w:rPr>
                <w:lang w:val="en-US"/>
              </w:rPr>
            </w:pPr>
            <w:r w:rsidRPr="00502598">
              <w:rPr>
                <w:sz w:val="40"/>
                <w:lang w:val="en-US"/>
              </w:rPr>
              <w:t>E</w:t>
            </w:r>
            <w:r w:rsidRPr="00502598">
              <w:rPr>
                <w:lang w:val="en-US"/>
              </w:rPr>
              <w:t>/ECE/324/Rev.2/Add.12H/Rev.4/Amend.4−</w:t>
            </w:r>
            <w:r w:rsidRPr="00502598">
              <w:rPr>
                <w:sz w:val="40"/>
                <w:lang w:val="en-US"/>
              </w:rPr>
              <w:t>E</w:t>
            </w:r>
            <w:r w:rsidRPr="00502598">
              <w:rPr>
                <w:lang w:val="en-US"/>
              </w:rPr>
              <w:t>/ECE/TRANS/505/Rev.2/Add.12H/Rev.4/Amend.4</w:t>
            </w:r>
          </w:p>
        </w:tc>
      </w:tr>
      <w:tr w:rsidR="00421A10" w:rsidRPr="00DB58B5" w14:paraId="21E13D0C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E98A558" w14:textId="77777777" w:rsidR="00421A10" w:rsidRPr="00502598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0BEF1E" w14:textId="77777777" w:rsidR="00421A10" w:rsidRPr="00DB58B5" w:rsidRDefault="00502598" w:rsidP="00A27C92">
            <w:pPr>
              <w:spacing w:before="480" w:line="240" w:lineRule="exact"/>
            </w:pPr>
            <w:r>
              <w:t>9 février 2023</w:t>
            </w:r>
          </w:p>
        </w:tc>
      </w:tr>
    </w:tbl>
    <w:p w14:paraId="58EFC57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176FA04" w14:textId="2D7580F8" w:rsidR="00421A10" w:rsidRPr="00583D68" w:rsidRDefault="0029791D" w:rsidP="0029791D">
      <w:pPr>
        <w:pStyle w:val="H1G"/>
      </w:pPr>
      <w:r>
        <w:tab/>
      </w:r>
      <w:r>
        <w:tab/>
      </w:r>
      <w:r w:rsidR="00502598" w:rsidRPr="009C1DF2">
        <w:rPr>
          <w:rStyle w:val="H1GChar"/>
          <w:lang w:val="fr-FR"/>
        </w:rPr>
        <w:tab/>
      </w:r>
      <w:r w:rsidR="00502598" w:rsidRPr="00D31A2A">
        <w:rPr>
          <w:lang w:val="fr-FR"/>
        </w:rPr>
        <w:t>Concernant l</w:t>
      </w:r>
      <w:r w:rsidR="00502598">
        <w:rPr>
          <w:lang w:val="fr-FR"/>
        </w:rPr>
        <w:t>’</w:t>
      </w:r>
      <w:r w:rsidR="00502598" w:rsidRPr="00D31A2A">
        <w:rPr>
          <w:lang w:val="fr-FR"/>
        </w:rPr>
        <w:t>adoption de Règlements techniques harmonisés de l</w:t>
      </w:r>
      <w:r w:rsidR="00502598">
        <w:rPr>
          <w:lang w:val="fr-FR"/>
        </w:rPr>
        <w:t>’</w:t>
      </w:r>
      <w:r w:rsidR="00502598" w:rsidRPr="00D31A2A">
        <w:rPr>
          <w:lang w:val="fr-FR"/>
        </w:rPr>
        <w:t>ONU applicables aux véhicules à roues et aux équipements et pièces susceptibles d</w:t>
      </w:r>
      <w:r w:rsidR="00502598">
        <w:rPr>
          <w:lang w:val="fr-FR"/>
        </w:rPr>
        <w:t>’</w:t>
      </w:r>
      <w:r w:rsidR="00502598" w:rsidRPr="00D31A2A">
        <w:rPr>
          <w:lang w:val="fr-FR"/>
        </w:rPr>
        <w:t>être montés ou utilisés sur les véhicules à roues et les conditions de reconnaissance réciproque des homologations délivrées conformément à ces Règlements</w:t>
      </w:r>
      <w:r w:rsidR="00442E31" w:rsidRPr="00502598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4C621D21" w14:textId="5F4BC14A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502598" w:rsidRPr="00D31A2A">
        <w:rPr>
          <w:lang w:val="fr-FR"/>
        </w:rPr>
        <w:t>Révision 3, comprenant les amendements entrés en vigueur le 14 septembre 2017</w:t>
      </w:r>
      <w:r w:rsidRPr="006549FF">
        <w:t>)</w:t>
      </w:r>
    </w:p>
    <w:p w14:paraId="6B04653C" w14:textId="77777777" w:rsidR="00421A10" w:rsidRPr="006549FF" w:rsidRDefault="0029791D" w:rsidP="0029791D">
      <w:pPr>
        <w:jc w:val="center"/>
      </w:pPr>
      <w:r>
        <w:t>_______________</w:t>
      </w:r>
    </w:p>
    <w:p w14:paraId="22ACA9D5" w14:textId="6F7564B5" w:rsidR="00421A10" w:rsidRPr="00502598" w:rsidRDefault="0029791D" w:rsidP="0029791D">
      <w:pPr>
        <w:pStyle w:val="HChG"/>
      </w:pPr>
      <w:r>
        <w:tab/>
      </w:r>
      <w:r>
        <w:tab/>
      </w:r>
      <w:r w:rsidR="00421A10" w:rsidRPr="00502598">
        <w:t xml:space="preserve">Additif </w:t>
      </w:r>
      <w:r w:rsidR="00502598" w:rsidRPr="00502598">
        <w:t>12H </w:t>
      </w:r>
      <w:r w:rsidR="00421A10" w:rsidRPr="00502598">
        <w:t xml:space="preserve">: Règlement </w:t>
      </w:r>
      <w:r w:rsidR="001E7643" w:rsidRPr="00502598">
        <w:t xml:space="preserve">ONU </w:t>
      </w:r>
      <w:r w:rsidR="00421A10" w:rsidRPr="00502598">
        <w:t>n</w:t>
      </w:r>
      <w:r w:rsidR="00421A10" w:rsidRPr="00502598">
        <w:rPr>
          <w:vertAlign w:val="superscript"/>
        </w:rPr>
        <w:t>o</w:t>
      </w:r>
      <w:r w:rsidR="00421A10" w:rsidRPr="00502598">
        <w:t> </w:t>
      </w:r>
      <w:r w:rsidR="00502598" w:rsidRPr="00502598">
        <w:t>13H</w:t>
      </w:r>
    </w:p>
    <w:p w14:paraId="54FC0DBF" w14:textId="2A1217E8" w:rsidR="00421A10" w:rsidRPr="006549FF" w:rsidRDefault="0029791D" w:rsidP="0029791D">
      <w:pPr>
        <w:pStyle w:val="H1G"/>
      </w:pPr>
      <w:r w:rsidRPr="00502598">
        <w:tab/>
      </w:r>
      <w:r w:rsidRPr="00502598">
        <w:tab/>
      </w:r>
      <w:r w:rsidR="00421A10" w:rsidRPr="006549FF">
        <w:t xml:space="preserve">Révision </w:t>
      </w:r>
      <w:r w:rsidR="00502598">
        <w:t>4 − Amendement 4</w:t>
      </w:r>
    </w:p>
    <w:p w14:paraId="64A82928" w14:textId="3ED01321" w:rsidR="00421A10" w:rsidRPr="004A7E44" w:rsidRDefault="00502598" w:rsidP="0029791D">
      <w:pPr>
        <w:pStyle w:val="SingleTxtG"/>
        <w:spacing w:after="0"/>
      </w:pPr>
      <w:r w:rsidRPr="009C1DF2">
        <w:rPr>
          <w:spacing w:val="-2"/>
          <w:lang w:val="fr-FR"/>
        </w:rPr>
        <w:t>Complément 4 à la série 01 d</w:t>
      </w:r>
      <w:r>
        <w:rPr>
          <w:spacing w:val="-2"/>
          <w:lang w:val="fr-FR"/>
        </w:rPr>
        <w:t>’</w:t>
      </w:r>
      <w:r w:rsidRPr="009C1DF2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9C1DF2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9C1DF2">
        <w:rPr>
          <w:spacing w:val="-2"/>
          <w:lang w:val="fr-FR"/>
        </w:rPr>
        <w:t>e</w:t>
      </w:r>
      <w:r w:rsidRPr="00D31A2A">
        <w:rPr>
          <w:spacing w:val="-2"/>
          <w:lang w:val="fr-FR"/>
        </w:rPr>
        <w:t>ntrée en vigueur </w:t>
      </w:r>
      <w:r w:rsidRPr="009C1DF2">
        <w:rPr>
          <w:spacing w:val="-2"/>
          <w:lang w:val="fr-FR"/>
        </w:rPr>
        <w:t xml:space="preserve">: </w:t>
      </w:r>
      <w:r w:rsidRPr="009C1DF2">
        <w:rPr>
          <w:lang w:val="fr-FR"/>
        </w:rPr>
        <w:t xml:space="preserve">4 </w:t>
      </w:r>
      <w:r w:rsidRPr="00D31A2A">
        <w:rPr>
          <w:lang w:val="fr-FR"/>
        </w:rPr>
        <w:t>janvier</w:t>
      </w:r>
      <w:r w:rsidRPr="009C1DF2">
        <w:rPr>
          <w:lang w:val="fr-FR"/>
        </w:rPr>
        <w:t xml:space="preserve"> 2023</w:t>
      </w:r>
    </w:p>
    <w:p w14:paraId="06F6C1A5" w14:textId="095E0B4F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502598" w:rsidRPr="00D31A2A">
        <w:rPr>
          <w:bCs/>
          <w:lang w:val="fr-FR"/>
        </w:rPr>
        <w:t>uniformes relatives à l</w:t>
      </w:r>
      <w:r w:rsidR="00502598">
        <w:rPr>
          <w:bCs/>
          <w:lang w:val="fr-FR"/>
        </w:rPr>
        <w:t>’</w:t>
      </w:r>
      <w:r w:rsidR="00502598" w:rsidRPr="00D31A2A">
        <w:rPr>
          <w:bCs/>
          <w:lang w:val="fr-FR"/>
        </w:rPr>
        <w:t>homologation des voitures particulières en ce qui concerne le freinage</w:t>
      </w:r>
    </w:p>
    <w:p w14:paraId="436F9E33" w14:textId="18263A81" w:rsidR="00502598" w:rsidRDefault="00502598" w:rsidP="00502598">
      <w:pPr>
        <w:pStyle w:val="SingleTxtG"/>
        <w:spacing w:after="0"/>
        <w:rPr>
          <w:spacing w:val="-6"/>
          <w:lang w:val="fr-FR" w:eastAsia="en-GB"/>
        </w:rPr>
      </w:pPr>
      <w:r w:rsidRPr="009C1DF2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9C1DF2">
        <w:rPr>
          <w:spacing w:val="-4"/>
          <w:lang w:val="fr-FR" w:eastAsia="en-GB"/>
        </w:rPr>
        <w:t>information.</w:t>
      </w:r>
      <w:r w:rsidRPr="00502598">
        <w:rPr>
          <w:color w:val="000000"/>
          <w:lang w:val="fr-FR"/>
        </w:rPr>
        <w:t xml:space="preserve"> </w:t>
      </w:r>
      <w:r w:rsidRPr="00D31A2A">
        <w:rPr>
          <w:spacing w:val="-4"/>
          <w:lang w:val="fr-FR" w:eastAsia="en-GB"/>
        </w:rPr>
        <w:t>Le texte authentique, juridiquement contraignant, est celui du document</w:t>
      </w:r>
      <w:r w:rsidRPr="009C1DF2">
        <w:rPr>
          <w:lang w:val="fr-FR" w:eastAsia="en-GB"/>
        </w:rPr>
        <w:t xml:space="preserve"> </w:t>
      </w:r>
      <w:r w:rsidRPr="009C1DF2">
        <w:rPr>
          <w:spacing w:val="-6"/>
          <w:lang w:val="fr-FR" w:eastAsia="en-GB"/>
        </w:rPr>
        <w:t xml:space="preserve">ECE/TRANS/WP.29/2022/79 </w:t>
      </w:r>
      <w:r w:rsidRPr="00D31A2A">
        <w:rPr>
          <w:spacing w:val="-6"/>
          <w:lang w:val="fr-FR" w:eastAsia="en-GB"/>
        </w:rPr>
        <w:t xml:space="preserve">tel que modifié par le </w:t>
      </w:r>
      <w:r w:rsidRPr="009C1DF2">
        <w:rPr>
          <w:spacing w:val="-6"/>
          <w:lang w:val="fr-FR" w:eastAsia="en-GB"/>
        </w:rPr>
        <w:t>paragraph</w:t>
      </w:r>
      <w:r w:rsidRPr="00D31A2A">
        <w:rPr>
          <w:spacing w:val="-6"/>
          <w:lang w:val="fr-FR" w:eastAsia="en-GB"/>
        </w:rPr>
        <w:t>e</w:t>
      </w:r>
      <w:r w:rsidRPr="009C1DF2">
        <w:rPr>
          <w:spacing w:val="-6"/>
          <w:lang w:val="fr-FR" w:eastAsia="en-GB"/>
        </w:rPr>
        <w:t xml:space="preserve"> 131 </w:t>
      </w:r>
      <w:r w:rsidRPr="00D31A2A">
        <w:rPr>
          <w:spacing w:val="-6"/>
          <w:lang w:val="fr-FR" w:eastAsia="en-GB"/>
        </w:rPr>
        <w:t>du rapport</w:t>
      </w:r>
      <w:r w:rsidRPr="009C1DF2">
        <w:rPr>
          <w:spacing w:val="-6"/>
          <w:lang w:val="fr-FR" w:eastAsia="en-GB"/>
        </w:rPr>
        <w:t xml:space="preserve"> ECE/TRANS/WP.29/1166</w:t>
      </w:r>
      <w:r>
        <w:rPr>
          <w:spacing w:val="-6"/>
          <w:lang w:val="fr-FR" w:eastAsia="en-GB"/>
        </w:rPr>
        <w:t>.</w:t>
      </w:r>
    </w:p>
    <w:p w14:paraId="0D9F1373" w14:textId="3F621E42" w:rsidR="00502598" w:rsidRDefault="00502598" w:rsidP="00502598">
      <w:pPr>
        <w:rPr>
          <w:spacing w:val="-6"/>
          <w:lang w:val="fr-FR" w:eastAsia="en-GB"/>
        </w:rPr>
      </w:pPr>
    </w:p>
    <w:p w14:paraId="41BD5064" w14:textId="0B2615C6" w:rsidR="00502598" w:rsidRDefault="00502598" w:rsidP="00502598">
      <w:pPr>
        <w:pStyle w:val="SingleTxtG"/>
        <w:spacing w:after="0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A4F74" wp14:editId="301431CC">
                <wp:simplePos x="0" y="0"/>
                <wp:positionH relativeFrom="margin">
                  <wp:posOffset>-635</wp:posOffset>
                </wp:positionH>
                <wp:positionV relativeFrom="margin">
                  <wp:posOffset>6179040</wp:posOffset>
                </wp:positionV>
                <wp:extent cx="6119495" cy="126365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D7A5" w14:textId="77777777" w:rsidR="00502598" w:rsidRPr="0029791D" w:rsidRDefault="00502598" w:rsidP="00502598">
                            <w:pPr>
                              <w:spacing w:after="1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CBD9514" w14:textId="77777777" w:rsidR="00502598" w:rsidRDefault="00502598" w:rsidP="005025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FAC8F7B" wp14:editId="2A094FD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0D0CB0" w14:textId="77777777" w:rsidR="00502598" w:rsidRDefault="00502598" w:rsidP="00502598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A4F7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05pt;margin-top:486.55pt;width:481.85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" stroked="f">
                <v:textbox inset="0,0,0,0">
                  <w:txbxContent>
                    <w:p w14:paraId="20E0D7A5" w14:textId="77777777" w:rsidR="00502598" w:rsidRPr="0029791D" w:rsidRDefault="00502598" w:rsidP="00502598">
                      <w:pPr>
                        <w:spacing w:after="1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CBD9514" w14:textId="77777777" w:rsidR="00502598" w:rsidRDefault="00502598" w:rsidP="00502598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FAC8F7B" wp14:editId="2A094FD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0D0CB0" w14:textId="77777777" w:rsidR="00502598" w:rsidRDefault="00502598" w:rsidP="00502598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8098CE6" w14:textId="0A521CC3" w:rsidR="00502598" w:rsidRDefault="00502598" w:rsidP="00502598">
      <w:pPr>
        <w:pStyle w:val="SingleTxtG"/>
        <w:spacing w:after="0"/>
        <w:rPr>
          <w:spacing w:val="-6"/>
          <w:lang w:val="fr-FR" w:eastAsia="en-GB"/>
        </w:rPr>
      </w:pPr>
    </w:p>
    <w:p w14:paraId="6D5BF955" w14:textId="7C791F59" w:rsidR="00502598" w:rsidRDefault="00502598" w:rsidP="00502598">
      <w:pPr>
        <w:pStyle w:val="SingleTxtG"/>
        <w:spacing w:after="0"/>
        <w:rPr>
          <w:spacing w:val="-6"/>
          <w:lang w:val="fr-FR" w:eastAsia="en-GB"/>
        </w:rPr>
      </w:pPr>
    </w:p>
    <w:p w14:paraId="4DB481B5" w14:textId="77777777" w:rsidR="00502598" w:rsidRDefault="00502598" w:rsidP="00502598">
      <w:pPr>
        <w:pStyle w:val="SingleTxtG"/>
        <w:spacing w:after="0"/>
        <w:rPr>
          <w:spacing w:val="-6"/>
          <w:lang w:val="fr-FR" w:eastAsia="en-GB"/>
        </w:rPr>
      </w:pPr>
    </w:p>
    <w:p w14:paraId="02488934" w14:textId="77777777" w:rsidR="00502598" w:rsidRPr="00D31A2A" w:rsidRDefault="00502598" w:rsidP="00502598">
      <w:pPr>
        <w:pStyle w:val="SingleTxtG"/>
        <w:rPr>
          <w:rFonts w:asciiTheme="majorBidi" w:eastAsia="Times New Roman" w:hAnsiTheme="majorBidi"/>
          <w:lang w:val="fr-FR"/>
        </w:rPr>
      </w:pPr>
      <w:r>
        <w:rPr>
          <w:spacing w:val="-6"/>
          <w:lang w:val="fr-FR" w:eastAsia="en-GB"/>
        </w:rPr>
        <w:br w:type="page"/>
      </w:r>
      <w:r w:rsidRPr="00D31A2A">
        <w:rPr>
          <w:i/>
          <w:iCs/>
          <w:lang w:val="fr-FR"/>
        </w:rPr>
        <w:lastRenderedPageBreak/>
        <w:t>Paragraphe 5.2.22.2</w:t>
      </w:r>
      <w:r w:rsidRPr="00D31A2A">
        <w:rPr>
          <w:lang w:val="fr-FR"/>
        </w:rPr>
        <w:t xml:space="preserve">, lire : </w:t>
      </w:r>
    </w:p>
    <w:p w14:paraId="33C43D60" w14:textId="77777777" w:rsidR="00502598" w:rsidRPr="00D31A2A" w:rsidRDefault="00502598" w:rsidP="00502598">
      <w:pPr>
        <w:pStyle w:val="SingleTxtG"/>
        <w:ind w:left="2268" w:hanging="1134"/>
        <w:rPr>
          <w:lang w:val="fr-FR"/>
        </w:rPr>
      </w:pPr>
      <w:r w:rsidRPr="00D31A2A">
        <w:rPr>
          <w:lang w:val="fr-FR"/>
        </w:rPr>
        <w:t>« 5.2.22.2</w:t>
      </w:r>
      <w:r w:rsidRPr="00D31A2A">
        <w:rPr>
          <w:lang w:val="fr-FR"/>
        </w:rPr>
        <w:tab/>
        <w:t>Prescriptions pour les véhicules équipés d</w:t>
      </w:r>
      <w:r>
        <w:rPr>
          <w:lang w:val="fr-FR"/>
        </w:rPr>
        <w:t>’</w:t>
      </w:r>
      <w:r w:rsidRPr="00D31A2A">
        <w:rPr>
          <w:lang w:val="fr-FR"/>
        </w:rPr>
        <w:t>une fonction de freinage à commande automatique ou d</w:t>
      </w:r>
      <w:r>
        <w:rPr>
          <w:lang w:val="fr-FR"/>
        </w:rPr>
        <w:t>’</w:t>
      </w:r>
      <w:r w:rsidRPr="00D31A2A">
        <w:rPr>
          <w:lang w:val="fr-FR"/>
        </w:rPr>
        <w:t>un système de freinage par récupération qui produit un ralentissement (par exemple, par relâchement de la pédale d</w:t>
      </w:r>
      <w:r>
        <w:rPr>
          <w:lang w:val="fr-FR"/>
        </w:rPr>
        <w:t>’</w:t>
      </w:r>
      <w:r w:rsidRPr="00D31A2A">
        <w:rPr>
          <w:lang w:val="fr-FR"/>
        </w:rPr>
        <w:t>accélérateur)</w:t>
      </w:r>
      <w:r w:rsidRPr="00D31A2A">
        <w:rPr>
          <w:sz w:val="18"/>
          <w:szCs w:val="18"/>
          <w:vertAlign w:val="superscript"/>
          <w:lang w:val="fr-FR"/>
        </w:rPr>
        <w:t>6</w:t>
      </w:r>
      <w:r w:rsidRPr="00D31A2A">
        <w:rPr>
          <w:lang w:val="fr-FR"/>
        </w:rPr>
        <w:t>.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3"/>
        <w:gridCol w:w="3944"/>
      </w:tblGrid>
      <w:tr w:rsidR="00502598" w:rsidRPr="00D31A2A" w14:paraId="03CAD76F" w14:textId="77777777" w:rsidTr="00F64155">
        <w:trPr>
          <w:tblHeader/>
        </w:trPr>
        <w:tc>
          <w:tcPr>
            <w:tcW w:w="622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0A73492C" w14:textId="77777777" w:rsidR="00502598" w:rsidRPr="00D31A2A" w:rsidRDefault="00502598" w:rsidP="00F64155">
            <w:pPr>
              <w:spacing w:before="80" w:after="80" w:line="200" w:lineRule="exact"/>
              <w:ind w:right="113"/>
              <w:rPr>
                <w:i/>
                <w:sz w:val="16"/>
                <w:lang w:val="fr-FR"/>
              </w:rPr>
            </w:pPr>
            <w:r w:rsidRPr="00D31A2A">
              <w:rPr>
                <w:i/>
                <w:sz w:val="16"/>
                <w:lang w:val="fr-FR"/>
              </w:rPr>
              <w:t>Décélération par freinage à commande automatique ou freinage par récupération</w:t>
            </w:r>
          </w:p>
        </w:tc>
      </w:tr>
      <w:tr w:rsidR="00502598" w:rsidRPr="00D31A2A" w14:paraId="7197CF5A" w14:textId="77777777" w:rsidTr="00F64155">
        <w:trPr>
          <w:trHeight w:hRule="exact" w:val="113"/>
          <w:tblHeader/>
        </w:trPr>
        <w:tc>
          <w:tcPr>
            <w:tcW w:w="62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7B76484" w14:textId="77777777" w:rsidR="00502598" w:rsidRPr="00D31A2A" w:rsidRDefault="00502598" w:rsidP="00F64155">
            <w:pPr>
              <w:spacing w:before="40" w:after="120"/>
              <w:ind w:right="113"/>
              <w:rPr>
                <w:lang w:val="fr-FR"/>
              </w:rPr>
            </w:pPr>
          </w:p>
        </w:tc>
      </w:tr>
      <w:tr w:rsidR="00502598" w:rsidRPr="00D31A2A" w14:paraId="4492C86B" w14:textId="77777777" w:rsidTr="00F64155">
        <w:tc>
          <w:tcPr>
            <w:tcW w:w="2289" w:type="dxa"/>
            <w:shd w:val="clear" w:color="auto" w:fill="auto"/>
            <w:hideMark/>
          </w:tcPr>
          <w:p w14:paraId="67FAA0C3" w14:textId="77777777" w:rsidR="00502598" w:rsidRPr="00D31A2A" w:rsidRDefault="00502598" w:rsidP="00F64155">
            <w:pPr>
              <w:spacing w:before="40" w:after="120"/>
              <w:ind w:right="113"/>
              <w:rPr>
                <w:lang w:val="fr-FR"/>
              </w:rPr>
            </w:pPr>
            <w:r w:rsidRPr="00D31A2A">
              <w:rPr>
                <w:lang w:val="fr-FR"/>
              </w:rPr>
              <w:t>≤1,3 m/s</w:t>
            </w:r>
            <w:r w:rsidRPr="00D31A2A">
              <w:rPr>
                <w:vertAlign w:val="superscript"/>
                <w:lang w:val="fr-FR"/>
              </w:rPr>
              <w:t>2</w:t>
            </w:r>
          </w:p>
        </w:tc>
        <w:tc>
          <w:tcPr>
            <w:tcW w:w="3936" w:type="dxa"/>
            <w:shd w:val="clear" w:color="auto" w:fill="auto"/>
            <w:hideMark/>
          </w:tcPr>
          <w:p w14:paraId="14F6366E" w14:textId="77777777" w:rsidR="00502598" w:rsidRPr="00D31A2A" w:rsidRDefault="00502598" w:rsidP="00F64155">
            <w:pPr>
              <w:spacing w:before="40" w:after="120"/>
              <w:ind w:right="113"/>
              <w:rPr>
                <w:lang w:val="fr-FR"/>
              </w:rPr>
            </w:pPr>
            <w:r w:rsidRPr="00D31A2A">
              <w:rPr>
                <w:lang w:val="fr-FR"/>
              </w:rPr>
              <w:t>&gt;1,3 m/s</w:t>
            </w:r>
            <w:r w:rsidRPr="00D31A2A">
              <w:rPr>
                <w:vertAlign w:val="superscript"/>
                <w:lang w:val="fr-FR"/>
              </w:rPr>
              <w:t>2</w:t>
            </w:r>
          </w:p>
        </w:tc>
      </w:tr>
      <w:tr w:rsidR="00502598" w:rsidRPr="00D31A2A" w14:paraId="13E1C135" w14:textId="77777777" w:rsidTr="00F64155">
        <w:tc>
          <w:tcPr>
            <w:tcW w:w="2289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E1F7C06" w14:textId="77777777" w:rsidR="00502598" w:rsidRPr="00D31A2A" w:rsidRDefault="00502598" w:rsidP="00F64155">
            <w:pPr>
              <w:spacing w:before="40" w:after="120"/>
              <w:ind w:right="113"/>
              <w:rPr>
                <w:lang w:val="fr-FR"/>
              </w:rPr>
            </w:pPr>
            <w:r w:rsidRPr="00D31A2A">
              <w:rPr>
                <w:lang w:val="fr-FR"/>
              </w:rPr>
              <w:t>Peut émettre le signal</w:t>
            </w:r>
          </w:p>
        </w:tc>
        <w:tc>
          <w:tcPr>
            <w:tcW w:w="3936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8E5D323" w14:textId="77777777" w:rsidR="00502598" w:rsidRPr="00D31A2A" w:rsidRDefault="00502598" w:rsidP="00F64155">
            <w:pPr>
              <w:spacing w:before="40" w:after="120"/>
              <w:ind w:right="113"/>
              <w:rPr>
                <w:lang w:val="fr-FR"/>
              </w:rPr>
            </w:pPr>
            <w:r w:rsidRPr="00D31A2A">
              <w:rPr>
                <w:lang w:val="fr-FR"/>
              </w:rPr>
              <w:t>Doit émettre le signal</w:t>
            </w:r>
          </w:p>
        </w:tc>
      </w:tr>
    </w:tbl>
    <w:p w14:paraId="56BDB969" w14:textId="77777777" w:rsidR="00502598" w:rsidRPr="00D31A2A" w:rsidRDefault="00502598" w:rsidP="00502598">
      <w:pPr>
        <w:tabs>
          <w:tab w:val="left" w:pos="2438"/>
        </w:tabs>
        <w:spacing w:before="120" w:line="220" w:lineRule="exact"/>
        <w:ind w:left="2268" w:right="1134" w:firstLine="170"/>
        <w:rPr>
          <w:bCs/>
          <w:sz w:val="18"/>
          <w:szCs w:val="16"/>
          <w:lang w:val="fr-FR"/>
        </w:rPr>
      </w:pPr>
      <w:r w:rsidRPr="00D31A2A">
        <w:rPr>
          <w:bCs/>
          <w:sz w:val="18"/>
          <w:szCs w:val="16"/>
          <w:vertAlign w:val="superscript"/>
          <w:lang w:val="fr-FR"/>
        </w:rPr>
        <w:t>6</w:t>
      </w:r>
      <w:r w:rsidRPr="00D31A2A">
        <w:rPr>
          <w:bCs/>
          <w:sz w:val="18"/>
          <w:szCs w:val="16"/>
          <w:lang w:val="fr-FR"/>
        </w:rPr>
        <w:t xml:space="preserve">  Au moment de l</w:t>
      </w:r>
      <w:r>
        <w:rPr>
          <w:bCs/>
          <w:sz w:val="18"/>
          <w:szCs w:val="16"/>
          <w:lang w:val="fr-FR"/>
        </w:rPr>
        <w:t>’</w:t>
      </w:r>
      <w:r w:rsidRPr="00D31A2A">
        <w:rPr>
          <w:bCs/>
          <w:sz w:val="18"/>
          <w:szCs w:val="16"/>
          <w:lang w:val="fr-FR"/>
        </w:rPr>
        <w:t>homologation de type, le constructeur automobile doit confirmer le respect de ces dispositions.</w:t>
      </w:r>
    </w:p>
    <w:p w14:paraId="477EE2F6" w14:textId="77777777" w:rsidR="00502598" w:rsidRPr="00D31A2A" w:rsidRDefault="00502598" w:rsidP="00502598">
      <w:pPr>
        <w:pStyle w:val="SingleTxtG"/>
        <w:spacing w:before="240"/>
        <w:ind w:left="2268"/>
        <w:rPr>
          <w:rFonts w:eastAsia="Times New Roman"/>
          <w:lang w:val="fr-FR"/>
        </w:rPr>
      </w:pPr>
      <w:r w:rsidRPr="00D31A2A">
        <w:rPr>
          <w:lang w:val="fr-FR"/>
        </w:rPr>
        <w:tab/>
        <w:t>Une fois émis, le signal doit persister tant qu</w:t>
      </w:r>
      <w:r>
        <w:rPr>
          <w:lang w:val="fr-FR"/>
        </w:rPr>
        <w:t>’</w:t>
      </w:r>
      <w:r w:rsidRPr="00D31A2A">
        <w:rPr>
          <w:lang w:val="fr-FR"/>
        </w:rPr>
        <w:t>une demande de décélération est maintenue. Il peut toutefois être supprimé à l</w:t>
      </w:r>
      <w:r>
        <w:rPr>
          <w:lang w:val="fr-FR"/>
        </w:rPr>
        <w:t>’</w:t>
      </w:r>
      <w:r w:rsidRPr="00D31A2A">
        <w:rPr>
          <w:lang w:val="fr-FR"/>
        </w:rPr>
        <w:t>arrêt, ou lorsque la demande de décélération tombe en dessous de 1,3 m/s</w:t>
      </w:r>
      <w:r w:rsidRPr="00D31A2A">
        <w:rPr>
          <w:vertAlign w:val="superscript"/>
          <w:lang w:val="fr-FR"/>
        </w:rPr>
        <w:t>2</w:t>
      </w:r>
      <w:r w:rsidRPr="00D31A2A">
        <w:rPr>
          <w:lang w:val="fr-FR"/>
        </w:rPr>
        <w:t xml:space="preserve"> ou de la valeur qui a entraîné l</w:t>
      </w:r>
      <w:r>
        <w:rPr>
          <w:lang w:val="fr-FR"/>
        </w:rPr>
        <w:t>’</w:t>
      </w:r>
      <w:r w:rsidRPr="00D31A2A">
        <w:rPr>
          <w:lang w:val="fr-FR"/>
        </w:rPr>
        <w:t>envoi du signal, la valeur la plus faible étant retenue.</w:t>
      </w:r>
    </w:p>
    <w:p w14:paraId="69D5CDD5" w14:textId="77777777" w:rsidR="00502598" w:rsidRPr="00D31A2A" w:rsidRDefault="00502598" w:rsidP="00502598">
      <w:pPr>
        <w:pStyle w:val="SingleTxtG"/>
        <w:ind w:left="2268"/>
        <w:rPr>
          <w:rFonts w:eastAsia="Times New Roman"/>
          <w:lang w:val="fr-FR"/>
        </w:rPr>
      </w:pPr>
      <w:r w:rsidRPr="00D31A2A">
        <w:rPr>
          <w:lang w:val="fr-FR"/>
        </w:rPr>
        <w:t>Une mesure appropriée (par exemple, l</w:t>
      </w:r>
      <w:r>
        <w:rPr>
          <w:lang w:val="fr-FR"/>
        </w:rPr>
        <w:t>’</w:t>
      </w:r>
      <w:r w:rsidRPr="00D31A2A">
        <w:rPr>
          <w:lang w:val="fr-FR"/>
        </w:rPr>
        <w:t>élimination de l</w:t>
      </w:r>
      <w:r>
        <w:rPr>
          <w:lang w:val="fr-FR"/>
        </w:rPr>
        <w:t>’</w:t>
      </w:r>
      <w:r w:rsidRPr="00D31A2A">
        <w:rPr>
          <w:lang w:val="fr-FR"/>
        </w:rPr>
        <w:t>hystérésis, le lissage ou la temporisation) doit être mise en œuvre afin d</w:t>
      </w:r>
      <w:r>
        <w:rPr>
          <w:lang w:val="fr-FR"/>
        </w:rPr>
        <w:t>’</w:t>
      </w:r>
      <w:r w:rsidRPr="00D31A2A">
        <w:rPr>
          <w:lang w:val="fr-FR"/>
        </w:rPr>
        <w:t>éviter que des modifications rapides du signal n</w:t>
      </w:r>
      <w:r>
        <w:rPr>
          <w:lang w:val="fr-FR"/>
        </w:rPr>
        <w:t>’</w:t>
      </w:r>
      <w:r w:rsidRPr="00D31A2A">
        <w:rPr>
          <w:lang w:val="fr-FR"/>
        </w:rPr>
        <w:t>entraînent le clignotement des feux-stop. ».</w:t>
      </w:r>
    </w:p>
    <w:p w14:paraId="4A4655BF" w14:textId="77777777" w:rsidR="00502598" w:rsidRDefault="00502598" w:rsidP="00502598">
      <w:pPr>
        <w:spacing w:before="240"/>
        <w:jc w:val="center"/>
        <w:rPr>
          <w:u w:val="single"/>
          <w:lang w:val="fr-FR"/>
        </w:rPr>
      </w:pPr>
      <w:r w:rsidRPr="00D31A2A">
        <w:rPr>
          <w:u w:val="single"/>
          <w:lang w:val="fr-FR"/>
        </w:rPr>
        <w:tab/>
      </w:r>
      <w:r w:rsidRPr="00D31A2A">
        <w:rPr>
          <w:u w:val="single"/>
          <w:lang w:val="fr-FR"/>
        </w:rPr>
        <w:tab/>
      </w:r>
      <w:r w:rsidRPr="00D31A2A">
        <w:rPr>
          <w:u w:val="single"/>
          <w:lang w:val="fr-FR"/>
        </w:rPr>
        <w:tab/>
      </w:r>
    </w:p>
    <w:p w14:paraId="11721E19" w14:textId="07545369" w:rsidR="00502598" w:rsidRDefault="00502598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spacing w:val="-6"/>
          <w:lang w:val="fr-FR" w:eastAsia="en-GB"/>
        </w:rPr>
      </w:pPr>
    </w:p>
    <w:sectPr w:rsidR="00502598" w:rsidSect="0050259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ADAC7" w14:textId="77777777" w:rsidR="006B63DB" w:rsidRDefault="006B63DB"/>
  </w:endnote>
  <w:endnote w:type="continuationSeparator" w:id="0">
    <w:p w14:paraId="2E2B34B2" w14:textId="77777777" w:rsidR="006B63DB" w:rsidRDefault="006B63DB">
      <w:pPr>
        <w:pStyle w:val="Pieddepage"/>
      </w:pPr>
    </w:p>
  </w:endnote>
  <w:endnote w:type="continuationNotice" w:id="1">
    <w:p w14:paraId="47DAC698" w14:textId="77777777" w:rsidR="006B63DB" w:rsidRPr="00C451B9" w:rsidRDefault="006B63DB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AE9F" w14:textId="77777777" w:rsidR="00502598" w:rsidRPr="00502598" w:rsidRDefault="00502598" w:rsidP="00502598">
    <w:pPr>
      <w:pStyle w:val="Pieddepage"/>
      <w:tabs>
        <w:tab w:val="right" w:pos="9638"/>
      </w:tabs>
    </w:pPr>
    <w:r w:rsidRPr="00502598">
      <w:rPr>
        <w:b/>
        <w:sz w:val="18"/>
      </w:rPr>
      <w:fldChar w:fldCharType="begin"/>
    </w:r>
    <w:r w:rsidRPr="00502598">
      <w:rPr>
        <w:b/>
        <w:sz w:val="18"/>
      </w:rPr>
      <w:instrText xml:space="preserve"> PAGE  \* MERGEFORMAT </w:instrText>
    </w:r>
    <w:r w:rsidRPr="00502598">
      <w:rPr>
        <w:b/>
        <w:sz w:val="18"/>
      </w:rPr>
      <w:fldChar w:fldCharType="separate"/>
    </w:r>
    <w:r w:rsidRPr="00502598">
      <w:rPr>
        <w:b/>
        <w:noProof/>
        <w:sz w:val="18"/>
      </w:rPr>
      <w:t>2</w:t>
    </w:r>
    <w:r w:rsidRPr="00502598">
      <w:rPr>
        <w:b/>
        <w:sz w:val="18"/>
      </w:rPr>
      <w:fldChar w:fldCharType="end"/>
    </w:r>
    <w:r>
      <w:rPr>
        <w:b/>
        <w:sz w:val="18"/>
      </w:rPr>
      <w:tab/>
    </w:r>
    <w:r>
      <w:t>GE.23-02285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7767" w14:textId="77777777" w:rsidR="00502598" w:rsidRPr="00502598" w:rsidRDefault="00502598" w:rsidP="00502598">
    <w:pPr>
      <w:pStyle w:val="Pieddepage"/>
      <w:tabs>
        <w:tab w:val="right" w:pos="9638"/>
      </w:tabs>
      <w:rPr>
        <w:b/>
        <w:sz w:val="18"/>
      </w:rPr>
    </w:pPr>
    <w:r>
      <w:t>GE.23-02285</w:t>
    </w:r>
    <w:r>
      <w:tab/>
    </w:r>
    <w:r w:rsidRPr="00502598">
      <w:rPr>
        <w:b/>
        <w:sz w:val="18"/>
      </w:rPr>
      <w:fldChar w:fldCharType="begin"/>
    </w:r>
    <w:r w:rsidRPr="00502598">
      <w:rPr>
        <w:b/>
        <w:sz w:val="18"/>
      </w:rPr>
      <w:instrText xml:space="preserve"> PAGE  \* MERGEFORMAT </w:instrText>
    </w:r>
    <w:r w:rsidRPr="00502598">
      <w:rPr>
        <w:b/>
        <w:sz w:val="18"/>
      </w:rPr>
      <w:fldChar w:fldCharType="separate"/>
    </w:r>
    <w:r w:rsidRPr="00502598">
      <w:rPr>
        <w:b/>
        <w:noProof/>
        <w:sz w:val="18"/>
      </w:rPr>
      <w:t>3</w:t>
    </w:r>
    <w:r w:rsidRPr="0050259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0F44" w14:textId="649DCB02" w:rsidR="00467F2C" w:rsidRPr="00502598" w:rsidRDefault="00502598" w:rsidP="00502598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4EE0F14E" wp14:editId="269613BB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23-02285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C6DB234" wp14:editId="375A313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130223    140223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975B" w14:textId="77777777" w:rsidR="006B63DB" w:rsidRPr="00D27D5E" w:rsidRDefault="006B63DB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F1C514" w14:textId="77777777" w:rsidR="006B63DB" w:rsidRPr="00D171D4" w:rsidRDefault="006B63DB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7200F96" w14:textId="77777777" w:rsidR="006B63DB" w:rsidRPr="00C451B9" w:rsidRDefault="006B63DB" w:rsidP="00C451B9">
      <w:pPr>
        <w:spacing w:line="240" w:lineRule="auto"/>
        <w:rPr>
          <w:sz w:val="2"/>
          <w:szCs w:val="2"/>
        </w:rPr>
      </w:pPr>
    </w:p>
  </w:footnote>
  <w:footnote w:id="2">
    <w:p w14:paraId="1A1EA090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240273C7" w14:textId="77777777" w:rsidR="00591072" w:rsidRPr="00591072" w:rsidRDefault="00591072" w:rsidP="00591072">
      <w:pPr>
        <w:pStyle w:val="Notedebasdepage"/>
      </w:pPr>
      <w:r w:rsidRPr="00502598">
        <w:tab/>
      </w:r>
      <w:r w:rsidRPr="00502598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D206D5E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30105AFC" w14:textId="77777777" w:rsidR="00442E31" w:rsidRPr="00442E31" w:rsidRDefault="00442E3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CB29" w14:textId="5D96EF38" w:rsidR="00502598" w:rsidRPr="00502598" w:rsidRDefault="00502598">
    <w:pPr>
      <w:pStyle w:val="En-tte"/>
      <w:rPr>
        <w:lang w:val="en-US"/>
      </w:rPr>
    </w:pPr>
    <w:r>
      <w:fldChar w:fldCharType="begin"/>
    </w:r>
    <w:r w:rsidRPr="00502598">
      <w:rPr>
        <w:lang w:val="en-US"/>
      </w:rPr>
      <w:instrText xml:space="preserve"> TITLE  \* MERGEFORMAT </w:instrText>
    </w:r>
    <w:r>
      <w:fldChar w:fldCharType="separate"/>
    </w:r>
    <w:r w:rsidR="00535B08">
      <w:rPr>
        <w:lang w:val="en-US"/>
      </w:rPr>
      <w:t>E/ECE/324/Rev.2/Add.12H/Rev.4/Amend.4</w:t>
    </w:r>
    <w:r>
      <w:fldChar w:fldCharType="end"/>
    </w:r>
    <w:r w:rsidRPr="00502598">
      <w:rPr>
        <w:lang w:val="en-US"/>
      </w:rPr>
      <w:br/>
    </w:r>
    <w:r>
      <w:fldChar w:fldCharType="begin"/>
    </w:r>
    <w:r w:rsidRPr="00502598">
      <w:rPr>
        <w:lang w:val="en-US"/>
      </w:rPr>
      <w:instrText xml:space="preserve"> KEYWORDS  \* MERGEFORMAT </w:instrText>
    </w:r>
    <w:r>
      <w:fldChar w:fldCharType="separate"/>
    </w:r>
    <w:r w:rsidR="00535B08">
      <w:rPr>
        <w:lang w:val="en-US"/>
      </w:rPr>
      <w:t>E/ECE/TRANS/505/Rev.2/Add.12H/Rev.4/Amend.4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362E" w14:textId="2FB6A3D3" w:rsidR="00502598" w:rsidRPr="00502598" w:rsidRDefault="00502598" w:rsidP="00502598">
    <w:pPr>
      <w:pStyle w:val="En-tte"/>
      <w:jc w:val="right"/>
      <w:rPr>
        <w:lang w:val="en-US"/>
      </w:rPr>
    </w:pPr>
    <w:r>
      <w:fldChar w:fldCharType="begin"/>
    </w:r>
    <w:r w:rsidRPr="00502598">
      <w:rPr>
        <w:lang w:val="en-US"/>
      </w:rPr>
      <w:instrText xml:space="preserve"> TITLE  \* MERGEFORMAT </w:instrText>
    </w:r>
    <w:r>
      <w:fldChar w:fldCharType="separate"/>
    </w:r>
    <w:r w:rsidR="00535B08">
      <w:rPr>
        <w:lang w:val="en-US"/>
      </w:rPr>
      <w:t>E/ECE/324/Rev.2/Add.12H/Rev.4/Amend.4</w:t>
    </w:r>
    <w:r>
      <w:fldChar w:fldCharType="end"/>
    </w:r>
    <w:r w:rsidRPr="00502598">
      <w:rPr>
        <w:lang w:val="en-US"/>
      </w:rPr>
      <w:br/>
    </w:r>
    <w:r>
      <w:fldChar w:fldCharType="begin"/>
    </w:r>
    <w:r w:rsidRPr="00502598">
      <w:rPr>
        <w:lang w:val="en-US"/>
      </w:rPr>
      <w:instrText xml:space="preserve"> KEYWORDS  \* MERGEFORMAT </w:instrText>
    </w:r>
    <w:r>
      <w:fldChar w:fldCharType="separate"/>
    </w:r>
    <w:r w:rsidR="00535B08">
      <w:rPr>
        <w:lang w:val="en-US"/>
      </w:rPr>
      <w:t>E/ECE/TRANS/505/Rev.2/Add.12H/Rev.4/Amend.4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64313537">
    <w:abstractNumId w:val="2"/>
  </w:num>
  <w:num w:numId="2" w16cid:durableId="522940756">
    <w:abstractNumId w:val="1"/>
  </w:num>
  <w:num w:numId="3" w16cid:durableId="1765954709">
    <w:abstractNumId w:val="0"/>
  </w:num>
  <w:num w:numId="4" w16cid:durableId="1232622504">
    <w:abstractNumId w:val="2"/>
  </w:num>
  <w:num w:numId="5" w16cid:durableId="1877308079">
    <w:abstractNumId w:val="1"/>
  </w:num>
  <w:num w:numId="6" w16cid:durableId="68552205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DB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0023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02598"/>
    <w:rsid w:val="005111B1"/>
    <w:rsid w:val="0051457E"/>
    <w:rsid w:val="0051714B"/>
    <w:rsid w:val="00520F80"/>
    <w:rsid w:val="005239FF"/>
    <w:rsid w:val="00523DB8"/>
    <w:rsid w:val="00533150"/>
    <w:rsid w:val="00535B08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B63DB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7FB0F7"/>
  <w15:docId w15:val="{5392B8F7-C8FE-42C6-B56C-579DC538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502598"/>
    <w:rPr>
      <w:rFonts w:eastAsiaTheme="minorHAnsi"/>
      <w:b/>
      <w:sz w:val="28"/>
      <w:lang w:val="fr-CH"/>
    </w:rPr>
  </w:style>
  <w:style w:type="character" w:customStyle="1" w:styleId="H1GChar">
    <w:name w:val="_ H_1_G Char"/>
    <w:link w:val="H1G"/>
    <w:rsid w:val="00502598"/>
    <w:rPr>
      <w:rFonts w:eastAsiaTheme="minorHAnsi"/>
      <w:b/>
      <w:sz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234E9-9358-4D56-9578-DFE9E6C8955C}"/>
</file>

<file path=customXml/itemProps2.xml><?xml version="1.0" encoding="utf-8"?>
<ds:datastoreItem xmlns:ds="http://schemas.openxmlformats.org/officeDocument/2006/customXml" ds:itemID="{809CE411-9388-4031-A7FD-291DEFF71203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288</Words>
  <Characters>1742</Characters>
  <Application>Microsoft Office Word</Application>
  <DocSecurity>0</DocSecurity>
  <Lines>46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E/ECE/324/Rev.2/Add.12H/Rev.4/Amend.4</dc:title>
  <dc:creator>Christine CHAUTAGNAT</dc:creator>
  <cp:keywords>E/ECE/TRANS/505/Rev.2/Add.12H/Rev.4/Amend.4</cp:keywords>
  <cp:lastModifiedBy>Christine Chautagnat</cp:lastModifiedBy>
  <cp:revision>3</cp:revision>
  <cp:lastPrinted>2023-02-14T09:12:00Z</cp:lastPrinted>
  <dcterms:created xsi:type="dcterms:W3CDTF">2023-02-14T09:12:00Z</dcterms:created>
  <dcterms:modified xsi:type="dcterms:W3CDTF">2023-02-14T09:12:00Z</dcterms:modified>
</cp:coreProperties>
</file>