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34F57" w14:textId="5867A2D9" w:rsidR="007C0489" w:rsidRPr="00793F9E" w:rsidRDefault="007C0489" w:rsidP="00793F9E">
      <w:pPr>
        <w:pStyle w:val="HChG"/>
        <w:ind w:left="567" w:right="521" w:firstLine="0"/>
        <w:jc w:val="center"/>
      </w:pPr>
      <w:r w:rsidRPr="007C0489">
        <w:t>Terms of Reference</w:t>
      </w:r>
      <w:r w:rsidR="004B1314">
        <w:t xml:space="preserve"> </w:t>
      </w:r>
      <w:r w:rsidRPr="007C0489">
        <w:t xml:space="preserve">for the </w:t>
      </w:r>
      <w:r>
        <w:t>Spe</w:t>
      </w:r>
      <w:r w:rsidR="003A4250">
        <w:t>c</w:t>
      </w:r>
      <w:r>
        <w:t xml:space="preserve">ial </w:t>
      </w:r>
      <w:r w:rsidR="003A4250">
        <w:t>I</w:t>
      </w:r>
      <w:r>
        <w:t>nterest</w:t>
      </w:r>
      <w:r w:rsidR="003A4250">
        <w:t xml:space="preserve"> Group</w:t>
      </w:r>
      <w:r w:rsidR="00E37C20">
        <w:t xml:space="preserve"> (SIG)</w:t>
      </w:r>
      <w:r w:rsidR="004B1314">
        <w:t xml:space="preserve"> </w:t>
      </w:r>
      <w:r w:rsidR="00FC42B9">
        <w:br/>
      </w:r>
      <w:r w:rsidR="003A4250">
        <w:t>on</w:t>
      </w:r>
      <w:r w:rsidR="00701460">
        <w:t xml:space="preserve"> </w:t>
      </w:r>
      <w:r w:rsidR="00482564">
        <w:t>Electromechanical</w:t>
      </w:r>
      <w:r w:rsidR="003A4250">
        <w:t xml:space="preserve"> Braking</w:t>
      </w:r>
    </w:p>
    <w:p w14:paraId="0DC8C990" w14:textId="1913764E" w:rsidR="007C0489" w:rsidRPr="007C0489" w:rsidRDefault="00FC42B9" w:rsidP="00FC42B9">
      <w:pPr>
        <w:pStyle w:val="HChG"/>
      </w:pPr>
      <w:r>
        <w:tab/>
        <w:t>I.</w:t>
      </w:r>
      <w:r>
        <w:tab/>
      </w:r>
      <w:r w:rsidR="007C0489" w:rsidRPr="007C0489">
        <w:t>I</w:t>
      </w:r>
      <w:r>
        <w:t>ntroduction</w:t>
      </w:r>
    </w:p>
    <w:p w14:paraId="37870FB3" w14:textId="0A31AC13" w:rsidR="001B4ED7" w:rsidRDefault="001B4ED7" w:rsidP="00FC42B9">
      <w:pPr>
        <w:pStyle w:val="SingleTxtG"/>
      </w:pPr>
      <w:r>
        <w:t>The automotive sector</w:t>
      </w:r>
      <w:r w:rsidRPr="001B4ED7">
        <w:t xml:space="preserve"> has indicated that new braking technology, employing both electric control transmission and electric energy transmission, is under development.</w:t>
      </w:r>
      <w:r w:rsidR="002D79AB">
        <w:t xml:space="preserve"> </w:t>
      </w:r>
      <w:r>
        <w:t xml:space="preserve">This technology is seen as an important element in the transition from vehicles employing internal combustion engines to alternatives powered by electrical energy. </w:t>
      </w:r>
    </w:p>
    <w:p w14:paraId="27FC937A" w14:textId="01A73DDE" w:rsidR="001B4ED7" w:rsidRDefault="001B4ED7" w:rsidP="00FC42B9">
      <w:pPr>
        <w:pStyle w:val="SingleTxtG"/>
      </w:pPr>
      <w:r>
        <w:t xml:space="preserve">Industry </w:t>
      </w:r>
      <w:r w:rsidRPr="001B4ED7">
        <w:t>have been working extensively on an amendment for UN Regulation No. 13 (R.13) to permit the use of this technology on vehicles of categories M</w:t>
      </w:r>
      <w:r w:rsidRPr="001B4ED7">
        <w:rPr>
          <w:vertAlign w:val="subscript"/>
        </w:rPr>
        <w:t>2</w:t>
      </w:r>
      <w:r w:rsidRPr="001B4ED7">
        <w:t>, M</w:t>
      </w:r>
      <w:r w:rsidRPr="001B4ED7">
        <w:rPr>
          <w:vertAlign w:val="subscript"/>
        </w:rPr>
        <w:t>3</w:t>
      </w:r>
      <w:r w:rsidRPr="001B4ED7">
        <w:t>, N</w:t>
      </w:r>
      <w:r w:rsidRPr="001B4ED7">
        <w:rPr>
          <w:vertAlign w:val="subscript"/>
        </w:rPr>
        <w:t>2</w:t>
      </w:r>
      <w:r w:rsidRPr="001B4ED7">
        <w:t xml:space="preserve"> and N</w:t>
      </w:r>
      <w:r w:rsidRPr="001B4ED7">
        <w:rPr>
          <w:vertAlign w:val="subscript"/>
        </w:rPr>
        <w:t>3</w:t>
      </w:r>
      <w:r w:rsidRPr="001B4ED7">
        <w:t>. Separately, interest is growing in the use of such technology on vehicles of categories M</w:t>
      </w:r>
      <w:r w:rsidRPr="001B4ED7">
        <w:rPr>
          <w:vertAlign w:val="subscript"/>
        </w:rPr>
        <w:t>1</w:t>
      </w:r>
      <w:r w:rsidRPr="001B4ED7">
        <w:t xml:space="preserve"> and N</w:t>
      </w:r>
      <w:r w:rsidRPr="001B4ED7">
        <w:rPr>
          <w:vertAlign w:val="subscript"/>
        </w:rPr>
        <w:t>1</w:t>
      </w:r>
      <w:r w:rsidRPr="001B4ED7">
        <w:t xml:space="preserve">; this will require amendments to </w:t>
      </w:r>
      <w:r w:rsidR="00460F94">
        <w:t xml:space="preserve">both </w:t>
      </w:r>
      <w:r w:rsidRPr="001B4ED7">
        <w:t>UN Regulation</w:t>
      </w:r>
      <w:r w:rsidR="00460F94">
        <w:t>s</w:t>
      </w:r>
      <w:r w:rsidRPr="001B4ED7">
        <w:t xml:space="preserve"> No</w:t>
      </w:r>
      <w:r w:rsidR="002D79AB">
        <w:t>s</w:t>
      </w:r>
      <w:r w:rsidRPr="001B4ED7">
        <w:t>. </w:t>
      </w:r>
      <w:r w:rsidR="00460F94">
        <w:t xml:space="preserve">13 and </w:t>
      </w:r>
      <w:r w:rsidRPr="001B4ED7">
        <w:t>13</w:t>
      </w:r>
      <w:r w:rsidRPr="001B4ED7">
        <w:noBreakHyphen/>
        <w:t>H.</w:t>
      </w:r>
    </w:p>
    <w:p w14:paraId="76506A41" w14:textId="69643BDB" w:rsidR="001B4ED7" w:rsidRDefault="001B4ED7" w:rsidP="00FC42B9">
      <w:pPr>
        <w:pStyle w:val="SingleTxtG"/>
      </w:pPr>
      <w:r>
        <w:t xml:space="preserve">Under the 1958 Agreement, the braking requirements for road vehicles </w:t>
      </w:r>
      <w:r w:rsidR="00097359">
        <w:t>are</w:t>
      </w:r>
      <w:r>
        <w:t xml:space="preserve"> detailed in</w:t>
      </w:r>
      <w:r w:rsidR="002D79AB">
        <w:t xml:space="preserve"> UN R</w:t>
      </w:r>
      <w:r>
        <w:t>egulations</w:t>
      </w:r>
      <w:r w:rsidR="002D79AB">
        <w:t xml:space="preserve"> Nos.</w:t>
      </w:r>
      <w:r>
        <w:t xml:space="preserve"> 13 (he</w:t>
      </w:r>
      <w:r w:rsidR="00097359">
        <w:t>avy vehicles) and 13</w:t>
      </w:r>
      <w:r w:rsidR="002D79AB">
        <w:t>-</w:t>
      </w:r>
      <w:r w:rsidR="00097359">
        <w:t>H (light-duty vehicles). As vehicles of category</w:t>
      </w:r>
      <w:r>
        <w:t xml:space="preserve"> </w:t>
      </w:r>
      <w:r w:rsidRPr="001B4ED7">
        <w:t>N</w:t>
      </w:r>
      <w:r w:rsidRPr="001B4ED7">
        <w:rPr>
          <w:vertAlign w:val="subscript"/>
        </w:rPr>
        <w:t>1</w:t>
      </w:r>
      <w:r w:rsidRPr="001B4ED7">
        <w:t xml:space="preserve"> may be approved to either R.13 or R.13H</w:t>
      </w:r>
      <w:r w:rsidR="00460F94">
        <w:t xml:space="preserve">, </w:t>
      </w:r>
      <w:r w:rsidR="00097359">
        <w:t>these regulations</w:t>
      </w:r>
      <w:r w:rsidRPr="001B4ED7">
        <w:t xml:space="preserve"> should remain aligned.</w:t>
      </w:r>
    </w:p>
    <w:p w14:paraId="12845AF2" w14:textId="0ADCF89D" w:rsidR="007C0489" w:rsidRPr="007C0489" w:rsidRDefault="00097359" w:rsidP="00793F9E">
      <w:pPr>
        <w:pStyle w:val="SingleTxtG"/>
      </w:pPr>
      <w:r>
        <w:t xml:space="preserve">To ensure a uniform understanding of this new technology by both the industry sector and the contracting parties, it is desirable that the detailed discussion </w:t>
      </w:r>
      <w:r w:rsidR="00B4678F">
        <w:t>to develop final proposals be conducted within the auspices of GRVA.</w:t>
      </w:r>
      <w:r w:rsidR="002D79AB">
        <w:t xml:space="preserve"> </w:t>
      </w:r>
      <w:r w:rsidR="00FE0BC1">
        <w:t xml:space="preserve">This will assist the </w:t>
      </w:r>
      <w:r w:rsidR="001D4109">
        <w:t xml:space="preserve">progress of proposals through GRVA </w:t>
      </w:r>
      <w:r w:rsidR="00460F94">
        <w:t>for consideration by</w:t>
      </w:r>
      <w:r w:rsidR="001D4109">
        <w:t xml:space="preserve"> WP.29.</w:t>
      </w:r>
      <w:r w:rsidR="00FE0BC1">
        <w:t xml:space="preserve"> </w:t>
      </w:r>
    </w:p>
    <w:p w14:paraId="5D00CB07" w14:textId="4F5BBB30" w:rsidR="007C0489" w:rsidRPr="007C0489" w:rsidRDefault="00FC42B9" w:rsidP="00FC42B9">
      <w:pPr>
        <w:pStyle w:val="HChG"/>
      </w:pPr>
      <w:r>
        <w:tab/>
        <w:t>II.</w:t>
      </w:r>
      <w:r>
        <w:tab/>
        <w:t>Objective of the Group</w:t>
      </w:r>
    </w:p>
    <w:p w14:paraId="6D405726" w14:textId="08BEB150" w:rsidR="00797CE9" w:rsidRDefault="00711900" w:rsidP="00FC42B9">
      <w:pPr>
        <w:pStyle w:val="SingleTxtG"/>
      </w:pPr>
      <w:r>
        <w:t xml:space="preserve">The Brussels EMB Workshop (29-30 March 2023) considered different design strategies for the electric supply and </w:t>
      </w:r>
      <w:r w:rsidR="00460F94">
        <w:t xml:space="preserve">the </w:t>
      </w:r>
      <w:r>
        <w:t xml:space="preserve">transmission. These differences bridged across light-duty, heavy-duty, </w:t>
      </w:r>
      <w:r w:rsidR="00E37C20">
        <w:t>internal combustion engine p</w:t>
      </w:r>
      <w:r>
        <w:t xml:space="preserve">owered and electrically powered vehicle types. Ensuring that </w:t>
      </w:r>
      <w:r w:rsidR="00797CE9">
        <w:t>this diversity of design can satisfy the essential safety requirements expected of today’s braking systems, and that the regulations are adapted without imposing unwarranted technology limitations, is essential.</w:t>
      </w:r>
      <w:r w:rsidR="002D79AB">
        <w:t xml:space="preserve"> </w:t>
      </w:r>
    </w:p>
    <w:p w14:paraId="1BD74D88" w14:textId="46A68AE1" w:rsidR="006546AD" w:rsidRDefault="00E37C20" w:rsidP="00FC42B9">
      <w:pPr>
        <w:pStyle w:val="SingleTxtG"/>
      </w:pPr>
      <w:r w:rsidRPr="001B4ED7">
        <w:t xml:space="preserve">Scope of work for </w:t>
      </w:r>
      <w:r>
        <w:t>t</w:t>
      </w:r>
      <w:r w:rsidR="00797CE9">
        <w:t xml:space="preserve">he SIG </w:t>
      </w:r>
      <w:r w:rsidR="006546AD" w:rsidRPr="001B4ED7">
        <w:t xml:space="preserve">shall include the following items. Should additional items be proposed, the </w:t>
      </w:r>
      <w:r w:rsidR="00460F94">
        <w:t>SIG</w:t>
      </w:r>
      <w:r w:rsidR="006546AD" w:rsidRPr="001B4ED7">
        <w:t xml:space="preserve"> will decide by consensus on their inclusion</w:t>
      </w:r>
      <w:r w:rsidR="006546AD">
        <w:t>.</w:t>
      </w:r>
    </w:p>
    <w:p w14:paraId="206E4DFB" w14:textId="0EC0970B" w:rsidR="006546AD" w:rsidRPr="00FC42B9" w:rsidRDefault="00972D26" w:rsidP="00972D26">
      <w:pPr>
        <w:pStyle w:val="H1G"/>
      </w:pPr>
      <w:r>
        <w:tab/>
      </w:r>
      <w:r w:rsidR="00460F94" w:rsidRPr="00FC42B9">
        <w:t>A</w:t>
      </w:r>
      <w:r w:rsidR="006546AD" w:rsidRPr="00FC42B9">
        <w:t>.</w:t>
      </w:r>
      <w:r>
        <w:tab/>
      </w:r>
      <w:r w:rsidR="006546AD" w:rsidRPr="00FC42B9">
        <w:t>Energy supply and brake transmission architectures.</w:t>
      </w:r>
    </w:p>
    <w:p w14:paraId="0104D1A2" w14:textId="7BFDF266" w:rsidR="006546AD" w:rsidRPr="00261380" w:rsidRDefault="00460F94" w:rsidP="00261380">
      <w:pPr>
        <w:pStyle w:val="SingleTxtG"/>
      </w:pPr>
      <w:r w:rsidRPr="00261380">
        <w:t>1</w:t>
      </w:r>
      <w:r w:rsidR="00160A19" w:rsidRPr="00261380">
        <w:t>.</w:t>
      </w:r>
      <w:r w:rsidR="006546AD" w:rsidRPr="00261380">
        <w:tab/>
        <w:t>Identify design principles for the energy supply.</w:t>
      </w:r>
    </w:p>
    <w:p w14:paraId="2369C6CB" w14:textId="46EAC58F" w:rsidR="006546AD" w:rsidRPr="00261380" w:rsidRDefault="00460F94" w:rsidP="00261380">
      <w:pPr>
        <w:pStyle w:val="SingleTxtG"/>
      </w:pPr>
      <w:r w:rsidRPr="00261380">
        <w:t>2</w:t>
      </w:r>
      <w:r w:rsidR="006546AD" w:rsidRPr="00261380">
        <w:t>.</w:t>
      </w:r>
      <w:r w:rsidR="006546AD" w:rsidRPr="00261380">
        <w:tab/>
        <w:t>Identify the brake transmission arrangements that may be recognised by UN Regulations</w:t>
      </w:r>
      <w:r w:rsidR="00BA17E9">
        <w:t xml:space="preserve"> Nos.</w:t>
      </w:r>
      <w:r w:rsidR="006546AD" w:rsidRPr="00261380">
        <w:t xml:space="preserve"> 13 and 13</w:t>
      </w:r>
      <w:r w:rsidR="00BA17E9">
        <w:t>-</w:t>
      </w:r>
      <w:r w:rsidR="006546AD" w:rsidRPr="00261380">
        <w:t>H.</w:t>
      </w:r>
    </w:p>
    <w:p w14:paraId="26B872C1" w14:textId="20E8571C" w:rsidR="006546AD" w:rsidRPr="00261380" w:rsidRDefault="00460F94" w:rsidP="00261380">
      <w:pPr>
        <w:pStyle w:val="SingleTxtG"/>
      </w:pPr>
      <w:r w:rsidRPr="00261380">
        <w:t>3</w:t>
      </w:r>
      <w:r w:rsidR="006546AD" w:rsidRPr="00261380">
        <w:t>.</w:t>
      </w:r>
      <w:r w:rsidR="006546AD" w:rsidRPr="00261380">
        <w:tab/>
      </w:r>
      <w:r w:rsidR="00CC4F61" w:rsidRPr="00261380">
        <w:t xml:space="preserve">Develop recommendations for the methodology of measuring/monitoring the value of energy available in a reserve of energy suitable for use in identifying critical energy thresholds. </w:t>
      </w:r>
    </w:p>
    <w:p w14:paraId="049FB5CE" w14:textId="77777777" w:rsidR="00261380" w:rsidRPr="00144CED" w:rsidRDefault="00460F94" w:rsidP="00144CED">
      <w:pPr>
        <w:pStyle w:val="SingleTxtG"/>
        <w:rPr>
          <w:rStyle w:val="H1GChar"/>
          <w:b w:val="0"/>
          <w:sz w:val="20"/>
        </w:rPr>
      </w:pPr>
      <w:r w:rsidRPr="00261380">
        <w:t>4</w:t>
      </w:r>
      <w:r w:rsidR="00CC4F61" w:rsidRPr="00261380">
        <w:t>.</w:t>
      </w:r>
      <w:r w:rsidR="00CC4F61" w:rsidRPr="00261380">
        <w:tab/>
        <w:t>Identify the safety critical elements of electromechanical braking systems that will require monitoring for fault/failure and the generation of warning signals.</w:t>
      </w:r>
      <w:r w:rsidR="00972D26" w:rsidRPr="00261380">
        <w:rPr>
          <w:rStyle w:val="H1GChar"/>
        </w:rPr>
        <w:tab/>
      </w:r>
    </w:p>
    <w:p w14:paraId="6843C5C4" w14:textId="250360AE" w:rsidR="00CC4F61" w:rsidRPr="00144CED" w:rsidRDefault="00144CED" w:rsidP="00144CED">
      <w:pPr>
        <w:pStyle w:val="H1G"/>
      </w:pPr>
      <w:r>
        <w:lastRenderedPageBreak/>
        <w:tab/>
      </w:r>
      <w:r w:rsidR="00460F94" w:rsidRPr="00144CED">
        <w:t>B</w:t>
      </w:r>
      <w:r w:rsidR="00CC4F61" w:rsidRPr="00144CED">
        <w:t>.</w:t>
      </w:r>
      <w:r w:rsidR="00972D26" w:rsidRPr="00144CED">
        <w:tab/>
      </w:r>
      <w:r w:rsidR="00CC4F61" w:rsidRPr="00144CED">
        <w:t xml:space="preserve">Based upon understanding from the above, and building upon the content of </w:t>
      </w:r>
      <w:r w:rsidR="00160A19" w:rsidRPr="00144CED">
        <w:t>the GRVA Informal Document GRVA-15-17:</w:t>
      </w:r>
    </w:p>
    <w:p w14:paraId="6D701149" w14:textId="0068C66D" w:rsidR="00160A19" w:rsidRPr="00FC42B9" w:rsidRDefault="00460F94" w:rsidP="00972D26">
      <w:pPr>
        <w:pStyle w:val="SingleTxtG"/>
      </w:pPr>
      <w:r w:rsidRPr="00FC42B9">
        <w:t>1</w:t>
      </w:r>
      <w:r w:rsidR="00160A19" w:rsidRPr="00FC42B9">
        <w:t>.</w:t>
      </w:r>
      <w:r w:rsidR="00160A19" w:rsidRPr="00FC42B9">
        <w:tab/>
        <w:t xml:space="preserve">Develop proposals to amend UN Regulation </w:t>
      </w:r>
      <w:r w:rsidR="00DC2A61">
        <w:t xml:space="preserve">No. </w:t>
      </w:r>
      <w:r w:rsidR="00160A19" w:rsidRPr="00FC42B9">
        <w:t>13,</w:t>
      </w:r>
    </w:p>
    <w:p w14:paraId="6DE1998B" w14:textId="5C0467BE" w:rsidR="00160A19" w:rsidRPr="00FC42B9" w:rsidRDefault="00460F94" w:rsidP="00972D26">
      <w:pPr>
        <w:pStyle w:val="SingleTxtG"/>
      </w:pPr>
      <w:r w:rsidRPr="00FC42B9">
        <w:t>2</w:t>
      </w:r>
      <w:r w:rsidR="00160A19" w:rsidRPr="00FC42B9">
        <w:t>.</w:t>
      </w:r>
      <w:r w:rsidR="00160A19" w:rsidRPr="00FC42B9">
        <w:tab/>
        <w:t>Develop proposals to amend UN Regulation</w:t>
      </w:r>
      <w:r w:rsidR="00DC2A61">
        <w:t xml:space="preserve"> No.</w:t>
      </w:r>
      <w:r w:rsidR="00160A19" w:rsidRPr="00FC42B9">
        <w:t xml:space="preserve"> 13</w:t>
      </w:r>
      <w:r w:rsidR="007E5C25">
        <w:t>-</w:t>
      </w:r>
      <w:r w:rsidR="00160A19" w:rsidRPr="00FC42B9">
        <w:t>H, and</w:t>
      </w:r>
    </w:p>
    <w:p w14:paraId="0960FBCE" w14:textId="0BF06888" w:rsidR="00160A19" w:rsidRDefault="00460F94" w:rsidP="00972D26">
      <w:pPr>
        <w:pStyle w:val="SingleTxtG"/>
      </w:pPr>
      <w:r w:rsidRPr="00FC42B9">
        <w:t>3</w:t>
      </w:r>
      <w:r w:rsidR="00160A19" w:rsidRPr="00FC42B9">
        <w:t>.</w:t>
      </w:r>
      <w:r w:rsidR="00160A19" w:rsidRPr="00FC42B9">
        <w:tab/>
        <w:t>Make recommendations regarding the application of the electrical system safety principles with respect to other UN Regulations, esp. UN Regulation</w:t>
      </w:r>
      <w:r w:rsidR="00DC2A61">
        <w:t xml:space="preserve"> No.</w:t>
      </w:r>
      <w:r w:rsidR="00160A19" w:rsidRPr="00FC42B9">
        <w:t xml:space="preserve"> 79.</w:t>
      </w:r>
      <w:r w:rsidR="002D79AB">
        <w:t xml:space="preserve"> </w:t>
      </w:r>
    </w:p>
    <w:p w14:paraId="7E8EBAAD" w14:textId="77777777" w:rsidR="00793F9E" w:rsidRDefault="00793F9E" w:rsidP="00793F9E">
      <w:pPr>
        <w:pStyle w:val="SingleTxtG"/>
        <w:ind w:left="0" w:firstLine="720"/>
      </w:pPr>
    </w:p>
    <w:p w14:paraId="7FA73678" w14:textId="09C61414" w:rsidR="00AC6B73" w:rsidRPr="007C0489" w:rsidRDefault="00AC6B73" w:rsidP="00793F9E">
      <w:pPr>
        <w:pStyle w:val="SingleTxtG"/>
        <w:ind w:left="414" w:firstLine="720"/>
      </w:pPr>
      <w:r w:rsidRPr="00FC42B9">
        <w:t>Objectives A and B will be developed concurrently.</w:t>
      </w:r>
    </w:p>
    <w:p w14:paraId="25BCDB8D" w14:textId="74CF9099" w:rsidR="007C0489" w:rsidRPr="007C0489" w:rsidRDefault="00793F9E" w:rsidP="00793F9E">
      <w:pPr>
        <w:pStyle w:val="HChG"/>
      </w:pPr>
      <w:r>
        <w:tab/>
        <w:t>II.</w:t>
      </w:r>
      <w:r>
        <w:tab/>
        <w:t>Rules of Procedure</w:t>
      </w:r>
    </w:p>
    <w:p w14:paraId="593F7D8A" w14:textId="77777777" w:rsidR="007C0489" w:rsidRPr="007C0489" w:rsidRDefault="007C0489" w:rsidP="007C0489">
      <w:pPr>
        <w:spacing w:after="0" w:line="240" w:lineRule="auto"/>
        <w:rPr>
          <w:rFonts w:ascii="Times New Roman" w:hAnsi="Times New Roman" w:cs="Times New Roman"/>
        </w:rPr>
      </w:pPr>
      <w:r w:rsidRPr="007C0489">
        <w:rPr>
          <w:rFonts w:ascii="Times New Roman" w:hAnsi="Times New Roman" w:cs="Times New Roman"/>
        </w:rPr>
        <w:t xml:space="preserve"> </w:t>
      </w:r>
    </w:p>
    <w:p w14:paraId="3D46314C" w14:textId="44B184A0" w:rsidR="007C0489" w:rsidRDefault="007C0489" w:rsidP="00793F9E">
      <w:pPr>
        <w:pStyle w:val="SingleTxtG"/>
      </w:pPr>
      <w:r w:rsidRPr="007C0489">
        <w:t>1.</w:t>
      </w:r>
      <w:r w:rsidR="00793F9E">
        <w:tab/>
      </w:r>
      <w:r w:rsidRPr="007C0489">
        <w:t xml:space="preserve">The </w:t>
      </w:r>
      <w:r w:rsidR="003A4250">
        <w:t>SIG</w:t>
      </w:r>
      <w:r w:rsidRPr="007C0489">
        <w:t xml:space="preserve"> is a sub-group of </w:t>
      </w:r>
      <w:r w:rsidR="003A4250">
        <w:t>WP29/GRVA</w:t>
      </w:r>
      <w:r w:rsidRPr="007C0489">
        <w:t xml:space="preserve"> and is open to all participants of </w:t>
      </w:r>
      <w:r w:rsidR="003A4250">
        <w:t>WP29/GRVA</w:t>
      </w:r>
      <w:r w:rsidRPr="007C0489">
        <w:t xml:space="preserve"> including contracting parties and non-governmental organizations to the 1958 and 1998 agreements. </w:t>
      </w:r>
    </w:p>
    <w:p w14:paraId="48DE0AE6" w14:textId="6B5CA202" w:rsidR="007C0489" w:rsidRDefault="007C0489" w:rsidP="00793F9E">
      <w:pPr>
        <w:pStyle w:val="SingleTxtG"/>
      </w:pPr>
      <w:r w:rsidRPr="007C0489">
        <w:t>2.</w:t>
      </w:r>
      <w:r w:rsidR="00793F9E">
        <w:tab/>
      </w:r>
      <w:r w:rsidRPr="007C0489">
        <w:t xml:space="preserve">The </w:t>
      </w:r>
      <w:r w:rsidR="003A4250">
        <w:t>SIG</w:t>
      </w:r>
      <w:r w:rsidRPr="007C0489">
        <w:t xml:space="preserve"> will report to </w:t>
      </w:r>
      <w:r w:rsidR="003A4250">
        <w:t>GRVA</w:t>
      </w:r>
      <w:r w:rsidRPr="007C0489">
        <w:t xml:space="preserve"> and </w:t>
      </w:r>
      <w:r w:rsidR="003C0751">
        <w:t xml:space="preserve">to </w:t>
      </w:r>
      <w:r w:rsidRPr="007C0489">
        <w:t xml:space="preserve">WP.29. </w:t>
      </w:r>
    </w:p>
    <w:p w14:paraId="28D3B70D" w14:textId="5E22129A" w:rsidR="00FF7D2F" w:rsidRDefault="00FF7D2F" w:rsidP="00793F9E">
      <w:pPr>
        <w:pStyle w:val="SingleTxtG"/>
      </w:pPr>
      <w:r>
        <w:t>3.</w:t>
      </w:r>
      <w:r w:rsidR="00793F9E">
        <w:tab/>
      </w:r>
      <w:r>
        <w:t>The SIG may task expert sub-groups to support advancement of the objectives.</w:t>
      </w:r>
      <w:r w:rsidR="002D79AB">
        <w:t xml:space="preserve"> </w:t>
      </w:r>
    </w:p>
    <w:p w14:paraId="3EBF8962" w14:textId="508BA0BB" w:rsidR="003A4250" w:rsidRDefault="00FF7D2F" w:rsidP="00793F9E">
      <w:pPr>
        <w:pStyle w:val="SingleTxtG"/>
      </w:pPr>
      <w:r>
        <w:t>4</w:t>
      </w:r>
      <w:r w:rsidR="007C0489" w:rsidRPr="007C0489">
        <w:t>.</w:t>
      </w:r>
      <w:r w:rsidR="00793F9E">
        <w:tab/>
      </w:r>
      <w:r w:rsidR="003A4250">
        <w:t xml:space="preserve">The </w:t>
      </w:r>
      <w:r w:rsidR="00160A19">
        <w:t>C</w:t>
      </w:r>
      <w:r w:rsidR="003A4250">
        <w:t xml:space="preserve">hair of the SIG will be a representative of a </w:t>
      </w:r>
      <w:r w:rsidR="00160A19">
        <w:t>C</w:t>
      </w:r>
      <w:r w:rsidR="003A4250">
        <w:t xml:space="preserve">ontracting </w:t>
      </w:r>
      <w:r w:rsidR="00160A19">
        <w:t>P</w:t>
      </w:r>
      <w:r w:rsidR="003A4250">
        <w:t>arty.</w:t>
      </w:r>
      <w:r w:rsidR="002D79AB">
        <w:t xml:space="preserve"> </w:t>
      </w:r>
      <w:r w:rsidR="003A4250">
        <w:t>The Secretary of the SIG will be provided by OICA/CLEPA.</w:t>
      </w:r>
    </w:p>
    <w:p w14:paraId="1B26DCA3" w14:textId="1C1EEB8D" w:rsidR="00160A19" w:rsidRPr="003A4250" w:rsidRDefault="00FF7D2F" w:rsidP="00793F9E">
      <w:pPr>
        <w:pStyle w:val="SingleTxtG"/>
      </w:pPr>
      <w:r>
        <w:t>5</w:t>
      </w:r>
      <w:r w:rsidR="003A4250" w:rsidRPr="003A4250">
        <w:t>.</w:t>
      </w:r>
      <w:bookmarkStart w:id="0" w:name="_Hlk12352038"/>
      <w:r w:rsidR="00793F9E">
        <w:tab/>
      </w:r>
      <w:r w:rsidR="003A4250" w:rsidRPr="003A4250">
        <w:t>The Chair may</w:t>
      </w:r>
      <w:r w:rsidR="003C0751">
        <w:t xml:space="preserve"> </w:t>
      </w:r>
      <w:r w:rsidR="003A4250" w:rsidRPr="003A4250">
        <w:t>invite experts</w:t>
      </w:r>
      <w:r w:rsidR="00B75372">
        <w:t xml:space="preserve"> to the </w:t>
      </w:r>
      <w:r w:rsidR="00901BBA">
        <w:t>meetings</w:t>
      </w:r>
      <w:r w:rsidR="003A4250" w:rsidRPr="003A4250">
        <w:t>, including non-participants of WP.29, on demand.</w:t>
      </w:r>
      <w:bookmarkEnd w:id="0"/>
    </w:p>
    <w:p w14:paraId="21005DF2" w14:textId="3D5DD5C5" w:rsidR="00460F94" w:rsidRDefault="00FF7D2F" w:rsidP="00793F9E">
      <w:pPr>
        <w:pStyle w:val="SingleTxtG"/>
      </w:pPr>
      <w:r>
        <w:t>6</w:t>
      </w:r>
      <w:r w:rsidR="003A4250">
        <w:t>.</w:t>
      </w:r>
      <w:r w:rsidR="00793F9E">
        <w:tab/>
      </w:r>
      <w:r w:rsidR="007C0489" w:rsidRPr="007C0489">
        <w:t xml:space="preserve">The </w:t>
      </w:r>
      <w:r w:rsidR="003A4250">
        <w:t>working</w:t>
      </w:r>
      <w:r w:rsidR="007C0489" w:rsidRPr="007C0489">
        <w:t xml:space="preserve"> language of the </w:t>
      </w:r>
      <w:r w:rsidR="003A4250">
        <w:t>SIG</w:t>
      </w:r>
      <w:r w:rsidR="007C0489" w:rsidRPr="007C0489">
        <w:t xml:space="preserve"> will be English. </w:t>
      </w:r>
    </w:p>
    <w:p w14:paraId="04ABD5F8" w14:textId="24A4BAA7" w:rsidR="00482564" w:rsidRPr="00482564" w:rsidRDefault="00FF7D2F" w:rsidP="00793F9E">
      <w:pPr>
        <w:pStyle w:val="SingleTxtG"/>
      </w:pPr>
      <w:r>
        <w:t>7</w:t>
      </w:r>
      <w:r w:rsidR="00482564" w:rsidRPr="00482564">
        <w:t>.</w:t>
      </w:r>
      <w:r w:rsidR="00793F9E">
        <w:tab/>
      </w:r>
      <w:r w:rsidR="00482564" w:rsidRPr="00482564">
        <w:t xml:space="preserve">An agenda and related documents will be circulated to all members of the SIG in advance of all scheduled meetings. </w:t>
      </w:r>
    </w:p>
    <w:p w14:paraId="01302CA9" w14:textId="3C1341B5" w:rsidR="003A4250" w:rsidRDefault="00FF7D2F" w:rsidP="00793F9E">
      <w:pPr>
        <w:pStyle w:val="SingleTxtG"/>
      </w:pPr>
      <w:r>
        <w:t>8</w:t>
      </w:r>
      <w:r w:rsidR="007C0489" w:rsidRPr="007C0489">
        <w:t>.</w:t>
      </w:r>
      <w:r w:rsidR="00793F9E">
        <w:tab/>
      </w:r>
      <w:r w:rsidR="007C0489" w:rsidRPr="007C0489">
        <w:t xml:space="preserve">All documents </w:t>
      </w:r>
      <w:r w:rsidR="00387584">
        <w:t xml:space="preserve">of the SIG, or its subgroups, </w:t>
      </w:r>
      <w:r w:rsidR="007C0489" w:rsidRPr="007C0489">
        <w:t xml:space="preserve">must be submitted to the Secretary of the group at least </w:t>
      </w:r>
      <w:r w:rsidRPr="00FF7D2F">
        <w:t>[5]</w:t>
      </w:r>
      <w:r w:rsidR="007C0489" w:rsidRPr="00FF7D2F">
        <w:t xml:space="preserve"> working days before</w:t>
      </w:r>
      <w:r w:rsidRPr="00FF7D2F">
        <w:t xml:space="preserve"> </w:t>
      </w:r>
      <w:r w:rsidR="00C465B4" w:rsidRPr="007C0489">
        <w:t>the</w:t>
      </w:r>
      <w:r w:rsidR="007C0489" w:rsidRPr="007C0489">
        <w:t xml:space="preserve"> meeting. </w:t>
      </w:r>
      <w:r w:rsidR="003A4250" w:rsidRPr="003A4250">
        <w:t xml:space="preserve">The group may refuse to discuss any item or proposal which has not been circulated </w:t>
      </w:r>
      <w:r w:rsidR="00C465B4">
        <w:t>as required.</w:t>
      </w:r>
    </w:p>
    <w:p w14:paraId="34554618" w14:textId="461C5506" w:rsidR="00482564" w:rsidRPr="00482564" w:rsidRDefault="00FF7D2F" w:rsidP="00793F9E">
      <w:pPr>
        <w:pStyle w:val="SingleTxtG"/>
      </w:pPr>
      <w:r>
        <w:t>9</w:t>
      </w:r>
      <w:r w:rsidR="00482564">
        <w:t>.</w:t>
      </w:r>
      <w:r w:rsidR="00793F9E">
        <w:tab/>
      </w:r>
      <w:r w:rsidR="00482564" w:rsidRPr="00482564">
        <w:t xml:space="preserve">All documents shall be </w:t>
      </w:r>
      <w:r w:rsidR="00482564">
        <w:t>provided</w:t>
      </w:r>
      <w:r w:rsidR="00482564" w:rsidRPr="00482564">
        <w:t xml:space="preserve"> in digital format. </w:t>
      </w:r>
      <w:r w:rsidR="00482564">
        <w:t xml:space="preserve">The Secretary shall publish the documents </w:t>
      </w:r>
      <w:r w:rsidR="00482564" w:rsidRPr="00482564">
        <w:t>on the dedicated website</w:t>
      </w:r>
      <w:r w:rsidR="00482564">
        <w:t xml:space="preserve"> provided by the UNECE</w:t>
      </w:r>
      <w:r w:rsidR="00482564" w:rsidRPr="00482564">
        <w:t>.</w:t>
      </w:r>
    </w:p>
    <w:p w14:paraId="581CD30A" w14:textId="3C1209C9" w:rsidR="007C0489" w:rsidRDefault="00793F9E" w:rsidP="00793F9E">
      <w:pPr>
        <w:pStyle w:val="SingleTxtG"/>
      </w:pPr>
      <w:r>
        <w:t>1</w:t>
      </w:r>
      <w:r w:rsidR="00FF7D2F">
        <w:t>0</w:t>
      </w:r>
      <w:r w:rsidR="007C0489" w:rsidRPr="007C0489">
        <w:t>.</w:t>
      </w:r>
      <w:r>
        <w:tab/>
      </w:r>
      <w:r w:rsidR="007C0489" w:rsidRPr="007C0489">
        <w:t xml:space="preserve">Decisions </w:t>
      </w:r>
      <w:r w:rsidR="00FF7D2F">
        <w:t xml:space="preserve">of the group shall be </w:t>
      </w:r>
      <w:r w:rsidR="00387584">
        <w:t xml:space="preserve">reached by consensus based </w:t>
      </w:r>
      <w:r w:rsidR="00B75372">
        <w:t xml:space="preserve">upon </w:t>
      </w:r>
      <w:r w:rsidR="00FF7D2F">
        <w:t xml:space="preserve">written proposals </w:t>
      </w:r>
      <w:r w:rsidR="007C0489" w:rsidRPr="007C0489">
        <w:t xml:space="preserve">and </w:t>
      </w:r>
      <w:r w:rsidR="00FF7D2F">
        <w:t>technical rationale.</w:t>
      </w:r>
      <w:r w:rsidR="002D79AB">
        <w:t xml:space="preserve"> </w:t>
      </w:r>
      <w:r w:rsidR="007C0489" w:rsidRPr="007C0489">
        <w:t>When consensus cannot be reached, the chair of the group may present the different points of view and seek guidance from G</w:t>
      </w:r>
      <w:r w:rsidR="00C465B4">
        <w:t>RVA</w:t>
      </w:r>
      <w:r w:rsidR="007C0489" w:rsidRPr="007C0489">
        <w:t xml:space="preserve">, as appropriate. </w:t>
      </w:r>
    </w:p>
    <w:p w14:paraId="3D13EE30" w14:textId="7C981A85" w:rsidR="007C0489" w:rsidRDefault="00482564" w:rsidP="00793F9E">
      <w:pPr>
        <w:pStyle w:val="SingleTxtG"/>
      </w:pPr>
      <w:r>
        <w:t>1</w:t>
      </w:r>
      <w:r w:rsidR="00FF7D2F">
        <w:t>1</w:t>
      </w:r>
      <w:r w:rsidR="007C0489" w:rsidRPr="007C0489">
        <w:t>.</w:t>
      </w:r>
      <w:r w:rsidR="00793F9E">
        <w:tab/>
      </w:r>
      <w:r w:rsidR="007C0489" w:rsidRPr="007C0489">
        <w:t xml:space="preserve">Meetings </w:t>
      </w:r>
      <w:r w:rsidR="00387584">
        <w:t xml:space="preserve">of the SIG </w:t>
      </w:r>
      <w:r w:rsidR="007C0489" w:rsidRPr="007C0489">
        <w:t xml:space="preserve">shall be held </w:t>
      </w:r>
      <w:r w:rsidR="00C465B4">
        <w:t xml:space="preserve">at least </w:t>
      </w:r>
      <w:proofErr w:type="gramStart"/>
      <w:r w:rsidR="00C465B4">
        <w:t>on a monthly basis</w:t>
      </w:r>
      <w:proofErr w:type="gramEnd"/>
      <w:r w:rsidR="00C465B4">
        <w:t xml:space="preserve"> but may be more frequent subject to</w:t>
      </w:r>
      <w:r w:rsidR="007C0489" w:rsidRPr="007C0489">
        <w:t xml:space="preserve"> agreement </w:t>
      </w:r>
      <w:r w:rsidR="00C465B4">
        <w:t>by</w:t>
      </w:r>
      <w:r w:rsidR="007C0489" w:rsidRPr="007C0489">
        <w:t xml:space="preserve"> the majority of the participants. Meetings </w:t>
      </w:r>
      <w:r w:rsidR="00C465B4">
        <w:t xml:space="preserve">will be hybrid </w:t>
      </w:r>
      <w:r w:rsidR="007C0489" w:rsidRPr="007C0489">
        <w:t xml:space="preserve">using web-based technology. </w:t>
      </w:r>
    </w:p>
    <w:p w14:paraId="09D60191" w14:textId="5CED0CCA" w:rsidR="00C465B4" w:rsidRDefault="00482564" w:rsidP="00793F9E">
      <w:pPr>
        <w:pStyle w:val="SingleTxtG"/>
      </w:pPr>
      <w:r>
        <w:t>1</w:t>
      </w:r>
      <w:r w:rsidR="00FF7D2F">
        <w:t>2</w:t>
      </w:r>
      <w:r w:rsidR="007C0489" w:rsidRPr="007C0489">
        <w:t>.</w:t>
      </w:r>
      <w:r w:rsidR="00793F9E">
        <w:tab/>
      </w:r>
      <w:r w:rsidR="007C0489" w:rsidRPr="007C0489">
        <w:t xml:space="preserve">A provisional agenda shall be drawn up by the </w:t>
      </w:r>
      <w:r w:rsidR="00C465B4">
        <w:t>SIG</w:t>
      </w:r>
      <w:r w:rsidR="007C0489" w:rsidRPr="007C0489">
        <w:t xml:space="preserve"> leadership. The first item of the provisional agenda for each session shall be the adoption of the agenda. The second item shall be the minutes of the previous session followed by technical discussions and miscellaneous items.</w:t>
      </w:r>
      <w:r w:rsidR="00C465B4" w:rsidRPr="007C0489">
        <w:t xml:space="preserve"> </w:t>
      </w:r>
    </w:p>
    <w:p w14:paraId="5FB18657" w14:textId="2E716309" w:rsidR="007C0489" w:rsidRPr="007C0489" w:rsidRDefault="00793F9E" w:rsidP="00793F9E">
      <w:pPr>
        <w:pStyle w:val="HChG"/>
      </w:pPr>
      <w:r>
        <w:tab/>
        <w:t>III.</w:t>
      </w:r>
      <w:r>
        <w:tab/>
        <w:t>Timeline and deliverables</w:t>
      </w:r>
      <w:r w:rsidR="007C0489" w:rsidRPr="007C0489">
        <w:t xml:space="preserve"> </w:t>
      </w:r>
    </w:p>
    <w:p w14:paraId="09FC63BD" w14:textId="77777777" w:rsidR="00CE37A6" w:rsidRDefault="008A2BA4" w:rsidP="00793F9E">
      <w:pPr>
        <w:pStyle w:val="SingleTxtG"/>
      </w:pPr>
      <w:r>
        <w:t>The SIG shall</w:t>
      </w:r>
      <w:r w:rsidR="00CE37A6">
        <w:t>:</w:t>
      </w:r>
    </w:p>
    <w:p w14:paraId="2F0D7986" w14:textId="1BF5DF33" w:rsidR="008A2BA4" w:rsidRDefault="00CE37A6" w:rsidP="00793F9E">
      <w:pPr>
        <w:pStyle w:val="SingleTxtG"/>
      </w:pPr>
      <w:r>
        <w:t>P</w:t>
      </w:r>
      <w:r w:rsidR="008A2BA4">
        <w:t xml:space="preserve">resent </w:t>
      </w:r>
      <w:r w:rsidR="00793F9E">
        <w:t>a</w:t>
      </w:r>
      <w:r w:rsidR="00AC6B73">
        <w:t>n informal</w:t>
      </w:r>
      <w:r w:rsidR="008A2BA4">
        <w:t xml:space="preserve"> paper to the 18</w:t>
      </w:r>
      <w:r w:rsidR="008A2BA4" w:rsidRPr="008A2BA4">
        <w:rPr>
          <w:vertAlign w:val="superscript"/>
        </w:rPr>
        <w:t>th</w:t>
      </w:r>
      <w:r w:rsidR="008A2BA4">
        <w:t xml:space="preserve"> session of GRVA (January 2024) setting out:</w:t>
      </w:r>
    </w:p>
    <w:p w14:paraId="1C843AD5" w14:textId="3F5E3E82" w:rsidR="008A2BA4" w:rsidRDefault="00793F9E" w:rsidP="004A0223">
      <w:pPr>
        <w:pStyle w:val="SingleTxtG"/>
        <w:ind w:left="1701"/>
      </w:pPr>
      <w:r>
        <w:lastRenderedPageBreak/>
        <w:t>(a)</w:t>
      </w:r>
      <w:r>
        <w:tab/>
      </w:r>
      <w:r w:rsidR="008A2BA4">
        <w:t xml:space="preserve">The </w:t>
      </w:r>
      <w:r w:rsidR="00AC6B73">
        <w:t xml:space="preserve">safety </w:t>
      </w:r>
      <w:r w:rsidR="008A2BA4">
        <w:t>rationale for different arrangements of energy supply and brake transmission to support electromechanical braking systems, and</w:t>
      </w:r>
    </w:p>
    <w:p w14:paraId="18159EDC" w14:textId="7D2FD314" w:rsidR="008A2BA4" w:rsidRDefault="00793F9E" w:rsidP="004A0223">
      <w:pPr>
        <w:pStyle w:val="SingleTxtG"/>
        <w:ind w:left="1701"/>
      </w:pPr>
      <w:r>
        <w:t>(b)</w:t>
      </w:r>
      <w:r>
        <w:tab/>
      </w:r>
      <w:r w:rsidR="008A2BA4">
        <w:t>A methodology to determine the value of an electrical energy reserve, suitable for application with an electromechanical braking system.</w:t>
      </w:r>
    </w:p>
    <w:p w14:paraId="13AD0C5A" w14:textId="35C9C67A" w:rsidR="00CE37A6" w:rsidRDefault="00CE37A6" w:rsidP="0005269F">
      <w:pPr>
        <w:pStyle w:val="SingleTxtG"/>
        <w:keepNext/>
        <w:keepLines/>
      </w:pPr>
      <w:r>
        <w:t xml:space="preserve">Deliver </w:t>
      </w:r>
      <w:r w:rsidR="00AC6B73">
        <w:t xml:space="preserve">formal </w:t>
      </w:r>
      <w:r>
        <w:t>proposals to the 19</w:t>
      </w:r>
      <w:r w:rsidRPr="00CE37A6">
        <w:rPr>
          <w:vertAlign w:val="superscript"/>
        </w:rPr>
        <w:t>th</w:t>
      </w:r>
      <w:r>
        <w:t xml:space="preserve"> session of GRVA (May 2024):</w:t>
      </w:r>
    </w:p>
    <w:p w14:paraId="17F262E3" w14:textId="59C71811" w:rsidR="00CE37A6" w:rsidRDefault="00793F9E" w:rsidP="0005269F">
      <w:pPr>
        <w:pStyle w:val="SingleTxtG"/>
        <w:keepNext/>
        <w:keepLines/>
        <w:ind w:left="1701"/>
      </w:pPr>
      <w:r>
        <w:t>(a)</w:t>
      </w:r>
      <w:r>
        <w:tab/>
      </w:r>
      <w:r w:rsidR="00CE37A6">
        <w:t xml:space="preserve">For an amendment to both </w:t>
      </w:r>
      <w:r w:rsidR="00EC7052">
        <w:t xml:space="preserve">UN </w:t>
      </w:r>
      <w:r w:rsidR="00CE37A6">
        <w:t>Regulation</w:t>
      </w:r>
      <w:r w:rsidR="00EC7052">
        <w:t xml:space="preserve"> No.</w:t>
      </w:r>
      <w:r w:rsidR="00CE37A6">
        <w:t xml:space="preserve"> 13 and</w:t>
      </w:r>
      <w:r w:rsidR="00BA17E9">
        <w:t xml:space="preserve"> UN Regulation</w:t>
      </w:r>
      <w:r w:rsidR="00CE37A6">
        <w:t xml:space="preserve"> </w:t>
      </w:r>
      <w:r w:rsidR="00EC7052">
        <w:t xml:space="preserve">No. </w:t>
      </w:r>
      <w:r w:rsidR="00CE37A6">
        <w:t>13</w:t>
      </w:r>
      <w:r w:rsidR="00EC7052">
        <w:t>-</w:t>
      </w:r>
      <w:r w:rsidR="00CE37A6">
        <w:t>H to accommodate electromechanical braking systems, and</w:t>
      </w:r>
    </w:p>
    <w:p w14:paraId="51E66EF2" w14:textId="319C80C2" w:rsidR="008A2BA4" w:rsidRDefault="00793F9E" w:rsidP="0005269F">
      <w:pPr>
        <w:pStyle w:val="SingleTxtG"/>
        <w:keepNext/>
        <w:keepLines/>
        <w:ind w:left="1701"/>
      </w:pPr>
      <w:r>
        <w:t>(b)</w:t>
      </w:r>
      <w:r>
        <w:tab/>
      </w:r>
      <w:r w:rsidR="00CE37A6">
        <w:t xml:space="preserve">Report on recommendations for compatible changes to, for example, </w:t>
      </w:r>
      <w:r w:rsidR="00BA17E9">
        <w:t xml:space="preserve">UN </w:t>
      </w:r>
      <w:r w:rsidR="00CE37A6">
        <w:t>Regulation</w:t>
      </w:r>
      <w:r w:rsidR="007E5C25">
        <w:t xml:space="preserve"> No.</w:t>
      </w:r>
      <w:r w:rsidR="00CE37A6">
        <w:t xml:space="preserve"> 79 in respect to the electrical supply, storage, and monitoring.</w:t>
      </w:r>
    </w:p>
    <w:p w14:paraId="47E8544E" w14:textId="77777777" w:rsidR="00170C24" w:rsidRDefault="00170C24" w:rsidP="0005269F">
      <w:pPr>
        <w:pStyle w:val="SingleTxtG"/>
        <w:keepNext/>
        <w:keepLines/>
        <w:ind w:left="1701"/>
      </w:pPr>
    </w:p>
    <w:p w14:paraId="35C390B0" w14:textId="24FD5311" w:rsidR="00460F94" w:rsidRPr="00793F9E" w:rsidRDefault="00793F9E" w:rsidP="00793F9E">
      <w:pPr>
        <w:spacing w:after="0" w:line="240" w:lineRule="auto"/>
        <w:jc w:val="center"/>
        <w:rPr>
          <w:rFonts w:ascii="Times New Roman" w:hAnsi="Times New Roman" w:cs="Times New Roman"/>
          <w:u w:val="single"/>
        </w:rPr>
      </w:pPr>
      <w:r w:rsidRPr="00793F9E">
        <w:rPr>
          <w:rFonts w:ascii="Times New Roman" w:hAnsi="Times New Roman" w:cs="Times New Roman"/>
          <w:u w:val="single"/>
        </w:rPr>
        <w:tab/>
      </w:r>
      <w:r w:rsidRPr="00793F9E">
        <w:rPr>
          <w:rFonts w:ascii="Times New Roman" w:hAnsi="Times New Roman" w:cs="Times New Roman"/>
          <w:u w:val="single"/>
        </w:rPr>
        <w:tab/>
      </w:r>
      <w:r w:rsidRPr="00793F9E">
        <w:rPr>
          <w:rFonts w:ascii="Times New Roman" w:hAnsi="Times New Roman" w:cs="Times New Roman"/>
          <w:u w:val="single"/>
        </w:rPr>
        <w:tab/>
      </w:r>
    </w:p>
    <w:sectPr w:rsidR="00460F94" w:rsidRPr="00793F9E" w:rsidSect="00701460">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B28F8" w14:textId="77777777" w:rsidR="004C2E4D" w:rsidRDefault="004C2E4D" w:rsidP="007C0489">
      <w:pPr>
        <w:spacing w:after="0" w:line="240" w:lineRule="auto"/>
      </w:pPr>
      <w:r>
        <w:separator/>
      </w:r>
    </w:p>
  </w:endnote>
  <w:endnote w:type="continuationSeparator" w:id="0">
    <w:p w14:paraId="5C04BAD8" w14:textId="77777777" w:rsidR="004C2E4D" w:rsidRDefault="004C2E4D" w:rsidP="007C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884F" w14:textId="77777777" w:rsidR="004C2E4D" w:rsidRDefault="004C2E4D" w:rsidP="007C0489">
      <w:pPr>
        <w:spacing w:after="0" w:line="240" w:lineRule="auto"/>
      </w:pPr>
      <w:r>
        <w:separator/>
      </w:r>
    </w:p>
  </w:footnote>
  <w:footnote w:type="continuationSeparator" w:id="0">
    <w:p w14:paraId="4BF0B1F2" w14:textId="77777777" w:rsidR="004C2E4D" w:rsidRDefault="004C2E4D" w:rsidP="007C0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204"/>
    </w:tblGrid>
    <w:tr w:rsidR="00701460" w14:paraId="085D30CE" w14:textId="77777777" w:rsidTr="005F566A">
      <w:tc>
        <w:tcPr>
          <w:tcW w:w="5812" w:type="dxa"/>
        </w:tcPr>
        <w:p w14:paraId="1251DD23" w14:textId="77777777" w:rsidR="00701460" w:rsidRDefault="00701460" w:rsidP="00701460">
          <w:pPr>
            <w:rPr>
              <w:rFonts w:ascii="Times New Roman" w:hAnsi="Times New Roman" w:cs="Times New Roman"/>
              <w:sz w:val="20"/>
              <w:szCs w:val="20"/>
            </w:rPr>
          </w:pPr>
          <w:r w:rsidRPr="007C0489">
            <w:rPr>
              <w:rFonts w:ascii="Times New Roman" w:hAnsi="Times New Roman" w:cs="Times New Roman"/>
              <w:sz w:val="20"/>
              <w:szCs w:val="20"/>
            </w:rPr>
            <w:t xml:space="preserve">Submitted by </w:t>
          </w:r>
          <w:r>
            <w:rPr>
              <w:rFonts w:ascii="Times New Roman" w:hAnsi="Times New Roman" w:cs="Times New Roman"/>
              <w:sz w:val="20"/>
              <w:szCs w:val="20"/>
            </w:rPr>
            <w:t xml:space="preserve">the expert from </w:t>
          </w:r>
        </w:p>
        <w:p w14:paraId="699D5051" w14:textId="77777777" w:rsidR="00701460" w:rsidRDefault="00701460" w:rsidP="00701460">
          <w:pPr>
            <w:rPr>
              <w:rFonts w:ascii="Times New Roman" w:hAnsi="Times New Roman" w:cs="Times New Roman"/>
              <w:sz w:val="20"/>
              <w:szCs w:val="20"/>
            </w:rPr>
          </w:pPr>
          <w:r>
            <w:rPr>
              <w:rFonts w:ascii="Times New Roman" w:hAnsi="Times New Roman" w:cs="Times New Roman"/>
              <w:sz w:val="20"/>
              <w:szCs w:val="20"/>
            </w:rPr>
            <w:t>the United Kingdom</w:t>
          </w:r>
          <w:r w:rsidRPr="00E548E8">
            <w:rPr>
              <w:rFonts w:ascii="Times New Roman" w:hAnsi="Times New Roman" w:cs="Times New Roman"/>
              <w:sz w:val="20"/>
              <w:szCs w:val="20"/>
            </w:rPr>
            <w:t xml:space="preserve"> of Great Britain </w:t>
          </w:r>
        </w:p>
        <w:p w14:paraId="531F3400" w14:textId="77777777" w:rsidR="00701460" w:rsidRDefault="00701460" w:rsidP="00701460">
          <w:r w:rsidRPr="00E548E8">
            <w:rPr>
              <w:rFonts w:ascii="Times New Roman" w:hAnsi="Times New Roman" w:cs="Times New Roman"/>
              <w:sz w:val="20"/>
              <w:szCs w:val="20"/>
            </w:rPr>
            <w:t>and Northern Ireland</w:t>
          </w:r>
        </w:p>
      </w:tc>
      <w:tc>
        <w:tcPr>
          <w:tcW w:w="3204" w:type="dxa"/>
        </w:tcPr>
        <w:p w14:paraId="6F1AD883" w14:textId="77777777" w:rsidR="00701460" w:rsidRPr="00E548E8" w:rsidRDefault="00701460" w:rsidP="00701460">
          <w:pPr>
            <w:rPr>
              <w:rFonts w:ascii="Times New Roman" w:hAnsi="Times New Roman" w:cs="Times New Roman"/>
              <w:b/>
              <w:bCs/>
              <w:color w:val="FF0000"/>
              <w:sz w:val="20"/>
              <w:szCs w:val="20"/>
            </w:rPr>
          </w:pPr>
          <w:r w:rsidRPr="00E548E8">
            <w:rPr>
              <w:rFonts w:ascii="Times New Roman" w:hAnsi="Times New Roman" w:cs="Times New Roman"/>
              <w:sz w:val="20"/>
              <w:szCs w:val="20"/>
              <w:u w:val="single"/>
            </w:rPr>
            <w:t>Informal document</w:t>
          </w:r>
          <w:r w:rsidRPr="007C0489">
            <w:rPr>
              <w:rFonts w:ascii="Times New Roman" w:hAnsi="Times New Roman" w:cs="Times New Roman"/>
              <w:sz w:val="20"/>
              <w:szCs w:val="20"/>
            </w:rPr>
            <w:t xml:space="preserve"> </w:t>
          </w:r>
          <w:r w:rsidRPr="00E548E8">
            <w:rPr>
              <w:rFonts w:ascii="Times New Roman" w:hAnsi="Times New Roman" w:cs="Times New Roman"/>
              <w:b/>
              <w:bCs/>
              <w:sz w:val="20"/>
              <w:szCs w:val="20"/>
            </w:rPr>
            <w:t>GRVA-16</w:t>
          </w:r>
          <w:r>
            <w:rPr>
              <w:rFonts w:ascii="Times New Roman" w:hAnsi="Times New Roman" w:cs="Times New Roman"/>
              <w:b/>
              <w:bCs/>
              <w:sz w:val="20"/>
              <w:szCs w:val="20"/>
            </w:rPr>
            <w:t>-27</w:t>
          </w:r>
        </w:p>
        <w:p w14:paraId="73F104BC" w14:textId="77777777" w:rsidR="00701460" w:rsidRPr="00B75372" w:rsidRDefault="00701460" w:rsidP="00701460">
          <w:pPr>
            <w:rPr>
              <w:rFonts w:ascii="Times New Roman" w:hAnsi="Times New Roman" w:cs="Times New Roman"/>
              <w:sz w:val="20"/>
              <w:szCs w:val="20"/>
            </w:rPr>
          </w:pPr>
          <w:r w:rsidRPr="00B75372">
            <w:rPr>
              <w:rFonts w:ascii="Times New Roman" w:hAnsi="Times New Roman" w:cs="Times New Roman"/>
              <w:sz w:val="20"/>
              <w:szCs w:val="20"/>
            </w:rPr>
            <w:t>16</w:t>
          </w:r>
          <w:r w:rsidRPr="00B75372">
            <w:rPr>
              <w:rFonts w:ascii="Times New Roman" w:hAnsi="Times New Roman" w:cs="Times New Roman"/>
              <w:sz w:val="20"/>
              <w:szCs w:val="20"/>
              <w:vertAlign w:val="superscript"/>
            </w:rPr>
            <w:t>th</w:t>
          </w:r>
          <w:r w:rsidRPr="00B75372">
            <w:rPr>
              <w:rFonts w:ascii="Times New Roman" w:hAnsi="Times New Roman" w:cs="Times New Roman"/>
              <w:sz w:val="20"/>
              <w:szCs w:val="20"/>
            </w:rPr>
            <w:t xml:space="preserve"> GRVA, 22-26 May 2023 </w:t>
          </w:r>
        </w:p>
        <w:p w14:paraId="004F96EA" w14:textId="77777777" w:rsidR="00701460" w:rsidRDefault="00701460" w:rsidP="00701460">
          <w:r>
            <w:rPr>
              <w:rFonts w:ascii="Times New Roman" w:hAnsi="Times New Roman" w:cs="Times New Roman"/>
              <w:sz w:val="20"/>
              <w:szCs w:val="20"/>
            </w:rPr>
            <w:t>Provisional a</w:t>
          </w:r>
          <w:r w:rsidRPr="00B75372">
            <w:rPr>
              <w:rFonts w:ascii="Times New Roman" w:hAnsi="Times New Roman" w:cs="Times New Roman"/>
              <w:sz w:val="20"/>
              <w:szCs w:val="20"/>
            </w:rPr>
            <w:t>genda item 8(b)</w:t>
          </w:r>
        </w:p>
      </w:tc>
    </w:tr>
  </w:tbl>
  <w:p w14:paraId="753B6D72" w14:textId="77777777" w:rsidR="00701460" w:rsidRDefault="00701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384A2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52D144C"/>
    <w:multiLevelType w:val="singleLevel"/>
    <w:tmpl w:val="7C4C0A7C"/>
    <w:lvl w:ilvl="0">
      <w:start w:val="1"/>
      <w:numFmt w:val="decimal"/>
      <w:pStyle w:val="ParaNo"/>
      <w:lvlText w:val="(%1)"/>
      <w:lvlJc w:val="left"/>
      <w:pPr>
        <w:tabs>
          <w:tab w:val="num" w:pos="720"/>
        </w:tabs>
        <w:ind w:left="720" w:hanging="720"/>
      </w:pPr>
    </w:lvl>
  </w:abstractNum>
  <w:abstractNum w:abstractNumId="3"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2B14D3"/>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66944602">
    <w:abstractNumId w:val="2"/>
  </w:num>
  <w:num w:numId="2" w16cid:durableId="1774859224">
    <w:abstractNumId w:val="4"/>
  </w:num>
  <w:num w:numId="3" w16cid:durableId="506529430">
    <w:abstractNumId w:val="5"/>
  </w:num>
  <w:num w:numId="4" w16cid:durableId="450517070">
    <w:abstractNumId w:val="6"/>
  </w:num>
  <w:num w:numId="5" w16cid:durableId="557785935">
    <w:abstractNumId w:val="3"/>
  </w:num>
  <w:num w:numId="6" w16cid:durableId="1848597877">
    <w:abstractNumId w:val="1"/>
  </w:num>
  <w:num w:numId="7" w16cid:durableId="1716125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89"/>
    <w:rsid w:val="0005269F"/>
    <w:rsid w:val="00097359"/>
    <w:rsid w:val="00144CED"/>
    <w:rsid w:val="00160A19"/>
    <w:rsid w:val="00170C24"/>
    <w:rsid w:val="001B4ED7"/>
    <w:rsid w:val="001C3D19"/>
    <w:rsid w:val="001D4109"/>
    <w:rsid w:val="00261380"/>
    <w:rsid w:val="002D79AB"/>
    <w:rsid w:val="00387584"/>
    <w:rsid w:val="003A4250"/>
    <w:rsid w:val="003C0751"/>
    <w:rsid w:val="00460F94"/>
    <w:rsid w:val="00482564"/>
    <w:rsid w:val="004A0223"/>
    <w:rsid w:val="004B1314"/>
    <w:rsid w:val="004C2E4D"/>
    <w:rsid w:val="006546AD"/>
    <w:rsid w:val="00701460"/>
    <w:rsid w:val="00711900"/>
    <w:rsid w:val="00734997"/>
    <w:rsid w:val="007840E0"/>
    <w:rsid w:val="00793F9E"/>
    <w:rsid w:val="00797CE9"/>
    <w:rsid w:val="007C0489"/>
    <w:rsid w:val="007E5C25"/>
    <w:rsid w:val="008A2BA4"/>
    <w:rsid w:val="008B183F"/>
    <w:rsid w:val="00901BBA"/>
    <w:rsid w:val="00972D26"/>
    <w:rsid w:val="00AC6B73"/>
    <w:rsid w:val="00B4678F"/>
    <w:rsid w:val="00B75372"/>
    <w:rsid w:val="00BA17E9"/>
    <w:rsid w:val="00C465B4"/>
    <w:rsid w:val="00CC4F61"/>
    <w:rsid w:val="00CE37A6"/>
    <w:rsid w:val="00D36D87"/>
    <w:rsid w:val="00DC2A61"/>
    <w:rsid w:val="00E37C20"/>
    <w:rsid w:val="00E548E8"/>
    <w:rsid w:val="00EC7052"/>
    <w:rsid w:val="00F74DF0"/>
    <w:rsid w:val="00FC42B9"/>
    <w:rsid w:val="00FE0BC1"/>
    <w:rsid w:val="00FF7D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9D75A"/>
  <w15:chartTrackingRefBased/>
  <w15:docId w15:val="{D7E6B64C-5E0C-4B44-BC51-9B2D9D83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489"/>
  </w:style>
  <w:style w:type="paragraph" w:styleId="Footer">
    <w:name w:val="footer"/>
    <w:basedOn w:val="Normal"/>
    <w:link w:val="FooterChar"/>
    <w:uiPriority w:val="99"/>
    <w:unhideWhenUsed/>
    <w:rsid w:val="007C0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489"/>
  </w:style>
  <w:style w:type="table" w:styleId="TableGrid">
    <w:name w:val="Table Grid"/>
    <w:basedOn w:val="TableNormal"/>
    <w:uiPriority w:val="39"/>
    <w:rsid w:val="007C0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link w:val="HChGChar"/>
    <w:qFormat/>
    <w:rsid w:val="00701460"/>
    <w:pPr>
      <w:keepNext/>
      <w:keepLines/>
      <w:tabs>
        <w:tab w:val="right" w:pos="851"/>
      </w:tabs>
      <w:suppressAutoHyphens/>
      <w:spacing w:before="360" w:after="240" w:line="300" w:lineRule="exact"/>
      <w:ind w:left="1134" w:right="1134" w:hanging="1134"/>
    </w:pPr>
    <w:rPr>
      <w:rFonts w:ascii="Times New Roman" w:eastAsiaTheme="minorEastAsia" w:hAnsi="Times New Roman" w:cs="Times New Roman"/>
      <w:b/>
      <w:kern w:val="0"/>
      <w:sz w:val="28"/>
      <w:szCs w:val="20"/>
      <w14:ligatures w14:val="none"/>
    </w:rPr>
  </w:style>
  <w:style w:type="character" w:customStyle="1" w:styleId="HChGChar">
    <w:name w:val="_ H _Ch_G Char"/>
    <w:link w:val="HChG"/>
    <w:qFormat/>
    <w:rsid w:val="00701460"/>
    <w:rPr>
      <w:rFonts w:ascii="Times New Roman" w:eastAsiaTheme="minorEastAsia" w:hAnsi="Times New Roman" w:cs="Times New Roman"/>
      <w:b/>
      <w:kern w:val="0"/>
      <w:sz w:val="28"/>
      <w:szCs w:val="20"/>
      <w14:ligatures w14:val="none"/>
    </w:rPr>
  </w:style>
  <w:style w:type="paragraph" w:customStyle="1" w:styleId="a">
    <w:name w:val="(a)"/>
    <w:basedOn w:val="Normal"/>
    <w:qFormat/>
    <w:rsid w:val="00701460"/>
    <w:pPr>
      <w:suppressAutoHyphens/>
      <w:spacing w:after="120" w:line="240" w:lineRule="atLeast"/>
      <w:ind w:left="2835" w:right="1134" w:hanging="567"/>
      <w:jc w:val="both"/>
    </w:pPr>
    <w:rPr>
      <w:rFonts w:ascii="Times New Roman" w:eastAsia="Yu Mincho" w:hAnsi="Times New Roman" w:cs="Times New Roman"/>
      <w:kern w:val="0"/>
      <w:sz w:val="20"/>
      <w:szCs w:val="20"/>
      <w:lang w:val="x-none"/>
      <w14:ligatures w14:val="none"/>
    </w:rPr>
  </w:style>
  <w:style w:type="paragraph" w:customStyle="1" w:styleId="i">
    <w:name w:val="(i)"/>
    <w:basedOn w:val="a"/>
    <w:qFormat/>
    <w:rsid w:val="00701460"/>
    <w:pPr>
      <w:ind w:left="3402"/>
    </w:pPr>
  </w:style>
  <w:style w:type="paragraph" w:customStyle="1" w:styleId="ParaNo">
    <w:name w:val="(ParaNo.)"/>
    <w:basedOn w:val="Normal"/>
    <w:rsid w:val="00701460"/>
    <w:pPr>
      <w:numPr>
        <w:numId w:val="1"/>
      </w:numPr>
      <w:spacing w:after="0" w:line="240" w:lineRule="auto"/>
    </w:pPr>
    <w:rPr>
      <w:rFonts w:ascii="Times New Roman" w:eastAsiaTheme="minorEastAsia" w:hAnsi="Times New Roman" w:cs="Times New Roman"/>
      <w:kern w:val="0"/>
      <w:sz w:val="24"/>
      <w:szCs w:val="20"/>
      <w14:ligatures w14:val="none"/>
    </w:rPr>
  </w:style>
  <w:style w:type="paragraph" w:customStyle="1" w:styleId="HMG">
    <w:name w:val="_ H __M_G"/>
    <w:basedOn w:val="Normal"/>
    <w:next w:val="Normal"/>
    <w:qFormat/>
    <w:rsid w:val="00701460"/>
    <w:pPr>
      <w:keepNext/>
      <w:keepLines/>
      <w:tabs>
        <w:tab w:val="right" w:pos="851"/>
      </w:tabs>
      <w:suppressAutoHyphens/>
      <w:spacing w:before="240" w:after="240" w:line="360" w:lineRule="exact"/>
      <w:ind w:left="1134" w:right="1134" w:hanging="1134"/>
    </w:pPr>
    <w:rPr>
      <w:rFonts w:ascii="Times New Roman" w:eastAsiaTheme="minorEastAsia" w:hAnsi="Times New Roman" w:cs="Times New Roman"/>
      <w:b/>
      <w:kern w:val="0"/>
      <w:sz w:val="34"/>
      <w:szCs w:val="20"/>
      <w14:ligatures w14:val="none"/>
    </w:rPr>
  </w:style>
  <w:style w:type="paragraph" w:customStyle="1" w:styleId="H1G">
    <w:name w:val="_ H_1_G"/>
    <w:basedOn w:val="Normal"/>
    <w:next w:val="Normal"/>
    <w:link w:val="H1GChar"/>
    <w:qFormat/>
    <w:rsid w:val="00701460"/>
    <w:pPr>
      <w:keepNext/>
      <w:keepLines/>
      <w:tabs>
        <w:tab w:val="right" w:pos="851"/>
      </w:tabs>
      <w:suppressAutoHyphens/>
      <w:spacing w:before="360" w:after="240" w:line="270" w:lineRule="exact"/>
      <w:ind w:left="1134" w:right="1134" w:hanging="1134"/>
    </w:pPr>
    <w:rPr>
      <w:rFonts w:ascii="Times New Roman" w:eastAsiaTheme="minorEastAsia" w:hAnsi="Times New Roman" w:cs="Times New Roman"/>
      <w:b/>
      <w:kern w:val="0"/>
      <w:sz w:val="24"/>
      <w:szCs w:val="20"/>
      <w14:ligatures w14:val="none"/>
    </w:rPr>
  </w:style>
  <w:style w:type="character" w:customStyle="1" w:styleId="H1GChar">
    <w:name w:val="_ H_1_G Char"/>
    <w:link w:val="H1G"/>
    <w:rsid w:val="00701460"/>
    <w:rPr>
      <w:rFonts w:ascii="Times New Roman" w:eastAsiaTheme="minorEastAsia" w:hAnsi="Times New Roman" w:cs="Times New Roman"/>
      <w:b/>
      <w:kern w:val="0"/>
      <w:sz w:val="24"/>
      <w:szCs w:val="20"/>
      <w14:ligatures w14:val="none"/>
    </w:rPr>
  </w:style>
  <w:style w:type="paragraph" w:customStyle="1" w:styleId="H23G">
    <w:name w:val="_ H_2/3_G"/>
    <w:basedOn w:val="Normal"/>
    <w:next w:val="Normal"/>
    <w:rsid w:val="00701460"/>
    <w:pPr>
      <w:keepNext/>
      <w:keepLines/>
      <w:tabs>
        <w:tab w:val="right" w:pos="851"/>
      </w:tabs>
      <w:suppressAutoHyphens/>
      <w:spacing w:before="240" w:after="120" w:line="240" w:lineRule="exact"/>
      <w:ind w:left="1134" w:right="1134" w:hanging="1134"/>
    </w:pPr>
    <w:rPr>
      <w:rFonts w:ascii="Times New Roman" w:eastAsiaTheme="minorEastAsia" w:hAnsi="Times New Roman" w:cs="Times New Roman"/>
      <w:b/>
      <w:kern w:val="0"/>
      <w:sz w:val="20"/>
      <w:szCs w:val="20"/>
      <w14:ligatures w14:val="none"/>
    </w:rPr>
  </w:style>
  <w:style w:type="paragraph" w:customStyle="1" w:styleId="H4G">
    <w:name w:val="_ H_4_G"/>
    <w:basedOn w:val="Normal"/>
    <w:next w:val="Normal"/>
    <w:rsid w:val="00701460"/>
    <w:pPr>
      <w:keepNext/>
      <w:keepLines/>
      <w:tabs>
        <w:tab w:val="right" w:pos="851"/>
      </w:tabs>
      <w:suppressAutoHyphens/>
      <w:spacing w:before="240" w:after="120" w:line="240" w:lineRule="exact"/>
      <w:ind w:left="1134" w:right="1134" w:hanging="1134"/>
    </w:pPr>
    <w:rPr>
      <w:rFonts w:ascii="Times New Roman" w:eastAsiaTheme="minorEastAsia" w:hAnsi="Times New Roman" w:cs="Times New Roman"/>
      <w:i/>
      <w:kern w:val="0"/>
      <w:sz w:val="20"/>
      <w:szCs w:val="20"/>
      <w14:ligatures w14:val="none"/>
    </w:rPr>
  </w:style>
  <w:style w:type="paragraph" w:customStyle="1" w:styleId="H56G">
    <w:name w:val="_ H_5/6_G"/>
    <w:basedOn w:val="Normal"/>
    <w:next w:val="Normal"/>
    <w:rsid w:val="00701460"/>
    <w:pPr>
      <w:keepNext/>
      <w:keepLines/>
      <w:tabs>
        <w:tab w:val="right" w:pos="851"/>
      </w:tabs>
      <w:suppressAutoHyphens/>
      <w:spacing w:before="240" w:after="120" w:line="240" w:lineRule="exact"/>
      <w:ind w:left="1134" w:right="1134" w:hanging="1134"/>
    </w:pPr>
    <w:rPr>
      <w:rFonts w:ascii="Times New Roman" w:eastAsiaTheme="minorEastAsia" w:hAnsi="Times New Roman" w:cs="Times New Roman"/>
      <w:kern w:val="0"/>
      <w:sz w:val="20"/>
      <w:szCs w:val="20"/>
      <w14:ligatures w14:val="none"/>
    </w:rPr>
  </w:style>
  <w:style w:type="paragraph" w:customStyle="1" w:styleId="SingleTxtG">
    <w:name w:val="_ Single Txt_G"/>
    <w:basedOn w:val="Normal"/>
    <w:link w:val="SingleTxtGChar"/>
    <w:qFormat/>
    <w:rsid w:val="00701460"/>
    <w:pPr>
      <w:suppressAutoHyphens/>
      <w:spacing w:after="120" w:line="240" w:lineRule="atLeast"/>
      <w:ind w:left="1134" w:right="1134"/>
      <w:jc w:val="both"/>
    </w:pPr>
    <w:rPr>
      <w:rFonts w:ascii="Times New Roman" w:eastAsiaTheme="minorEastAsia" w:hAnsi="Times New Roman" w:cs="Times New Roman"/>
      <w:kern w:val="0"/>
      <w:sz w:val="20"/>
      <w:szCs w:val="20"/>
      <w14:ligatures w14:val="none"/>
    </w:rPr>
  </w:style>
  <w:style w:type="character" w:customStyle="1" w:styleId="SingleTxtGChar">
    <w:name w:val="_ Single Txt_G Char"/>
    <w:link w:val="SingleTxtG"/>
    <w:qFormat/>
    <w:rsid w:val="00701460"/>
    <w:rPr>
      <w:rFonts w:ascii="Times New Roman" w:eastAsiaTheme="minorEastAsia" w:hAnsi="Times New Roman" w:cs="Times New Roman"/>
      <w:kern w:val="0"/>
      <w:sz w:val="20"/>
      <w:szCs w:val="20"/>
      <w14:ligatures w14:val="none"/>
    </w:rPr>
  </w:style>
  <w:style w:type="paragraph" w:customStyle="1" w:styleId="SLG">
    <w:name w:val="__S_L_G"/>
    <w:basedOn w:val="Normal"/>
    <w:next w:val="Normal"/>
    <w:rsid w:val="00701460"/>
    <w:pPr>
      <w:keepNext/>
      <w:keepLines/>
      <w:suppressAutoHyphens/>
      <w:spacing w:before="240" w:after="240" w:line="580" w:lineRule="exact"/>
      <w:ind w:left="1134" w:right="1134"/>
    </w:pPr>
    <w:rPr>
      <w:rFonts w:ascii="Times New Roman" w:eastAsiaTheme="minorEastAsia" w:hAnsi="Times New Roman" w:cs="Times New Roman"/>
      <w:b/>
      <w:kern w:val="0"/>
      <w:sz w:val="56"/>
      <w:szCs w:val="20"/>
      <w14:ligatures w14:val="none"/>
    </w:rPr>
  </w:style>
  <w:style w:type="paragraph" w:customStyle="1" w:styleId="SMG">
    <w:name w:val="__S_M_G"/>
    <w:basedOn w:val="Normal"/>
    <w:next w:val="Normal"/>
    <w:rsid w:val="00701460"/>
    <w:pPr>
      <w:keepNext/>
      <w:keepLines/>
      <w:suppressAutoHyphens/>
      <w:spacing w:before="240" w:after="240" w:line="420" w:lineRule="exact"/>
      <w:ind w:left="1134" w:right="1134"/>
    </w:pPr>
    <w:rPr>
      <w:rFonts w:ascii="Times New Roman" w:eastAsiaTheme="minorEastAsia" w:hAnsi="Times New Roman" w:cs="Times New Roman"/>
      <w:b/>
      <w:kern w:val="0"/>
      <w:sz w:val="40"/>
      <w:szCs w:val="20"/>
      <w14:ligatures w14:val="none"/>
    </w:rPr>
  </w:style>
  <w:style w:type="paragraph" w:customStyle="1" w:styleId="SSG">
    <w:name w:val="__S_S_G"/>
    <w:basedOn w:val="Normal"/>
    <w:next w:val="Normal"/>
    <w:rsid w:val="00701460"/>
    <w:pPr>
      <w:keepNext/>
      <w:keepLines/>
      <w:suppressAutoHyphens/>
      <w:spacing w:before="240" w:after="240" w:line="300" w:lineRule="exact"/>
      <w:ind w:left="1134" w:right="1134"/>
    </w:pPr>
    <w:rPr>
      <w:rFonts w:ascii="Times New Roman" w:eastAsiaTheme="minorEastAsia" w:hAnsi="Times New Roman" w:cs="Times New Roman"/>
      <w:b/>
      <w:kern w:val="0"/>
      <w:sz w:val="28"/>
      <w:szCs w:val="20"/>
      <w14:ligatures w14:val="none"/>
    </w:rPr>
  </w:style>
  <w:style w:type="paragraph" w:customStyle="1" w:styleId="XLargeG">
    <w:name w:val="__XLarge_G"/>
    <w:basedOn w:val="Normal"/>
    <w:next w:val="Normal"/>
    <w:rsid w:val="00701460"/>
    <w:pPr>
      <w:keepNext/>
      <w:keepLines/>
      <w:suppressAutoHyphens/>
      <w:spacing w:before="240" w:after="240" w:line="420" w:lineRule="exact"/>
      <w:ind w:left="1134" w:right="1134"/>
    </w:pPr>
    <w:rPr>
      <w:rFonts w:ascii="Times New Roman" w:eastAsiaTheme="minorEastAsia" w:hAnsi="Times New Roman" w:cs="Times New Roman"/>
      <w:b/>
      <w:kern w:val="0"/>
      <w:sz w:val="40"/>
      <w:szCs w:val="20"/>
      <w14:ligatures w14:val="none"/>
    </w:rPr>
  </w:style>
  <w:style w:type="paragraph" w:customStyle="1" w:styleId="Bullet1G">
    <w:name w:val="_Bullet 1_G"/>
    <w:basedOn w:val="Normal"/>
    <w:rsid w:val="00701460"/>
    <w:pPr>
      <w:numPr>
        <w:numId w:val="2"/>
      </w:numPr>
      <w:suppressAutoHyphens/>
      <w:spacing w:after="120" w:line="240" w:lineRule="atLeast"/>
      <w:ind w:right="1134"/>
      <w:jc w:val="both"/>
    </w:pPr>
    <w:rPr>
      <w:rFonts w:ascii="Times New Roman" w:eastAsiaTheme="minorEastAsia" w:hAnsi="Times New Roman" w:cs="Times New Roman"/>
      <w:kern w:val="0"/>
      <w:sz w:val="20"/>
      <w:szCs w:val="20"/>
      <w14:ligatures w14:val="none"/>
    </w:rPr>
  </w:style>
  <w:style w:type="paragraph" w:customStyle="1" w:styleId="Bullet2G">
    <w:name w:val="_Bullet 2_G"/>
    <w:basedOn w:val="Normal"/>
    <w:rsid w:val="00701460"/>
    <w:pPr>
      <w:numPr>
        <w:numId w:val="3"/>
      </w:numPr>
      <w:suppressAutoHyphens/>
      <w:spacing w:after="120" w:line="240" w:lineRule="atLeast"/>
      <w:ind w:right="1134"/>
      <w:jc w:val="both"/>
    </w:pPr>
    <w:rPr>
      <w:rFonts w:ascii="Times New Roman" w:eastAsiaTheme="minorEastAsia" w:hAnsi="Times New Roman" w:cs="Times New Roman"/>
      <w:kern w:val="0"/>
      <w:sz w:val="20"/>
      <w:szCs w:val="20"/>
      <w14:ligatures w14:val="none"/>
    </w:rPr>
  </w:style>
  <w:style w:type="numbering" w:styleId="111111">
    <w:name w:val="Outline List 2"/>
    <w:basedOn w:val="NoList"/>
    <w:semiHidden/>
    <w:rsid w:val="00701460"/>
    <w:pPr>
      <w:numPr>
        <w:numId w:val="4"/>
      </w:numPr>
    </w:pPr>
  </w:style>
  <w:style w:type="numbering" w:styleId="1ai">
    <w:name w:val="Outline List 1"/>
    <w:basedOn w:val="NoList"/>
    <w:semiHidden/>
    <w:rsid w:val="00701460"/>
    <w:pPr>
      <w:numPr>
        <w:numId w:val="6"/>
      </w:numPr>
    </w:pPr>
  </w:style>
  <w:style w:type="paragraph" w:customStyle="1" w:styleId="Annex5">
    <w:name w:val="Annex5"/>
    <w:basedOn w:val="Normal"/>
    <w:rsid w:val="00701460"/>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pacing w:after="0" w:line="240" w:lineRule="auto"/>
      <w:ind w:left="1360" w:hanging="1360"/>
    </w:pPr>
    <w:rPr>
      <w:rFonts w:ascii="Courier" w:eastAsiaTheme="minorEastAsia" w:hAnsi="Courier"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B0FB8D-49DB-47CF-A17C-ED53EAF1E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4BB33-3ACD-4EEC-8A41-D381862F0D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for Transport</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Frost</dc:creator>
  <cp:keywords/>
  <dc:description/>
  <cp:lastModifiedBy>Laura Mueller</cp:lastModifiedBy>
  <cp:revision>17</cp:revision>
  <dcterms:created xsi:type="dcterms:W3CDTF">2023-05-19T15:14:00Z</dcterms:created>
  <dcterms:modified xsi:type="dcterms:W3CDTF">2023-05-19T15:45:00Z</dcterms:modified>
</cp:coreProperties>
</file>