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5DD5E02E" w:rsidR="00D14683" w:rsidRDefault="00C667A8" w:rsidP="00C750B3">
      <w:pPr>
        <w:pStyle w:val="HChG"/>
        <w:jc w:val="both"/>
      </w:pPr>
      <w:r>
        <w:tab/>
      </w:r>
      <w:r>
        <w:tab/>
      </w:r>
      <w:r w:rsidR="00A14E98">
        <w:t>Explanation</w:t>
      </w:r>
      <w:r w:rsidR="00CC263F" w:rsidRPr="008C5CE0">
        <w:t xml:space="preserve"> for the </w:t>
      </w:r>
      <w:r w:rsidR="00692B1D">
        <w:t xml:space="preserve">editorial changes to </w:t>
      </w:r>
      <w:r w:rsidR="00FE1752">
        <w:t xml:space="preserve">Amendment 1 to </w:t>
      </w:r>
      <w:r w:rsidR="00FE1752" w:rsidRPr="00FE1752">
        <w:t>UN Global Technical Regulation No. 13 (Hydrogen and Fuel Cell Vehicles)</w:t>
      </w:r>
    </w:p>
    <w:p w14:paraId="55CB935C" w14:textId="570ED672" w:rsidR="00CC263F" w:rsidRPr="008C5CE0" w:rsidRDefault="00CC263F" w:rsidP="00CC263F">
      <w:pPr>
        <w:pStyle w:val="HChG"/>
      </w:pPr>
      <w:r w:rsidRPr="008C5CE0">
        <w:tab/>
        <w:t>I.</w:t>
      </w:r>
      <w:r w:rsidRPr="008C5CE0">
        <w:tab/>
      </w:r>
      <w:r w:rsidR="00A14E98">
        <w:t>Explanation</w:t>
      </w:r>
    </w:p>
    <w:p w14:paraId="19359D1B" w14:textId="022DC918" w:rsidR="00D34C08" w:rsidRPr="008C5CE0" w:rsidRDefault="005A7FF1" w:rsidP="00D34C08">
      <w:pPr>
        <w:spacing w:after="120"/>
        <w:ind w:left="2268" w:right="1134" w:hanging="1134"/>
        <w:jc w:val="both"/>
      </w:pPr>
      <w:r>
        <w:rPr>
          <w:iCs/>
        </w:rPr>
        <w:t xml:space="preserve">A. </w:t>
      </w:r>
      <w:r w:rsidR="00D34C08">
        <w:rPr>
          <w:i/>
        </w:rPr>
        <w:t>Table of Contents</w:t>
      </w:r>
      <w:r>
        <w:rPr>
          <w:i/>
        </w:rPr>
        <w:t>, paragraph</w:t>
      </w:r>
      <w:r w:rsidR="00D34C08">
        <w:rPr>
          <w:i/>
        </w:rPr>
        <w:t xml:space="preserve"> H.2., </w:t>
      </w:r>
      <w:r w:rsidR="00D34C08" w:rsidRPr="00D33775">
        <w:rPr>
          <w:iCs/>
        </w:rPr>
        <w:t xml:space="preserve">amend </w:t>
      </w:r>
      <w:r w:rsidR="00D34C08" w:rsidRPr="008C5CE0">
        <w:t>to read:</w:t>
      </w:r>
    </w:p>
    <w:p w14:paraId="38D8C13E" w14:textId="77777777" w:rsidR="00D34C08" w:rsidRDefault="00D34C08" w:rsidP="00D34C08">
      <w:pPr>
        <w:spacing w:after="120"/>
        <w:ind w:left="2268" w:right="1134" w:hanging="1134"/>
        <w:jc w:val="both"/>
      </w:pPr>
      <w:r w:rsidRPr="008C5CE0">
        <w:rPr>
          <w:bCs/>
        </w:rPr>
        <w:t>"</w:t>
      </w:r>
      <w:r>
        <w:t xml:space="preserve">2. National Requirements </w:t>
      </w:r>
      <w:r w:rsidRPr="00994994">
        <w:rPr>
          <w:strike/>
        </w:rPr>
        <w:t>Complimentary</w:t>
      </w:r>
      <w:r>
        <w:t xml:space="preserve"> </w:t>
      </w:r>
      <w:r w:rsidRPr="00994994">
        <w:rPr>
          <w:color w:val="FF0000"/>
        </w:rPr>
        <w:t>Complementary</w:t>
      </w:r>
      <w:r>
        <w:t xml:space="preserve"> to UN GTR Requirements</w:t>
      </w:r>
    </w:p>
    <w:p w14:paraId="6E7A3658" w14:textId="77777777" w:rsidR="00D34C08" w:rsidRPr="00016E4D" w:rsidRDefault="00D34C08" w:rsidP="00D34C08">
      <w:pPr>
        <w:spacing w:after="120"/>
        <w:ind w:left="2268" w:right="1134" w:hanging="1134"/>
        <w:jc w:val="both"/>
        <w:rPr>
          <w:bCs/>
          <w:iCs/>
        </w:rPr>
      </w:pPr>
      <w:r w:rsidRPr="00016E4D">
        <w:rPr>
          <w:iCs/>
        </w:rPr>
        <w:t>"</w:t>
      </w:r>
    </w:p>
    <w:p w14:paraId="6183D177" w14:textId="77777777" w:rsidR="00D34C08" w:rsidRDefault="00D34C08" w:rsidP="00D34C08">
      <w:pPr>
        <w:spacing w:after="120"/>
        <w:ind w:left="2268" w:right="1134" w:hanging="1134"/>
        <w:jc w:val="both"/>
        <w:rPr>
          <w:bCs/>
        </w:rPr>
      </w:pPr>
      <w:r w:rsidRPr="00A14E98">
        <w:rPr>
          <w:bCs/>
        </w:rPr>
        <w:t>[</w:t>
      </w:r>
      <w:r>
        <w:rPr>
          <w:bCs/>
        </w:rPr>
        <w:t>Edited for clarity</w:t>
      </w:r>
      <w:r w:rsidRPr="00A14E98">
        <w:rPr>
          <w:bCs/>
        </w:rPr>
        <w:t>.]</w:t>
      </w:r>
    </w:p>
    <w:p w14:paraId="32FCFE25" w14:textId="0EDFD6DC" w:rsidR="00D34C08" w:rsidRDefault="00D34C08" w:rsidP="00D34C08">
      <w:pPr>
        <w:spacing w:after="120"/>
        <w:ind w:left="2268" w:right="1134" w:hanging="1134"/>
        <w:jc w:val="both"/>
        <w:rPr>
          <w:i/>
        </w:rPr>
      </w:pPr>
    </w:p>
    <w:p w14:paraId="19B915D0" w14:textId="38C0CCDC" w:rsidR="00D34C08" w:rsidRDefault="005A7FF1" w:rsidP="00D34C08">
      <w:pPr>
        <w:spacing w:after="120"/>
        <w:ind w:left="2268" w:right="1134" w:hanging="1134"/>
        <w:jc w:val="both"/>
      </w:pPr>
      <w:r>
        <w:rPr>
          <w:iCs/>
        </w:rPr>
        <w:t xml:space="preserve">B. </w:t>
      </w:r>
      <w:r w:rsidR="00D34C08">
        <w:rPr>
          <w:i/>
        </w:rPr>
        <w:t xml:space="preserve">Part 1, Paragraph 78, Table 1, </w:t>
      </w:r>
      <w:r w:rsidR="00D34C08" w:rsidRPr="00D33775">
        <w:rPr>
          <w:iCs/>
        </w:rPr>
        <w:t xml:space="preserve">amend </w:t>
      </w:r>
      <w:r w:rsidR="00D34C08" w:rsidRPr="008C5CE0">
        <w:t>to read:</w:t>
      </w:r>
    </w:p>
    <w:p w14:paraId="6C8690D2" w14:textId="77777777" w:rsidR="00D34C08" w:rsidRPr="000264B4" w:rsidRDefault="00D34C08" w:rsidP="00D34C08">
      <w:pPr>
        <w:ind w:left="1134" w:right="1134"/>
        <w:jc w:val="both"/>
        <w:rPr>
          <w:bCs/>
        </w:rPr>
      </w:pPr>
      <w:r w:rsidRPr="00016E4D">
        <w:rPr>
          <w:iCs/>
        </w:rPr>
        <w:t>"</w:t>
      </w:r>
      <w:r w:rsidRPr="0075696C">
        <w:rPr>
          <w:bCs/>
        </w:rPr>
        <w:t xml:space="preserve"> </w:t>
      </w:r>
      <w:r w:rsidRPr="000264B4">
        <w:rPr>
          <w:bCs/>
        </w:rPr>
        <w:t>Table 1</w:t>
      </w:r>
    </w:p>
    <w:p w14:paraId="016EB457" w14:textId="77777777" w:rsidR="00D34C08" w:rsidRPr="007B6022" w:rsidRDefault="00D34C08" w:rsidP="00D34C08">
      <w:pPr>
        <w:spacing w:after="120"/>
        <w:ind w:left="1134" w:right="1134"/>
        <w:jc w:val="both"/>
        <w:rPr>
          <w:b/>
        </w:rPr>
      </w:pPr>
      <w:r w:rsidRPr="007B6022">
        <w:rPr>
          <w:b/>
        </w:rPr>
        <w:t>Results of the Japanese Study</w:t>
      </w:r>
    </w:p>
    <w:tbl>
      <w:tblPr>
        <w:tblW w:w="7370" w:type="dxa"/>
        <w:tblInd w:w="1134" w:type="dxa"/>
        <w:tblLayout w:type="fixed"/>
        <w:tblCellMar>
          <w:left w:w="0" w:type="dxa"/>
          <w:right w:w="0" w:type="dxa"/>
        </w:tblCellMar>
        <w:tblLook w:val="0420" w:firstRow="1" w:lastRow="0" w:firstColumn="0" w:lastColumn="0" w:noHBand="0" w:noVBand="1"/>
      </w:tblPr>
      <w:tblGrid>
        <w:gridCol w:w="1262"/>
        <w:gridCol w:w="1019"/>
        <w:gridCol w:w="1384"/>
        <w:gridCol w:w="1751"/>
        <w:gridCol w:w="1954"/>
      </w:tblGrid>
      <w:tr w:rsidR="00D34C08" w:rsidRPr="007B6022" w14:paraId="58405312" w14:textId="77777777" w:rsidTr="00F379E2">
        <w:trPr>
          <w:tblHeader/>
        </w:trPr>
        <w:tc>
          <w:tcPr>
            <w:tcW w:w="1262"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0F091E63" w14:textId="77777777" w:rsidR="00D34C08" w:rsidRPr="007B6022" w:rsidRDefault="00D34C08" w:rsidP="00F379E2">
            <w:pPr>
              <w:suppressAutoHyphens w:val="0"/>
              <w:spacing w:before="80" w:after="80" w:line="200" w:lineRule="exact"/>
              <w:rPr>
                <w:rFonts w:eastAsia="MS PGothic"/>
                <w:i/>
                <w:sz w:val="16"/>
                <w:lang w:eastAsia="ja-JP"/>
              </w:rPr>
            </w:pPr>
            <w:r w:rsidRPr="007B6022">
              <w:rPr>
                <w:rFonts w:eastAsia="MS PGothic"/>
                <w:bCs/>
                <w:i/>
                <w:sz w:val="16"/>
                <w:lang w:eastAsia="ja-JP"/>
              </w:rPr>
              <w:t>Vehicle Type</w:t>
            </w:r>
          </w:p>
        </w:tc>
        <w:tc>
          <w:tcPr>
            <w:tcW w:w="1019"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6BDF78F5" w14:textId="77777777" w:rsidR="00D34C08" w:rsidRPr="007B6022" w:rsidRDefault="00D34C08" w:rsidP="00F379E2">
            <w:pPr>
              <w:suppressAutoHyphens w:val="0"/>
              <w:spacing w:before="80" w:after="80" w:line="200" w:lineRule="exact"/>
              <w:jc w:val="right"/>
              <w:rPr>
                <w:rFonts w:eastAsia="MS PGothic"/>
                <w:i/>
                <w:sz w:val="16"/>
                <w:lang w:eastAsia="ja-JP"/>
              </w:rPr>
            </w:pPr>
            <w:r w:rsidRPr="007B6022">
              <w:rPr>
                <w:rFonts w:eastAsia="MS PGothic"/>
                <w:bCs/>
                <w:i/>
                <w:sz w:val="16"/>
                <w:lang w:eastAsia="ja-JP"/>
              </w:rPr>
              <w:t>Max svc. Life</w:t>
            </w:r>
          </w:p>
        </w:tc>
        <w:tc>
          <w:tcPr>
            <w:tcW w:w="1384"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77302ECC" w14:textId="77777777" w:rsidR="00D34C08" w:rsidRPr="007B6022" w:rsidRDefault="00D34C08" w:rsidP="00F379E2">
            <w:pPr>
              <w:suppressAutoHyphens w:val="0"/>
              <w:spacing w:before="80" w:after="80" w:line="200" w:lineRule="exact"/>
              <w:jc w:val="right"/>
              <w:rPr>
                <w:rFonts w:eastAsia="MS PGothic"/>
                <w:i/>
                <w:sz w:val="16"/>
                <w:lang w:eastAsia="ja-JP"/>
              </w:rPr>
            </w:pPr>
            <w:r w:rsidRPr="007B6022">
              <w:rPr>
                <w:rFonts w:eastAsia="MS PGothic"/>
                <w:bCs/>
                <w:i/>
                <w:sz w:val="16"/>
                <w:lang w:eastAsia="ja-JP"/>
              </w:rPr>
              <w:t>Max lifetime miles travelled</w:t>
            </w:r>
          </w:p>
        </w:tc>
        <w:tc>
          <w:tcPr>
            <w:tcW w:w="1751"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0E803DFA" w14:textId="77777777" w:rsidR="00D34C08" w:rsidRPr="007B6022" w:rsidRDefault="00D34C08" w:rsidP="00F379E2">
            <w:pPr>
              <w:suppressAutoHyphens w:val="0"/>
              <w:spacing w:before="80" w:after="80" w:line="200" w:lineRule="exact"/>
              <w:jc w:val="right"/>
              <w:rPr>
                <w:rFonts w:eastAsia="MS PGothic"/>
                <w:bCs/>
                <w:i/>
                <w:sz w:val="16"/>
                <w:lang w:eastAsia="ja-JP"/>
              </w:rPr>
            </w:pPr>
            <w:r w:rsidRPr="007B6022">
              <w:rPr>
                <w:rFonts w:eastAsia="MS PGothic"/>
                <w:bCs/>
                <w:i/>
                <w:sz w:val="16"/>
                <w:lang w:eastAsia="ja-JP"/>
              </w:rPr>
              <w:t>Lifetime No. of fills</w:t>
            </w:r>
          </w:p>
          <w:p w14:paraId="68D648A7" w14:textId="77777777" w:rsidR="00D34C08" w:rsidRPr="007B6022" w:rsidRDefault="00D34C08" w:rsidP="00F379E2">
            <w:pPr>
              <w:suppressAutoHyphens w:val="0"/>
              <w:spacing w:before="80" w:after="80" w:line="200" w:lineRule="exact"/>
              <w:jc w:val="right"/>
              <w:rPr>
                <w:rFonts w:eastAsia="MS PGothic"/>
                <w:i/>
                <w:sz w:val="16"/>
                <w:lang w:eastAsia="ja-JP"/>
              </w:rPr>
            </w:pPr>
            <w:r w:rsidRPr="007B6022">
              <w:rPr>
                <w:rFonts w:eastAsia="MS PGothic"/>
                <w:bCs/>
                <w:i/>
                <w:sz w:val="16"/>
                <w:lang w:eastAsia="ja-JP"/>
              </w:rPr>
              <w:t>(</w:t>
            </w:r>
            <w:r w:rsidRPr="007B6022">
              <w:rPr>
                <w:i/>
                <w:sz w:val="16"/>
              </w:rPr>
              <w:t>"</w:t>
            </w:r>
            <w:r w:rsidRPr="007B6022">
              <w:rPr>
                <w:rFonts w:eastAsia="MS PGothic"/>
                <w:bCs/>
                <w:i/>
                <w:sz w:val="16"/>
                <w:lang w:eastAsia="ja-JP"/>
              </w:rPr>
              <w:t>pressure test cycles</w:t>
            </w:r>
            <w:r w:rsidRPr="007B6022">
              <w:rPr>
                <w:i/>
                <w:sz w:val="16"/>
              </w:rPr>
              <w:t>"</w:t>
            </w:r>
            <w:r w:rsidRPr="007B6022">
              <w:rPr>
                <w:rFonts w:eastAsia="MS PGothic"/>
                <w:bCs/>
                <w:i/>
                <w:sz w:val="16"/>
                <w:lang w:eastAsia="ja-JP"/>
              </w:rPr>
              <w:t>)</w:t>
            </w:r>
          </w:p>
        </w:tc>
        <w:tc>
          <w:tcPr>
            <w:tcW w:w="1954" w:type="dxa"/>
            <w:tcBorders>
              <w:top w:val="single" w:sz="4" w:space="0" w:color="auto"/>
              <w:bottom w:val="single" w:sz="12" w:space="0" w:color="auto"/>
            </w:tcBorders>
            <w:shd w:val="clear" w:color="auto" w:fill="auto"/>
            <w:vAlign w:val="bottom"/>
          </w:tcPr>
          <w:p w14:paraId="7FAE2EA4" w14:textId="77777777" w:rsidR="00D34C08" w:rsidRPr="007B6022" w:rsidRDefault="00D34C08" w:rsidP="00F379E2">
            <w:pPr>
              <w:suppressAutoHyphens w:val="0"/>
              <w:spacing w:before="80" w:after="80" w:line="200" w:lineRule="exact"/>
              <w:jc w:val="right"/>
              <w:rPr>
                <w:rFonts w:eastAsia="MS PGothic"/>
                <w:bCs/>
                <w:i/>
                <w:sz w:val="16"/>
                <w:lang w:eastAsia="ja-JP"/>
              </w:rPr>
            </w:pPr>
            <w:r w:rsidRPr="007B6022">
              <w:rPr>
                <w:rFonts w:eastAsia="MS PGothic"/>
                <w:bCs/>
                <w:i/>
                <w:sz w:val="16"/>
                <w:lang w:eastAsia="ja-JP"/>
              </w:rPr>
              <w:t>Ref: UN GTR13 Phase 2 Proposal</w:t>
            </w:r>
          </w:p>
        </w:tc>
      </w:tr>
      <w:tr w:rsidR="00D34C08" w:rsidRPr="000264B4" w14:paraId="5FC2F9E7" w14:textId="77777777" w:rsidTr="00F379E2">
        <w:tc>
          <w:tcPr>
            <w:tcW w:w="1262" w:type="dxa"/>
            <w:tcBorders>
              <w:top w:val="single" w:sz="12" w:space="0" w:color="auto"/>
            </w:tcBorders>
            <w:shd w:val="clear" w:color="auto" w:fill="auto"/>
            <w:tcMar>
              <w:top w:w="72" w:type="dxa"/>
              <w:left w:w="144" w:type="dxa"/>
              <w:bottom w:w="72" w:type="dxa"/>
              <w:right w:w="144" w:type="dxa"/>
            </w:tcMar>
            <w:hideMark/>
          </w:tcPr>
          <w:p w14:paraId="36BFBF5E" w14:textId="77777777" w:rsidR="00D34C08" w:rsidRPr="000264B4" w:rsidRDefault="00D34C08" w:rsidP="00F379E2">
            <w:pPr>
              <w:suppressAutoHyphens w:val="0"/>
              <w:spacing w:before="40" w:after="40" w:line="220" w:lineRule="exact"/>
              <w:rPr>
                <w:rFonts w:eastAsia="MS PGothic"/>
                <w:bCs/>
                <w:sz w:val="18"/>
                <w:lang w:eastAsia="ja-JP"/>
              </w:rPr>
            </w:pPr>
            <w:r w:rsidRPr="000264B4">
              <w:rPr>
                <w:rFonts w:eastAsia="MS PGothic"/>
                <w:bCs/>
                <w:sz w:val="18"/>
                <w:lang w:eastAsia="ja-JP"/>
              </w:rPr>
              <w:t>HD Commercial</w:t>
            </w:r>
          </w:p>
        </w:tc>
        <w:tc>
          <w:tcPr>
            <w:tcW w:w="1019" w:type="dxa"/>
            <w:tcBorders>
              <w:top w:val="single" w:sz="12" w:space="0" w:color="auto"/>
            </w:tcBorders>
            <w:shd w:val="clear" w:color="auto" w:fill="auto"/>
            <w:tcMar>
              <w:top w:w="72" w:type="dxa"/>
              <w:left w:w="144" w:type="dxa"/>
              <w:bottom w:w="72" w:type="dxa"/>
              <w:right w:w="144" w:type="dxa"/>
            </w:tcMar>
            <w:vAlign w:val="bottom"/>
            <w:hideMark/>
          </w:tcPr>
          <w:p w14:paraId="751D4D37"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 xml:space="preserve">15 </w:t>
            </w:r>
            <w:proofErr w:type="spellStart"/>
            <w:r w:rsidRPr="000264B4">
              <w:rPr>
                <w:rFonts w:eastAsia="MS PGothic"/>
                <w:bCs/>
                <w:sz w:val="18"/>
                <w:lang w:eastAsia="ja-JP"/>
              </w:rPr>
              <w:t>yrs</w:t>
            </w:r>
            <w:proofErr w:type="spellEnd"/>
          </w:p>
          <w:p w14:paraId="00282F8B"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 xml:space="preserve">20 </w:t>
            </w:r>
            <w:proofErr w:type="spellStart"/>
            <w:r w:rsidRPr="000264B4">
              <w:rPr>
                <w:rFonts w:eastAsia="MS PGothic"/>
                <w:bCs/>
                <w:sz w:val="18"/>
                <w:lang w:eastAsia="ja-JP"/>
              </w:rPr>
              <w:t>yrs</w:t>
            </w:r>
            <w:proofErr w:type="spellEnd"/>
          </w:p>
          <w:p w14:paraId="20B4A504"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 xml:space="preserve">25 </w:t>
            </w:r>
            <w:proofErr w:type="spellStart"/>
            <w:r w:rsidRPr="000264B4">
              <w:rPr>
                <w:rFonts w:eastAsia="MS PGothic"/>
                <w:bCs/>
                <w:sz w:val="18"/>
                <w:lang w:eastAsia="ja-JP"/>
              </w:rPr>
              <w:t>yrs</w:t>
            </w:r>
            <w:proofErr w:type="spellEnd"/>
          </w:p>
        </w:tc>
        <w:tc>
          <w:tcPr>
            <w:tcW w:w="1384" w:type="dxa"/>
            <w:tcBorders>
              <w:top w:val="single" w:sz="12" w:space="0" w:color="auto"/>
            </w:tcBorders>
            <w:shd w:val="clear" w:color="auto" w:fill="auto"/>
            <w:tcMar>
              <w:top w:w="72" w:type="dxa"/>
              <w:left w:w="144" w:type="dxa"/>
              <w:bottom w:w="72" w:type="dxa"/>
              <w:right w:w="144" w:type="dxa"/>
            </w:tcMar>
            <w:vAlign w:val="bottom"/>
            <w:hideMark/>
          </w:tcPr>
          <w:p w14:paraId="4D2B42CD"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w:t>
            </w:r>
          </w:p>
          <w:p w14:paraId="0FAE8B1E"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3,500,000 km</w:t>
            </w:r>
          </w:p>
          <w:p w14:paraId="361BACCE"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4,000,000 km</w:t>
            </w:r>
          </w:p>
        </w:tc>
        <w:tc>
          <w:tcPr>
            <w:tcW w:w="1751" w:type="dxa"/>
            <w:tcBorders>
              <w:top w:val="single" w:sz="12" w:space="0" w:color="auto"/>
            </w:tcBorders>
            <w:shd w:val="clear" w:color="auto" w:fill="auto"/>
            <w:tcMar>
              <w:top w:w="72" w:type="dxa"/>
              <w:left w:w="144" w:type="dxa"/>
              <w:bottom w:w="72" w:type="dxa"/>
              <w:right w:w="144" w:type="dxa"/>
            </w:tcMar>
            <w:vAlign w:val="bottom"/>
            <w:hideMark/>
          </w:tcPr>
          <w:p w14:paraId="5EC1296F"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w:t>
            </w:r>
          </w:p>
          <w:p w14:paraId="335F75EB"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8,450</w:t>
            </w:r>
          </w:p>
          <w:p w14:paraId="703B961B"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9,750</w:t>
            </w:r>
          </w:p>
        </w:tc>
        <w:tc>
          <w:tcPr>
            <w:tcW w:w="1954" w:type="dxa"/>
            <w:tcBorders>
              <w:top w:val="single" w:sz="12" w:space="0" w:color="auto"/>
            </w:tcBorders>
            <w:shd w:val="clear" w:color="auto" w:fill="auto"/>
            <w:vAlign w:val="bottom"/>
          </w:tcPr>
          <w:p w14:paraId="38FA6C91"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11,000</w:t>
            </w:r>
          </w:p>
          <w:p w14:paraId="7A23B9BC"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11,000</w:t>
            </w:r>
          </w:p>
          <w:p w14:paraId="479950F1"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11,000</w:t>
            </w:r>
          </w:p>
        </w:tc>
      </w:tr>
      <w:tr w:rsidR="00D34C08" w:rsidRPr="000264B4" w14:paraId="53D5C189" w14:textId="77777777" w:rsidTr="00F379E2">
        <w:tc>
          <w:tcPr>
            <w:tcW w:w="1262" w:type="dxa"/>
            <w:tcBorders>
              <w:bottom w:val="single" w:sz="12" w:space="0" w:color="auto"/>
            </w:tcBorders>
            <w:shd w:val="clear" w:color="auto" w:fill="auto"/>
            <w:tcMar>
              <w:top w:w="72" w:type="dxa"/>
              <w:left w:w="144" w:type="dxa"/>
              <w:bottom w:w="72" w:type="dxa"/>
              <w:right w:w="144" w:type="dxa"/>
            </w:tcMar>
            <w:hideMark/>
          </w:tcPr>
          <w:p w14:paraId="55F9F047" w14:textId="77777777" w:rsidR="00D34C08" w:rsidRPr="000264B4" w:rsidRDefault="00D34C08" w:rsidP="00F379E2">
            <w:pPr>
              <w:suppressAutoHyphens w:val="0"/>
              <w:spacing w:before="40" w:after="40" w:line="220" w:lineRule="exact"/>
              <w:rPr>
                <w:rFonts w:eastAsia="MS PGothic"/>
                <w:bCs/>
                <w:sz w:val="18"/>
                <w:lang w:eastAsia="ja-JP"/>
              </w:rPr>
            </w:pPr>
            <w:r w:rsidRPr="000264B4">
              <w:rPr>
                <w:rFonts w:eastAsia="MS PGothic"/>
                <w:bCs/>
                <w:sz w:val="18"/>
                <w:lang w:eastAsia="ja-JP"/>
              </w:rPr>
              <w:t>LD Commercial</w:t>
            </w:r>
          </w:p>
        </w:tc>
        <w:tc>
          <w:tcPr>
            <w:tcW w:w="1019" w:type="dxa"/>
            <w:tcBorders>
              <w:bottom w:val="single" w:sz="12" w:space="0" w:color="auto"/>
            </w:tcBorders>
            <w:shd w:val="clear" w:color="auto" w:fill="auto"/>
            <w:tcMar>
              <w:top w:w="72" w:type="dxa"/>
              <w:left w:w="144" w:type="dxa"/>
              <w:bottom w:w="72" w:type="dxa"/>
              <w:right w:w="144" w:type="dxa"/>
            </w:tcMar>
            <w:vAlign w:val="bottom"/>
            <w:hideMark/>
          </w:tcPr>
          <w:p w14:paraId="7083BA11"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 xml:space="preserve">15 </w:t>
            </w:r>
            <w:proofErr w:type="spellStart"/>
            <w:r w:rsidRPr="000264B4">
              <w:rPr>
                <w:rFonts w:eastAsia="MS PGothic"/>
                <w:bCs/>
                <w:sz w:val="18"/>
                <w:lang w:eastAsia="ja-JP"/>
              </w:rPr>
              <w:t>yrs</w:t>
            </w:r>
            <w:proofErr w:type="spellEnd"/>
          </w:p>
          <w:p w14:paraId="08861C0F"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 xml:space="preserve">20 </w:t>
            </w:r>
            <w:proofErr w:type="spellStart"/>
            <w:r w:rsidRPr="000264B4">
              <w:rPr>
                <w:rFonts w:eastAsia="MS PGothic"/>
                <w:bCs/>
                <w:sz w:val="18"/>
                <w:lang w:eastAsia="ja-JP"/>
              </w:rPr>
              <w:t>yrs</w:t>
            </w:r>
            <w:proofErr w:type="spellEnd"/>
          </w:p>
          <w:p w14:paraId="1BEF24EC"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 xml:space="preserve">25 </w:t>
            </w:r>
            <w:proofErr w:type="spellStart"/>
            <w:r w:rsidRPr="000264B4">
              <w:rPr>
                <w:rFonts w:eastAsia="MS PGothic"/>
                <w:bCs/>
                <w:sz w:val="18"/>
                <w:lang w:eastAsia="ja-JP"/>
              </w:rPr>
              <w:t>yrs</w:t>
            </w:r>
            <w:proofErr w:type="spellEnd"/>
          </w:p>
        </w:tc>
        <w:tc>
          <w:tcPr>
            <w:tcW w:w="1384" w:type="dxa"/>
            <w:tcBorders>
              <w:bottom w:val="single" w:sz="12" w:space="0" w:color="auto"/>
            </w:tcBorders>
            <w:shd w:val="clear" w:color="auto" w:fill="auto"/>
            <w:tcMar>
              <w:top w:w="72" w:type="dxa"/>
              <w:left w:w="144" w:type="dxa"/>
              <w:bottom w:w="72" w:type="dxa"/>
              <w:right w:w="144" w:type="dxa"/>
            </w:tcMar>
            <w:vAlign w:val="bottom"/>
            <w:hideMark/>
          </w:tcPr>
          <w:p w14:paraId="4068316C"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w:t>
            </w:r>
          </w:p>
          <w:p w14:paraId="783CE535"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2,100,000 km</w:t>
            </w:r>
          </w:p>
          <w:p w14:paraId="53320E73"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2,400,000 km</w:t>
            </w:r>
          </w:p>
        </w:tc>
        <w:tc>
          <w:tcPr>
            <w:tcW w:w="1751" w:type="dxa"/>
            <w:tcBorders>
              <w:bottom w:val="single" w:sz="12" w:space="0" w:color="auto"/>
            </w:tcBorders>
            <w:shd w:val="clear" w:color="auto" w:fill="auto"/>
            <w:tcMar>
              <w:top w:w="72" w:type="dxa"/>
              <w:left w:w="144" w:type="dxa"/>
              <w:bottom w:w="72" w:type="dxa"/>
              <w:right w:w="144" w:type="dxa"/>
            </w:tcMar>
            <w:vAlign w:val="bottom"/>
            <w:hideMark/>
          </w:tcPr>
          <w:p w14:paraId="426136B5"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w:t>
            </w:r>
          </w:p>
          <w:p w14:paraId="267C8AEF"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6,560</w:t>
            </w:r>
          </w:p>
          <w:p w14:paraId="12EAA9C0"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7,440</w:t>
            </w:r>
          </w:p>
        </w:tc>
        <w:tc>
          <w:tcPr>
            <w:tcW w:w="1954" w:type="dxa"/>
            <w:tcBorders>
              <w:bottom w:val="single" w:sz="12" w:space="0" w:color="auto"/>
            </w:tcBorders>
            <w:shd w:val="clear" w:color="auto" w:fill="auto"/>
            <w:vAlign w:val="bottom"/>
          </w:tcPr>
          <w:p w14:paraId="4F7EE3B2" w14:textId="77777777" w:rsidR="00D34C08" w:rsidRPr="000264B4" w:rsidRDefault="00D34C08" w:rsidP="00F379E2">
            <w:pPr>
              <w:suppressAutoHyphens w:val="0"/>
              <w:spacing w:before="40" w:after="40" w:line="220" w:lineRule="exact"/>
              <w:jc w:val="right"/>
              <w:rPr>
                <w:rFonts w:eastAsia="MS PGothic"/>
                <w:bCs/>
                <w:sz w:val="18"/>
                <w:lang w:eastAsia="ja-JP"/>
              </w:rPr>
            </w:pPr>
            <w:r w:rsidRPr="0075696C">
              <w:rPr>
                <w:rFonts w:eastAsia="MS PGothic"/>
                <w:bCs/>
                <w:strike/>
                <w:color w:val="FF0000"/>
                <w:sz w:val="18"/>
                <w:lang w:eastAsia="ja-JP"/>
              </w:rPr>
              <w:t>5,500,</w:t>
            </w:r>
            <w:r w:rsidRPr="0075696C">
              <w:rPr>
                <w:rFonts w:eastAsia="MS PGothic"/>
                <w:bCs/>
                <w:color w:val="FF0000"/>
                <w:sz w:val="18"/>
                <w:lang w:eastAsia="ja-JP"/>
              </w:rPr>
              <w:t xml:space="preserve"> </w:t>
            </w:r>
            <w:r w:rsidRPr="000264B4">
              <w:rPr>
                <w:rFonts w:eastAsia="MS PGothic"/>
                <w:bCs/>
                <w:sz w:val="18"/>
                <w:lang w:eastAsia="ja-JP"/>
              </w:rPr>
              <w:t>7,500 or 11,000</w:t>
            </w:r>
          </w:p>
          <w:p w14:paraId="51F1FF4D"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11,000</w:t>
            </w:r>
          </w:p>
          <w:p w14:paraId="4BDC0C6E" w14:textId="77777777" w:rsidR="00D34C08" w:rsidRPr="000264B4" w:rsidRDefault="00D34C08" w:rsidP="00F379E2">
            <w:pPr>
              <w:suppressAutoHyphens w:val="0"/>
              <w:spacing w:before="40" w:after="40" w:line="220" w:lineRule="exact"/>
              <w:jc w:val="right"/>
              <w:rPr>
                <w:rFonts w:eastAsia="MS PGothic"/>
                <w:bCs/>
                <w:sz w:val="18"/>
                <w:lang w:eastAsia="ja-JP"/>
              </w:rPr>
            </w:pPr>
            <w:r w:rsidRPr="000264B4">
              <w:rPr>
                <w:rFonts w:eastAsia="MS PGothic"/>
                <w:bCs/>
                <w:sz w:val="18"/>
                <w:lang w:eastAsia="ja-JP"/>
              </w:rPr>
              <w:t>11,000</w:t>
            </w:r>
          </w:p>
        </w:tc>
      </w:tr>
    </w:tbl>
    <w:p w14:paraId="4A6E7BFC" w14:textId="77777777" w:rsidR="00D34C08" w:rsidRPr="00016E4D" w:rsidRDefault="00D34C08" w:rsidP="00D34C08">
      <w:pPr>
        <w:spacing w:after="120"/>
        <w:ind w:left="2268" w:right="1134" w:hanging="1134"/>
        <w:jc w:val="both"/>
        <w:rPr>
          <w:bCs/>
          <w:iCs/>
        </w:rPr>
      </w:pPr>
      <w:r w:rsidRPr="00016E4D">
        <w:rPr>
          <w:iCs/>
        </w:rPr>
        <w:t>"</w:t>
      </w:r>
    </w:p>
    <w:p w14:paraId="0B975CE0" w14:textId="77777777" w:rsidR="00D34C08" w:rsidRDefault="00D34C08" w:rsidP="00D34C08">
      <w:pPr>
        <w:spacing w:after="120"/>
        <w:ind w:left="2268" w:right="1134" w:hanging="1134"/>
        <w:jc w:val="both"/>
        <w:rPr>
          <w:bCs/>
        </w:rPr>
      </w:pPr>
      <w:r w:rsidRPr="00A14E98">
        <w:rPr>
          <w:bCs/>
        </w:rPr>
        <w:t>[</w:t>
      </w:r>
      <w:r>
        <w:rPr>
          <w:bCs/>
        </w:rPr>
        <w:t>Correction to reflect the requirements in Part 2, paragraph 5.1.1.2</w:t>
      </w:r>
      <w:r w:rsidRPr="00A14E98">
        <w:rPr>
          <w:bCs/>
        </w:rPr>
        <w:t>.]</w:t>
      </w:r>
    </w:p>
    <w:p w14:paraId="48D2A72F" w14:textId="77777777" w:rsidR="00D34C08" w:rsidRDefault="00D34C08" w:rsidP="00D34C08">
      <w:pPr>
        <w:spacing w:after="120"/>
        <w:ind w:left="2268" w:right="1134" w:hanging="1134"/>
        <w:jc w:val="both"/>
        <w:rPr>
          <w:i/>
        </w:rPr>
      </w:pPr>
    </w:p>
    <w:p w14:paraId="4CFE3695" w14:textId="58C95387" w:rsidR="00D34C08" w:rsidRPr="008C5CE0" w:rsidRDefault="005A7FF1" w:rsidP="00D34C08">
      <w:pPr>
        <w:spacing w:after="120"/>
        <w:ind w:left="2268" w:right="1134" w:hanging="1134"/>
        <w:jc w:val="both"/>
      </w:pPr>
      <w:r>
        <w:rPr>
          <w:iCs/>
        </w:rPr>
        <w:t xml:space="preserve">C. </w:t>
      </w:r>
      <w:r w:rsidR="00D34C08">
        <w:rPr>
          <w:i/>
        </w:rPr>
        <w:t xml:space="preserve">Part 1, Paragraph 90., </w:t>
      </w:r>
      <w:r w:rsidR="00D34C08" w:rsidRPr="00D33775">
        <w:rPr>
          <w:iCs/>
        </w:rPr>
        <w:t xml:space="preserve">amend </w:t>
      </w:r>
      <w:r w:rsidR="00D34C08" w:rsidRPr="008C5CE0">
        <w:t>to read:</w:t>
      </w:r>
    </w:p>
    <w:p w14:paraId="4F80CF6A" w14:textId="77777777" w:rsidR="00D34C08" w:rsidRDefault="00D34C08" w:rsidP="00D34C08">
      <w:pPr>
        <w:spacing w:after="120"/>
        <w:ind w:left="2268" w:right="1134" w:hanging="1134"/>
        <w:jc w:val="both"/>
        <w:rPr>
          <w:i/>
        </w:rPr>
      </w:pPr>
      <w:r w:rsidRPr="00016E4D">
        <w:rPr>
          <w:i/>
        </w:rPr>
        <w:t>"</w:t>
      </w:r>
      <w:r>
        <w:rPr>
          <w:i/>
        </w:rPr>
        <w:t xml:space="preserve"> </w:t>
      </w:r>
      <w:r>
        <w:t xml:space="preserve">90.  Experience conducting container fire tests has found that the temperature on the side of the cylinder opposing the intended fire exposure also needs to </w:t>
      </w:r>
      <w:r w:rsidRPr="00016E4D">
        <w:rPr>
          <w:color w:val="FF0000"/>
        </w:rPr>
        <w:t>be</w:t>
      </w:r>
      <w:r>
        <w:t xml:space="preserve"> controlled to minimize site-to-site test variations…”</w:t>
      </w:r>
    </w:p>
    <w:p w14:paraId="1BA1F4D2" w14:textId="77777777" w:rsidR="00D34C08" w:rsidRPr="00016E4D" w:rsidRDefault="00D34C08" w:rsidP="00D34C08">
      <w:pPr>
        <w:spacing w:after="120"/>
        <w:ind w:left="2268" w:right="1134" w:hanging="1134"/>
        <w:jc w:val="both"/>
        <w:rPr>
          <w:bCs/>
          <w:iCs/>
        </w:rPr>
      </w:pPr>
      <w:r w:rsidRPr="00016E4D">
        <w:rPr>
          <w:iCs/>
        </w:rPr>
        <w:t>"</w:t>
      </w:r>
    </w:p>
    <w:p w14:paraId="2F39D190" w14:textId="77777777" w:rsidR="00D34C08" w:rsidRDefault="00D34C08" w:rsidP="00D34C08">
      <w:pPr>
        <w:spacing w:after="120"/>
        <w:ind w:left="2268" w:right="1134" w:hanging="1134"/>
        <w:jc w:val="both"/>
        <w:rPr>
          <w:bCs/>
        </w:rPr>
      </w:pPr>
      <w:r w:rsidRPr="00A14E98">
        <w:rPr>
          <w:bCs/>
        </w:rPr>
        <w:t>[</w:t>
      </w:r>
      <w:r>
        <w:rPr>
          <w:bCs/>
        </w:rPr>
        <w:t>Edited for clarity</w:t>
      </w:r>
      <w:r w:rsidRPr="00A14E98">
        <w:rPr>
          <w:bCs/>
        </w:rPr>
        <w:t>.]</w:t>
      </w:r>
    </w:p>
    <w:p w14:paraId="5878FC7B" w14:textId="05BFF53A" w:rsidR="00D34C08" w:rsidRDefault="00D34C08" w:rsidP="00C14057">
      <w:pPr>
        <w:spacing w:after="120"/>
        <w:ind w:left="2268" w:right="1134" w:hanging="1134"/>
        <w:jc w:val="both"/>
        <w:rPr>
          <w:i/>
        </w:rPr>
      </w:pPr>
    </w:p>
    <w:p w14:paraId="23189766" w14:textId="6CF08F58" w:rsidR="00D34C08" w:rsidRPr="008C5CE0" w:rsidRDefault="005A7FF1" w:rsidP="00D34C08">
      <w:pPr>
        <w:spacing w:after="120"/>
        <w:ind w:left="2268" w:right="1134" w:hanging="1134"/>
        <w:jc w:val="both"/>
      </w:pPr>
      <w:r>
        <w:rPr>
          <w:iCs/>
        </w:rPr>
        <w:t xml:space="preserve">D. </w:t>
      </w:r>
      <w:r w:rsidR="00D34C08">
        <w:rPr>
          <w:i/>
        </w:rPr>
        <w:t xml:space="preserve">Part 1, Paragraph </w:t>
      </w:r>
      <w:proofErr w:type="gramStart"/>
      <w:r w:rsidR="00D34C08">
        <w:rPr>
          <w:i/>
        </w:rPr>
        <w:t>110.(</w:t>
      </w:r>
      <w:proofErr w:type="gramEnd"/>
      <w:r w:rsidR="00D34C08">
        <w:rPr>
          <w:i/>
        </w:rPr>
        <w:t xml:space="preserve">c), </w:t>
      </w:r>
      <w:r w:rsidR="00D34C08" w:rsidRPr="00D33775">
        <w:rPr>
          <w:iCs/>
        </w:rPr>
        <w:t xml:space="preserve">amend </w:t>
      </w:r>
      <w:r w:rsidR="00D34C08" w:rsidRPr="008C5CE0">
        <w:t>to read:</w:t>
      </w:r>
    </w:p>
    <w:p w14:paraId="0174E9AB" w14:textId="465CCCEF" w:rsidR="00D34C08" w:rsidRDefault="00D34C08" w:rsidP="00D34C08">
      <w:pPr>
        <w:spacing w:after="120"/>
        <w:ind w:left="2268" w:right="1134" w:hanging="1134"/>
        <w:jc w:val="both"/>
      </w:pPr>
      <w:r w:rsidRPr="008C5CE0">
        <w:rPr>
          <w:bCs/>
        </w:rPr>
        <w:lastRenderedPageBreak/>
        <w:t>"</w:t>
      </w:r>
      <w:r w:rsidR="005A7FF1">
        <w:t xml:space="preserve">…Additionally, as discussed in </w:t>
      </w:r>
      <w:r w:rsidR="005A7FF1" w:rsidRPr="00016E4D">
        <w:rPr>
          <w:strike/>
        </w:rPr>
        <w:t>Item 1</w:t>
      </w:r>
      <w:r w:rsidR="005A7FF1">
        <w:t xml:space="preserve"> </w:t>
      </w:r>
      <w:r w:rsidR="005A7FF1" w:rsidRPr="0019196D">
        <w:rPr>
          <w:color w:val="FF0000"/>
        </w:rPr>
        <w:t>(</w:t>
      </w:r>
      <w:r w:rsidR="005A7FF1">
        <w:rPr>
          <w:color w:val="FF0000"/>
        </w:rPr>
        <w:t>a</w:t>
      </w:r>
      <w:r w:rsidR="005A7FF1" w:rsidRPr="0019196D">
        <w:rPr>
          <w:color w:val="FF0000"/>
        </w:rPr>
        <w:t>)</w:t>
      </w:r>
      <w:r w:rsidR="005A7FF1">
        <w:rPr>
          <w:color w:val="FF0000"/>
        </w:rPr>
        <w:t xml:space="preserve"> </w:t>
      </w:r>
      <w:r w:rsidR="005A7FF1">
        <w:t>above and illustrated in case 2 of Figure 29, the extension of the engulfing burner should be turned…</w:t>
      </w:r>
      <w:r>
        <w:t xml:space="preserve">See </w:t>
      </w:r>
      <w:r w:rsidRPr="0019196D">
        <w:rPr>
          <w:strike/>
        </w:rPr>
        <w:t>item 1</w:t>
      </w:r>
      <w:r>
        <w:t xml:space="preserve"> </w:t>
      </w:r>
      <w:r w:rsidRPr="0019196D">
        <w:rPr>
          <w:color w:val="FF0000"/>
        </w:rPr>
        <w:t>(</w:t>
      </w:r>
      <w:r>
        <w:rPr>
          <w:color w:val="FF0000"/>
        </w:rPr>
        <w:t>a</w:t>
      </w:r>
      <w:r w:rsidRPr="0019196D">
        <w:rPr>
          <w:color w:val="FF0000"/>
        </w:rPr>
        <w:t>)</w:t>
      </w:r>
      <w:r>
        <w:rPr>
          <w:color w:val="FF0000"/>
        </w:rPr>
        <w:t xml:space="preserve"> </w:t>
      </w:r>
      <w:r>
        <w:t>above and the case 2 in Figure 29</w:t>
      </w:r>
    </w:p>
    <w:p w14:paraId="7D34EEC7" w14:textId="77777777" w:rsidR="00D34C08" w:rsidRDefault="00D34C08" w:rsidP="00D34C08">
      <w:pPr>
        <w:spacing w:after="120"/>
        <w:ind w:left="2268" w:right="1134" w:hanging="1134"/>
        <w:jc w:val="both"/>
        <w:rPr>
          <w:bCs/>
        </w:rPr>
      </w:pPr>
      <w:r w:rsidRPr="008C5CE0">
        <w:rPr>
          <w:bCs/>
        </w:rPr>
        <w:t>"</w:t>
      </w:r>
    </w:p>
    <w:p w14:paraId="72B94832" w14:textId="77777777" w:rsidR="00D34C08" w:rsidRDefault="00D34C08" w:rsidP="00D34C08">
      <w:pPr>
        <w:spacing w:after="120"/>
        <w:ind w:left="2268" w:right="1134" w:hanging="1134"/>
        <w:jc w:val="both"/>
        <w:rPr>
          <w:bCs/>
        </w:rPr>
      </w:pPr>
      <w:r w:rsidRPr="00A14E98">
        <w:rPr>
          <w:bCs/>
        </w:rPr>
        <w:t>[</w:t>
      </w:r>
      <w:r>
        <w:rPr>
          <w:bCs/>
        </w:rPr>
        <w:t>Corrected references</w:t>
      </w:r>
      <w:r w:rsidRPr="00A14E98">
        <w:rPr>
          <w:bCs/>
        </w:rPr>
        <w:t>.]</w:t>
      </w:r>
    </w:p>
    <w:p w14:paraId="705CD7FB" w14:textId="77777777" w:rsidR="00D34C08" w:rsidRDefault="00D34C08" w:rsidP="00D34C08">
      <w:pPr>
        <w:spacing w:after="120"/>
        <w:ind w:left="2268" w:right="1134" w:hanging="1134"/>
        <w:jc w:val="both"/>
        <w:rPr>
          <w:i/>
        </w:rPr>
      </w:pPr>
    </w:p>
    <w:p w14:paraId="5CD48C5D" w14:textId="1EE6703A" w:rsidR="00D34C08" w:rsidRPr="008C5CE0" w:rsidRDefault="00727574" w:rsidP="00D34C08">
      <w:pPr>
        <w:spacing w:after="120"/>
        <w:ind w:left="2268" w:right="1134" w:hanging="1134"/>
        <w:jc w:val="both"/>
      </w:pPr>
      <w:r>
        <w:rPr>
          <w:iCs/>
        </w:rPr>
        <w:t xml:space="preserve">E. </w:t>
      </w:r>
      <w:r w:rsidR="00D34C08">
        <w:rPr>
          <w:i/>
        </w:rPr>
        <w:t xml:space="preserve">Paragraph 5.2.1.3.1, </w:t>
      </w:r>
      <w:r w:rsidR="00D34C08" w:rsidRPr="00D33775">
        <w:rPr>
          <w:iCs/>
        </w:rPr>
        <w:t xml:space="preserve">amend </w:t>
      </w:r>
      <w:r w:rsidR="00D34C08" w:rsidRPr="008C5CE0">
        <w:t>to read:</w:t>
      </w:r>
    </w:p>
    <w:p w14:paraId="6119A433" w14:textId="77777777" w:rsidR="00D34C08" w:rsidRDefault="00D34C08" w:rsidP="00D34C08">
      <w:pPr>
        <w:ind w:left="1134"/>
      </w:pPr>
      <w:r w:rsidRPr="008C5CE0">
        <w:rPr>
          <w:bCs/>
        </w:rPr>
        <w:t>"</w:t>
      </w:r>
      <w:r>
        <w:t>5.2.1.3.1.       Pressure relief systems (para. 6.1.6. test procedure)</w:t>
      </w:r>
    </w:p>
    <w:p w14:paraId="2FBD1F41" w14:textId="77777777" w:rsidR="00D34C08" w:rsidRDefault="00D34C08" w:rsidP="00D34C08">
      <w:pPr>
        <w:spacing w:after="120"/>
        <w:ind w:left="3402" w:right="1134" w:hanging="1134"/>
        <w:jc w:val="both"/>
        <w:rPr>
          <w:bCs/>
        </w:rPr>
      </w:pPr>
      <w:r w:rsidRPr="007B6022">
        <w:t>(b)</w:t>
      </w:r>
      <w:r w:rsidRPr="007B6022">
        <w:tab/>
      </w:r>
      <w:r w:rsidRPr="007B6022">
        <w:rPr>
          <w:strike/>
        </w:rPr>
        <w:t xml:space="preserve">Storage system TPRDs. </w:t>
      </w:r>
      <w:r w:rsidRPr="007B6022">
        <w:rPr>
          <w:b/>
          <w:bCs/>
        </w:rPr>
        <w:t xml:space="preserve"> </w:t>
      </w:r>
      <w:r w:rsidRPr="007B6022">
        <w:t xml:space="preserve">The hydrogen gas discharge from TPRD(s) of the </w:t>
      </w:r>
      <w:r w:rsidRPr="007B6022">
        <w:rPr>
          <w:rFonts w:eastAsia="MS Gothic" w:cs="Arial"/>
          <w:b/>
          <w:bCs/>
        </w:rPr>
        <w:t>CHSS</w:t>
      </w:r>
      <w:r w:rsidRPr="007B6022">
        <w:rPr>
          <w:strike/>
        </w:rPr>
        <w:t xml:space="preserve"> storage system</w:t>
      </w:r>
      <w:r w:rsidRPr="007B6022">
        <w:t xml:space="preserve"> shall </w:t>
      </w:r>
      <w:r w:rsidRPr="0075696C">
        <w:rPr>
          <w:strike/>
          <w:color w:val="FF0000"/>
        </w:rPr>
        <w:t>not</w:t>
      </w:r>
      <w:r w:rsidRPr="007B6022">
        <w:t xml:space="preserve"> be directed</w:t>
      </w:r>
      <w:r w:rsidRPr="007B6022">
        <w:rPr>
          <w:bCs/>
          <w:color w:val="4F81BD" w:themeColor="accent1"/>
        </w:rPr>
        <w:t xml:space="preserve"> </w:t>
      </w:r>
      <w:r w:rsidRPr="007B6022">
        <w:rPr>
          <w:b/>
          <w:bCs/>
        </w:rPr>
        <w:t>such that the hydrogen exhaust does not impinge upon</w:t>
      </w:r>
      <w:r w:rsidRPr="007B6022">
        <w:t>:</w:t>
      </w:r>
      <w:r w:rsidRPr="00692B1D">
        <w:rPr>
          <w:bCs/>
        </w:rPr>
        <w:t xml:space="preserve"> </w:t>
      </w:r>
    </w:p>
    <w:p w14:paraId="0564DB95" w14:textId="77777777" w:rsidR="00D34C08" w:rsidRPr="00C14057" w:rsidRDefault="00D34C08" w:rsidP="00D34C08">
      <w:pPr>
        <w:spacing w:after="120"/>
        <w:ind w:left="567" w:right="1134" w:firstLine="567"/>
        <w:jc w:val="both"/>
        <w:rPr>
          <w:iCs/>
        </w:rPr>
      </w:pPr>
      <w:r w:rsidRPr="008C5CE0">
        <w:rPr>
          <w:bCs/>
        </w:rPr>
        <w:t>"</w:t>
      </w:r>
    </w:p>
    <w:p w14:paraId="094883E0" w14:textId="77777777" w:rsidR="00D34C08" w:rsidRPr="00A14E98" w:rsidRDefault="00D34C08" w:rsidP="00D34C08">
      <w:pPr>
        <w:spacing w:after="120"/>
        <w:ind w:left="2268" w:right="1134" w:hanging="1134"/>
        <w:jc w:val="both"/>
      </w:pPr>
      <w:r w:rsidRPr="00A14E98">
        <w:rPr>
          <w:bCs/>
        </w:rPr>
        <w:t>[</w:t>
      </w:r>
      <w:r>
        <w:rPr>
          <w:bCs/>
        </w:rPr>
        <w:t>Change in syntax to avoid “double negative</w:t>
      </w:r>
      <w:r w:rsidRPr="00A14E98">
        <w:rPr>
          <w:bCs/>
        </w:rPr>
        <w:t>.</w:t>
      </w:r>
      <w:r>
        <w:rPr>
          <w:bCs/>
        </w:rPr>
        <w:t>”</w:t>
      </w:r>
      <w:r w:rsidRPr="00A14E98">
        <w:rPr>
          <w:bCs/>
        </w:rPr>
        <w:t>]</w:t>
      </w:r>
    </w:p>
    <w:p w14:paraId="3DF7EA50" w14:textId="77777777" w:rsidR="00D34C08" w:rsidRDefault="00D34C08" w:rsidP="00D34C08">
      <w:pPr>
        <w:spacing w:after="120"/>
        <w:ind w:left="2268" w:right="1134" w:hanging="1134"/>
        <w:jc w:val="both"/>
        <w:rPr>
          <w:i/>
        </w:rPr>
      </w:pPr>
    </w:p>
    <w:p w14:paraId="6EE9F56B" w14:textId="195A95B8" w:rsidR="00D34C08" w:rsidRPr="008C5CE0" w:rsidRDefault="00727574" w:rsidP="00D34C08">
      <w:pPr>
        <w:spacing w:after="120"/>
        <w:ind w:left="2268" w:right="1134" w:hanging="1134"/>
        <w:jc w:val="both"/>
      </w:pPr>
      <w:r>
        <w:rPr>
          <w:iCs/>
        </w:rPr>
        <w:t xml:space="preserve">F. </w:t>
      </w:r>
      <w:r w:rsidR="00D34C08">
        <w:rPr>
          <w:i/>
        </w:rPr>
        <w:t xml:space="preserve">Paragraph 6.2.5.3.2.1.(c), </w:t>
      </w:r>
      <w:r w:rsidR="00D34C08" w:rsidRPr="00D33775">
        <w:rPr>
          <w:iCs/>
        </w:rPr>
        <w:t xml:space="preserve">amend </w:t>
      </w:r>
      <w:r w:rsidR="00D34C08" w:rsidRPr="008C5CE0">
        <w:t>to read:</w:t>
      </w:r>
    </w:p>
    <w:p w14:paraId="2078EC08" w14:textId="77777777" w:rsidR="00D34C08" w:rsidRDefault="00D34C08" w:rsidP="00D34C08">
      <w:pPr>
        <w:spacing w:after="120"/>
        <w:ind w:left="2268" w:right="1134" w:hanging="1134"/>
        <w:jc w:val="both"/>
      </w:pPr>
      <w:r w:rsidRPr="008C5CE0">
        <w:rPr>
          <w:bCs/>
        </w:rPr>
        <w:t>"</w:t>
      </w:r>
      <w:r>
        <w:rPr>
          <w:bCs/>
        </w:rPr>
        <w:t xml:space="preserve"> </w:t>
      </w:r>
      <w:r>
        <w:t xml:space="preserve">(c) As illustrated in Figure </w:t>
      </w:r>
      <w:r w:rsidRPr="003A5075">
        <w:rPr>
          <w:strike/>
        </w:rPr>
        <w:t>8</w:t>
      </w:r>
      <w:r>
        <w:t xml:space="preserve"> </w:t>
      </w:r>
      <w:r w:rsidRPr="003A5075">
        <w:rPr>
          <w:color w:val="FF0000"/>
        </w:rPr>
        <w:t xml:space="preserve">9 </w:t>
      </w:r>
      <w:proofErr w:type="gramStart"/>
      <w:r>
        <w:t>below,…</w:t>
      </w:r>
      <w:proofErr w:type="gramEnd"/>
    </w:p>
    <w:p w14:paraId="5A03A095" w14:textId="77777777" w:rsidR="00D34C08" w:rsidRDefault="00D34C08" w:rsidP="00D34C08">
      <w:pPr>
        <w:spacing w:after="120"/>
        <w:ind w:left="2268" w:right="1134" w:hanging="1134"/>
        <w:jc w:val="both"/>
        <w:rPr>
          <w:bCs/>
        </w:rPr>
      </w:pPr>
      <w:r w:rsidRPr="008C5CE0">
        <w:rPr>
          <w:bCs/>
        </w:rPr>
        <w:t>"</w:t>
      </w:r>
    </w:p>
    <w:p w14:paraId="58345E60" w14:textId="77777777" w:rsidR="00D34C08" w:rsidRDefault="00D34C08" w:rsidP="00D34C08">
      <w:pPr>
        <w:spacing w:after="120"/>
        <w:ind w:left="2268" w:right="1134" w:hanging="1134"/>
        <w:jc w:val="both"/>
        <w:rPr>
          <w:bCs/>
        </w:rPr>
      </w:pPr>
      <w:r w:rsidRPr="00A14E98">
        <w:rPr>
          <w:bCs/>
        </w:rPr>
        <w:t>[</w:t>
      </w:r>
      <w:r>
        <w:rPr>
          <w:bCs/>
        </w:rPr>
        <w:t>Corrected reference</w:t>
      </w:r>
      <w:r w:rsidRPr="00A14E98">
        <w:rPr>
          <w:bCs/>
        </w:rPr>
        <w:t>.]</w:t>
      </w:r>
    </w:p>
    <w:p w14:paraId="14893604" w14:textId="77777777" w:rsidR="00D34C08" w:rsidRDefault="00D34C08" w:rsidP="00692B1D">
      <w:pPr>
        <w:spacing w:after="120"/>
        <w:ind w:left="2268" w:right="1134" w:hanging="1134"/>
        <w:jc w:val="both"/>
        <w:rPr>
          <w:i/>
        </w:rPr>
      </w:pPr>
    </w:p>
    <w:p w14:paraId="2F904BE7" w14:textId="50507EBA" w:rsidR="00D34C08" w:rsidRPr="008C5CE0" w:rsidRDefault="00727574" w:rsidP="00D34C08">
      <w:pPr>
        <w:spacing w:after="120"/>
        <w:ind w:left="2268" w:right="1134" w:hanging="1134"/>
        <w:jc w:val="both"/>
      </w:pPr>
      <w:r>
        <w:rPr>
          <w:iCs/>
        </w:rPr>
        <w:t xml:space="preserve">G. </w:t>
      </w:r>
      <w:r w:rsidR="00D34C08">
        <w:rPr>
          <w:i/>
        </w:rPr>
        <w:t xml:space="preserve">Paragraph 6.2.5.4.5.5.(d)., </w:t>
      </w:r>
      <w:r w:rsidR="00D34C08" w:rsidRPr="00D33775">
        <w:rPr>
          <w:iCs/>
        </w:rPr>
        <w:t xml:space="preserve">amend </w:t>
      </w:r>
      <w:r w:rsidR="00D34C08" w:rsidRPr="008C5CE0">
        <w:t>to read:</w:t>
      </w:r>
    </w:p>
    <w:p w14:paraId="4DBC981C" w14:textId="77777777" w:rsidR="00D34C08" w:rsidRDefault="00D34C08" w:rsidP="00D34C08">
      <w:pPr>
        <w:spacing w:after="120"/>
        <w:ind w:left="2268" w:right="1134" w:hanging="1134"/>
        <w:jc w:val="both"/>
      </w:pPr>
      <w:r w:rsidRPr="008C5CE0">
        <w:rPr>
          <w:bCs/>
        </w:rPr>
        <w:t>"</w:t>
      </w:r>
      <w:r w:rsidRPr="0019196D">
        <w:t xml:space="preserve"> </w:t>
      </w:r>
      <w:r>
        <w:t xml:space="preserve">(d) If the burner monitors for both the localized and engulfing fire stages do not meet the minimum criteria (defined in paragraph 6.2.5.4.5.4.), then the height of the pre-test plate above the burner shall be increased by 50 mm and the process in steps </w:t>
      </w:r>
      <w:r w:rsidRPr="0019196D">
        <w:rPr>
          <w:color w:val="FF0000"/>
        </w:rPr>
        <w:t>(</w:t>
      </w:r>
      <w:r>
        <w:rPr>
          <w:color w:val="FF0000"/>
        </w:rPr>
        <w:t>b</w:t>
      </w:r>
      <w:r w:rsidRPr="0019196D">
        <w:rPr>
          <w:color w:val="FF0000"/>
        </w:rPr>
        <w:t>) and (</w:t>
      </w:r>
      <w:r>
        <w:rPr>
          <w:color w:val="FF0000"/>
        </w:rPr>
        <w:t>c</w:t>
      </w:r>
      <w:r w:rsidRPr="0019196D">
        <w:rPr>
          <w:color w:val="FF0000"/>
        </w:rPr>
        <w:t>)</w:t>
      </w:r>
      <w:r>
        <w:t xml:space="preserve"> </w:t>
      </w:r>
      <w:r w:rsidRPr="0019196D">
        <w:rPr>
          <w:strike/>
        </w:rPr>
        <w:t>2 and 3</w:t>
      </w:r>
      <w:r>
        <w:t xml:space="preserve"> are repeated until a satisfactory height </w:t>
      </w:r>
      <w:r w:rsidRPr="00E135BF">
        <w:rPr>
          <w:strike/>
        </w:rPr>
        <w:t>if</w:t>
      </w:r>
      <w:r>
        <w:t xml:space="preserve"> </w:t>
      </w:r>
      <w:r w:rsidRPr="00E135BF">
        <w:rPr>
          <w:color w:val="FF0000"/>
        </w:rPr>
        <w:t xml:space="preserve">is </w:t>
      </w:r>
      <w:r>
        <w:t xml:space="preserve">achieved. </w:t>
      </w:r>
    </w:p>
    <w:p w14:paraId="5724570B" w14:textId="77777777" w:rsidR="00D34C08" w:rsidRDefault="00D34C08" w:rsidP="00D34C08">
      <w:pPr>
        <w:spacing w:after="120"/>
        <w:ind w:left="2268" w:right="1134" w:hanging="1134"/>
        <w:jc w:val="both"/>
        <w:rPr>
          <w:bCs/>
        </w:rPr>
      </w:pPr>
      <w:r w:rsidRPr="008C5CE0">
        <w:rPr>
          <w:bCs/>
        </w:rPr>
        <w:t>"</w:t>
      </w:r>
    </w:p>
    <w:p w14:paraId="282C17EA" w14:textId="77777777" w:rsidR="00D34C08" w:rsidRPr="00A14E98" w:rsidRDefault="00D34C08" w:rsidP="00D34C08">
      <w:pPr>
        <w:spacing w:after="120"/>
        <w:ind w:left="2268" w:right="1134" w:hanging="1134"/>
        <w:jc w:val="both"/>
      </w:pPr>
      <w:r w:rsidRPr="00A14E98">
        <w:rPr>
          <w:bCs/>
        </w:rPr>
        <w:t>[</w:t>
      </w:r>
      <w:r>
        <w:rPr>
          <w:bCs/>
        </w:rPr>
        <w:t>Corrected references and typo</w:t>
      </w:r>
      <w:r w:rsidRPr="00A14E98">
        <w:rPr>
          <w:bCs/>
        </w:rPr>
        <w:t>.]</w:t>
      </w:r>
    </w:p>
    <w:p w14:paraId="3927D2EF" w14:textId="77777777" w:rsidR="00727574" w:rsidRDefault="00727574" w:rsidP="00727574">
      <w:pPr>
        <w:spacing w:after="120"/>
        <w:ind w:left="2268" w:right="1134" w:hanging="1134"/>
        <w:jc w:val="both"/>
        <w:rPr>
          <w:iCs/>
        </w:rPr>
      </w:pPr>
    </w:p>
    <w:p w14:paraId="4DDE6A34" w14:textId="6F7D68BB" w:rsidR="00727574" w:rsidRDefault="00727574" w:rsidP="00727574">
      <w:pPr>
        <w:spacing w:after="120"/>
        <w:ind w:left="2268" w:right="1134" w:hanging="1134"/>
        <w:jc w:val="both"/>
      </w:pPr>
      <w:r>
        <w:rPr>
          <w:iCs/>
        </w:rPr>
        <w:t xml:space="preserve">I. </w:t>
      </w:r>
      <w:r>
        <w:rPr>
          <w:i/>
        </w:rPr>
        <w:t xml:space="preserve">Paragraph 6.2.5.5.2., Note, </w:t>
      </w:r>
      <w:r w:rsidRPr="00D33775">
        <w:rPr>
          <w:iCs/>
        </w:rPr>
        <w:t xml:space="preserve">amend </w:t>
      </w:r>
      <w:r w:rsidRPr="008C5CE0">
        <w:t>to read:</w:t>
      </w:r>
    </w:p>
    <w:p w14:paraId="689D31AB" w14:textId="77777777" w:rsidR="00727574" w:rsidRDefault="00727574" w:rsidP="00727574">
      <w:pPr>
        <w:spacing w:after="120"/>
        <w:ind w:left="2268" w:right="1134" w:hanging="1134"/>
        <w:jc w:val="both"/>
        <w:rPr>
          <w:color w:val="FF0000"/>
        </w:rPr>
      </w:pPr>
      <w:r w:rsidRPr="00016E4D">
        <w:rPr>
          <w:iCs/>
        </w:rPr>
        <w:t>"</w:t>
      </w:r>
      <w:r>
        <w:t>NOTE: Examples of commonly-encountered situations for targeting the localized fire zone on the CHSS test article and positioning the engulfing fire zone under the CHSS test article are provided in the rationale (in Part I Section E</w:t>
      </w:r>
      <w:r w:rsidRPr="00EF7C46">
        <w:rPr>
          <w:strike/>
        </w:rPr>
        <w:t>(d))</w:t>
      </w:r>
      <w:r>
        <w:rPr>
          <w:strike/>
        </w:rPr>
        <w:t xml:space="preserve"> </w:t>
      </w:r>
      <w:r w:rsidRPr="00EF7C46">
        <w:rPr>
          <w:color w:val="FF0000"/>
        </w:rPr>
        <w:t>Figures 28 to 35)</w:t>
      </w:r>
    </w:p>
    <w:p w14:paraId="718752B9" w14:textId="77777777" w:rsidR="00727574" w:rsidRPr="00727574" w:rsidRDefault="00727574" w:rsidP="00727574">
      <w:pPr>
        <w:spacing w:after="120"/>
        <w:ind w:left="2268" w:right="1134" w:hanging="1134"/>
        <w:jc w:val="both"/>
        <w:rPr>
          <w:bCs/>
          <w:iCs/>
        </w:rPr>
      </w:pPr>
      <w:r w:rsidRPr="00016E4D">
        <w:rPr>
          <w:iCs/>
        </w:rPr>
        <w:t>"</w:t>
      </w:r>
    </w:p>
    <w:p w14:paraId="1725D618" w14:textId="77777777" w:rsidR="00727574" w:rsidRDefault="00727574" w:rsidP="00692B1D">
      <w:pPr>
        <w:spacing w:after="120"/>
        <w:ind w:left="2268" w:right="1134" w:hanging="1134"/>
        <w:jc w:val="both"/>
        <w:rPr>
          <w:iCs/>
        </w:rPr>
      </w:pPr>
    </w:p>
    <w:p w14:paraId="42F129F6" w14:textId="59331126" w:rsidR="00692B1D" w:rsidRPr="008C5CE0" w:rsidRDefault="00727574" w:rsidP="00692B1D">
      <w:pPr>
        <w:spacing w:after="120"/>
        <w:ind w:left="2268" w:right="1134" w:hanging="1134"/>
        <w:jc w:val="both"/>
      </w:pPr>
      <w:r>
        <w:rPr>
          <w:iCs/>
        </w:rPr>
        <w:t xml:space="preserve">H. </w:t>
      </w:r>
      <w:r w:rsidR="00692B1D">
        <w:rPr>
          <w:i/>
        </w:rPr>
        <w:t xml:space="preserve">Paragraph 6.2.6.1.2., </w:t>
      </w:r>
      <w:r w:rsidR="00692B1D" w:rsidRPr="00D33775">
        <w:rPr>
          <w:iCs/>
        </w:rPr>
        <w:t xml:space="preserve">amend </w:t>
      </w:r>
      <w:r w:rsidR="00692B1D" w:rsidRPr="008C5CE0">
        <w:t>to read:</w:t>
      </w:r>
    </w:p>
    <w:p w14:paraId="6AD8E656" w14:textId="4A736BFC" w:rsidR="007A11B2" w:rsidRDefault="00692B1D" w:rsidP="007A11B2">
      <w:pPr>
        <w:spacing w:after="120"/>
        <w:ind w:left="2268" w:right="1134" w:hanging="1134"/>
        <w:jc w:val="both"/>
      </w:pPr>
      <w:r w:rsidRPr="008C5CE0">
        <w:rPr>
          <w:bCs/>
        </w:rPr>
        <w:t>"</w:t>
      </w:r>
      <w:r>
        <w:t xml:space="preserve">6.2.6.1.2. Accelerated life test. Eight TPRD units undergo testing; three at the manufacturer’s specified activation temperature, </w:t>
      </w:r>
      <w:r w:rsidRPr="00692B1D">
        <w:rPr>
          <w:strike/>
        </w:rPr>
        <w:t>Tact</w:t>
      </w:r>
      <w:r>
        <w:t xml:space="preserve"> </w:t>
      </w:r>
      <w:proofErr w:type="spellStart"/>
      <w:r w:rsidRPr="00692B1D">
        <w:rPr>
          <w:color w:val="FF0000"/>
        </w:rPr>
        <w:t>Tf</w:t>
      </w:r>
      <w:proofErr w:type="spellEnd"/>
      <w:r>
        <w:t>, and five at an accelerated life temperature.</w:t>
      </w:r>
    </w:p>
    <w:p w14:paraId="490280F5" w14:textId="695C8D52" w:rsidR="00692B1D" w:rsidRDefault="00692B1D" w:rsidP="007A11B2">
      <w:pPr>
        <w:spacing w:after="120"/>
        <w:ind w:left="2268" w:right="1134" w:hanging="1134"/>
        <w:jc w:val="both"/>
        <w:rPr>
          <w:bCs/>
        </w:rPr>
      </w:pPr>
      <w:r w:rsidRPr="008C5CE0">
        <w:rPr>
          <w:bCs/>
        </w:rPr>
        <w:t>"</w:t>
      </w:r>
    </w:p>
    <w:p w14:paraId="28427F04" w14:textId="3E50DE83" w:rsidR="00692B1D" w:rsidRPr="00727574" w:rsidRDefault="00A14E98" w:rsidP="00727574">
      <w:pPr>
        <w:spacing w:after="120"/>
        <w:ind w:left="2268" w:right="1134" w:hanging="1134"/>
        <w:jc w:val="both"/>
      </w:pPr>
      <w:r w:rsidRPr="00A14E98">
        <w:rPr>
          <w:bCs/>
        </w:rPr>
        <w:t>[</w:t>
      </w:r>
      <w:r w:rsidR="0019196D">
        <w:rPr>
          <w:bCs/>
        </w:rPr>
        <w:t>Corrected variable name</w:t>
      </w:r>
      <w:r w:rsidRPr="00A14E98">
        <w:rPr>
          <w:bCs/>
        </w:rPr>
        <w:t>.]</w:t>
      </w:r>
    </w:p>
    <w:sectPr w:rsidR="00692B1D" w:rsidRPr="00727574" w:rsidSect="00D146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9C51" w14:textId="77777777" w:rsidR="00513678" w:rsidRDefault="00513678"/>
  </w:endnote>
  <w:endnote w:type="continuationSeparator" w:id="0">
    <w:p w14:paraId="5061888A" w14:textId="77777777" w:rsidR="00513678" w:rsidRDefault="00513678"/>
  </w:endnote>
  <w:endnote w:type="continuationNotice" w:id="1">
    <w:p w14:paraId="0623D81B" w14:textId="77777777" w:rsidR="00513678" w:rsidRDefault="00513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77777777"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77777777"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6B3" w14:textId="77777777" w:rsidR="00A14E98" w:rsidRDefault="00A1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BBDB" w14:textId="77777777" w:rsidR="00513678" w:rsidRPr="000B175B" w:rsidRDefault="00513678" w:rsidP="000B175B">
      <w:pPr>
        <w:tabs>
          <w:tab w:val="right" w:pos="2155"/>
        </w:tabs>
        <w:spacing w:after="80"/>
        <w:ind w:left="680"/>
        <w:rPr>
          <w:u w:val="single"/>
        </w:rPr>
      </w:pPr>
      <w:r>
        <w:rPr>
          <w:u w:val="single"/>
        </w:rPr>
        <w:tab/>
      </w:r>
    </w:p>
  </w:footnote>
  <w:footnote w:type="continuationSeparator" w:id="0">
    <w:p w14:paraId="1838FD27" w14:textId="77777777" w:rsidR="00513678" w:rsidRPr="00FC68B7" w:rsidRDefault="00513678" w:rsidP="00FC68B7">
      <w:pPr>
        <w:tabs>
          <w:tab w:val="left" w:pos="2155"/>
        </w:tabs>
        <w:spacing w:after="80"/>
        <w:ind w:left="680"/>
        <w:rPr>
          <w:u w:val="single"/>
        </w:rPr>
      </w:pPr>
      <w:r>
        <w:rPr>
          <w:u w:val="single"/>
        </w:rPr>
        <w:tab/>
      </w:r>
    </w:p>
  </w:footnote>
  <w:footnote w:type="continuationNotice" w:id="1">
    <w:p w14:paraId="0FAC25D8" w14:textId="77777777" w:rsidR="00513678" w:rsidRDefault="00513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D441" w14:textId="77777777" w:rsidR="00A14E98" w:rsidRDefault="00A1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C320" w14:textId="77777777" w:rsidR="00A14E98" w:rsidRDefault="00A1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49F2236C" w:rsidR="008E7873" w:rsidRPr="008E7873" w:rsidRDefault="008E7873" w:rsidP="008E7873">
          <w:pPr>
            <w:rPr>
              <w:lang w:eastAsia="ja-JP"/>
            </w:rPr>
          </w:pPr>
          <w:r w:rsidRPr="008E7873">
            <w:t>Subm</w:t>
          </w:r>
          <w:r>
            <w:t xml:space="preserve">itted by the </w:t>
          </w:r>
          <w:r w:rsidR="00FE1752">
            <w:rPr>
              <w:lang w:eastAsia="ja-JP"/>
            </w:rPr>
            <w:t>chair of IWG on GTR13 Phase 2</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34635D93"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CC263F">
            <w:rPr>
              <w:b/>
            </w:rPr>
            <w:t>3</w:t>
          </w:r>
          <w:r w:rsidRPr="00F457AA">
            <w:rPr>
              <w:b/>
            </w:rPr>
            <w:t>-</w:t>
          </w:r>
          <w:r w:rsidR="007E2582">
            <w:rPr>
              <w:b/>
            </w:rPr>
            <w:t>50-Rev.1</w:t>
          </w:r>
        </w:p>
        <w:p w14:paraId="4E4E1DA4" w14:textId="6A108007" w:rsidR="008E7873" w:rsidRPr="00F457AA" w:rsidRDefault="008E7873" w:rsidP="008E7873">
          <w:r w:rsidRPr="00F457AA">
            <w:t>(</w:t>
          </w:r>
          <w:r w:rsidR="00720CD3">
            <w:t>7</w:t>
          </w:r>
          <w:r w:rsidR="00CC263F">
            <w:t>3</w:t>
          </w:r>
          <w:proofErr w:type="gramStart"/>
          <w:r w:rsidR="00CC263F" w:rsidRPr="00CC263F">
            <w:rPr>
              <w:vertAlign w:val="superscript"/>
            </w:rPr>
            <w:t>rd</w:t>
          </w:r>
          <w:r w:rsidR="00CC263F">
            <w:t xml:space="preserve"> </w:t>
          </w:r>
          <w:r w:rsidR="0069728C" w:rsidRPr="00F457AA">
            <w:rPr>
              <w:vertAlign w:val="superscript"/>
            </w:rPr>
            <w:t xml:space="preserve"> </w:t>
          </w:r>
          <w:r w:rsidRPr="00F457AA">
            <w:t>GRS</w:t>
          </w:r>
          <w:r w:rsidR="009B3280" w:rsidRPr="00F457AA">
            <w:t>P</w:t>
          </w:r>
          <w:proofErr w:type="gramEnd"/>
          <w:r w:rsidRPr="00F457AA">
            <w:t xml:space="preserve">, </w:t>
          </w:r>
          <w:r w:rsidR="00C02674" w:rsidRPr="00F457AA">
            <w:t>1</w:t>
          </w:r>
          <w:r w:rsidR="00720CD3">
            <w:t>5-</w:t>
          </w:r>
          <w:r w:rsidR="00CC263F">
            <w:t>1</w:t>
          </w:r>
          <w:r w:rsidR="00720CD3">
            <w:t xml:space="preserve">9 </w:t>
          </w:r>
          <w:r w:rsidR="00CC263F">
            <w:t>May</w:t>
          </w:r>
          <w:r w:rsidR="00720CD3">
            <w:t xml:space="preserve"> 202</w:t>
          </w:r>
          <w:r w:rsidR="00CC263F">
            <w:t>3</w:t>
          </w:r>
          <w:r w:rsidRPr="00F457AA">
            <w:t xml:space="preserve"> </w:t>
          </w:r>
        </w:p>
        <w:p w14:paraId="25D409E7" w14:textId="2496D97A" w:rsidR="008E7873" w:rsidRPr="008E7873" w:rsidRDefault="008E7873" w:rsidP="00B72CB2">
          <w:r w:rsidRPr="00F457AA">
            <w:t xml:space="preserve"> </w:t>
          </w:r>
          <w:r>
            <w:t xml:space="preserve">agenda item </w:t>
          </w:r>
          <w:r w:rsidR="007E2582">
            <w:t>3</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1302424128">
    <w:abstractNumId w:val="1"/>
  </w:num>
  <w:num w:numId="2" w16cid:durableId="1332104672">
    <w:abstractNumId w:val="0"/>
  </w:num>
  <w:num w:numId="3" w16cid:durableId="297684321">
    <w:abstractNumId w:val="2"/>
  </w:num>
  <w:num w:numId="4" w16cid:durableId="1984503832">
    <w:abstractNumId w:val="3"/>
  </w:num>
  <w:num w:numId="5" w16cid:durableId="421876542">
    <w:abstractNumId w:val="8"/>
  </w:num>
  <w:num w:numId="6" w16cid:durableId="1843667514">
    <w:abstractNumId w:val="9"/>
  </w:num>
  <w:num w:numId="7" w16cid:durableId="1277180259">
    <w:abstractNumId w:val="7"/>
  </w:num>
  <w:num w:numId="8" w16cid:durableId="1132938715">
    <w:abstractNumId w:val="6"/>
  </w:num>
  <w:num w:numId="9" w16cid:durableId="1852835210">
    <w:abstractNumId w:val="5"/>
  </w:num>
  <w:num w:numId="10" w16cid:durableId="1230968225">
    <w:abstractNumId w:val="4"/>
  </w:num>
  <w:num w:numId="11" w16cid:durableId="393700343">
    <w:abstractNumId w:val="16"/>
  </w:num>
  <w:num w:numId="12" w16cid:durableId="825971188">
    <w:abstractNumId w:val="12"/>
  </w:num>
  <w:num w:numId="13" w16cid:durableId="689644712">
    <w:abstractNumId w:val="11"/>
  </w:num>
  <w:num w:numId="14" w16cid:durableId="1559054803">
    <w:abstractNumId w:val="17"/>
  </w:num>
  <w:num w:numId="15" w16cid:durableId="632445016">
    <w:abstractNumId w:val="18"/>
  </w:num>
  <w:num w:numId="16" w16cid:durableId="372080063">
    <w:abstractNumId w:val="10"/>
  </w:num>
  <w:num w:numId="17" w16cid:durableId="1166363094">
    <w:abstractNumId w:val="13"/>
  </w:num>
  <w:num w:numId="18" w16cid:durableId="380402183">
    <w:abstractNumId w:val="19"/>
  </w:num>
  <w:num w:numId="19" w16cid:durableId="607006739">
    <w:abstractNumId w:val="15"/>
  </w:num>
  <w:num w:numId="20" w16cid:durableId="8418163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16E4D"/>
    <w:rsid w:val="00046B1F"/>
    <w:rsid w:val="00050F6B"/>
    <w:rsid w:val="00052635"/>
    <w:rsid w:val="00057E97"/>
    <w:rsid w:val="000646F4"/>
    <w:rsid w:val="000656CD"/>
    <w:rsid w:val="00072C8C"/>
    <w:rsid w:val="000733B5"/>
    <w:rsid w:val="00081815"/>
    <w:rsid w:val="00083C2A"/>
    <w:rsid w:val="00084E64"/>
    <w:rsid w:val="00085353"/>
    <w:rsid w:val="000931C0"/>
    <w:rsid w:val="00095BF8"/>
    <w:rsid w:val="00097C31"/>
    <w:rsid w:val="000A436F"/>
    <w:rsid w:val="000B0595"/>
    <w:rsid w:val="000B175B"/>
    <w:rsid w:val="000B1BF0"/>
    <w:rsid w:val="000B2F02"/>
    <w:rsid w:val="000B3A0F"/>
    <w:rsid w:val="000B4EF7"/>
    <w:rsid w:val="000C28F2"/>
    <w:rsid w:val="000C2C03"/>
    <w:rsid w:val="000C2D2E"/>
    <w:rsid w:val="000C6B20"/>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250"/>
    <w:rsid w:val="001413A4"/>
    <w:rsid w:val="001558CD"/>
    <w:rsid w:val="001570A7"/>
    <w:rsid w:val="00162CC8"/>
    <w:rsid w:val="00165F3A"/>
    <w:rsid w:val="00182290"/>
    <w:rsid w:val="00183157"/>
    <w:rsid w:val="0018324F"/>
    <w:rsid w:val="00190D52"/>
    <w:rsid w:val="0019196D"/>
    <w:rsid w:val="001A3955"/>
    <w:rsid w:val="001A63A2"/>
    <w:rsid w:val="001B4B04"/>
    <w:rsid w:val="001C18E2"/>
    <w:rsid w:val="001C2A68"/>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66E3"/>
    <w:rsid w:val="002473F2"/>
    <w:rsid w:val="0024772E"/>
    <w:rsid w:val="002508C6"/>
    <w:rsid w:val="002578FB"/>
    <w:rsid w:val="00267F5F"/>
    <w:rsid w:val="00286B4D"/>
    <w:rsid w:val="002931E0"/>
    <w:rsid w:val="002A6714"/>
    <w:rsid w:val="002A69F4"/>
    <w:rsid w:val="002B53F9"/>
    <w:rsid w:val="002B54F9"/>
    <w:rsid w:val="002B5A41"/>
    <w:rsid w:val="002C3BD0"/>
    <w:rsid w:val="002C4940"/>
    <w:rsid w:val="002D0AEC"/>
    <w:rsid w:val="002D4643"/>
    <w:rsid w:val="002D63CB"/>
    <w:rsid w:val="002E3EFF"/>
    <w:rsid w:val="002F175C"/>
    <w:rsid w:val="002F4232"/>
    <w:rsid w:val="002F7DE0"/>
    <w:rsid w:val="00302E18"/>
    <w:rsid w:val="00303042"/>
    <w:rsid w:val="00304755"/>
    <w:rsid w:val="003070DB"/>
    <w:rsid w:val="0031519A"/>
    <w:rsid w:val="003229D8"/>
    <w:rsid w:val="0032301F"/>
    <w:rsid w:val="00331DFA"/>
    <w:rsid w:val="00332907"/>
    <w:rsid w:val="00341C83"/>
    <w:rsid w:val="00342935"/>
    <w:rsid w:val="003438E1"/>
    <w:rsid w:val="00343BBD"/>
    <w:rsid w:val="00352709"/>
    <w:rsid w:val="00352AFB"/>
    <w:rsid w:val="003619B5"/>
    <w:rsid w:val="00361AC3"/>
    <w:rsid w:val="00365763"/>
    <w:rsid w:val="00371178"/>
    <w:rsid w:val="00375FCA"/>
    <w:rsid w:val="00377081"/>
    <w:rsid w:val="0038570D"/>
    <w:rsid w:val="00392E47"/>
    <w:rsid w:val="003A5075"/>
    <w:rsid w:val="003A6810"/>
    <w:rsid w:val="003B0225"/>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12B4"/>
    <w:rsid w:val="00432533"/>
    <w:rsid w:val="004325CB"/>
    <w:rsid w:val="00442A83"/>
    <w:rsid w:val="00442E0F"/>
    <w:rsid w:val="00450153"/>
    <w:rsid w:val="0045495B"/>
    <w:rsid w:val="004561E5"/>
    <w:rsid w:val="00465B85"/>
    <w:rsid w:val="00480DF2"/>
    <w:rsid w:val="0048397A"/>
    <w:rsid w:val="00485CBB"/>
    <w:rsid w:val="004866B7"/>
    <w:rsid w:val="00491D33"/>
    <w:rsid w:val="00491FAE"/>
    <w:rsid w:val="00492886"/>
    <w:rsid w:val="004C1A4F"/>
    <w:rsid w:val="004C2461"/>
    <w:rsid w:val="004C7462"/>
    <w:rsid w:val="004D2E22"/>
    <w:rsid w:val="004D6601"/>
    <w:rsid w:val="004E02E0"/>
    <w:rsid w:val="004E46C7"/>
    <w:rsid w:val="004E6D1D"/>
    <w:rsid w:val="004E77B2"/>
    <w:rsid w:val="005038CA"/>
    <w:rsid w:val="005046E1"/>
    <w:rsid w:val="00504B2D"/>
    <w:rsid w:val="00513678"/>
    <w:rsid w:val="0052136D"/>
    <w:rsid w:val="00525743"/>
    <w:rsid w:val="0052775E"/>
    <w:rsid w:val="00527E04"/>
    <w:rsid w:val="00536456"/>
    <w:rsid w:val="005420F2"/>
    <w:rsid w:val="00542BE8"/>
    <w:rsid w:val="0054402A"/>
    <w:rsid w:val="0055515A"/>
    <w:rsid w:val="0056209A"/>
    <w:rsid w:val="005628B6"/>
    <w:rsid w:val="005739B7"/>
    <w:rsid w:val="005851DF"/>
    <w:rsid w:val="00586686"/>
    <w:rsid w:val="005941EC"/>
    <w:rsid w:val="005952CB"/>
    <w:rsid w:val="0059724D"/>
    <w:rsid w:val="005A6FCA"/>
    <w:rsid w:val="005A7FF1"/>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6505"/>
    <w:rsid w:val="006271CC"/>
    <w:rsid w:val="006279C8"/>
    <w:rsid w:val="00636463"/>
    <w:rsid w:val="00640B26"/>
    <w:rsid w:val="00644E74"/>
    <w:rsid w:val="00652D0A"/>
    <w:rsid w:val="00661672"/>
    <w:rsid w:val="00662BB6"/>
    <w:rsid w:val="006676D6"/>
    <w:rsid w:val="00671B51"/>
    <w:rsid w:val="0067362F"/>
    <w:rsid w:val="00676606"/>
    <w:rsid w:val="006769D5"/>
    <w:rsid w:val="00680A55"/>
    <w:rsid w:val="00684C21"/>
    <w:rsid w:val="00692B1D"/>
    <w:rsid w:val="0069728C"/>
    <w:rsid w:val="006A2530"/>
    <w:rsid w:val="006C3589"/>
    <w:rsid w:val="006C6D4F"/>
    <w:rsid w:val="006D269A"/>
    <w:rsid w:val="006D37AF"/>
    <w:rsid w:val="006D51D0"/>
    <w:rsid w:val="006D5625"/>
    <w:rsid w:val="006D5FB9"/>
    <w:rsid w:val="006D658E"/>
    <w:rsid w:val="006E2C1E"/>
    <w:rsid w:val="006E46A8"/>
    <w:rsid w:val="006E4DD7"/>
    <w:rsid w:val="006E564B"/>
    <w:rsid w:val="006E7191"/>
    <w:rsid w:val="006F34EB"/>
    <w:rsid w:val="006F7FB0"/>
    <w:rsid w:val="00703577"/>
    <w:rsid w:val="00705894"/>
    <w:rsid w:val="00720CD3"/>
    <w:rsid w:val="0072632A"/>
    <w:rsid w:val="00726CD5"/>
    <w:rsid w:val="00727574"/>
    <w:rsid w:val="007327D5"/>
    <w:rsid w:val="0075696C"/>
    <w:rsid w:val="00757D7C"/>
    <w:rsid w:val="007629C8"/>
    <w:rsid w:val="0077047D"/>
    <w:rsid w:val="00786957"/>
    <w:rsid w:val="007A11B2"/>
    <w:rsid w:val="007B5E32"/>
    <w:rsid w:val="007B6BA5"/>
    <w:rsid w:val="007C045F"/>
    <w:rsid w:val="007C3390"/>
    <w:rsid w:val="007C4F4B"/>
    <w:rsid w:val="007C7CFC"/>
    <w:rsid w:val="007D1A12"/>
    <w:rsid w:val="007D1BB9"/>
    <w:rsid w:val="007E01E9"/>
    <w:rsid w:val="007E1B56"/>
    <w:rsid w:val="007E2582"/>
    <w:rsid w:val="007E6249"/>
    <w:rsid w:val="007E63F3"/>
    <w:rsid w:val="007F6611"/>
    <w:rsid w:val="00800925"/>
    <w:rsid w:val="0080540A"/>
    <w:rsid w:val="0081141A"/>
    <w:rsid w:val="00811920"/>
    <w:rsid w:val="0081195B"/>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C33F6"/>
    <w:rsid w:val="008D10E9"/>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74D03"/>
    <w:rsid w:val="009760F3"/>
    <w:rsid w:val="00976CFB"/>
    <w:rsid w:val="00976F59"/>
    <w:rsid w:val="009836C5"/>
    <w:rsid w:val="00994994"/>
    <w:rsid w:val="009964F6"/>
    <w:rsid w:val="0099690C"/>
    <w:rsid w:val="009A0830"/>
    <w:rsid w:val="009A0E8D"/>
    <w:rsid w:val="009A1C7F"/>
    <w:rsid w:val="009B0F0E"/>
    <w:rsid w:val="009B26E7"/>
    <w:rsid w:val="009B3280"/>
    <w:rsid w:val="009B64BB"/>
    <w:rsid w:val="009D30EE"/>
    <w:rsid w:val="009D38BE"/>
    <w:rsid w:val="009F3FF4"/>
    <w:rsid w:val="009F5CB6"/>
    <w:rsid w:val="00A00697"/>
    <w:rsid w:val="00A00A3F"/>
    <w:rsid w:val="00A01489"/>
    <w:rsid w:val="00A066EE"/>
    <w:rsid w:val="00A1023C"/>
    <w:rsid w:val="00A14E98"/>
    <w:rsid w:val="00A238E4"/>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8304A"/>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4212"/>
    <w:rsid w:val="00AE4FAA"/>
    <w:rsid w:val="00AE5B44"/>
    <w:rsid w:val="00AF35A1"/>
    <w:rsid w:val="00B04EFB"/>
    <w:rsid w:val="00B30179"/>
    <w:rsid w:val="00B377A3"/>
    <w:rsid w:val="00B421C1"/>
    <w:rsid w:val="00B53C21"/>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A6B46"/>
    <w:rsid w:val="00BC2AC9"/>
    <w:rsid w:val="00BC3FA0"/>
    <w:rsid w:val="00BC73CB"/>
    <w:rsid w:val="00BC74E9"/>
    <w:rsid w:val="00BD27C9"/>
    <w:rsid w:val="00BD4BA1"/>
    <w:rsid w:val="00BE2A10"/>
    <w:rsid w:val="00BF1C9C"/>
    <w:rsid w:val="00BF30B3"/>
    <w:rsid w:val="00BF68A8"/>
    <w:rsid w:val="00C0063B"/>
    <w:rsid w:val="00C01A73"/>
    <w:rsid w:val="00C02674"/>
    <w:rsid w:val="00C02E91"/>
    <w:rsid w:val="00C11A03"/>
    <w:rsid w:val="00C14057"/>
    <w:rsid w:val="00C14E4E"/>
    <w:rsid w:val="00C22C0C"/>
    <w:rsid w:val="00C256D3"/>
    <w:rsid w:val="00C25B4A"/>
    <w:rsid w:val="00C35A05"/>
    <w:rsid w:val="00C401F7"/>
    <w:rsid w:val="00C44F23"/>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5ED4"/>
    <w:rsid w:val="00C96DF2"/>
    <w:rsid w:val="00CA7023"/>
    <w:rsid w:val="00CB3E03"/>
    <w:rsid w:val="00CC263F"/>
    <w:rsid w:val="00CC27AB"/>
    <w:rsid w:val="00CC5A5B"/>
    <w:rsid w:val="00CC65BA"/>
    <w:rsid w:val="00CC6936"/>
    <w:rsid w:val="00CD4AA6"/>
    <w:rsid w:val="00CE4A8F"/>
    <w:rsid w:val="00CF6B46"/>
    <w:rsid w:val="00D036C2"/>
    <w:rsid w:val="00D14683"/>
    <w:rsid w:val="00D2031B"/>
    <w:rsid w:val="00D248B6"/>
    <w:rsid w:val="00D25FE2"/>
    <w:rsid w:val="00D26E07"/>
    <w:rsid w:val="00D27303"/>
    <w:rsid w:val="00D33775"/>
    <w:rsid w:val="00D34C08"/>
    <w:rsid w:val="00D35047"/>
    <w:rsid w:val="00D35BE2"/>
    <w:rsid w:val="00D36374"/>
    <w:rsid w:val="00D43252"/>
    <w:rsid w:val="00D46641"/>
    <w:rsid w:val="00D47EEA"/>
    <w:rsid w:val="00D5173A"/>
    <w:rsid w:val="00D52637"/>
    <w:rsid w:val="00D74235"/>
    <w:rsid w:val="00D773DF"/>
    <w:rsid w:val="00D806F9"/>
    <w:rsid w:val="00D82D07"/>
    <w:rsid w:val="00D83295"/>
    <w:rsid w:val="00D95303"/>
    <w:rsid w:val="00D95714"/>
    <w:rsid w:val="00D978C6"/>
    <w:rsid w:val="00DA3C1C"/>
    <w:rsid w:val="00DA596B"/>
    <w:rsid w:val="00DB2939"/>
    <w:rsid w:val="00DC0508"/>
    <w:rsid w:val="00DC2458"/>
    <w:rsid w:val="00DC6D39"/>
    <w:rsid w:val="00DE79F5"/>
    <w:rsid w:val="00E01658"/>
    <w:rsid w:val="00E046DF"/>
    <w:rsid w:val="00E135BF"/>
    <w:rsid w:val="00E140D8"/>
    <w:rsid w:val="00E17ACC"/>
    <w:rsid w:val="00E205F5"/>
    <w:rsid w:val="00E22B0C"/>
    <w:rsid w:val="00E26668"/>
    <w:rsid w:val="00E27346"/>
    <w:rsid w:val="00E3289A"/>
    <w:rsid w:val="00E329E4"/>
    <w:rsid w:val="00E40A45"/>
    <w:rsid w:val="00E414C2"/>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D7A2A"/>
    <w:rsid w:val="00EE5330"/>
    <w:rsid w:val="00EE60D3"/>
    <w:rsid w:val="00EE726A"/>
    <w:rsid w:val="00EE7A9E"/>
    <w:rsid w:val="00EF1D7F"/>
    <w:rsid w:val="00EF42C5"/>
    <w:rsid w:val="00EF7C46"/>
    <w:rsid w:val="00F07024"/>
    <w:rsid w:val="00F072E9"/>
    <w:rsid w:val="00F16B31"/>
    <w:rsid w:val="00F214F0"/>
    <w:rsid w:val="00F21FE5"/>
    <w:rsid w:val="00F2549C"/>
    <w:rsid w:val="00F27E35"/>
    <w:rsid w:val="00F30D68"/>
    <w:rsid w:val="00F31E5F"/>
    <w:rsid w:val="00F457AA"/>
    <w:rsid w:val="00F53261"/>
    <w:rsid w:val="00F6100A"/>
    <w:rsid w:val="00F63BA8"/>
    <w:rsid w:val="00F71229"/>
    <w:rsid w:val="00F81E8E"/>
    <w:rsid w:val="00F87CD6"/>
    <w:rsid w:val="00F9290D"/>
    <w:rsid w:val="00F93781"/>
    <w:rsid w:val="00FB613B"/>
    <w:rsid w:val="00FC1B26"/>
    <w:rsid w:val="00FC68B7"/>
    <w:rsid w:val="00FD3F98"/>
    <w:rsid w:val="00FD5B03"/>
    <w:rsid w:val="00FE0C30"/>
    <w:rsid w:val="00FE0CF0"/>
    <w:rsid w:val="00FE106A"/>
    <w:rsid w:val="00FE1752"/>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68"/>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
    <w:link w:val="FootnoteTex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451</Words>
  <Characters>2333</Characters>
  <Application>Microsoft Office Word</Application>
  <DocSecurity>4</DocSecurity>
  <Lines>44</Lines>
  <Paragraphs>14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E/ECE/324/Rev.2/Add.109/Rev.7</cp:lastModifiedBy>
  <cp:revision>2</cp:revision>
  <cp:lastPrinted>2017-09-19T08:06:00Z</cp:lastPrinted>
  <dcterms:created xsi:type="dcterms:W3CDTF">2023-05-16T07:03:00Z</dcterms:created>
  <dcterms:modified xsi:type="dcterms:W3CDTF">2023-05-16T07:03:00Z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2c7890e8-8459-473b-8b86-643375e9aab5_Enabled">
    <vt:lpwstr>true</vt:lpwstr>
  </property>
  <property fmtid="{D5CDD505-2E9C-101B-9397-08002B2CF9AE}" pid="10" name="MSIP_Label_2c7890e8-8459-473b-8b86-643375e9aab5_SetDate">
    <vt:lpwstr>2023-05-15T15:45:57Z</vt:lpwstr>
  </property>
  <property fmtid="{D5CDD505-2E9C-101B-9397-08002B2CF9AE}" pid="11" name="MSIP_Label_2c7890e8-8459-473b-8b86-643375e9aab5_Method">
    <vt:lpwstr>Privileged</vt:lpwstr>
  </property>
  <property fmtid="{D5CDD505-2E9C-101B-9397-08002B2CF9AE}" pid="12" name="MSIP_Label_2c7890e8-8459-473b-8b86-643375e9aab5_Name">
    <vt:lpwstr>2c7890e8-8459-473b-8b86-643375e9aab5</vt:lpwstr>
  </property>
  <property fmtid="{D5CDD505-2E9C-101B-9397-08002B2CF9AE}" pid="13" name="MSIP_Label_2c7890e8-8459-473b-8b86-643375e9aab5_SiteId">
    <vt:lpwstr>8c642d1d-d709-47b0-ab10-080af10798fb</vt:lpwstr>
  </property>
  <property fmtid="{D5CDD505-2E9C-101B-9397-08002B2CF9AE}" pid="14" name="MSIP_Label_2c7890e8-8459-473b-8b86-643375e9aab5_ActionId">
    <vt:lpwstr>e8cfef3b-296f-4bd9-a2d0-8e6242282fc2</vt:lpwstr>
  </property>
  <property fmtid="{D5CDD505-2E9C-101B-9397-08002B2CF9AE}" pid="15" name="MSIP_Label_2c7890e8-8459-473b-8b86-643375e9aab5_ContentBits">
    <vt:lpwstr>0</vt:lpwstr>
  </property>
</Properties>
</file>