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15A8F46B" w14:textId="57F980E8" w:rsidR="001A3844" w:rsidRDefault="001A3844" w:rsidP="003570E6">
      <w:pPr>
        <w:pStyle w:val="Default"/>
        <w:ind w:left="1134" w:right="1134"/>
        <w:jc w:val="center"/>
        <w:rPr>
          <w:b/>
          <w:bCs/>
          <w:color w:val="000000" w:themeColor="text1"/>
          <w:sz w:val="32"/>
          <w:szCs w:val="32"/>
        </w:rPr>
      </w:pPr>
      <w:r w:rsidRPr="00CE0DD3">
        <w:rPr>
          <w:b/>
          <w:bCs/>
          <w:sz w:val="32"/>
          <w:szCs w:val="32"/>
        </w:rPr>
        <w:t xml:space="preserve">Proposal </w:t>
      </w:r>
      <w:r w:rsidR="00A5430A">
        <w:rPr>
          <w:b/>
          <w:bCs/>
          <w:sz w:val="32"/>
          <w:szCs w:val="32"/>
        </w:rPr>
        <w:t>to supersede GRPE/2023/18</w:t>
      </w:r>
    </w:p>
    <w:p w14:paraId="7AD0C4F2" w14:textId="77777777" w:rsidR="001A3844" w:rsidRDefault="001A3844" w:rsidP="001A3844">
      <w:pPr>
        <w:pStyle w:val="Default"/>
        <w:rPr>
          <w:sz w:val="20"/>
          <w:szCs w:val="20"/>
        </w:rPr>
      </w:pPr>
    </w:p>
    <w:p w14:paraId="155C97DB" w14:textId="77777777" w:rsidR="001A3844" w:rsidRDefault="001A3844" w:rsidP="001A3844">
      <w:pPr>
        <w:pStyle w:val="Default"/>
        <w:rPr>
          <w:sz w:val="20"/>
          <w:szCs w:val="20"/>
        </w:rPr>
      </w:pPr>
    </w:p>
    <w:p w14:paraId="2B81606A" w14:textId="6F0893C4" w:rsidR="001A3844" w:rsidRPr="00CA1F03" w:rsidRDefault="00A5430A" w:rsidP="003570E6">
      <w:pPr>
        <w:pStyle w:val="Default"/>
        <w:ind w:left="1134" w:right="1134"/>
        <w:jc w:val="both"/>
        <w:rPr>
          <w:b/>
          <w:bCs/>
          <w:sz w:val="20"/>
          <w:szCs w:val="20"/>
        </w:rPr>
      </w:pPr>
      <w:bookmarkStart w:id="0" w:name="_Hlk122336724"/>
      <w:r w:rsidRPr="00A5430A">
        <w:rPr>
          <w:sz w:val="20"/>
          <w:szCs w:val="20"/>
          <w:lang w:val="en-GB"/>
        </w:rPr>
        <w:t>The text reproduced below was prepared by the experts from the International Organization of Motor Vehicle Manufacturers (OICA). This document is aimed to clarify the wording regarding the usage of the reference fuel required for emission testing and to permit performing test with same reference fuel used for emission testing and bring consistency with recently adopted amendments to Regulation No. 85.</w:t>
      </w:r>
      <w:r>
        <w:rPr>
          <w:lang w:val="en-GB"/>
        </w:rPr>
        <w:t xml:space="preserve"> </w:t>
      </w:r>
      <w:r w:rsidR="001D0431" w:rsidRPr="00442B13">
        <w:rPr>
          <w:sz w:val="20"/>
          <w:szCs w:val="20"/>
          <w:lang w:val="en-GB"/>
        </w:rPr>
        <w:t>The modifications to the current text of the Regulation are marked in bold for new or strikethrough for deleted characters.</w:t>
      </w:r>
      <w:bookmarkEnd w:id="0"/>
    </w:p>
    <w:p w14:paraId="148B07F7" w14:textId="6DA59365" w:rsidR="0065242B" w:rsidRPr="00387F0F" w:rsidRDefault="0065242B" w:rsidP="00E559D1">
      <w:pPr>
        <w:pStyle w:val="HChG"/>
        <w:tabs>
          <w:tab w:val="left" w:pos="8505"/>
        </w:tabs>
        <w:spacing w:before="320" w:after="200" w:line="240" w:lineRule="atLeast"/>
        <w:ind w:left="0" w:right="-40" w:firstLine="0"/>
      </w:pPr>
      <w:r w:rsidRPr="007E2DDC">
        <w:t>I.</w:t>
      </w:r>
      <w:r w:rsidRPr="007E2DDC">
        <w:tab/>
      </w:r>
      <w:r>
        <w:t xml:space="preserve"> </w:t>
      </w:r>
      <w:r w:rsidR="00E559D1">
        <w:t>Proposal</w:t>
      </w:r>
    </w:p>
    <w:p w14:paraId="19678337" w14:textId="77777777" w:rsidR="00A5430A" w:rsidRDefault="00A5430A" w:rsidP="00A5430A">
      <w:pPr>
        <w:spacing w:after="120"/>
        <w:ind w:left="2268" w:right="1134" w:hanging="1134"/>
        <w:jc w:val="both"/>
        <w:rPr>
          <w:i/>
        </w:rPr>
      </w:pPr>
      <w:r>
        <w:rPr>
          <w:i/>
        </w:rPr>
        <w:t>Part I</w:t>
      </w:r>
      <w:r w:rsidRPr="003C239C">
        <w:rPr>
          <w:i/>
        </w:rPr>
        <w:t xml:space="preserve">, paragraph </w:t>
      </w:r>
      <w:r>
        <w:rPr>
          <w:i/>
        </w:rPr>
        <w:t>8.</w:t>
      </w:r>
      <w:r w:rsidRPr="003C239C">
        <w:rPr>
          <w:i/>
        </w:rPr>
        <w:t>3.</w:t>
      </w:r>
      <w:r>
        <w:rPr>
          <w:i/>
        </w:rPr>
        <w:t>1</w:t>
      </w:r>
      <w:r w:rsidRPr="003C239C">
        <w:rPr>
          <w:i/>
        </w:rPr>
        <w:t>.</w:t>
      </w:r>
      <w:r>
        <w:rPr>
          <w:i/>
        </w:rPr>
        <w:t xml:space="preserve">, </w:t>
      </w:r>
      <w:r>
        <w:rPr>
          <w:iCs/>
        </w:rPr>
        <w:t>amend to read:</w:t>
      </w:r>
    </w:p>
    <w:p w14:paraId="33218815" w14:textId="77777777" w:rsidR="00A5430A" w:rsidRDefault="00A5430A" w:rsidP="00A5430A">
      <w:pPr>
        <w:spacing w:after="120"/>
        <w:ind w:left="2268" w:right="1134" w:hanging="1134"/>
        <w:rPr>
          <w:lang w:val="en-US" w:eastAsia="nl-NL"/>
        </w:rPr>
      </w:pPr>
      <w:r w:rsidRPr="001932D6">
        <w:rPr>
          <w:lang w:val="en-US" w:eastAsia="nl-NL"/>
        </w:rPr>
        <w:t>"</w:t>
      </w:r>
      <w:r w:rsidRPr="00F66D7E">
        <w:rPr>
          <w:lang w:val="en-US" w:eastAsia="nl-NL"/>
        </w:rPr>
        <w:t>8.3.1.</w:t>
      </w:r>
      <w:r>
        <w:rPr>
          <w:lang w:val="en-US" w:eastAsia="nl-NL"/>
        </w:rPr>
        <w:tab/>
      </w:r>
      <w:r w:rsidRPr="00F66D7E">
        <w:rPr>
          <w:lang w:val="en-US" w:eastAsia="nl-NL"/>
        </w:rPr>
        <w:t>An engine which has not been run in shall be subjected to the test</w:t>
      </w:r>
      <w:r>
        <w:rPr>
          <w:lang w:val="en-US" w:eastAsia="nl-NL"/>
        </w:rPr>
        <w:t xml:space="preserve"> </w:t>
      </w:r>
      <w:r w:rsidRPr="00F66D7E">
        <w:rPr>
          <w:lang w:val="en-US" w:eastAsia="nl-NL"/>
        </w:rPr>
        <w:t>under free acceleration prescribed in annex 5 to this Regulation.</w:t>
      </w:r>
    </w:p>
    <w:p w14:paraId="286E62D3" w14:textId="77777777" w:rsidR="00A5430A" w:rsidRPr="00F66D7E" w:rsidRDefault="00A5430A" w:rsidP="00A5430A">
      <w:pPr>
        <w:spacing w:after="120"/>
        <w:ind w:left="2268" w:right="1134"/>
        <w:rPr>
          <w:lang w:val="en-US" w:eastAsia="nl-NL"/>
        </w:rPr>
      </w:pPr>
      <w:r w:rsidRPr="00F66D7E">
        <w:rPr>
          <w:lang w:val="en-US" w:eastAsia="nl-NL"/>
        </w:rPr>
        <w:t xml:space="preserve">The engine shall be deemed to conform to the approved type if the absorption coefficient determined does not exceed by more than 0.5m-1 the figure shown in the approval mark or document for that engine (see paragraph 8.1 above). On the request of the manufacturer, </w:t>
      </w:r>
      <w:r w:rsidRPr="00F66D7E">
        <w:rPr>
          <w:b/>
          <w:bCs/>
          <w:lang w:val="en-US" w:eastAsia="nl-NL"/>
        </w:rPr>
        <w:t>the</w:t>
      </w:r>
      <w:r>
        <w:rPr>
          <w:lang w:val="en-US" w:eastAsia="nl-NL"/>
        </w:rPr>
        <w:t xml:space="preserve"> </w:t>
      </w:r>
      <w:r w:rsidRPr="00F66D7E">
        <w:rPr>
          <w:b/>
          <w:bCs/>
          <w:lang w:val="en-US" w:eastAsia="nl-NL"/>
        </w:rPr>
        <w:t>reference fuel</w:t>
      </w:r>
      <w:r w:rsidRPr="00F66D7E">
        <w:rPr>
          <w:lang w:val="en-US" w:eastAsia="nl-NL"/>
        </w:rPr>
        <w:t xml:space="preserve"> </w:t>
      </w:r>
      <w:r w:rsidRPr="00B6113A">
        <w:rPr>
          <w:strike/>
          <w:color w:val="FF0000"/>
          <w:lang w:val="en-US" w:eastAsia="nl-NL"/>
        </w:rPr>
        <w:t>commercially available fuel</w:t>
      </w:r>
      <w:r w:rsidRPr="00F66D7E">
        <w:rPr>
          <w:lang w:val="en-US" w:eastAsia="nl-NL"/>
        </w:rPr>
        <w:t xml:space="preserve"> may be used rather than </w:t>
      </w:r>
      <w:r w:rsidRPr="00F66D7E">
        <w:rPr>
          <w:b/>
          <w:bCs/>
          <w:lang w:val="en-US" w:eastAsia="nl-NL"/>
        </w:rPr>
        <w:t xml:space="preserve">commercially available fuel </w:t>
      </w:r>
      <w:r w:rsidRPr="00F66D7E">
        <w:rPr>
          <w:strike/>
          <w:lang w:val="en-US" w:eastAsia="nl-NL"/>
        </w:rPr>
        <w:t>the</w:t>
      </w:r>
      <w:r w:rsidRPr="00F66D7E">
        <w:rPr>
          <w:lang w:val="en-US" w:eastAsia="nl-NL"/>
        </w:rPr>
        <w:t xml:space="preserve"> </w:t>
      </w:r>
      <w:r w:rsidRPr="00F66D7E">
        <w:rPr>
          <w:strike/>
          <w:lang w:val="en-US" w:eastAsia="nl-NL"/>
        </w:rPr>
        <w:t>reference fuel</w:t>
      </w:r>
      <w:r w:rsidRPr="00F66D7E">
        <w:rPr>
          <w:lang w:val="en-US" w:eastAsia="nl-NL"/>
        </w:rPr>
        <w:t>.</w:t>
      </w:r>
      <w:r w:rsidRPr="001932D6">
        <w:rPr>
          <w:lang w:val="en-US" w:eastAsia="nl-NL"/>
        </w:rPr>
        <w:t>"</w:t>
      </w:r>
    </w:p>
    <w:p w14:paraId="2DD20049" w14:textId="77777777" w:rsidR="00A5430A" w:rsidRPr="009C031F" w:rsidRDefault="00A5430A" w:rsidP="00A5430A">
      <w:pPr>
        <w:spacing w:after="120"/>
        <w:ind w:left="2268" w:right="1134" w:hanging="1134"/>
        <w:jc w:val="both"/>
        <w:rPr>
          <w:iCs/>
        </w:rPr>
      </w:pPr>
      <w:r w:rsidRPr="003C239C">
        <w:rPr>
          <w:i/>
        </w:rPr>
        <w:t>Annex</w:t>
      </w:r>
      <w:r>
        <w:rPr>
          <w:i/>
        </w:rPr>
        <w:t xml:space="preserve"> </w:t>
      </w:r>
      <w:r w:rsidRPr="003C239C">
        <w:rPr>
          <w:i/>
        </w:rPr>
        <w:t>4, paragraph 3.2.</w:t>
      </w:r>
      <w:r>
        <w:rPr>
          <w:i/>
        </w:rPr>
        <w:t xml:space="preserve">, </w:t>
      </w:r>
      <w:r>
        <w:rPr>
          <w:iCs/>
        </w:rPr>
        <w:t>amend to read:</w:t>
      </w:r>
    </w:p>
    <w:p w14:paraId="6C61BCDE" w14:textId="77777777" w:rsidR="00A5430A" w:rsidRPr="009C031F" w:rsidRDefault="00A5430A" w:rsidP="00A5430A">
      <w:pPr>
        <w:spacing w:after="120" w:line="240" w:lineRule="auto"/>
        <w:ind w:left="2268" w:right="1134" w:hanging="1134"/>
        <w:jc w:val="both"/>
      </w:pPr>
      <w:r w:rsidRPr="001932D6">
        <w:rPr>
          <w:lang w:val="en-US" w:eastAsia="nl-NL"/>
        </w:rPr>
        <w:t>"</w:t>
      </w:r>
      <w:r w:rsidRPr="001932D6">
        <w:rPr>
          <w:lang w:val="en-US"/>
        </w:rPr>
        <w:t xml:space="preserve">3.2. </w:t>
      </w:r>
      <w:r w:rsidRPr="001932D6">
        <w:rPr>
          <w:lang w:val="en-US"/>
        </w:rPr>
        <w:tab/>
        <w:t>Fuel</w:t>
      </w:r>
    </w:p>
    <w:p w14:paraId="7C97945E" w14:textId="77777777" w:rsidR="00A5430A" w:rsidRPr="009C031F" w:rsidRDefault="00A5430A" w:rsidP="00A5430A">
      <w:pPr>
        <w:spacing w:after="120" w:line="240" w:lineRule="auto"/>
        <w:ind w:left="2268" w:right="1134"/>
        <w:jc w:val="both"/>
      </w:pPr>
      <w:r w:rsidRPr="001932D6">
        <w:rPr>
          <w:lang w:val="en-US"/>
        </w:rPr>
        <w:t xml:space="preserve">The fuel shall be the reference fuel whose specifications are given in </w:t>
      </w:r>
      <w:r>
        <w:rPr>
          <w:lang w:val="en-US"/>
        </w:rPr>
        <w:t>A</w:t>
      </w:r>
      <w:r w:rsidRPr="001932D6">
        <w:rPr>
          <w:lang w:val="en-US"/>
        </w:rPr>
        <w:t>nnex 6 to this Regulation</w:t>
      </w:r>
      <w:r w:rsidRPr="009C031F">
        <w:t>.</w:t>
      </w:r>
    </w:p>
    <w:p w14:paraId="5E23E6F0" w14:textId="77777777" w:rsidR="00A5430A" w:rsidRDefault="00A5430A" w:rsidP="00A5430A">
      <w:pPr>
        <w:spacing w:after="120" w:line="240" w:lineRule="auto"/>
        <w:ind w:left="2268" w:right="1134"/>
        <w:jc w:val="both"/>
        <w:rPr>
          <w:bCs/>
          <w:lang w:val="en-US" w:eastAsia="nl-NL"/>
        </w:rPr>
      </w:pPr>
      <w:r w:rsidRPr="00CC2658">
        <w:rPr>
          <w:bCs/>
        </w:rPr>
        <w:t xml:space="preserve">In the case that testing for </w:t>
      </w:r>
      <w:r w:rsidRPr="00CC2658">
        <w:rPr>
          <w:b/>
        </w:rPr>
        <w:t>Engine Power</w:t>
      </w:r>
      <w:r w:rsidRPr="00CC2658">
        <w:rPr>
          <w:bCs/>
          <w:strike/>
        </w:rPr>
        <w:t>emission of gaseous and particulate pollutants</w:t>
      </w:r>
      <w:r w:rsidRPr="00CC2658">
        <w:rPr>
          <w:bCs/>
        </w:rPr>
        <w:t xml:space="preserve"> according to UN Regulation</w:t>
      </w:r>
      <w:r w:rsidRPr="00CC2658">
        <w:rPr>
          <w:bCs/>
          <w:strike/>
        </w:rPr>
        <w:t>s</w:t>
      </w:r>
      <w:r w:rsidRPr="00CC2658">
        <w:rPr>
          <w:bCs/>
        </w:rPr>
        <w:t xml:space="preserve"> No</w:t>
      </w:r>
      <w:r w:rsidRPr="002D62FC">
        <w:rPr>
          <w:bCs/>
          <w:strike/>
        </w:rPr>
        <w:t>s</w:t>
      </w:r>
      <w:r w:rsidRPr="00CC2658">
        <w:rPr>
          <w:bCs/>
        </w:rPr>
        <w:t xml:space="preserve">. 85 and/or </w:t>
      </w:r>
      <w:r w:rsidRPr="00914D31">
        <w:rPr>
          <w:b/>
        </w:rPr>
        <w:t>testing</w:t>
      </w:r>
      <w:r>
        <w:rPr>
          <w:bCs/>
        </w:rPr>
        <w:t xml:space="preserve"> </w:t>
      </w:r>
      <w:r w:rsidRPr="00CC2658">
        <w:rPr>
          <w:b/>
        </w:rPr>
        <w:t>for emission of gaseous and particulate pollutants according to UN Regulation</w:t>
      </w:r>
      <w:r>
        <w:rPr>
          <w:bCs/>
        </w:rPr>
        <w:t xml:space="preserve"> </w:t>
      </w:r>
      <w:r w:rsidRPr="002D62FC">
        <w:rPr>
          <w:b/>
        </w:rPr>
        <w:t>No.</w:t>
      </w:r>
      <w:r>
        <w:rPr>
          <w:bCs/>
        </w:rPr>
        <w:t xml:space="preserve"> </w:t>
      </w:r>
      <w:r w:rsidRPr="00CC2658">
        <w:rPr>
          <w:bCs/>
        </w:rPr>
        <w:t>49 is conducted at the same time as testing to this Regulation, at the request of the manufacturer the fuel for testing emission of gaseous and particulate pollutants may be used for testing to this Regulation.</w:t>
      </w:r>
      <w:r w:rsidRPr="00CC2658">
        <w:rPr>
          <w:bCs/>
          <w:lang w:val="en-US" w:eastAsia="nl-NL"/>
        </w:rPr>
        <w:t>"</w:t>
      </w:r>
    </w:p>
    <w:p w14:paraId="225F6AB8" w14:textId="77777777" w:rsidR="00A5430A" w:rsidRPr="0048422C" w:rsidRDefault="00A5430A" w:rsidP="00A5430A">
      <w:pPr>
        <w:spacing w:after="120"/>
        <w:ind w:left="2300" w:right="1134" w:hanging="1166"/>
        <w:jc w:val="both"/>
        <w:rPr>
          <w:i/>
          <w:lang w:eastAsia="ja-JP"/>
        </w:rPr>
      </w:pPr>
      <w:r w:rsidRPr="0048422C">
        <w:rPr>
          <w:i/>
          <w:lang w:val="en-US"/>
        </w:rPr>
        <w:t xml:space="preserve">Annex </w:t>
      </w:r>
      <w:r>
        <w:rPr>
          <w:i/>
          <w:lang w:val="en-US"/>
        </w:rPr>
        <w:t>5</w:t>
      </w:r>
      <w:r w:rsidRPr="0048422C">
        <w:rPr>
          <w:rFonts w:hint="eastAsia"/>
          <w:i/>
          <w:lang w:eastAsia="ja-JP"/>
        </w:rPr>
        <w:t>,</w:t>
      </w:r>
      <w:r w:rsidRPr="0048422C">
        <w:rPr>
          <w:rFonts w:hint="eastAsia"/>
          <w:lang w:eastAsia="ja-JP"/>
        </w:rPr>
        <w:t xml:space="preserve"> </w:t>
      </w:r>
      <w:r>
        <w:rPr>
          <w:lang w:eastAsia="ja-JP"/>
        </w:rPr>
        <w:t>add new</w:t>
      </w:r>
      <w:r w:rsidRPr="0048422C">
        <w:rPr>
          <w:lang w:eastAsia="ja-JP"/>
        </w:rPr>
        <w:t xml:space="preserve"> </w:t>
      </w:r>
      <w:r w:rsidRPr="0048422C">
        <w:rPr>
          <w:i/>
          <w:lang w:val="en-US"/>
        </w:rPr>
        <w:t xml:space="preserve">Paragraph </w:t>
      </w:r>
      <w:r>
        <w:rPr>
          <w:i/>
          <w:lang w:val="en-US"/>
        </w:rPr>
        <w:t>1</w:t>
      </w:r>
      <w:r w:rsidRPr="0048422C">
        <w:rPr>
          <w:i/>
          <w:lang w:val="en-US"/>
        </w:rPr>
        <w:t>.</w:t>
      </w:r>
      <w:r>
        <w:rPr>
          <w:i/>
          <w:lang w:val="en-US"/>
        </w:rPr>
        <w:t xml:space="preserve">5. to </w:t>
      </w:r>
      <w:r w:rsidRPr="0048422C">
        <w:rPr>
          <w:lang w:eastAsia="ja-JP"/>
        </w:rPr>
        <w:t>read</w:t>
      </w:r>
      <w:r w:rsidRPr="0048422C">
        <w:rPr>
          <w:rFonts w:hint="eastAsia"/>
          <w:lang w:eastAsia="ja-JP"/>
        </w:rPr>
        <w:t>:</w:t>
      </w:r>
    </w:p>
    <w:p w14:paraId="418DCD0A" w14:textId="77777777" w:rsidR="00A5430A" w:rsidRPr="00D02614" w:rsidRDefault="00A5430A" w:rsidP="00A5430A">
      <w:pPr>
        <w:spacing w:after="120"/>
        <w:ind w:left="2300" w:right="1134" w:hanging="1166"/>
        <w:rPr>
          <w:b/>
          <w:bCs/>
        </w:rPr>
      </w:pPr>
      <w:r w:rsidRPr="0048422C">
        <w:t>"</w:t>
      </w:r>
      <w:r w:rsidRPr="00D02614">
        <w:rPr>
          <w:b/>
          <w:bCs/>
        </w:rPr>
        <w:t>1.5</w:t>
      </w:r>
      <w:r>
        <w:rPr>
          <w:b/>
          <w:bCs/>
        </w:rPr>
        <w:t>.</w:t>
      </w:r>
      <w:r w:rsidRPr="00D02614">
        <w:rPr>
          <w:b/>
          <w:bCs/>
        </w:rPr>
        <w:t xml:space="preserve"> </w:t>
      </w:r>
      <w:r w:rsidRPr="00D02614">
        <w:rPr>
          <w:b/>
          <w:bCs/>
        </w:rPr>
        <w:tab/>
        <w:t>Fuel</w:t>
      </w:r>
    </w:p>
    <w:p w14:paraId="77FFDB4F" w14:textId="77777777" w:rsidR="00A5430A" w:rsidRPr="00F66D7E" w:rsidRDefault="00A5430A" w:rsidP="00A5430A">
      <w:pPr>
        <w:spacing w:after="120"/>
        <w:ind w:left="2300" w:right="1134" w:hanging="1166"/>
        <w:rPr>
          <w:i/>
        </w:rPr>
      </w:pPr>
      <w:r w:rsidRPr="00D02614">
        <w:rPr>
          <w:b/>
          <w:bCs/>
        </w:rPr>
        <w:t xml:space="preserve">                  </w:t>
      </w:r>
      <w:r w:rsidRPr="00D02614">
        <w:rPr>
          <w:b/>
          <w:bCs/>
        </w:rPr>
        <w:tab/>
        <w:t xml:space="preserve">The fuel used shall be </w:t>
      </w:r>
      <w:r w:rsidRPr="0086379F">
        <w:rPr>
          <w:b/>
          <w:bCs/>
          <w:strike/>
          <w:color w:val="FF0000"/>
          <w:lang w:val="en-US"/>
        </w:rPr>
        <w:t>the one available on the market</w:t>
      </w:r>
      <w:r w:rsidRPr="0086379F">
        <w:rPr>
          <w:color w:val="FF0000"/>
          <w:lang w:val="en-US"/>
        </w:rPr>
        <w:t xml:space="preserve"> </w:t>
      </w:r>
      <w:r w:rsidRPr="00B6113A">
        <w:rPr>
          <w:b/>
          <w:bCs/>
          <w:color w:val="FF0000"/>
        </w:rPr>
        <w:t>commercially available</w:t>
      </w:r>
      <w:r w:rsidRPr="00D02614">
        <w:rPr>
          <w:b/>
          <w:bCs/>
        </w:rPr>
        <w:t>. In any case of dispute, the fuel shall be the reference fuel whose specifications are given in Annex 6 to this Regulation.</w:t>
      </w:r>
      <w:r w:rsidRPr="0048422C">
        <w:t>"</w:t>
      </w:r>
    </w:p>
    <w:p w14:paraId="2D8D6E5F" w14:textId="77777777" w:rsidR="00A5430A" w:rsidRPr="0048422C" w:rsidRDefault="00A5430A" w:rsidP="00A5430A">
      <w:pPr>
        <w:spacing w:after="120"/>
        <w:ind w:left="2300" w:right="1134" w:hanging="1166"/>
        <w:jc w:val="both"/>
        <w:rPr>
          <w:i/>
          <w:lang w:eastAsia="ja-JP"/>
        </w:rPr>
      </w:pPr>
      <w:r w:rsidRPr="0048422C">
        <w:rPr>
          <w:i/>
          <w:lang w:val="en-US"/>
        </w:rPr>
        <w:t>Annex 10, Paragraph 9.1.</w:t>
      </w:r>
      <w:r w:rsidRPr="0048422C">
        <w:rPr>
          <w:rFonts w:hint="eastAsia"/>
          <w:i/>
          <w:lang w:eastAsia="ja-JP"/>
        </w:rPr>
        <w:t>,</w:t>
      </w:r>
      <w:r w:rsidRPr="0048422C">
        <w:rPr>
          <w:rFonts w:hint="eastAsia"/>
          <w:lang w:eastAsia="ja-JP"/>
        </w:rPr>
        <w:t xml:space="preserve"> amend </w:t>
      </w:r>
      <w:r w:rsidRPr="0048422C">
        <w:rPr>
          <w:lang w:eastAsia="ja-JP"/>
        </w:rPr>
        <w:t>to read</w:t>
      </w:r>
      <w:r w:rsidRPr="0048422C">
        <w:rPr>
          <w:rFonts w:hint="eastAsia"/>
          <w:lang w:eastAsia="ja-JP"/>
        </w:rPr>
        <w:t>:</w:t>
      </w:r>
    </w:p>
    <w:p w14:paraId="25CFF1FA" w14:textId="77777777" w:rsidR="00A5430A" w:rsidRPr="0048422C" w:rsidRDefault="00A5430A" w:rsidP="00A5430A">
      <w:pPr>
        <w:spacing w:after="120"/>
        <w:ind w:left="2300" w:right="1134" w:hanging="1166"/>
        <w:rPr>
          <w:strike/>
        </w:rPr>
      </w:pPr>
      <w:r w:rsidRPr="0048422C">
        <w:t>"9.1</w:t>
      </w:r>
      <w:r>
        <w:t>.</w:t>
      </w:r>
      <w:r w:rsidRPr="0048422C">
        <w:tab/>
      </w:r>
      <w:r w:rsidRPr="0048422C">
        <w:rPr>
          <w:strike/>
        </w:rPr>
        <w:t>The net power of the engine measured by the technical service may differ by ± 2 per cent from the net power specified by the manufacturer, with a tolerance of 1.5 per cent for the engine speed.</w:t>
      </w:r>
    </w:p>
    <w:p w14:paraId="3582D7E4" w14:textId="77777777" w:rsidR="00A5430A" w:rsidRDefault="00A5430A" w:rsidP="00A5430A">
      <w:pPr>
        <w:spacing w:after="120" w:line="240" w:lineRule="auto"/>
        <w:ind w:left="2268" w:right="1134"/>
        <w:jc w:val="both"/>
        <w:rPr>
          <w:bCs/>
          <w:lang w:val="en-US" w:eastAsia="nl-NL"/>
        </w:rPr>
      </w:pPr>
      <w:r w:rsidRPr="0048422C">
        <w:tab/>
      </w:r>
      <w:r w:rsidRPr="0048422C">
        <w:rPr>
          <w:b/>
        </w:rPr>
        <w:t>The net power indicated by the manufacturer shall be accepted if it does not differ by more than ± 2 per cent for maximum power and more than ± 4 per cent at the other measurement points on the curve with a tolerance of ± 2 per cent for engine speed, or within the engine speed range (X1 min</w:t>
      </w:r>
      <w:r w:rsidRPr="0048422C">
        <w:rPr>
          <w:b/>
          <w:vertAlign w:val="superscript"/>
        </w:rPr>
        <w:t>-1</w:t>
      </w:r>
      <w:r w:rsidRPr="0048422C">
        <w:rPr>
          <w:b/>
        </w:rPr>
        <w:t xml:space="preserve"> - 2 per cent) to (X2 min</w:t>
      </w:r>
      <w:r w:rsidRPr="0048422C">
        <w:rPr>
          <w:b/>
          <w:vertAlign w:val="superscript"/>
        </w:rPr>
        <w:t>-1</w:t>
      </w:r>
      <w:r w:rsidRPr="0048422C">
        <w:rPr>
          <w:b/>
        </w:rPr>
        <w:t xml:space="preserve"> +2 per cent) (X1 &lt; X2) from the values measured by the technical service on the engine submitted for testing.</w:t>
      </w:r>
      <w:r w:rsidRPr="0048422C">
        <w:rPr>
          <w:lang w:eastAsia="ja-JP"/>
        </w:rPr>
        <w:t>"</w:t>
      </w:r>
    </w:p>
    <w:p w14:paraId="1E7D517A" w14:textId="77777777" w:rsidR="007A3E5C" w:rsidRPr="00A5430A" w:rsidRDefault="007A3E5C" w:rsidP="001A3844">
      <w:pPr>
        <w:pStyle w:val="Default"/>
        <w:ind w:right="805"/>
        <w:rPr>
          <w:b/>
          <w:bCs/>
          <w:sz w:val="28"/>
          <w:szCs w:val="28"/>
        </w:rPr>
      </w:pPr>
    </w:p>
    <w:p w14:paraId="7F576769" w14:textId="6DD4F9BA" w:rsidR="001A3844" w:rsidRPr="00D96AA7" w:rsidRDefault="001A3844" w:rsidP="001A3844">
      <w:pPr>
        <w:pStyle w:val="Default"/>
        <w:ind w:right="805"/>
        <w:rPr>
          <w:b/>
          <w:bCs/>
          <w:sz w:val="28"/>
          <w:szCs w:val="28"/>
          <w:lang w:val="en-GB"/>
        </w:rPr>
      </w:pPr>
      <w:r w:rsidRPr="00D96AA7">
        <w:rPr>
          <w:b/>
          <w:bCs/>
          <w:sz w:val="28"/>
          <w:szCs w:val="28"/>
          <w:lang w:val="en-GB"/>
        </w:rPr>
        <w:lastRenderedPageBreak/>
        <w:t>II. Justification</w:t>
      </w:r>
    </w:p>
    <w:p w14:paraId="57271344" w14:textId="77777777" w:rsidR="001A3844" w:rsidRPr="008A31FE" w:rsidRDefault="001A3844" w:rsidP="001A3844">
      <w:pPr>
        <w:pStyle w:val="Default"/>
        <w:ind w:left="1134" w:right="1110"/>
        <w:rPr>
          <w:sz w:val="20"/>
          <w:szCs w:val="20"/>
          <w:lang w:val="en-GB"/>
        </w:rPr>
      </w:pPr>
    </w:p>
    <w:p w14:paraId="161F53E1" w14:textId="77777777" w:rsidR="00A5430A" w:rsidRPr="008A31FE" w:rsidRDefault="00A5430A" w:rsidP="00A5430A">
      <w:pPr>
        <w:pStyle w:val="ListParagraph"/>
        <w:widowControl/>
        <w:numPr>
          <w:ilvl w:val="0"/>
          <w:numId w:val="33"/>
        </w:numPr>
        <w:spacing w:after="120"/>
        <w:ind w:left="1134" w:right="1134" w:firstLine="0"/>
        <w:rPr>
          <w:sz w:val="20"/>
          <w:szCs w:val="20"/>
          <w:lang w:val="en-US"/>
        </w:rPr>
      </w:pPr>
      <w:r w:rsidRPr="008A31FE">
        <w:rPr>
          <w:sz w:val="20"/>
          <w:szCs w:val="20"/>
          <w:lang w:val="en-US"/>
        </w:rPr>
        <w:t>The wording at the end of paragraph 8.3.1. should be reversed to reflect the new wording proposed in Annex 5.</w:t>
      </w:r>
    </w:p>
    <w:p w14:paraId="4AE19283" w14:textId="77777777" w:rsidR="00A5430A" w:rsidRPr="008A31FE" w:rsidRDefault="00A5430A" w:rsidP="00A5430A">
      <w:pPr>
        <w:pStyle w:val="ListParagraph"/>
        <w:widowControl/>
        <w:numPr>
          <w:ilvl w:val="0"/>
          <w:numId w:val="33"/>
        </w:numPr>
        <w:spacing w:after="120"/>
        <w:ind w:left="1134" w:right="1134" w:firstLine="0"/>
        <w:rPr>
          <w:sz w:val="20"/>
          <w:szCs w:val="20"/>
          <w:lang w:val="en-US"/>
        </w:rPr>
      </w:pPr>
      <w:r w:rsidRPr="008A31FE">
        <w:rPr>
          <w:sz w:val="20"/>
          <w:szCs w:val="20"/>
          <w:lang w:val="en-US"/>
        </w:rPr>
        <w:t>Recent amendments have attempted to clarify the fuels which may be used for the various stages of approval but it has since been noticed that this clarity is still absent from Annex 5 (free acceleration test). This new paragraph therefore makes Annex 5 consistent with Annex 4.</w:t>
      </w:r>
    </w:p>
    <w:p w14:paraId="4ABE9922" w14:textId="1D8D7838" w:rsidR="00A5430A" w:rsidRPr="008A31FE" w:rsidRDefault="00A5430A" w:rsidP="00A5430A">
      <w:pPr>
        <w:pStyle w:val="ListParagraph"/>
        <w:widowControl/>
        <w:numPr>
          <w:ilvl w:val="0"/>
          <w:numId w:val="33"/>
        </w:numPr>
        <w:spacing w:after="120"/>
        <w:ind w:left="1134" w:right="1134" w:firstLine="0"/>
        <w:rPr>
          <w:sz w:val="20"/>
          <w:szCs w:val="20"/>
          <w:lang w:val="en-US"/>
        </w:rPr>
      </w:pPr>
      <w:r w:rsidRPr="008A31FE">
        <w:rPr>
          <w:sz w:val="20"/>
          <w:szCs w:val="20"/>
          <w:lang w:val="en-US"/>
        </w:rPr>
        <w:t>An amendment was adopted at GRPE 86 in June 2022 to introduce the allowance of harmonized reference fuels. Sadly, however the text contained a contradiction between the words “testing for emission of gaseous and particulate pollutants” and the references to “UN Regulations Nos. 85 and/or 49” as R 85 is not emissions legislation.</w:t>
      </w:r>
    </w:p>
    <w:p w14:paraId="0D059CA0" w14:textId="77777777" w:rsidR="00A5430A" w:rsidRPr="008A31FE" w:rsidRDefault="00A5430A" w:rsidP="00A5430A">
      <w:pPr>
        <w:pStyle w:val="ListParagraph"/>
        <w:widowControl/>
        <w:numPr>
          <w:ilvl w:val="0"/>
          <w:numId w:val="33"/>
        </w:numPr>
        <w:spacing w:after="120"/>
        <w:ind w:left="1134" w:right="1134" w:firstLine="0"/>
        <w:rPr>
          <w:sz w:val="20"/>
          <w:szCs w:val="20"/>
          <w:lang w:val="en-US"/>
        </w:rPr>
      </w:pPr>
      <w:r w:rsidRPr="008A31FE">
        <w:rPr>
          <w:sz w:val="20"/>
          <w:szCs w:val="20"/>
          <w:lang w:val="en-US"/>
        </w:rPr>
        <w:t>GRPE 87 discussed and adopted a similar amendment to Regulation 85 (GRPE-2022-08e as amended by GRPE-87-16e) in January 2023 and this proposal seeks to bring consistency.</w:t>
      </w:r>
    </w:p>
    <w:p w14:paraId="2B564F7D" w14:textId="77777777" w:rsidR="00A5430A" w:rsidRPr="008A31FE" w:rsidRDefault="00A5430A" w:rsidP="00A5430A">
      <w:pPr>
        <w:pStyle w:val="ListParagraph"/>
        <w:widowControl/>
        <w:numPr>
          <w:ilvl w:val="0"/>
          <w:numId w:val="33"/>
        </w:numPr>
        <w:spacing w:after="120"/>
        <w:ind w:left="1134" w:right="1134" w:firstLine="0"/>
        <w:rPr>
          <w:sz w:val="20"/>
          <w:szCs w:val="20"/>
          <w:lang w:val="en-US"/>
        </w:rPr>
      </w:pPr>
      <w:r w:rsidRPr="008A31FE">
        <w:rPr>
          <w:sz w:val="20"/>
          <w:szCs w:val="20"/>
        </w:rPr>
        <w:t xml:space="preserve">Alignment with UN Regulation No. 85, i.e. </w:t>
      </w:r>
      <w:r w:rsidRPr="008A31FE">
        <w:rPr>
          <w:b/>
          <w:bCs/>
          <w:sz w:val="20"/>
          <w:szCs w:val="20"/>
        </w:rPr>
        <w:t>±</w:t>
      </w:r>
      <w:r w:rsidRPr="008A31FE">
        <w:rPr>
          <w:sz w:val="20"/>
          <w:szCs w:val="20"/>
        </w:rPr>
        <w:t xml:space="preserve"> 2 per cent at maximum power and </w:t>
      </w:r>
      <w:r w:rsidRPr="008A31FE">
        <w:rPr>
          <w:b/>
          <w:bCs/>
          <w:sz w:val="20"/>
          <w:szCs w:val="20"/>
        </w:rPr>
        <w:t>±</w:t>
      </w:r>
      <w:r w:rsidRPr="008A31FE">
        <w:rPr>
          <w:sz w:val="20"/>
          <w:szCs w:val="20"/>
        </w:rPr>
        <w:t xml:space="preserve"> 4 per cent at other measuring points. Supplement 8 considered this only for Annex 4 (TEST AT STEADY SPEEDS OVER THE FULL-LOAD CURVE) and not for Annex 10 ("ECE" METHOD OF MEASURING THE NET POWER OF C.I. ENGINES).</w:t>
      </w:r>
    </w:p>
    <w:p w14:paraId="12FC3878" w14:textId="003A662E" w:rsidR="008A31FE" w:rsidRPr="008A31FE" w:rsidRDefault="008A31FE" w:rsidP="008A31FE">
      <w:pPr>
        <w:pStyle w:val="ListParagraph"/>
        <w:numPr>
          <w:ilvl w:val="0"/>
          <w:numId w:val="33"/>
        </w:numPr>
        <w:ind w:left="1134" w:right="1134" w:firstLine="0"/>
        <w:rPr>
          <w:color w:val="FF0000"/>
          <w:sz w:val="20"/>
          <w:szCs w:val="20"/>
          <w:lang w:eastAsia="fr-FR"/>
        </w:rPr>
      </w:pPr>
      <w:r w:rsidRPr="008A31FE">
        <w:rPr>
          <w:color w:val="FF0000"/>
          <w:sz w:val="20"/>
          <w:szCs w:val="20"/>
        </w:rPr>
        <w:t>The wording is inconsistent “commercially available fuel” vs “fuel available on the market”.</w:t>
      </w:r>
    </w:p>
    <w:p w14:paraId="42F045AF" w14:textId="77777777" w:rsidR="00A5430A" w:rsidRPr="00A5430A" w:rsidRDefault="00A5430A" w:rsidP="008A31FE">
      <w:pPr>
        <w:pStyle w:val="ListParagraph"/>
        <w:widowControl/>
        <w:spacing w:after="120"/>
        <w:ind w:left="1134" w:right="1134"/>
        <w:rPr>
          <w:sz w:val="20"/>
          <w:szCs w:val="20"/>
          <w:lang w:val="en-US"/>
        </w:rPr>
      </w:pPr>
    </w:p>
    <w:p w14:paraId="37CA7E27" w14:textId="77777777"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355AA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1134" w:footer="91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AA92" w14:textId="77777777" w:rsidR="00E80C7D" w:rsidRDefault="00E80C7D"/>
  </w:endnote>
  <w:endnote w:type="continuationSeparator" w:id="0">
    <w:p w14:paraId="36CE7557" w14:textId="77777777" w:rsidR="00E80C7D" w:rsidRDefault="00E80C7D"/>
  </w:endnote>
  <w:endnote w:type="continuationNotice" w:id="1">
    <w:p w14:paraId="06F7E607" w14:textId="77777777" w:rsidR="00E80C7D" w:rsidRDefault="00E80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4</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A859" w14:textId="77777777" w:rsidR="00053754" w:rsidRDefault="0005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889E" w14:textId="77777777" w:rsidR="00E80C7D" w:rsidRPr="000B175B" w:rsidRDefault="00E80C7D" w:rsidP="000B175B">
      <w:pPr>
        <w:tabs>
          <w:tab w:val="right" w:pos="2155"/>
        </w:tabs>
        <w:spacing w:after="80"/>
        <w:ind w:left="680"/>
        <w:rPr>
          <w:u w:val="single"/>
        </w:rPr>
      </w:pPr>
      <w:r>
        <w:rPr>
          <w:u w:val="single"/>
        </w:rPr>
        <w:tab/>
      </w:r>
    </w:p>
  </w:footnote>
  <w:footnote w:type="continuationSeparator" w:id="0">
    <w:p w14:paraId="5A0D72D8" w14:textId="77777777" w:rsidR="00E80C7D" w:rsidRPr="00FC68B7" w:rsidRDefault="00E80C7D" w:rsidP="00FC68B7">
      <w:pPr>
        <w:tabs>
          <w:tab w:val="left" w:pos="2155"/>
        </w:tabs>
        <w:spacing w:after="80"/>
        <w:ind w:left="680"/>
        <w:rPr>
          <w:u w:val="single"/>
        </w:rPr>
      </w:pPr>
      <w:r>
        <w:rPr>
          <w:u w:val="single"/>
        </w:rPr>
        <w:tab/>
      </w:r>
    </w:p>
  </w:footnote>
  <w:footnote w:type="continuationNotice" w:id="1">
    <w:p w14:paraId="64BBD243" w14:textId="77777777" w:rsidR="00E80C7D" w:rsidRDefault="00E80C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587FBA8D" w:rsidR="00484DBC" w:rsidRPr="00AB190E" w:rsidRDefault="001A3844" w:rsidP="00DE1EBA">
    <w:pPr>
      <w:pStyle w:val="Header"/>
      <w:rPr>
        <w:bCs/>
      </w:rPr>
    </w:pPr>
    <w:r w:rsidRPr="00EE5A28">
      <w:rPr>
        <w:bCs/>
      </w:rPr>
      <w:t>GRPE-8</w:t>
    </w:r>
    <w:r w:rsidR="00AB190E">
      <w:rPr>
        <w:bCs/>
      </w:rPr>
      <w:t>9</w:t>
    </w:r>
    <w:r w:rsidRPr="00EE5A28">
      <w:rPr>
        <w:bCs/>
      </w:rPr>
      <w:t>-</w:t>
    </w:r>
    <w:r w:rsidR="00053754">
      <w:rPr>
        <w:bCs/>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A078694" w:rsidR="00484DBC" w:rsidRPr="001A3844" w:rsidRDefault="001A3844" w:rsidP="001A3844">
    <w:pPr>
      <w:pStyle w:val="Header"/>
      <w:jc w:val="right"/>
    </w:pPr>
    <w:r w:rsidRPr="00EE5A28">
      <w:rPr>
        <w:bCs/>
      </w:rPr>
      <w:t>GRPE-8</w:t>
    </w:r>
    <w:r w:rsidR="005F7EB6">
      <w:rPr>
        <w:bCs/>
      </w:rPr>
      <w:t>9</w:t>
    </w:r>
    <w:r w:rsidRPr="00EE5A28">
      <w:rPr>
        <w:bCs/>
      </w:rPr>
      <w:t>-</w:t>
    </w:r>
    <w:r w:rsidR="005F7EB6" w:rsidRPr="005F7EB6">
      <w:rPr>
        <w:bCs/>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5840DEC" w14:textId="06E54C0E" w:rsidR="001A3844" w:rsidRPr="00096033" w:rsidRDefault="001A3844" w:rsidP="003570E6">
          <w:pPr>
            <w:tabs>
              <w:tab w:val="right" w:pos="9026"/>
            </w:tabs>
            <w:ind w:left="1416" w:right="-54"/>
          </w:pPr>
          <w:r w:rsidRPr="008C3F2E">
            <w:t>Informal document</w:t>
          </w:r>
          <w:r w:rsidRPr="00EE5A28">
            <w:t xml:space="preserve"> </w:t>
          </w:r>
          <w:r w:rsidRPr="00EE5A28">
            <w:rPr>
              <w:b/>
              <w:bCs/>
            </w:rPr>
            <w:t>GRPE-8</w:t>
          </w:r>
          <w:r w:rsidR="00096033">
            <w:rPr>
              <w:b/>
              <w:bCs/>
            </w:rPr>
            <w:t>9</w:t>
          </w:r>
          <w:r w:rsidRPr="00EE5A28">
            <w:rPr>
              <w:b/>
              <w:bCs/>
            </w:rPr>
            <w:t>-</w:t>
          </w:r>
          <w:r w:rsidR="00053754">
            <w:rPr>
              <w:b/>
              <w:bCs/>
            </w:rPr>
            <w:t>18</w:t>
          </w:r>
        </w:p>
        <w:p w14:paraId="661718A8" w14:textId="74068858" w:rsidR="001A3844" w:rsidRPr="00096033" w:rsidRDefault="001A3844" w:rsidP="003570E6">
          <w:pPr>
            <w:tabs>
              <w:tab w:val="center" w:pos="4513"/>
              <w:tab w:val="right" w:pos="9026"/>
            </w:tabs>
            <w:ind w:left="1416"/>
            <w:rPr>
              <w:bCs/>
            </w:rPr>
          </w:pPr>
          <w:r w:rsidRPr="00096033">
            <w:rPr>
              <w:bCs/>
            </w:rPr>
            <w:t>8</w:t>
          </w:r>
          <w:r w:rsidR="00096033">
            <w:rPr>
              <w:bCs/>
            </w:rPr>
            <w:t>9</w:t>
          </w:r>
          <w:r w:rsidRPr="00096033">
            <w:rPr>
              <w:bCs/>
              <w:vertAlign w:val="superscript"/>
            </w:rPr>
            <w:t>th</w:t>
          </w:r>
          <w:r w:rsidRPr="00096033">
            <w:rPr>
              <w:bCs/>
            </w:rPr>
            <w:t xml:space="preserve"> GRPE, </w:t>
          </w:r>
          <w:r w:rsidR="00F64D78" w:rsidRPr="00096033">
            <w:rPr>
              <w:bCs/>
            </w:rPr>
            <w:t>3</w:t>
          </w:r>
          <w:r w:rsidR="003570E6" w:rsidRPr="00096033">
            <w:rPr>
              <w:bCs/>
            </w:rPr>
            <w:t>0</w:t>
          </w:r>
          <w:r w:rsidR="00F64D78" w:rsidRPr="00096033">
            <w:rPr>
              <w:bCs/>
            </w:rPr>
            <w:t xml:space="preserve"> May</w:t>
          </w:r>
          <w:r w:rsidRPr="00096033">
            <w:rPr>
              <w:bCs/>
            </w:rPr>
            <w:t xml:space="preserve"> </w:t>
          </w:r>
          <w:r w:rsidR="000A5E7F" w:rsidRPr="00096033">
            <w:rPr>
              <w:bCs/>
            </w:rPr>
            <w:t>–</w:t>
          </w:r>
          <w:r w:rsidRPr="00096033">
            <w:rPr>
              <w:bCs/>
            </w:rPr>
            <w:t xml:space="preserve"> </w:t>
          </w:r>
          <w:r w:rsidR="000A5E7F" w:rsidRPr="00096033">
            <w:rPr>
              <w:bCs/>
            </w:rPr>
            <w:t>02 June</w:t>
          </w:r>
          <w:r w:rsidRPr="00096033">
            <w:rPr>
              <w:bCs/>
            </w:rPr>
            <w:t xml:space="preserve"> 202</w:t>
          </w:r>
          <w:r w:rsidR="003570E6" w:rsidRPr="00096033">
            <w:rPr>
              <w:bCs/>
            </w:rPr>
            <w:t>3</w:t>
          </w:r>
        </w:p>
        <w:p w14:paraId="1F19E409" w14:textId="61109F78" w:rsidR="001A3844" w:rsidRPr="001212DD" w:rsidRDefault="001A3844" w:rsidP="003570E6">
          <w:pPr>
            <w:tabs>
              <w:tab w:val="center" w:pos="4513"/>
              <w:tab w:val="right" w:pos="9026"/>
            </w:tabs>
            <w:ind w:left="1416"/>
          </w:pPr>
          <w:r w:rsidRPr="00096033">
            <w:t xml:space="preserve">Agenda item </w:t>
          </w:r>
          <w:r w:rsidR="00A5430A" w:rsidRPr="00A5430A">
            <w:t>5</w:t>
          </w:r>
          <w:r w:rsidRPr="00A5430A">
            <w:t>.</w:t>
          </w:r>
        </w:p>
        <w:p w14:paraId="1F9358C2" w14:textId="0702124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15:restartNumberingAfterBreak="0">
    <w:nsid w:val="79CE3251"/>
    <w:multiLevelType w:val="hybridMultilevel"/>
    <w:tmpl w:val="B45EF378"/>
    <w:lvl w:ilvl="0" w:tplc="F5BE18F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627858564">
    <w:abstractNumId w:val="1"/>
  </w:num>
  <w:num w:numId="2" w16cid:durableId="2005546684">
    <w:abstractNumId w:val="0"/>
  </w:num>
  <w:num w:numId="3" w16cid:durableId="1279072031">
    <w:abstractNumId w:val="2"/>
  </w:num>
  <w:num w:numId="4" w16cid:durableId="573779729">
    <w:abstractNumId w:val="3"/>
  </w:num>
  <w:num w:numId="5" w16cid:durableId="1477649959">
    <w:abstractNumId w:val="8"/>
  </w:num>
  <w:num w:numId="6" w16cid:durableId="1964146003">
    <w:abstractNumId w:val="9"/>
  </w:num>
  <w:num w:numId="7" w16cid:durableId="877668277">
    <w:abstractNumId w:val="7"/>
  </w:num>
  <w:num w:numId="8" w16cid:durableId="1965572991">
    <w:abstractNumId w:val="6"/>
  </w:num>
  <w:num w:numId="9" w16cid:durableId="595872404">
    <w:abstractNumId w:val="5"/>
  </w:num>
  <w:num w:numId="10" w16cid:durableId="389424319">
    <w:abstractNumId w:val="4"/>
  </w:num>
  <w:num w:numId="11" w16cid:durableId="67503916">
    <w:abstractNumId w:val="24"/>
  </w:num>
  <w:num w:numId="12" w16cid:durableId="829101045">
    <w:abstractNumId w:val="14"/>
  </w:num>
  <w:num w:numId="13" w16cid:durableId="1467355574">
    <w:abstractNumId w:val="11"/>
  </w:num>
  <w:num w:numId="14" w16cid:durableId="1429429411">
    <w:abstractNumId w:val="26"/>
  </w:num>
  <w:num w:numId="15" w16cid:durableId="2037347091">
    <w:abstractNumId w:val="30"/>
  </w:num>
  <w:num w:numId="16" w16cid:durableId="979769511">
    <w:abstractNumId w:val="15"/>
  </w:num>
  <w:num w:numId="17" w16cid:durableId="921570441">
    <w:abstractNumId w:val="17"/>
  </w:num>
  <w:num w:numId="18" w16cid:durableId="1328705850">
    <w:abstractNumId w:val="18"/>
  </w:num>
  <w:num w:numId="19" w16cid:durableId="141587491">
    <w:abstractNumId w:val="23"/>
  </w:num>
  <w:num w:numId="20" w16cid:durableId="45565678">
    <w:abstractNumId w:val="25"/>
  </w:num>
  <w:num w:numId="21" w16cid:durableId="1572740275">
    <w:abstractNumId w:val="20"/>
  </w:num>
  <w:num w:numId="22" w16cid:durableId="780606710">
    <w:abstractNumId w:val="13"/>
  </w:num>
  <w:num w:numId="23" w16cid:durableId="1312978052">
    <w:abstractNumId w:val="27"/>
  </w:num>
  <w:num w:numId="24" w16cid:durableId="2009095216">
    <w:abstractNumId w:val="29"/>
  </w:num>
  <w:num w:numId="25" w16cid:durableId="443961494">
    <w:abstractNumId w:val="10"/>
  </w:num>
  <w:num w:numId="26" w16cid:durableId="353504456">
    <w:abstractNumId w:val="28"/>
  </w:num>
  <w:num w:numId="27" w16cid:durableId="854415502">
    <w:abstractNumId w:val="21"/>
  </w:num>
  <w:num w:numId="28" w16cid:durableId="702243281">
    <w:abstractNumId w:val="16"/>
  </w:num>
  <w:num w:numId="29" w16cid:durableId="2017538953">
    <w:abstractNumId w:val="22"/>
  </w:num>
  <w:num w:numId="30" w16cid:durableId="1305621451">
    <w:abstractNumId w:val="19"/>
  </w:num>
  <w:num w:numId="31" w16cid:durableId="175578861">
    <w:abstractNumId w:val="31"/>
  </w:num>
  <w:num w:numId="32" w16cid:durableId="317539629">
    <w:abstractNumId w:val="12"/>
  </w:num>
  <w:num w:numId="33" w16cid:durableId="202336152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3754"/>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2D0E"/>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1FE"/>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3429"/>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30A"/>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90E"/>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0E1E"/>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986"/>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0C7D"/>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81507141">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2.xml><?xml version="1.0" encoding="utf-8"?>
<ds:datastoreItem xmlns:ds="http://schemas.openxmlformats.org/officeDocument/2006/customXml" ds:itemID="{4BC9B18B-C524-4F78-B790-F009F4ED6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B9ADC-1D76-42DB-B8CA-51F2FF280380}">
  <ds:schemaRefs>
    <ds:schemaRef ds:uri="http://schemas.openxmlformats.org/officeDocument/2006/bibliography"/>
  </ds:schemaRefs>
</ds:datastoreItem>
</file>

<file path=customXml/itemProps4.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2</Pages>
  <Words>594</Words>
  <Characters>3387</Characters>
  <Application>Microsoft Office Word</Application>
  <DocSecurity>0</DocSecurity>
  <Lines>28</Lines>
  <Paragraphs>7</Paragraphs>
  <ScaleCrop>false</ScaleCrop>
  <HeadingPairs>
    <vt:vector size="10" baseType="variant">
      <vt:variant>
        <vt:lpstr>Titre</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3</cp:revision>
  <cp:lastPrinted>2018-08-29T09:38:00Z</cp:lastPrinted>
  <dcterms:created xsi:type="dcterms:W3CDTF">2023-05-25T13:37:00Z</dcterms:created>
  <dcterms:modified xsi:type="dcterms:W3CDTF">2023-05-26T07:49:00Z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