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8647" w:type="dxa"/>
        <w:tblLayout w:type="fixed"/>
        <w:tblCellMar>
          <w:left w:w="0" w:type="dxa"/>
          <w:right w:w="0" w:type="dxa"/>
        </w:tblCellMar>
        <w:tblLook w:val="01E0" w:firstRow="1" w:lastRow="1" w:firstColumn="1" w:lastColumn="1" w:noHBand="0" w:noVBand="0"/>
      </w:tblPr>
      <w:tblGrid>
        <w:gridCol w:w="4118"/>
        <w:gridCol w:w="4529"/>
      </w:tblGrid>
      <w:tr w:rsidR="00AF0933" w:rsidRPr="006A046B" w14:paraId="19141C1C" w14:textId="77777777" w:rsidTr="00AF0933">
        <w:trPr>
          <w:cantSplit/>
          <w:trHeight w:val="996"/>
        </w:trPr>
        <w:tc>
          <w:tcPr>
            <w:tcW w:w="4118" w:type="dxa"/>
            <w:tcBorders>
              <w:bottom w:val="single" w:sz="4" w:space="0" w:color="auto"/>
            </w:tcBorders>
          </w:tcPr>
          <w:p w14:paraId="43381769" w14:textId="5E9D24D5" w:rsidR="00AF0933" w:rsidRPr="006A046B" w:rsidRDefault="00AF0933" w:rsidP="00AF0933">
            <w:pPr>
              <w:spacing w:after="120" w:line="240" w:lineRule="atLeast"/>
              <w:rPr>
                <w:rFonts w:ascii="Times New Roman" w:eastAsia="Times New Roman" w:hAnsi="Times New Roman" w:cs="Times New Roman"/>
                <w:sz w:val="20"/>
                <w:szCs w:val="20"/>
              </w:rPr>
            </w:pPr>
            <w:r w:rsidRPr="00AF0933">
              <w:rPr>
                <w:rFonts w:ascii="Times New Roman" w:eastAsia="Times New Roman" w:hAnsi="Times New Roman" w:cs="Times New Roman"/>
                <w:sz w:val="20"/>
                <w:szCs w:val="20"/>
              </w:rPr>
              <w:t>Submitted by the experts from EUROMOT</w:t>
            </w:r>
          </w:p>
        </w:tc>
        <w:tc>
          <w:tcPr>
            <w:tcW w:w="4529" w:type="dxa"/>
            <w:tcBorders>
              <w:bottom w:val="single" w:sz="4" w:space="0" w:color="auto"/>
            </w:tcBorders>
          </w:tcPr>
          <w:p w14:paraId="1B1BED72" w14:textId="673054A7" w:rsidR="00AF0933" w:rsidRPr="00AF0933" w:rsidRDefault="00AF0933" w:rsidP="009D6730">
            <w:pPr>
              <w:spacing w:after="0" w:line="240" w:lineRule="auto"/>
              <w:ind w:right="-502" w:firstLine="1542"/>
              <w:contextualSpacing/>
              <w:rPr>
                <w:rFonts w:ascii="Times New Roman" w:eastAsia="Times New Roman" w:hAnsi="Times New Roman" w:cs="Times New Roman"/>
                <w:sz w:val="20"/>
                <w:szCs w:val="20"/>
              </w:rPr>
            </w:pPr>
            <w:r w:rsidRPr="00AF0933">
              <w:rPr>
                <w:rFonts w:ascii="Times New Roman" w:eastAsia="Times New Roman" w:hAnsi="Times New Roman" w:cs="Times New Roman"/>
                <w:sz w:val="20"/>
                <w:szCs w:val="20"/>
              </w:rPr>
              <w:t>Informal document GRPE-89-</w:t>
            </w:r>
            <w:r w:rsidR="00F40F64">
              <w:rPr>
                <w:rFonts w:ascii="Times New Roman" w:eastAsia="Times New Roman" w:hAnsi="Times New Roman" w:cs="Times New Roman"/>
                <w:sz w:val="20"/>
                <w:szCs w:val="20"/>
              </w:rPr>
              <w:t>10</w:t>
            </w:r>
          </w:p>
          <w:p w14:paraId="1970F8AC" w14:textId="2B51B6F9" w:rsidR="00AF0933" w:rsidRPr="00AF0933" w:rsidRDefault="00AF0933" w:rsidP="009D6730">
            <w:pPr>
              <w:spacing w:after="0" w:line="240" w:lineRule="auto"/>
              <w:ind w:firstLine="1542"/>
              <w:contextualSpacing/>
              <w:rPr>
                <w:rFonts w:ascii="Times New Roman" w:eastAsia="Times New Roman" w:hAnsi="Times New Roman" w:cs="Times New Roman"/>
                <w:sz w:val="20"/>
                <w:szCs w:val="20"/>
              </w:rPr>
            </w:pPr>
            <w:r w:rsidRPr="00AF0933">
              <w:rPr>
                <w:rFonts w:ascii="Times New Roman" w:eastAsia="Times New Roman" w:hAnsi="Times New Roman" w:cs="Times New Roman"/>
                <w:sz w:val="20"/>
                <w:szCs w:val="20"/>
              </w:rPr>
              <w:t xml:space="preserve">89th GRPE 30 May – </w:t>
            </w:r>
            <w:r w:rsidR="00F40F64">
              <w:rPr>
                <w:rFonts w:ascii="Times New Roman" w:eastAsia="Times New Roman" w:hAnsi="Times New Roman" w:cs="Times New Roman"/>
                <w:sz w:val="20"/>
                <w:szCs w:val="20"/>
              </w:rPr>
              <w:t>2</w:t>
            </w:r>
            <w:r w:rsidRPr="00AF0933">
              <w:rPr>
                <w:rFonts w:ascii="Times New Roman" w:eastAsia="Times New Roman" w:hAnsi="Times New Roman" w:cs="Times New Roman"/>
                <w:sz w:val="20"/>
                <w:szCs w:val="20"/>
              </w:rPr>
              <w:t xml:space="preserve"> June 2023</w:t>
            </w:r>
          </w:p>
          <w:p w14:paraId="4B58716D" w14:textId="77777777" w:rsidR="00AF0933" w:rsidRDefault="00AF0933" w:rsidP="009D6730">
            <w:pPr>
              <w:spacing w:after="0" w:line="240" w:lineRule="auto"/>
              <w:ind w:right="-502" w:firstLine="1542"/>
              <w:contextualSpacing/>
              <w:rPr>
                <w:rFonts w:ascii="Times New Roman" w:eastAsia="Times New Roman" w:hAnsi="Times New Roman" w:cs="Times New Roman"/>
                <w:sz w:val="20"/>
                <w:szCs w:val="20"/>
              </w:rPr>
            </w:pPr>
            <w:r w:rsidRPr="00AF0933">
              <w:rPr>
                <w:rFonts w:ascii="Times New Roman" w:eastAsia="Times New Roman" w:hAnsi="Times New Roman" w:cs="Times New Roman"/>
                <w:sz w:val="20"/>
                <w:szCs w:val="20"/>
              </w:rPr>
              <w:t>Agenda item 6 (a</w:t>
            </w:r>
            <w:r w:rsidR="009D6730">
              <w:rPr>
                <w:rFonts w:ascii="Times New Roman" w:eastAsia="Times New Roman" w:hAnsi="Times New Roman" w:cs="Times New Roman"/>
                <w:sz w:val="20"/>
                <w:szCs w:val="20"/>
              </w:rPr>
              <w:t>)</w:t>
            </w:r>
          </w:p>
          <w:p w14:paraId="0E597617" w14:textId="1FFD1697" w:rsidR="009D6730" w:rsidRPr="00AF0933" w:rsidRDefault="009D6730" w:rsidP="009D6730">
            <w:pPr>
              <w:spacing w:after="0" w:line="240" w:lineRule="auto"/>
              <w:ind w:right="-502" w:firstLine="1542"/>
              <w:contextualSpacing/>
              <w:rPr>
                <w:rFonts w:ascii="Times New Roman" w:eastAsia="Times New Roman" w:hAnsi="Times New Roman" w:cs="Times New Roman"/>
                <w:sz w:val="20"/>
                <w:szCs w:val="20"/>
              </w:rPr>
            </w:pPr>
          </w:p>
        </w:tc>
      </w:tr>
    </w:tbl>
    <w:p w14:paraId="08FEC114" w14:textId="77777777" w:rsidR="009D6730" w:rsidRDefault="009D6730" w:rsidP="00BB3A04">
      <w:pPr>
        <w:spacing w:before="120" w:after="120" w:line="240" w:lineRule="auto"/>
        <w:ind w:right="1134"/>
        <w:rPr>
          <w:rFonts w:ascii="Times New Roman" w:eastAsia="MS Mincho" w:hAnsi="Times New Roman" w:cs="Times New Roman"/>
          <w:color w:val="000000" w:themeColor="text1"/>
          <w:sz w:val="20"/>
          <w:szCs w:val="20"/>
          <w:lang w:eastAsia="ja-JP"/>
        </w:rPr>
      </w:pPr>
    </w:p>
    <w:p w14:paraId="532A6263" w14:textId="77777777" w:rsidR="009D6730" w:rsidRDefault="006A046B" w:rsidP="009D6730">
      <w:pPr>
        <w:spacing w:after="0" w:line="240" w:lineRule="auto"/>
        <w:ind w:right="1134"/>
        <w:rPr>
          <w:rFonts w:ascii="Times New Roman" w:eastAsia="MS Mincho" w:hAnsi="Times New Roman" w:cs="Times New Roman"/>
          <w:color w:val="000000" w:themeColor="text1"/>
          <w:sz w:val="20"/>
          <w:szCs w:val="20"/>
          <w:lang w:eastAsia="ja-JP"/>
        </w:rPr>
      </w:pPr>
      <w:r w:rsidRPr="005027B6">
        <w:rPr>
          <w:rFonts w:ascii="Times New Roman" w:eastAsia="MS Mincho" w:hAnsi="Times New Roman" w:cs="Times New Roman"/>
          <w:color w:val="000000" w:themeColor="text1"/>
          <w:sz w:val="20"/>
          <w:szCs w:val="20"/>
          <w:lang w:eastAsia="ja-JP"/>
        </w:rPr>
        <w:t>UN Regulation No. 96</w:t>
      </w:r>
    </w:p>
    <w:p w14:paraId="1E3A356C" w14:textId="623B0AAB" w:rsidR="00AF0933" w:rsidRPr="005027B6" w:rsidRDefault="009D6730" w:rsidP="009D6730">
      <w:pPr>
        <w:spacing w:before="120" w:after="120" w:line="240" w:lineRule="auto"/>
        <w:ind w:right="1134"/>
        <w:rPr>
          <w:rFonts w:ascii="Times New Roman" w:eastAsia="Times New Roman" w:hAnsi="Times New Roman" w:cs="Times New Roman"/>
          <w:b/>
          <w:color w:val="000000" w:themeColor="text1"/>
          <w:sz w:val="28"/>
          <w:szCs w:val="20"/>
        </w:rPr>
      </w:pPr>
      <w:r>
        <w:rPr>
          <w:rFonts w:ascii="Times New Roman" w:eastAsia="Times New Roman" w:hAnsi="Times New Roman" w:cs="Times New Roman"/>
          <w:b/>
          <w:color w:val="000000" w:themeColor="text1"/>
          <w:sz w:val="28"/>
          <w:szCs w:val="20"/>
        </w:rPr>
        <w:tab/>
      </w:r>
    </w:p>
    <w:p w14:paraId="47B43875" w14:textId="77777777" w:rsidR="006A046B" w:rsidRPr="005027B6" w:rsidRDefault="006A046B" w:rsidP="00AF0933">
      <w:pPr>
        <w:spacing w:after="0" w:line="240" w:lineRule="auto"/>
        <w:ind w:left="1134" w:right="1134" w:firstLine="6"/>
        <w:contextualSpacing/>
        <w:jc w:val="both"/>
        <w:rPr>
          <w:rFonts w:ascii="Times New Roman" w:eastAsia="Times New Roman" w:hAnsi="Times New Roman" w:cs="Times New Roman"/>
          <w:b/>
          <w:color w:val="000000" w:themeColor="text1"/>
          <w:sz w:val="28"/>
          <w:szCs w:val="20"/>
        </w:rPr>
      </w:pPr>
      <w:r w:rsidRPr="005027B6">
        <w:rPr>
          <w:rFonts w:ascii="Times New Roman" w:eastAsia="Times New Roman" w:hAnsi="Times New Roman" w:cs="Times New Roman"/>
          <w:b/>
          <w:color w:val="000000" w:themeColor="text1"/>
          <w:sz w:val="28"/>
          <w:szCs w:val="20"/>
        </w:rPr>
        <w:t>Proposal for a new Supplement to the 05 series amendments to UN Regulation No. 96 (Uniform provisions concerning the approval of engines to be installed in agricultural and forestry tractors and in nonroad mobile machinery with regard to the emissions of pollutants by the engine.)</w:t>
      </w:r>
    </w:p>
    <w:p w14:paraId="67E6B625" w14:textId="77777777" w:rsidR="006A046B" w:rsidRPr="005027B6" w:rsidRDefault="006A046B" w:rsidP="006A046B">
      <w:pPr>
        <w:spacing w:after="120" w:line="240" w:lineRule="atLeast"/>
        <w:ind w:left="1134" w:right="1134" w:firstLine="6"/>
        <w:rPr>
          <w:rFonts w:ascii="Times New Roman" w:eastAsia="Times New Roman" w:hAnsi="Times New Roman" w:cs="Times New Roman"/>
          <w:b/>
          <w:color w:val="000000" w:themeColor="text1"/>
          <w:sz w:val="28"/>
          <w:szCs w:val="20"/>
        </w:rPr>
      </w:pPr>
    </w:p>
    <w:p w14:paraId="18E69AE3" w14:textId="156CB91C" w:rsidR="006A046B" w:rsidRDefault="006A046B" w:rsidP="006A046B">
      <w:pPr>
        <w:spacing w:after="120" w:line="240" w:lineRule="atLeast"/>
        <w:ind w:left="1134" w:right="1134"/>
        <w:jc w:val="both"/>
        <w:rPr>
          <w:rFonts w:ascii="Times New Roman" w:eastAsia="Times New Roman" w:hAnsi="Times New Roman" w:cs="Times New Roman"/>
          <w:color w:val="000000" w:themeColor="text1"/>
          <w:sz w:val="20"/>
          <w:szCs w:val="20"/>
        </w:rPr>
      </w:pPr>
      <w:r w:rsidRPr="005027B6">
        <w:rPr>
          <w:rFonts w:ascii="Times New Roman" w:eastAsia="Times New Roman" w:hAnsi="Times New Roman" w:cs="Times New Roman"/>
          <w:color w:val="000000" w:themeColor="text1"/>
          <w:sz w:val="20"/>
          <w:szCs w:val="20"/>
        </w:rPr>
        <w:t xml:space="preserve">The text reproduced below was prepared by the experts from the European Association of Internal Combustion Engine Manufacturers (EUROMOT). This document aims at to fix administrative </w:t>
      </w:r>
      <w:r w:rsidR="009D6730">
        <w:rPr>
          <w:rFonts w:ascii="Times New Roman" w:eastAsia="Times New Roman" w:hAnsi="Times New Roman" w:cs="Times New Roman"/>
          <w:color w:val="000000" w:themeColor="text1"/>
          <w:sz w:val="20"/>
          <w:szCs w:val="20"/>
        </w:rPr>
        <w:t xml:space="preserve">or typographic </w:t>
      </w:r>
      <w:r w:rsidRPr="005027B6">
        <w:rPr>
          <w:rFonts w:ascii="Times New Roman" w:eastAsia="Times New Roman" w:hAnsi="Times New Roman" w:cs="Times New Roman"/>
          <w:color w:val="000000" w:themeColor="text1"/>
          <w:sz w:val="20"/>
          <w:szCs w:val="20"/>
        </w:rPr>
        <w:t>errors in the Regulation. The modifications to the current text of the Regulation are marked in bold for new or strikethrough for deleted characters.</w:t>
      </w:r>
    </w:p>
    <w:p w14:paraId="47C45834" w14:textId="77777777" w:rsidR="009D6730" w:rsidRPr="006D65CD" w:rsidRDefault="009D6730" w:rsidP="009D6730">
      <w:pPr>
        <w:spacing w:before="120" w:after="120"/>
        <w:ind w:left="1134" w:firstLine="6"/>
        <w:rPr>
          <w:b/>
          <w:sz w:val="28"/>
        </w:rPr>
      </w:pPr>
    </w:p>
    <w:p w14:paraId="5278A9B1" w14:textId="77777777" w:rsidR="009D6730" w:rsidRPr="006D65CD" w:rsidRDefault="009D6730" w:rsidP="009D6730">
      <w:pPr>
        <w:pStyle w:val="HChG"/>
        <w:spacing w:before="120" w:after="120" w:line="240" w:lineRule="auto"/>
        <w:ind w:firstLine="0"/>
      </w:pPr>
      <w:r w:rsidRPr="006D65CD">
        <w:t>I.</w:t>
      </w:r>
      <w:r w:rsidRPr="006D65CD">
        <w:tab/>
      </w:r>
      <w:r w:rsidRPr="006D65CD">
        <w:tab/>
        <w:t>Proposal</w:t>
      </w:r>
    </w:p>
    <w:p w14:paraId="4F2E2B87" w14:textId="77777777" w:rsidR="009D6730" w:rsidRDefault="009D6730" w:rsidP="009D6730">
      <w:pPr>
        <w:keepNext/>
        <w:keepLines/>
        <w:tabs>
          <w:tab w:val="right" w:pos="851"/>
        </w:tabs>
        <w:suppressAutoHyphens/>
        <w:spacing w:before="120" w:after="120" w:line="240" w:lineRule="auto"/>
        <w:ind w:left="2268" w:right="1134" w:hanging="1134"/>
        <w:rPr>
          <w:rFonts w:ascii="Times New Roman" w:eastAsia="Times New Roman" w:hAnsi="Times New Roman" w:cs="Times New Roman"/>
          <w:bCs/>
          <w:i/>
          <w:iCs/>
          <w:color w:val="000000" w:themeColor="text1"/>
          <w:sz w:val="20"/>
          <w:szCs w:val="20"/>
        </w:rPr>
      </w:pPr>
    </w:p>
    <w:p w14:paraId="3F1AFB49" w14:textId="6C4FDF15" w:rsidR="006A046B" w:rsidRPr="005027B6" w:rsidRDefault="006A046B" w:rsidP="009D6730">
      <w:pPr>
        <w:keepNext/>
        <w:keepLines/>
        <w:tabs>
          <w:tab w:val="right" w:pos="851"/>
        </w:tabs>
        <w:suppressAutoHyphens/>
        <w:spacing w:before="120" w:after="120" w:line="240" w:lineRule="auto"/>
        <w:ind w:left="2268" w:right="1134" w:hanging="1134"/>
        <w:rPr>
          <w:rFonts w:ascii="Times New Roman" w:eastAsia="Times New Roman" w:hAnsi="Times New Roman" w:cs="Times New Roman"/>
          <w:bCs/>
          <w:color w:val="000000" w:themeColor="text1"/>
          <w:sz w:val="20"/>
          <w:szCs w:val="20"/>
        </w:rPr>
      </w:pPr>
      <w:r w:rsidRPr="005027B6">
        <w:rPr>
          <w:rFonts w:ascii="Times New Roman" w:eastAsia="Times New Roman" w:hAnsi="Times New Roman" w:cs="Times New Roman"/>
          <w:bCs/>
          <w:i/>
          <w:iCs/>
          <w:color w:val="000000" w:themeColor="text1"/>
          <w:sz w:val="20"/>
          <w:szCs w:val="20"/>
        </w:rPr>
        <w:t xml:space="preserve">Paragraph 5.1.1, </w:t>
      </w:r>
      <w:r w:rsidRPr="005027B6">
        <w:rPr>
          <w:rFonts w:ascii="Times New Roman" w:eastAsia="Times New Roman" w:hAnsi="Times New Roman" w:cs="Times New Roman"/>
          <w:bCs/>
          <w:color w:val="000000" w:themeColor="text1"/>
          <w:sz w:val="20"/>
          <w:szCs w:val="20"/>
        </w:rPr>
        <w:t>amend</w:t>
      </w:r>
      <w:r w:rsidRPr="005027B6">
        <w:rPr>
          <w:rFonts w:ascii="Times New Roman" w:eastAsia="Times New Roman" w:hAnsi="Times New Roman" w:cs="Times New Roman"/>
          <w:bCs/>
          <w:i/>
          <w:iCs/>
          <w:color w:val="000000" w:themeColor="text1"/>
          <w:sz w:val="20"/>
          <w:szCs w:val="20"/>
        </w:rPr>
        <w:t xml:space="preserve"> </w:t>
      </w:r>
      <w:r w:rsidRPr="005027B6">
        <w:rPr>
          <w:rFonts w:ascii="Times New Roman" w:eastAsia="Times New Roman" w:hAnsi="Times New Roman" w:cs="Times New Roman"/>
          <w:bCs/>
          <w:color w:val="000000" w:themeColor="text1"/>
          <w:sz w:val="20"/>
          <w:szCs w:val="20"/>
        </w:rPr>
        <w:t>to read:</w:t>
      </w:r>
    </w:p>
    <w:p w14:paraId="0926E9B4" w14:textId="77777777" w:rsidR="006A046B" w:rsidRPr="005027B6" w:rsidRDefault="006A046B" w:rsidP="006A046B">
      <w:pPr>
        <w:suppressAutoHyphens/>
        <w:spacing w:after="120" w:line="240" w:lineRule="atLeast"/>
        <w:ind w:left="2268" w:right="1134" w:hanging="1134"/>
        <w:jc w:val="both"/>
        <w:rPr>
          <w:rFonts w:ascii="Times New Roman" w:eastAsia="Times New Roman" w:hAnsi="Times New Roman" w:cs="Times New Roman"/>
          <w:color w:val="000000" w:themeColor="text1"/>
          <w:sz w:val="20"/>
          <w:szCs w:val="20"/>
        </w:rPr>
      </w:pPr>
      <w:r w:rsidRPr="005027B6">
        <w:rPr>
          <w:rFonts w:ascii="Times New Roman" w:eastAsia="Times New Roman" w:hAnsi="Times New Roman" w:cs="Times New Roman"/>
          <w:color w:val="000000" w:themeColor="text1"/>
          <w:sz w:val="20"/>
          <w:szCs w:val="20"/>
        </w:rPr>
        <w:t>“5.1.1.1.</w:t>
      </w:r>
      <w:r w:rsidRPr="005027B6">
        <w:rPr>
          <w:rFonts w:ascii="Times New Roman" w:eastAsia="Times New Roman" w:hAnsi="Times New Roman" w:cs="Times New Roman"/>
          <w:color w:val="000000" w:themeColor="text1"/>
          <w:sz w:val="20"/>
          <w:szCs w:val="20"/>
        </w:rPr>
        <w:tab/>
        <w:t xml:space="preserve">For this purpose, the engine final emission test result calculated according to the requirements of paragraph 5.1.2. shall not exceed the exhaust emission limits set out in Appendix 2 to this Regulation, when: </w:t>
      </w:r>
    </w:p>
    <w:p w14:paraId="34E04B20" w14:textId="77777777" w:rsidR="006A046B" w:rsidRPr="005027B6" w:rsidRDefault="006A046B" w:rsidP="006A046B">
      <w:pPr>
        <w:suppressAutoHyphens/>
        <w:spacing w:after="120" w:line="240" w:lineRule="atLeast"/>
        <w:ind w:left="2835" w:right="1134" w:hanging="567"/>
        <w:jc w:val="both"/>
        <w:rPr>
          <w:rFonts w:ascii="Times New Roman" w:eastAsia="Times New Roman" w:hAnsi="Times New Roman" w:cs="Times New Roman"/>
          <w:color w:val="000000" w:themeColor="text1"/>
          <w:sz w:val="20"/>
          <w:szCs w:val="20"/>
        </w:rPr>
      </w:pPr>
      <w:r w:rsidRPr="005027B6">
        <w:rPr>
          <w:rFonts w:ascii="Times New Roman" w:eastAsia="Times New Roman" w:hAnsi="Times New Roman" w:cs="Times New Roman"/>
          <w:color w:val="000000" w:themeColor="text1"/>
          <w:sz w:val="20"/>
          <w:szCs w:val="20"/>
        </w:rPr>
        <w:t>(a)</w:t>
      </w:r>
      <w:r w:rsidRPr="005027B6">
        <w:rPr>
          <w:rFonts w:ascii="Times New Roman" w:eastAsia="Times New Roman" w:hAnsi="Times New Roman" w:cs="Times New Roman"/>
          <w:color w:val="000000" w:themeColor="text1"/>
          <w:sz w:val="20"/>
          <w:szCs w:val="20"/>
        </w:rPr>
        <w:tab/>
        <w:t xml:space="preserve">Tested in accordance with the test conditions and detailed technical procedures set out in Annex 4 to this Regulation, </w:t>
      </w:r>
    </w:p>
    <w:p w14:paraId="1BAECEF6" w14:textId="77777777" w:rsidR="006A046B" w:rsidRPr="005027B6" w:rsidRDefault="006A046B" w:rsidP="006A046B">
      <w:pPr>
        <w:suppressAutoHyphens/>
        <w:spacing w:after="120" w:line="240" w:lineRule="atLeast"/>
        <w:ind w:left="1701" w:right="1134" w:firstLine="567"/>
        <w:jc w:val="both"/>
        <w:rPr>
          <w:rFonts w:ascii="Times New Roman" w:eastAsia="Times New Roman" w:hAnsi="Times New Roman" w:cs="Times New Roman"/>
          <w:color w:val="000000" w:themeColor="text1"/>
          <w:sz w:val="20"/>
          <w:szCs w:val="20"/>
        </w:rPr>
      </w:pPr>
      <w:r w:rsidRPr="005027B6">
        <w:rPr>
          <w:rFonts w:ascii="Times New Roman" w:eastAsia="Times New Roman" w:hAnsi="Times New Roman" w:cs="Times New Roman"/>
          <w:color w:val="000000" w:themeColor="text1"/>
          <w:sz w:val="20"/>
          <w:szCs w:val="20"/>
        </w:rPr>
        <w:t>(b)</w:t>
      </w:r>
      <w:r w:rsidRPr="005027B6">
        <w:rPr>
          <w:rFonts w:ascii="Times New Roman" w:eastAsia="Times New Roman" w:hAnsi="Times New Roman" w:cs="Times New Roman"/>
          <w:color w:val="000000" w:themeColor="text1"/>
          <w:sz w:val="20"/>
          <w:szCs w:val="20"/>
        </w:rPr>
        <w:tab/>
        <w:t>Using the fuel(s</w:t>
      </w:r>
      <w:r w:rsidRPr="005027B6">
        <w:rPr>
          <w:rFonts w:ascii="Times New Roman" w:eastAsia="Times New Roman" w:hAnsi="Times New Roman" w:cs="Times New Roman"/>
          <w:b/>
          <w:bCs/>
          <w:color w:val="000000" w:themeColor="text1"/>
          <w:sz w:val="20"/>
          <w:szCs w:val="20"/>
        </w:rPr>
        <w:t>) specifie</w:t>
      </w:r>
      <w:r w:rsidRPr="005027B6">
        <w:rPr>
          <w:rFonts w:ascii="Times New Roman" w:eastAsia="Times New Roman" w:hAnsi="Times New Roman" w:cs="Times New Roman"/>
          <w:b/>
          <w:bCs/>
          <w:strike/>
          <w:color w:val="000000" w:themeColor="text1"/>
          <w:sz w:val="20"/>
          <w:szCs w:val="20"/>
        </w:rPr>
        <w:t>n</w:t>
      </w:r>
      <w:r w:rsidRPr="005027B6">
        <w:rPr>
          <w:rFonts w:ascii="Times New Roman" w:eastAsia="Times New Roman" w:hAnsi="Times New Roman" w:cs="Times New Roman"/>
          <w:b/>
          <w:bCs/>
          <w:color w:val="000000" w:themeColor="text1"/>
          <w:sz w:val="20"/>
          <w:szCs w:val="20"/>
        </w:rPr>
        <w:t>d</w:t>
      </w:r>
      <w:r w:rsidRPr="005027B6">
        <w:rPr>
          <w:rFonts w:ascii="Times New Roman" w:eastAsia="Times New Roman" w:hAnsi="Times New Roman" w:cs="Times New Roman"/>
          <w:color w:val="000000" w:themeColor="text1"/>
          <w:sz w:val="20"/>
          <w:szCs w:val="20"/>
        </w:rPr>
        <w:t xml:space="preserve"> in paragraph 5.1.3. </w:t>
      </w:r>
    </w:p>
    <w:p w14:paraId="1C468005" w14:textId="77777777" w:rsidR="006A046B" w:rsidRPr="005027B6" w:rsidRDefault="006A046B" w:rsidP="006A046B">
      <w:pPr>
        <w:suppressAutoHyphens/>
        <w:spacing w:after="120" w:line="240" w:lineRule="atLeast"/>
        <w:ind w:left="2835" w:right="1134" w:hanging="567"/>
        <w:jc w:val="both"/>
        <w:rPr>
          <w:rFonts w:ascii="Times New Roman" w:eastAsia="Times New Roman" w:hAnsi="Times New Roman" w:cs="Times New Roman"/>
          <w:color w:val="000000" w:themeColor="text1"/>
          <w:sz w:val="20"/>
          <w:szCs w:val="20"/>
        </w:rPr>
      </w:pPr>
      <w:r w:rsidRPr="005027B6">
        <w:rPr>
          <w:rFonts w:ascii="Times New Roman" w:eastAsia="Times New Roman" w:hAnsi="Times New Roman" w:cs="Times New Roman"/>
          <w:color w:val="000000" w:themeColor="text1"/>
          <w:sz w:val="20"/>
          <w:szCs w:val="20"/>
        </w:rPr>
        <w:t>(c)</w:t>
      </w:r>
      <w:r w:rsidRPr="005027B6">
        <w:rPr>
          <w:rFonts w:ascii="Times New Roman" w:eastAsia="Times New Roman" w:hAnsi="Times New Roman" w:cs="Times New Roman"/>
          <w:color w:val="000000" w:themeColor="text1"/>
          <w:sz w:val="20"/>
          <w:szCs w:val="20"/>
        </w:rPr>
        <w:tab/>
        <w:t>Using the test cycles specified in Appendix A.6 to Annex 4 to this Regulation.”</w:t>
      </w:r>
    </w:p>
    <w:p w14:paraId="1C1741F3" w14:textId="23931795" w:rsidR="006A046B" w:rsidRPr="005027B6" w:rsidRDefault="006A046B" w:rsidP="006A046B">
      <w:pPr>
        <w:keepNext/>
        <w:keepLines/>
        <w:tabs>
          <w:tab w:val="right" w:pos="851"/>
        </w:tabs>
        <w:suppressAutoHyphens/>
        <w:spacing w:before="360" w:after="240" w:line="300" w:lineRule="exact"/>
        <w:ind w:left="2268" w:right="1134" w:hanging="1134"/>
        <w:rPr>
          <w:rFonts w:ascii="Times New Roman" w:eastAsia="Times New Roman" w:hAnsi="Times New Roman" w:cs="Times New Roman"/>
          <w:bCs/>
          <w:color w:val="000000" w:themeColor="text1"/>
          <w:sz w:val="20"/>
          <w:szCs w:val="20"/>
        </w:rPr>
      </w:pPr>
      <w:r w:rsidRPr="005027B6">
        <w:rPr>
          <w:rFonts w:ascii="Times New Roman" w:eastAsia="Times New Roman" w:hAnsi="Times New Roman" w:cs="Times New Roman"/>
          <w:bCs/>
          <w:i/>
          <w:iCs/>
          <w:color w:val="000000" w:themeColor="text1"/>
          <w:sz w:val="20"/>
          <w:szCs w:val="20"/>
        </w:rPr>
        <w:t>Paragraph 8.7.4</w:t>
      </w:r>
      <w:r w:rsidRPr="005027B6">
        <w:rPr>
          <w:rFonts w:ascii="Times New Roman" w:eastAsia="Times New Roman" w:hAnsi="Times New Roman" w:cs="Times New Roman"/>
          <w:bCs/>
          <w:color w:val="000000" w:themeColor="text1"/>
          <w:sz w:val="20"/>
          <w:szCs w:val="20"/>
        </w:rPr>
        <w:t>., amend to read:</w:t>
      </w:r>
    </w:p>
    <w:p w14:paraId="4349D906" w14:textId="4A548819" w:rsidR="006A046B" w:rsidRPr="005027B6" w:rsidRDefault="006A046B" w:rsidP="006A046B">
      <w:pPr>
        <w:suppressAutoHyphens/>
        <w:spacing w:after="120" w:line="240" w:lineRule="atLeast"/>
        <w:ind w:left="2268" w:right="1134" w:hanging="1134"/>
        <w:jc w:val="both"/>
        <w:rPr>
          <w:rFonts w:ascii="Times New Roman" w:eastAsia="Times New Roman" w:hAnsi="Times New Roman" w:cs="Times New Roman"/>
          <w:color w:val="000000" w:themeColor="text1"/>
          <w:sz w:val="20"/>
          <w:szCs w:val="20"/>
        </w:rPr>
      </w:pPr>
      <w:r w:rsidRPr="005027B6">
        <w:rPr>
          <w:rFonts w:ascii="Times New Roman" w:eastAsia="Times New Roman" w:hAnsi="Times New Roman" w:cs="Times New Roman"/>
          <w:color w:val="000000" w:themeColor="text1"/>
          <w:sz w:val="20"/>
          <w:szCs w:val="20"/>
        </w:rPr>
        <w:t>“8.7.4.</w:t>
      </w:r>
      <w:r w:rsidRPr="005027B6">
        <w:rPr>
          <w:rFonts w:ascii="Times New Roman" w:eastAsia="Times New Roman" w:hAnsi="Times New Roman" w:cs="Times New Roman"/>
          <w:color w:val="000000" w:themeColor="text1"/>
          <w:sz w:val="20"/>
          <w:szCs w:val="20"/>
        </w:rPr>
        <w:tab/>
        <w:t xml:space="preserve">All these tests may be conducted with the applicable market fuels. However, at the manufacturer’s request, the reference fuels described in </w:t>
      </w:r>
      <w:r w:rsidR="004E27A6" w:rsidRPr="005027B6">
        <w:rPr>
          <w:rFonts w:ascii="Times New Roman" w:eastAsia="Times New Roman" w:hAnsi="Times New Roman" w:cs="Times New Roman"/>
          <w:strike/>
          <w:color w:val="000000" w:themeColor="text1"/>
          <w:sz w:val="20"/>
          <w:szCs w:val="20"/>
        </w:rPr>
        <w:t>Appendix 5</w:t>
      </w:r>
      <w:r w:rsidR="004E27A6" w:rsidRPr="005027B6">
        <w:rPr>
          <w:rFonts w:ascii="Times New Roman" w:eastAsia="Times New Roman" w:hAnsi="Times New Roman" w:cs="Times New Roman"/>
          <w:color w:val="000000" w:themeColor="text1"/>
          <w:sz w:val="20"/>
          <w:szCs w:val="20"/>
        </w:rPr>
        <w:t xml:space="preserve"> </w:t>
      </w:r>
      <w:r w:rsidRPr="005027B6">
        <w:rPr>
          <w:rFonts w:ascii="Times New Roman" w:eastAsia="Times New Roman" w:hAnsi="Times New Roman" w:cs="Times New Roman"/>
          <w:b/>
          <w:bCs/>
          <w:color w:val="000000" w:themeColor="text1"/>
          <w:sz w:val="20"/>
          <w:szCs w:val="20"/>
        </w:rPr>
        <w:t>Annex</w:t>
      </w:r>
      <w:r w:rsidRPr="005027B6">
        <w:rPr>
          <w:rFonts w:ascii="Times New Roman" w:eastAsia="Times New Roman" w:hAnsi="Times New Roman" w:cs="Times New Roman"/>
          <w:color w:val="000000" w:themeColor="text1"/>
          <w:sz w:val="20"/>
          <w:szCs w:val="20"/>
        </w:rPr>
        <w:t xml:space="preserve"> </w:t>
      </w:r>
      <w:r w:rsidRPr="005027B6">
        <w:rPr>
          <w:rFonts w:ascii="Times New Roman" w:eastAsia="Times New Roman" w:hAnsi="Times New Roman" w:cs="Times New Roman"/>
          <w:b/>
          <w:bCs/>
          <w:color w:val="000000" w:themeColor="text1"/>
          <w:sz w:val="20"/>
          <w:szCs w:val="20"/>
        </w:rPr>
        <w:t>6</w:t>
      </w:r>
      <w:r w:rsidRPr="005027B6">
        <w:rPr>
          <w:rFonts w:ascii="Times New Roman" w:eastAsia="Times New Roman" w:hAnsi="Times New Roman" w:cs="Times New Roman"/>
          <w:color w:val="000000" w:themeColor="text1"/>
          <w:sz w:val="20"/>
          <w:szCs w:val="20"/>
        </w:rPr>
        <w:t xml:space="preserve"> to this Regulation shall be used. For gaseous fuelled engines this means that tests shall be performed with at least two of the reference fuels for each gaseous-fuelled engine, except in the case of a gaseous-fuelled engine with a fuel-specific type-approval where only one reference fuel is required, as described in Appendix 4 to this Regulation. Where more than one gaseous reference fuel is used the results shall demonstrate that the engine meets the limit values with each fuel.”</w:t>
      </w:r>
    </w:p>
    <w:p w14:paraId="27F60B0A" w14:textId="25123DF3" w:rsidR="00E40FA0" w:rsidRDefault="00E40FA0" w:rsidP="006A046B">
      <w:pPr>
        <w:suppressAutoHyphens/>
        <w:spacing w:after="120" w:line="240" w:lineRule="atLeast"/>
        <w:ind w:left="2268" w:right="1134" w:hanging="1134"/>
        <w:jc w:val="both"/>
        <w:rPr>
          <w:rFonts w:ascii="Times New Roman" w:eastAsia="Times New Roman" w:hAnsi="Times New Roman" w:cs="Times New Roman"/>
          <w:sz w:val="20"/>
          <w:szCs w:val="20"/>
        </w:rPr>
      </w:pPr>
    </w:p>
    <w:p w14:paraId="47DF5969" w14:textId="77777777" w:rsidR="00E40FA0" w:rsidRPr="006A046B" w:rsidRDefault="00E40FA0" w:rsidP="006A046B">
      <w:pPr>
        <w:suppressAutoHyphens/>
        <w:spacing w:after="120" w:line="240" w:lineRule="atLeast"/>
        <w:ind w:left="2268" w:right="1134" w:hanging="1134"/>
        <w:jc w:val="both"/>
        <w:rPr>
          <w:rFonts w:ascii="Times New Roman" w:eastAsia="Times New Roman" w:hAnsi="Times New Roman" w:cs="Times New Roman"/>
          <w:sz w:val="20"/>
          <w:szCs w:val="20"/>
        </w:rPr>
      </w:pPr>
    </w:p>
    <w:sectPr w:rsidR="00E40FA0" w:rsidRPr="006A046B" w:rsidSect="00AF0933">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93CB" w14:textId="77777777" w:rsidR="005003D3" w:rsidRDefault="005003D3" w:rsidP="007A6452">
      <w:pPr>
        <w:spacing w:after="0" w:line="240" w:lineRule="auto"/>
      </w:pPr>
      <w:r>
        <w:separator/>
      </w:r>
    </w:p>
  </w:endnote>
  <w:endnote w:type="continuationSeparator" w:id="0">
    <w:p w14:paraId="24D3392A" w14:textId="77777777" w:rsidR="005003D3" w:rsidRDefault="005003D3" w:rsidP="007A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9214"/>
      <w:docPartObj>
        <w:docPartGallery w:val="Page Numbers (Bottom of Page)"/>
        <w:docPartUnique/>
      </w:docPartObj>
    </w:sdtPr>
    <w:sdtEndPr>
      <w:rPr>
        <w:rFonts w:ascii="Times New Roman" w:hAnsi="Times New Roman" w:cs="Times New Roman"/>
        <w:noProof/>
      </w:rPr>
    </w:sdtEndPr>
    <w:sdtContent>
      <w:p w14:paraId="68E46E1B" w14:textId="05305CF9" w:rsidR="007A6452" w:rsidRPr="007A6452" w:rsidRDefault="007A6452">
        <w:pPr>
          <w:pStyle w:val="Footer"/>
          <w:rPr>
            <w:rFonts w:ascii="Times New Roman" w:hAnsi="Times New Roman" w:cs="Times New Roman"/>
          </w:rPr>
        </w:pPr>
        <w:r w:rsidRPr="007A6452">
          <w:rPr>
            <w:rFonts w:ascii="Times New Roman" w:hAnsi="Times New Roman" w:cs="Times New Roman"/>
          </w:rPr>
          <w:fldChar w:fldCharType="begin"/>
        </w:r>
        <w:r w:rsidRPr="007A6452">
          <w:rPr>
            <w:rFonts w:ascii="Times New Roman" w:hAnsi="Times New Roman" w:cs="Times New Roman"/>
          </w:rPr>
          <w:instrText xml:space="preserve"> PAGE   \* MERGEFORMAT </w:instrText>
        </w:r>
        <w:r w:rsidRPr="007A6452">
          <w:rPr>
            <w:rFonts w:ascii="Times New Roman" w:hAnsi="Times New Roman" w:cs="Times New Roman"/>
          </w:rPr>
          <w:fldChar w:fldCharType="separate"/>
        </w:r>
        <w:r w:rsidRPr="007A6452">
          <w:rPr>
            <w:rFonts w:ascii="Times New Roman" w:hAnsi="Times New Roman" w:cs="Times New Roman"/>
            <w:noProof/>
          </w:rPr>
          <w:t>2</w:t>
        </w:r>
        <w:r w:rsidRPr="007A6452">
          <w:rPr>
            <w:rFonts w:ascii="Times New Roman" w:hAnsi="Times New Roman" w:cs="Times New Roman"/>
            <w:noProof/>
          </w:rPr>
          <w:fldChar w:fldCharType="end"/>
        </w:r>
      </w:p>
    </w:sdtContent>
  </w:sdt>
  <w:p w14:paraId="67917686" w14:textId="77777777" w:rsidR="007A6452" w:rsidRDefault="007A6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C32A" w14:textId="77777777" w:rsidR="005003D3" w:rsidRDefault="005003D3" w:rsidP="007A6452">
      <w:pPr>
        <w:spacing w:after="0" w:line="240" w:lineRule="auto"/>
      </w:pPr>
      <w:r>
        <w:separator/>
      </w:r>
    </w:p>
  </w:footnote>
  <w:footnote w:type="continuationSeparator" w:id="0">
    <w:p w14:paraId="79DF1BC6" w14:textId="77777777" w:rsidR="005003D3" w:rsidRDefault="005003D3" w:rsidP="007A6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6B"/>
    <w:rsid w:val="000B70EB"/>
    <w:rsid w:val="001B317C"/>
    <w:rsid w:val="001C77D1"/>
    <w:rsid w:val="001F0055"/>
    <w:rsid w:val="0022775A"/>
    <w:rsid w:val="00332FD6"/>
    <w:rsid w:val="004062D0"/>
    <w:rsid w:val="004E27A6"/>
    <w:rsid w:val="005003D3"/>
    <w:rsid w:val="005027B6"/>
    <w:rsid w:val="00620BA6"/>
    <w:rsid w:val="00681ACB"/>
    <w:rsid w:val="006A046B"/>
    <w:rsid w:val="00773B19"/>
    <w:rsid w:val="007A6452"/>
    <w:rsid w:val="009D6730"/>
    <w:rsid w:val="00AF0933"/>
    <w:rsid w:val="00B87C80"/>
    <w:rsid w:val="00BB3A04"/>
    <w:rsid w:val="00D258B5"/>
    <w:rsid w:val="00D530C3"/>
    <w:rsid w:val="00E40FA0"/>
    <w:rsid w:val="00F40F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C8729"/>
  <w15:chartTrackingRefBased/>
  <w15:docId w15:val="{2DD22919-BE4C-44E9-B157-D8D7C9BE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452"/>
  </w:style>
  <w:style w:type="paragraph" w:styleId="Footer">
    <w:name w:val="footer"/>
    <w:basedOn w:val="Normal"/>
    <w:link w:val="FooterChar"/>
    <w:uiPriority w:val="99"/>
    <w:unhideWhenUsed/>
    <w:rsid w:val="007A6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452"/>
  </w:style>
  <w:style w:type="paragraph" w:customStyle="1" w:styleId="HChG">
    <w:name w:val="_ H _Ch_G"/>
    <w:basedOn w:val="Normal"/>
    <w:next w:val="Normal"/>
    <w:link w:val="HChGChar"/>
    <w:uiPriority w:val="99"/>
    <w:qFormat/>
    <w:rsid w:val="009D6730"/>
    <w:pPr>
      <w:keepNext/>
      <w:keepLines/>
      <w:tabs>
        <w:tab w:val="right" w:pos="851"/>
      </w:tab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uiPriority w:val="99"/>
    <w:locked/>
    <w:rsid w:val="009D6730"/>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8D551-8F44-4969-B366-152FE681C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CD046-7E7C-465B-9D50-4FA149B3D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JCB Excavators Ltd</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Addison</dc:creator>
  <cp:keywords/>
  <dc:description/>
  <cp:lastModifiedBy>Francois Cuenot</cp:lastModifiedBy>
  <cp:revision>7</cp:revision>
  <dcterms:created xsi:type="dcterms:W3CDTF">2023-05-17T13:06:00Z</dcterms:created>
  <dcterms:modified xsi:type="dcterms:W3CDTF">2023-05-24T10:08:00Z</dcterms:modified>
</cp:coreProperties>
</file>