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802F28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31F6E6A" w14:textId="77777777" w:rsidR="00F35BAF" w:rsidRPr="00DB58B5" w:rsidRDefault="00F35BAF" w:rsidP="00F029A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DB9FF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F9591AF" w14:textId="2B7E68F6" w:rsidR="00F35BAF" w:rsidRPr="00DB58B5" w:rsidRDefault="00F029AB" w:rsidP="00F029AB">
            <w:pPr>
              <w:jc w:val="right"/>
            </w:pPr>
            <w:r w:rsidRPr="00F029AB">
              <w:rPr>
                <w:sz w:val="40"/>
              </w:rPr>
              <w:t>ECE</w:t>
            </w:r>
            <w:r>
              <w:t>/TRANS/WP.29/2023/71</w:t>
            </w:r>
          </w:p>
        </w:tc>
      </w:tr>
      <w:tr w:rsidR="00F35BAF" w:rsidRPr="00DB58B5" w14:paraId="6A90DD1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1F7DA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FBDBDD6" wp14:editId="3D28927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249AF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6600CD" w14:textId="77777777" w:rsidR="00F35BAF" w:rsidRDefault="00F029AB" w:rsidP="00C97039">
            <w:pPr>
              <w:spacing w:before="240"/>
            </w:pPr>
            <w:r>
              <w:t>Distr. générale</w:t>
            </w:r>
          </w:p>
          <w:p w14:paraId="0E3506EC" w14:textId="77777777" w:rsidR="00F029AB" w:rsidRDefault="00F029AB" w:rsidP="00F029AB">
            <w:pPr>
              <w:spacing w:line="240" w:lineRule="exact"/>
            </w:pPr>
            <w:r>
              <w:t>6 avril 2023</w:t>
            </w:r>
          </w:p>
          <w:p w14:paraId="34824551" w14:textId="77777777" w:rsidR="00F029AB" w:rsidRDefault="00F029AB" w:rsidP="00F029AB">
            <w:pPr>
              <w:spacing w:line="240" w:lineRule="exact"/>
            </w:pPr>
            <w:r>
              <w:t>Français</w:t>
            </w:r>
          </w:p>
          <w:p w14:paraId="72596552" w14:textId="0948AB85" w:rsidR="00F029AB" w:rsidRPr="00DB58B5" w:rsidRDefault="00F029AB" w:rsidP="00F029AB">
            <w:pPr>
              <w:spacing w:line="240" w:lineRule="exact"/>
            </w:pPr>
            <w:r>
              <w:t>Original : anglais</w:t>
            </w:r>
          </w:p>
        </w:tc>
      </w:tr>
    </w:tbl>
    <w:p w14:paraId="527EC78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4BA19E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85142FB" w14:textId="30E7AD02" w:rsidR="00F029AB" w:rsidRPr="000C1099" w:rsidRDefault="00F029AB" w:rsidP="000C1099">
      <w:pPr>
        <w:spacing w:before="120"/>
        <w:rPr>
          <w:b/>
          <w:sz w:val="32"/>
          <w:szCs w:val="32"/>
          <w:lang w:val="fr-FR"/>
        </w:rPr>
      </w:pPr>
      <w:r w:rsidRPr="000C1099">
        <w:rPr>
          <w:b/>
          <w:sz w:val="24"/>
          <w:szCs w:val="24"/>
          <w:lang w:val="fr-FR"/>
        </w:rPr>
        <w:t xml:space="preserve">Forum mondial de l’harmonisation des Règlements </w:t>
      </w:r>
      <w:r w:rsidR="000C1099">
        <w:rPr>
          <w:b/>
          <w:sz w:val="24"/>
          <w:szCs w:val="24"/>
          <w:lang w:val="fr-FR"/>
        </w:rPr>
        <w:br/>
      </w:r>
      <w:r w:rsidRPr="000C1099">
        <w:rPr>
          <w:b/>
          <w:sz w:val="24"/>
          <w:szCs w:val="24"/>
          <w:lang w:val="fr-FR"/>
        </w:rPr>
        <w:t>concernant les véhicules</w:t>
      </w:r>
    </w:p>
    <w:p w14:paraId="308357D9" w14:textId="71D3A0AC" w:rsidR="00F029AB" w:rsidRPr="000C1099" w:rsidRDefault="00F029AB" w:rsidP="000C1099">
      <w:pPr>
        <w:spacing w:before="120"/>
        <w:rPr>
          <w:b/>
          <w:lang w:val="fr-FR"/>
        </w:rPr>
      </w:pPr>
      <w:r w:rsidRPr="000C1099">
        <w:rPr>
          <w:b/>
          <w:lang w:val="fr-FR"/>
        </w:rPr>
        <w:t>190</w:t>
      </w:r>
      <w:r w:rsidRPr="000C1099">
        <w:rPr>
          <w:b/>
          <w:vertAlign w:val="superscript"/>
          <w:lang w:val="fr-FR"/>
        </w:rPr>
        <w:t>e</w:t>
      </w:r>
      <w:r w:rsidR="000C1099">
        <w:rPr>
          <w:b/>
          <w:lang w:val="fr-FR"/>
        </w:rPr>
        <w:t> </w:t>
      </w:r>
      <w:r w:rsidRPr="000C1099">
        <w:rPr>
          <w:b/>
          <w:lang w:val="fr-FR"/>
        </w:rPr>
        <w:t>session</w:t>
      </w:r>
    </w:p>
    <w:p w14:paraId="39CDF04E" w14:textId="316073EF" w:rsidR="00F029AB" w:rsidRPr="000C1099" w:rsidRDefault="00F029AB" w:rsidP="00F029AB">
      <w:pPr>
        <w:rPr>
          <w:lang w:val="fr-FR"/>
        </w:rPr>
      </w:pPr>
      <w:r w:rsidRPr="000C1099">
        <w:rPr>
          <w:lang w:val="fr-FR"/>
        </w:rPr>
        <w:t>Genève, 20-22</w:t>
      </w:r>
      <w:r w:rsidR="000C1099">
        <w:rPr>
          <w:lang w:val="fr-FR"/>
        </w:rPr>
        <w:t> </w:t>
      </w:r>
      <w:r w:rsidRPr="000C1099">
        <w:rPr>
          <w:lang w:val="fr-FR"/>
        </w:rPr>
        <w:t>juin 2023</w:t>
      </w:r>
    </w:p>
    <w:p w14:paraId="2C88BD53" w14:textId="77777777" w:rsidR="00F029AB" w:rsidRPr="000C1099" w:rsidRDefault="00F029AB" w:rsidP="00F029AB">
      <w:pPr>
        <w:rPr>
          <w:lang w:val="fr-FR"/>
        </w:rPr>
      </w:pPr>
      <w:r w:rsidRPr="000C1099">
        <w:rPr>
          <w:lang w:val="fr-FR"/>
        </w:rPr>
        <w:t>Point 4.9.1 de l’ordre du jour provisoire</w:t>
      </w:r>
    </w:p>
    <w:p w14:paraId="14D3DC97" w14:textId="79361502" w:rsidR="00F029AB" w:rsidRPr="000C1099" w:rsidRDefault="00F029AB" w:rsidP="00F029AB">
      <w:pPr>
        <w:rPr>
          <w:b/>
          <w:lang w:val="fr-FR"/>
        </w:rPr>
      </w:pPr>
      <w:r w:rsidRPr="000C1099">
        <w:rPr>
          <w:b/>
          <w:lang w:val="fr-FR"/>
        </w:rPr>
        <w:t>Accord de 1958</w:t>
      </w:r>
      <w:r w:rsidR="000C1099">
        <w:rPr>
          <w:b/>
          <w:lang w:val="fr-FR"/>
        </w:rPr>
        <w:t> </w:t>
      </w:r>
      <w:r w:rsidRPr="000C1099">
        <w:rPr>
          <w:b/>
          <w:lang w:val="fr-FR"/>
        </w:rPr>
        <w:t>:</w:t>
      </w:r>
    </w:p>
    <w:p w14:paraId="1FE82EFF" w14:textId="2AB5071C" w:rsidR="00F029AB" w:rsidRPr="000C1099" w:rsidRDefault="00F029AB" w:rsidP="00F029AB">
      <w:pPr>
        <w:rPr>
          <w:b/>
          <w:lang w:val="fr-FR"/>
        </w:rPr>
      </w:pPr>
      <w:r w:rsidRPr="000C1099">
        <w:rPr>
          <w:b/>
          <w:lang w:val="fr-FR"/>
        </w:rPr>
        <w:t xml:space="preserve">Examen de projets d’amendements à des Règlements ONU </w:t>
      </w:r>
      <w:r w:rsidR="000C1099">
        <w:rPr>
          <w:b/>
          <w:lang w:val="fr-FR"/>
        </w:rPr>
        <w:br/>
      </w:r>
      <w:r w:rsidRPr="000C1099">
        <w:rPr>
          <w:b/>
          <w:lang w:val="fr-FR"/>
        </w:rPr>
        <w:t>existants, soumis par le GRBP</w:t>
      </w:r>
    </w:p>
    <w:p w14:paraId="295FBDF0" w14:textId="29DA2594" w:rsidR="00F029AB" w:rsidRPr="0029509D" w:rsidRDefault="00F029AB" w:rsidP="000C1099">
      <w:pPr>
        <w:pStyle w:val="HChG"/>
        <w:rPr>
          <w:rFonts w:asciiTheme="majorBidi" w:hAnsiTheme="majorBidi"/>
          <w:lang w:val="fr-FR"/>
        </w:rPr>
      </w:pPr>
      <w:r w:rsidRPr="0029509D">
        <w:rPr>
          <w:lang w:val="fr-FR"/>
        </w:rPr>
        <w:tab/>
      </w:r>
      <w:r w:rsidRPr="0029509D">
        <w:rPr>
          <w:lang w:val="fr-FR"/>
        </w:rPr>
        <w:tab/>
      </w:r>
      <w:r w:rsidRPr="001A70E0">
        <w:rPr>
          <w:lang w:val="fr-FR"/>
        </w:rPr>
        <w:t>Proposition de complément 9 à la série 03 d</w:t>
      </w:r>
      <w:r>
        <w:rPr>
          <w:lang w:val="fr-FR"/>
        </w:rPr>
        <w:t>’</w:t>
      </w:r>
      <w:r w:rsidRPr="001A70E0">
        <w:rPr>
          <w:lang w:val="fr-FR"/>
        </w:rPr>
        <w:t xml:space="preserve">amendements </w:t>
      </w:r>
      <w:r w:rsidR="000C1099">
        <w:rPr>
          <w:lang w:val="fr-FR"/>
        </w:rPr>
        <w:br/>
      </w:r>
      <w:r w:rsidRPr="001A70E0">
        <w:rPr>
          <w:lang w:val="fr-FR"/>
        </w:rPr>
        <w:t>au Règlement ONU n</w:t>
      </w:r>
      <w:r w:rsidRPr="000C1099">
        <w:rPr>
          <w:vertAlign w:val="superscript"/>
          <w:lang w:val="fr-FR"/>
        </w:rPr>
        <w:t>o</w:t>
      </w:r>
      <w:r w:rsidR="000C1099">
        <w:rPr>
          <w:lang w:val="fr-FR"/>
        </w:rPr>
        <w:t> </w:t>
      </w:r>
      <w:r w:rsidRPr="001A70E0">
        <w:rPr>
          <w:lang w:val="fr-FR"/>
        </w:rPr>
        <w:t xml:space="preserve">51 </w:t>
      </w:r>
      <w:r w:rsidRPr="0029509D">
        <w:rPr>
          <w:lang w:val="fr-FR"/>
        </w:rPr>
        <w:t>(</w:t>
      </w:r>
      <w:r w:rsidRPr="001A70E0">
        <w:rPr>
          <w:lang w:val="fr-FR"/>
        </w:rPr>
        <w:t xml:space="preserve">Bruit des véhicules </w:t>
      </w:r>
      <w:r w:rsidR="000C1099">
        <w:rPr>
          <w:lang w:val="fr-FR"/>
        </w:rPr>
        <w:br/>
      </w:r>
      <w:r w:rsidRPr="001A70E0">
        <w:rPr>
          <w:lang w:val="fr-FR"/>
        </w:rPr>
        <w:t>des catégories M et N</w:t>
      </w:r>
      <w:r w:rsidRPr="0029509D">
        <w:rPr>
          <w:lang w:val="fr-FR"/>
        </w:rPr>
        <w:t>)</w:t>
      </w:r>
    </w:p>
    <w:p w14:paraId="590656BC" w14:textId="77777777" w:rsidR="00F029AB" w:rsidRPr="0029509D" w:rsidRDefault="00F029AB" w:rsidP="000C1099">
      <w:pPr>
        <w:pStyle w:val="H1G"/>
        <w:rPr>
          <w:szCs w:val="24"/>
          <w:lang w:val="fr-FR"/>
        </w:rPr>
      </w:pPr>
      <w:r w:rsidRPr="0029509D">
        <w:rPr>
          <w:lang w:val="fr-FR"/>
        </w:rPr>
        <w:tab/>
      </w:r>
      <w:r w:rsidRPr="0029509D">
        <w:rPr>
          <w:lang w:val="fr-FR"/>
        </w:rPr>
        <w:tab/>
        <w:t xml:space="preserve">Communication du </w:t>
      </w:r>
      <w:r w:rsidRPr="001A70E0">
        <w:rPr>
          <w:lang w:val="fr-FR"/>
        </w:rPr>
        <w:t>Groupe de travail du bruit et des pneumatiques</w:t>
      </w:r>
      <w:r w:rsidRPr="000C1099">
        <w:rPr>
          <w:b w:val="0"/>
          <w:bCs/>
          <w:sz w:val="20"/>
          <w:szCs w:val="16"/>
          <w:lang w:val="fr-FR"/>
        </w:rPr>
        <w:t>*</w:t>
      </w:r>
    </w:p>
    <w:p w14:paraId="633A4D20" w14:textId="39B22E83" w:rsidR="00F029AB" w:rsidRPr="006A33D1" w:rsidRDefault="00F029AB" w:rsidP="000C1099">
      <w:pPr>
        <w:pStyle w:val="SingleTxtG"/>
        <w:ind w:firstLine="567"/>
        <w:rPr>
          <w:lang w:val="fr-FR"/>
        </w:rPr>
      </w:pPr>
      <w:r w:rsidRPr="006A33D1">
        <w:rPr>
          <w:lang w:val="fr-FR"/>
        </w:rPr>
        <w:footnoteReference w:customMarkFollows="1" w:id="2"/>
        <w:t>Le texte ci-après, adopté par le Groupe de travail du bruit et des pneumatiques (GRBP) à sa soixante-dix-septième session (ECE/TRANS/WP.29/GRBP/75, par.</w:t>
      </w:r>
      <w:r w:rsidR="000C1099">
        <w:rPr>
          <w:lang w:val="fr-FR"/>
        </w:rPr>
        <w:t> </w:t>
      </w:r>
      <w:r w:rsidRPr="006A33D1">
        <w:rPr>
          <w:lang w:val="fr-FR"/>
        </w:rPr>
        <w:t>9), est fondé sur le document GRBP-77-13-Rev.1. Il est soumis au Forum mondial de l</w:t>
      </w:r>
      <w:r>
        <w:rPr>
          <w:lang w:val="fr-FR"/>
        </w:rPr>
        <w:t>’</w:t>
      </w:r>
      <w:r w:rsidRPr="006A33D1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6A33D1">
        <w:rPr>
          <w:lang w:val="fr-FR"/>
        </w:rPr>
        <w:t>administration de l</w:t>
      </w:r>
      <w:r>
        <w:rPr>
          <w:lang w:val="fr-FR"/>
        </w:rPr>
        <w:t>’</w:t>
      </w:r>
      <w:r w:rsidRPr="006A33D1">
        <w:rPr>
          <w:lang w:val="fr-FR"/>
        </w:rPr>
        <w:t>Accord de 1958 (AC.1) pour examen à leurs sessions de juin 2023.</w:t>
      </w:r>
    </w:p>
    <w:p w14:paraId="4EADB4DE" w14:textId="021E1A87" w:rsidR="00F029AB" w:rsidRPr="008F4608" w:rsidRDefault="00F029AB" w:rsidP="000C1099">
      <w:pPr>
        <w:pStyle w:val="SingleTxtG"/>
        <w:ind w:firstLine="567"/>
        <w:rPr>
          <w:lang w:eastAsia="fr-FR"/>
        </w:rPr>
      </w:pPr>
      <w:r w:rsidRPr="00335EA9">
        <w:rPr>
          <w:lang w:val="fr-FR" w:eastAsia="fr-FR"/>
        </w:rPr>
        <w:t xml:space="preserve">Les </w:t>
      </w:r>
      <w:r>
        <w:rPr>
          <w:lang w:val="fr-FR" w:eastAsia="fr-FR"/>
        </w:rPr>
        <w:t>modifications</w:t>
      </w:r>
      <w:r w:rsidRPr="00335EA9">
        <w:rPr>
          <w:lang w:val="fr-FR" w:eastAsia="fr-FR"/>
        </w:rPr>
        <w:t xml:space="preserve"> </w:t>
      </w:r>
      <w:r w:rsidRPr="006A33D1">
        <w:rPr>
          <w:lang w:val="fr-FR" w:eastAsia="fr-FR"/>
        </w:rPr>
        <w:t>proposé</w:t>
      </w:r>
      <w:r>
        <w:rPr>
          <w:lang w:val="fr-FR" w:eastAsia="fr-FR"/>
        </w:rPr>
        <w:t>e</w:t>
      </w:r>
      <w:r w:rsidRPr="006A33D1">
        <w:rPr>
          <w:lang w:val="fr-FR" w:eastAsia="fr-FR"/>
        </w:rPr>
        <w:t xml:space="preserve">s </w:t>
      </w:r>
      <w:r w:rsidRPr="00335EA9">
        <w:rPr>
          <w:lang w:val="fr-FR" w:eastAsia="fr-FR"/>
        </w:rPr>
        <w:t xml:space="preserve">visent à apporter des précisions sur la procédure de collecte et de </w:t>
      </w:r>
      <w:r>
        <w:rPr>
          <w:lang w:val="fr-FR" w:eastAsia="fr-FR"/>
        </w:rPr>
        <w:t>communicat</w:t>
      </w:r>
      <w:r w:rsidRPr="00335EA9">
        <w:rPr>
          <w:lang w:val="fr-FR" w:eastAsia="fr-FR"/>
        </w:rPr>
        <w:t>ion des données relatives aux prescriptions supplémentaires concernant les émissions sonores en conditions réelles de conduite (PSES-CR)</w:t>
      </w:r>
      <w:r>
        <w:rPr>
          <w:lang w:val="fr-FR" w:eastAsia="fr-FR"/>
        </w:rPr>
        <w:t>,</w:t>
      </w:r>
      <w:r w:rsidRPr="00335EA9">
        <w:rPr>
          <w:lang w:val="fr-FR" w:eastAsia="fr-FR"/>
        </w:rPr>
        <w:t xml:space="preserve"> qui entrera en vigueur le 1</w:t>
      </w:r>
      <w:r w:rsidRPr="00335EA9">
        <w:rPr>
          <w:vertAlign w:val="superscript"/>
          <w:lang w:val="fr-FR" w:eastAsia="fr-FR"/>
        </w:rPr>
        <w:t>er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>juillet 2023, date fixée précédemment dans le complément 7 à la série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>03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amendements. Étant donné que le présent document, s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il est approuvé par le WP.29 et 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AC.1 en juin 2023, entrera en vigueur à une date ultérieure (vers janvier 2024), le Forum mondial est également invité à demander aux autorités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homologation de type et aux services techniques des Parties contractantes de commencer, dès le 1</w:t>
      </w:r>
      <w:r w:rsidRPr="00335EA9">
        <w:rPr>
          <w:vertAlign w:val="superscript"/>
          <w:lang w:val="fr-FR" w:eastAsia="fr-FR"/>
        </w:rPr>
        <w:t>er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 xml:space="preserve">juillet 2023, à collecter et à </w:t>
      </w:r>
      <w:r w:rsidRPr="00F501AA">
        <w:rPr>
          <w:lang w:val="fr-FR" w:eastAsia="fr-FR"/>
        </w:rPr>
        <w:t>communi</w:t>
      </w:r>
      <w:r>
        <w:rPr>
          <w:lang w:val="fr-FR" w:eastAsia="fr-FR"/>
        </w:rPr>
        <w:t xml:space="preserve">quer </w:t>
      </w:r>
      <w:r w:rsidRPr="00335EA9">
        <w:rPr>
          <w:lang w:val="fr-FR" w:eastAsia="fr-FR"/>
        </w:rPr>
        <w:t xml:space="preserve">les données PSES-CR conformément aux dispositions </w:t>
      </w:r>
      <w:r>
        <w:rPr>
          <w:lang w:val="fr-FR" w:eastAsia="fr-FR"/>
        </w:rPr>
        <w:t>énoncées</w:t>
      </w:r>
      <w:r w:rsidRPr="00335EA9">
        <w:rPr>
          <w:lang w:val="fr-FR" w:eastAsia="fr-FR"/>
        </w:rPr>
        <w:t xml:space="preserve"> ci</w:t>
      </w:r>
      <w:r w:rsidR="000C1099">
        <w:rPr>
          <w:lang w:val="fr-FR" w:eastAsia="fr-FR"/>
        </w:rPr>
        <w:noBreakHyphen/>
      </w:r>
      <w:r w:rsidRPr="00335EA9">
        <w:rPr>
          <w:lang w:val="fr-FR" w:eastAsia="fr-FR"/>
        </w:rPr>
        <w:t>dessous.</w:t>
      </w:r>
    </w:p>
    <w:p w14:paraId="7900863B" w14:textId="77777777" w:rsidR="00F029AB" w:rsidRPr="008F4608" w:rsidRDefault="00F029AB" w:rsidP="000C1099">
      <w:pPr>
        <w:pStyle w:val="SingleTxtG"/>
        <w:ind w:firstLine="567"/>
        <w:rPr>
          <w:szCs w:val="24"/>
          <w:lang w:eastAsia="fr-FR"/>
        </w:rPr>
      </w:pPr>
      <w:r w:rsidRPr="008F4608">
        <w:rPr>
          <w:lang w:eastAsia="fr-FR"/>
        </w:rPr>
        <w:t xml:space="preserve">    </w:t>
      </w:r>
    </w:p>
    <w:p w14:paraId="242A809E" w14:textId="77777777" w:rsidR="00F029AB" w:rsidRPr="008F4608" w:rsidRDefault="00F029AB" w:rsidP="00F029AB">
      <w:pPr>
        <w:rPr>
          <w:lang w:eastAsia="fr-FR"/>
        </w:rPr>
      </w:pPr>
      <w:r w:rsidRPr="008F4608">
        <w:rPr>
          <w:lang w:eastAsia="fr-FR"/>
        </w:rPr>
        <w:br w:type="page"/>
      </w:r>
    </w:p>
    <w:p w14:paraId="0D94F88E" w14:textId="6D79984E" w:rsidR="00F029AB" w:rsidRPr="008F4608" w:rsidRDefault="00F029AB" w:rsidP="000C1099">
      <w:pPr>
        <w:pStyle w:val="SingleTxtG"/>
        <w:rPr>
          <w:lang w:eastAsia="fr-FR"/>
        </w:rPr>
      </w:pPr>
      <w:r w:rsidRPr="000C1099">
        <w:rPr>
          <w:i/>
          <w:iCs/>
          <w:lang w:val="fr-FR" w:eastAsia="fr-FR"/>
        </w:rPr>
        <w:lastRenderedPageBreak/>
        <w:t>Paragraphe 5.1.1</w:t>
      </w:r>
      <w:r w:rsidRPr="00335EA9">
        <w:rPr>
          <w:lang w:val="fr-FR" w:eastAsia="fr-FR"/>
        </w:rPr>
        <w:t>, lire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 xml:space="preserve">: </w:t>
      </w:r>
    </w:p>
    <w:p w14:paraId="27101A2F" w14:textId="29CE2810" w:rsidR="00F029AB" w:rsidRPr="008F4608" w:rsidRDefault="00F029AB" w:rsidP="000C1099">
      <w:pPr>
        <w:pStyle w:val="SingleTxtG"/>
        <w:tabs>
          <w:tab w:val="left" w:pos="2268"/>
        </w:tabs>
        <w:ind w:left="2268" w:hanging="1134"/>
        <w:rPr>
          <w:strike/>
          <w:lang w:eastAsia="fr-FR"/>
        </w:rPr>
      </w:pPr>
      <w:r>
        <w:rPr>
          <w:lang w:val="fr-FR" w:eastAsia="fr-FR"/>
        </w:rPr>
        <w:t>« </w:t>
      </w:r>
      <w:r w:rsidRPr="00335EA9">
        <w:rPr>
          <w:lang w:val="fr-FR" w:eastAsia="fr-FR"/>
        </w:rPr>
        <w:t>5.1.1</w:t>
      </w:r>
      <w:r w:rsidR="000C1099">
        <w:rPr>
          <w:lang w:val="fr-FR" w:eastAsia="fr-FR"/>
        </w:rPr>
        <w:tab/>
      </w:r>
      <w:r w:rsidRPr="00335EA9">
        <w:rPr>
          <w:lang w:val="fr-FR" w:eastAsia="fr-FR"/>
        </w:rPr>
        <w:t>À compter du 1</w:t>
      </w:r>
      <w:r w:rsidRPr="00335EA9">
        <w:rPr>
          <w:vertAlign w:val="superscript"/>
          <w:lang w:val="fr-FR" w:eastAsia="fr-FR"/>
        </w:rPr>
        <w:t>er</w:t>
      </w:r>
      <w:r>
        <w:rPr>
          <w:lang w:val="fr-FR" w:eastAsia="fr-FR"/>
        </w:rPr>
        <w:t xml:space="preserve"> </w:t>
      </w:r>
      <w:r w:rsidRPr="00335EA9">
        <w:rPr>
          <w:lang w:val="fr-FR" w:eastAsia="fr-FR"/>
        </w:rPr>
        <w:t>juillet 2023 et pendant une période de 12 mois, il conviendra de procéder à des mesures conformément à 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annexe 9 (PSES-CR) au moment de 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homologation de type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un véhicule. Le</w:t>
      </w:r>
      <w:r>
        <w:rPr>
          <w:lang w:val="fr-FR" w:eastAsia="fr-FR"/>
        </w:rPr>
        <w:t>s services techniques devront communiquer le</w:t>
      </w:r>
      <w:r w:rsidRPr="00335EA9">
        <w:rPr>
          <w:lang w:val="fr-FR" w:eastAsia="fr-FR"/>
        </w:rPr>
        <w:t xml:space="preserve"> procès-verbal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essai complet (en format PDF) à 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autorité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 xml:space="preserve">homologation de type. En outre, les informations relatives au contrôle </w:t>
      </w:r>
      <w:r>
        <w:rPr>
          <w:lang w:val="fr-FR" w:eastAsia="fr-FR"/>
        </w:rPr>
        <w:t>seront</w:t>
      </w:r>
      <w:r w:rsidRPr="00335EA9">
        <w:rPr>
          <w:lang w:val="fr-FR" w:eastAsia="fr-FR"/>
        </w:rPr>
        <w:t xml:space="preserve"> </w:t>
      </w:r>
      <w:r>
        <w:rPr>
          <w:lang w:val="fr-FR" w:eastAsia="fr-FR"/>
        </w:rPr>
        <w:t>enregistrées</w:t>
      </w:r>
      <w:r w:rsidRPr="00335EA9">
        <w:rPr>
          <w:lang w:val="fr-FR" w:eastAsia="fr-FR"/>
        </w:rPr>
        <w:t xml:space="preserve"> dans le fichier de saisie de données </w:t>
      </w:r>
      <w:r>
        <w:rPr>
          <w:lang w:val="fr-FR" w:eastAsia="fr-FR"/>
        </w:rPr>
        <w:t>correspondant à</w:t>
      </w:r>
      <w:r w:rsidRPr="00335EA9">
        <w:rPr>
          <w:lang w:val="fr-FR" w:eastAsia="fr-FR"/>
        </w:rPr>
        <w:t xml:space="preserve"> la fiche de renseignements sur le contrôle PSES-CR</w:t>
      </w:r>
      <w:r>
        <w:rPr>
          <w:lang w:val="fr-FR" w:eastAsia="fr-FR"/>
        </w:rPr>
        <w:t>,</w:t>
      </w:r>
      <w:r w:rsidRPr="00335EA9">
        <w:rPr>
          <w:lang w:val="fr-FR" w:eastAsia="fr-FR"/>
        </w:rPr>
        <w:t xml:space="preserve"> publiée sur le site Web de la CEE</w:t>
      </w:r>
      <w:r w:rsidRPr="003E5B03">
        <w:rPr>
          <w:rStyle w:val="Appelnotedebasdep"/>
        </w:rPr>
        <w:footnoteReference w:id="3"/>
      </w:r>
      <w:r w:rsidRPr="00335EA9">
        <w:rPr>
          <w:lang w:val="fr-FR" w:eastAsia="fr-FR"/>
        </w:rPr>
        <w:t>.</w:t>
      </w:r>
    </w:p>
    <w:p w14:paraId="2FC93233" w14:textId="77777777" w:rsidR="00F029AB" w:rsidRPr="008F4608" w:rsidRDefault="00F029AB" w:rsidP="000C1099">
      <w:pPr>
        <w:pStyle w:val="SingleTxtG"/>
        <w:ind w:left="2268"/>
        <w:rPr>
          <w:lang w:eastAsia="fr-FR"/>
        </w:rPr>
      </w:pPr>
      <w:r w:rsidRPr="00335EA9">
        <w:rPr>
          <w:lang w:val="fr-FR" w:eastAsia="fr-FR"/>
        </w:rPr>
        <w:t>Aux fins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une homologation de type, il n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est pas obligatoire de respecter les dispositions de 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 xml:space="preserve">annexe 9. </w:t>
      </w:r>
    </w:p>
    <w:p w14:paraId="5497A00C" w14:textId="77777777" w:rsidR="00F029AB" w:rsidRPr="008F4608" w:rsidRDefault="00F029AB" w:rsidP="000C1099">
      <w:pPr>
        <w:pStyle w:val="SingleTxtG"/>
        <w:ind w:left="2268"/>
        <w:rPr>
          <w:lang w:eastAsia="fr-FR"/>
        </w:rPr>
      </w:pPr>
      <w:r w:rsidRPr="00335EA9">
        <w:rPr>
          <w:lang w:val="fr-FR" w:eastAsia="fr-FR"/>
        </w:rPr>
        <w:t>Pour les véhicules ayant un rapport puissance/masse (RPM) inférieur ou égal à 60, il n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est pas obligatoire de procéder aux essais prévus par les prescriptions PSES-CR.</w:t>
      </w:r>
    </w:p>
    <w:p w14:paraId="57E3DE2D" w14:textId="0A55C6DB" w:rsidR="00F029AB" w:rsidRPr="008F4608" w:rsidRDefault="00F029AB" w:rsidP="000C1099">
      <w:pPr>
        <w:pStyle w:val="SingleTxtG"/>
        <w:ind w:left="2268"/>
        <w:rPr>
          <w:lang w:eastAsia="fr-FR"/>
        </w:rPr>
      </w:pPr>
      <w:r w:rsidRPr="00335EA9">
        <w:rPr>
          <w:lang w:val="fr-FR" w:eastAsia="fr-FR"/>
        </w:rPr>
        <w:t>Ces prescriptions ne s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appliquent pas aux essais effectués aux fins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une extension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homologation de type en application du Règlement ONU n</w:t>
      </w:r>
      <w:r w:rsidRPr="000C1099">
        <w:rPr>
          <w:vertAlign w:val="superscript"/>
          <w:lang w:val="fr-FR" w:eastAsia="fr-FR"/>
        </w:rPr>
        <w:t>o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 xml:space="preserve">51. </w:t>
      </w:r>
    </w:p>
    <w:p w14:paraId="5BCF3AD0" w14:textId="193FC709" w:rsidR="00F029AB" w:rsidRPr="008F4608" w:rsidRDefault="00F029AB" w:rsidP="000C1099">
      <w:pPr>
        <w:pStyle w:val="SingleTxtG"/>
        <w:ind w:left="2268"/>
        <w:rPr>
          <w:lang w:eastAsia="fr-FR"/>
        </w:rPr>
      </w:pPr>
      <w:r w:rsidRPr="00335EA9">
        <w:rPr>
          <w:lang w:val="fr-FR" w:eastAsia="fr-FR"/>
        </w:rPr>
        <w:t>Lorsque les essais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homologation de type de 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annexe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>3 et de 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annexe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>7 ont été effectués en intérieur, il n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est pas obligatoire de procéder aux essais et de fournir des données conformément à 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annexe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>9.</w:t>
      </w:r>
    </w:p>
    <w:p w14:paraId="38102EEE" w14:textId="6B84F875" w:rsidR="00F029AB" w:rsidRPr="008F4608" w:rsidRDefault="00F029AB" w:rsidP="000C1099">
      <w:pPr>
        <w:pStyle w:val="SingleTxtG"/>
        <w:keepNext/>
        <w:ind w:left="2268"/>
        <w:rPr>
          <w:lang w:eastAsia="fr-FR"/>
        </w:rPr>
      </w:pPr>
      <w:r w:rsidRPr="00335EA9">
        <w:rPr>
          <w:lang w:val="fr-FR" w:eastAsia="fr-FR"/>
        </w:rPr>
        <w:t>Nonobstant les dispositions ci-dessus, les autorités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 xml:space="preserve">homologation de type, les services techniques et les constructeurs de véhicules peuvent communiquer sous forme numérique, dans le format spécifié ci-dessus, des données </w:t>
      </w:r>
      <w:r>
        <w:rPr>
          <w:lang w:val="fr-FR" w:eastAsia="fr-FR"/>
        </w:rPr>
        <w:t>relatives aux</w:t>
      </w:r>
      <w:r w:rsidRPr="00335EA9">
        <w:rPr>
          <w:lang w:val="fr-FR" w:eastAsia="fr-FR"/>
        </w:rPr>
        <w:t xml:space="preserve"> essais supplémentaires réalisés sur des véhicules homologués</w:t>
      </w:r>
      <w:r w:rsidRPr="003E5B03">
        <w:rPr>
          <w:rStyle w:val="Appelnotedebasdep"/>
        </w:rPr>
        <w:footnoteReference w:id="4"/>
      </w:r>
      <w:r w:rsidRPr="00335EA9">
        <w:rPr>
          <w:lang w:val="fr-FR" w:eastAsia="fr-FR"/>
        </w:rPr>
        <w:t xml:space="preserve">, à condition que toutes les données </w:t>
      </w:r>
      <w:r>
        <w:rPr>
          <w:lang w:val="fr-FR" w:eastAsia="fr-FR"/>
        </w:rPr>
        <w:t>se rapportent à</w:t>
      </w:r>
      <w:r w:rsidRPr="00335EA9">
        <w:rPr>
          <w:lang w:val="fr-FR" w:eastAsia="fr-FR"/>
        </w:rPr>
        <w:t xml:space="preserve"> un seul véhicule. Cela s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applique notamment, mais pas exclusivement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>:</w:t>
      </w:r>
    </w:p>
    <w:p w14:paraId="5FE5337B" w14:textId="336EC129" w:rsidR="00F029AB" w:rsidRPr="008F4608" w:rsidRDefault="00F029AB" w:rsidP="000C1099">
      <w:pPr>
        <w:pStyle w:val="SingleTxtG"/>
        <w:ind w:left="2268"/>
      </w:pPr>
      <w:r w:rsidRPr="008F4608">
        <w:t>(a)</w:t>
      </w:r>
      <w:r w:rsidRPr="008F4608">
        <w:tab/>
      </w:r>
      <w:r w:rsidR="000C1099" w:rsidRPr="00335EA9">
        <w:rPr>
          <w:lang w:val="fr-FR" w:eastAsia="fr-FR"/>
        </w:rPr>
        <w:t>Aux</w:t>
      </w:r>
      <w:r w:rsidR="000C1099" w:rsidRPr="00335EA9">
        <w:rPr>
          <w:lang w:val="fr-FR"/>
        </w:rPr>
        <w:t xml:space="preserve"> </w:t>
      </w:r>
      <w:r w:rsidRPr="00335EA9">
        <w:rPr>
          <w:lang w:val="fr-FR"/>
        </w:rPr>
        <w:t>extensions de l</w:t>
      </w:r>
      <w:r>
        <w:rPr>
          <w:lang w:val="fr-FR"/>
        </w:rPr>
        <w:t>’</w:t>
      </w:r>
      <w:r w:rsidRPr="00335EA9">
        <w:rPr>
          <w:lang w:val="fr-FR"/>
        </w:rPr>
        <w:t>homologation de type</w:t>
      </w:r>
      <w:r w:rsidR="000C1099">
        <w:rPr>
          <w:lang w:val="fr-FR"/>
        </w:rPr>
        <w:t> </w:t>
      </w:r>
      <w:r w:rsidRPr="00335EA9">
        <w:rPr>
          <w:lang w:val="fr-FR"/>
        </w:rPr>
        <w:t>;</w:t>
      </w:r>
    </w:p>
    <w:p w14:paraId="76F4D969" w14:textId="3BF668A2" w:rsidR="00F029AB" w:rsidRPr="008F4608" w:rsidRDefault="00F029AB" w:rsidP="000C1099">
      <w:pPr>
        <w:pStyle w:val="SingleTxtG"/>
        <w:ind w:left="2268"/>
      </w:pPr>
      <w:r w:rsidRPr="008F4608">
        <w:t>(b)</w:t>
      </w:r>
      <w:r w:rsidRPr="008F4608">
        <w:tab/>
      </w:r>
      <w:r w:rsidR="000C1099" w:rsidRPr="00335EA9">
        <w:rPr>
          <w:lang w:val="fr-FR"/>
        </w:rPr>
        <w:t xml:space="preserve">Aux </w:t>
      </w:r>
      <w:r w:rsidRPr="00335EA9">
        <w:rPr>
          <w:lang w:val="fr-FR"/>
        </w:rPr>
        <w:t>véhicules n</w:t>
      </w:r>
      <w:r>
        <w:rPr>
          <w:lang w:val="fr-FR"/>
        </w:rPr>
        <w:t>’</w:t>
      </w:r>
      <w:r w:rsidRPr="00335EA9">
        <w:rPr>
          <w:lang w:val="fr-FR"/>
        </w:rPr>
        <w:t>entrant pas dans le champ d</w:t>
      </w:r>
      <w:r>
        <w:rPr>
          <w:lang w:val="fr-FR"/>
        </w:rPr>
        <w:t>’</w:t>
      </w:r>
      <w:r w:rsidRPr="00335EA9">
        <w:rPr>
          <w:lang w:val="fr-FR"/>
        </w:rPr>
        <w:t>application des PSES</w:t>
      </w:r>
      <w:r w:rsidR="000C1099">
        <w:rPr>
          <w:lang w:val="fr-FR"/>
        </w:rPr>
        <w:noBreakHyphen/>
      </w:r>
      <w:r w:rsidRPr="00335EA9">
        <w:rPr>
          <w:lang w:val="fr-FR"/>
        </w:rPr>
        <w:t>CR</w:t>
      </w:r>
      <w:r w:rsidR="000C1099">
        <w:rPr>
          <w:lang w:val="fr-FR"/>
        </w:rPr>
        <w:t> </w:t>
      </w:r>
      <w:r w:rsidRPr="00335EA9">
        <w:rPr>
          <w:lang w:val="fr-FR"/>
        </w:rPr>
        <w:t xml:space="preserve">; </w:t>
      </w:r>
    </w:p>
    <w:p w14:paraId="2A458848" w14:textId="3E7DADDC" w:rsidR="00F029AB" w:rsidRPr="008F4608" w:rsidRDefault="00F029AB" w:rsidP="000C1099">
      <w:pPr>
        <w:pStyle w:val="SingleTxtG"/>
        <w:ind w:left="2268"/>
      </w:pPr>
      <w:r w:rsidRPr="008F4608">
        <w:t>(c)</w:t>
      </w:r>
      <w:r w:rsidRPr="008F4608">
        <w:tab/>
      </w:r>
      <w:r w:rsidR="000C1099" w:rsidRPr="00335EA9">
        <w:rPr>
          <w:lang w:val="fr-FR"/>
        </w:rPr>
        <w:t xml:space="preserve">Aux </w:t>
      </w:r>
      <w:r w:rsidRPr="00335EA9">
        <w:rPr>
          <w:lang w:val="fr-FR"/>
        </w:rPr>
        <w:t>homologations qui n</w:t>
      </w:r>
      <w:r>
        <w:rPr>
          <w:lang w:val="fr-FR"/>
        </w:rPr>
        <w:t>’</w:t>
      </w:r>
      <w:r w:rsidRPr="00335EA9">
        <w:rPr>
          <w:lang w:val="fr-FR"/>
        </w:rPr>
        <w:t>ont pas lieu pendant la période de contrôle.</w:t>
      </w:r>
    </w:p>
    <w:p w14:paraId="488A04CD" w14:textId="11AC8708" w:rsidR="00F029AB" w:rsidRDefault="00F029AB" w:rsidP="000C1099">
      <w:pPr>
        <w:pStyle w:val="SingleTxtG"/>
        <w:ind w:left="2268"/>
        <w:rPr>
          <w:lang w:val="fr-FR" w:eastAsia="fr-FR"/>
        </w:rPr>
      </w:pPr>
      <w:r w:rsidRPr="00335EA9">
        <w:rPr>
          <w:lang w:val="fr-FR" w:eastAsia="fr-FR"/>
        </w:rPr>
        <w:t xml:space="preserve">Tous les essais </w:t>
      </w:r>
      <w:r>
        <w:rPr>
          <w:lang w:val="fr-FR" w:eastAsia="fr-FR"/>
        </w:rPr>
        <w:t xml:space="preserve">de </w:t>
      </w:r>
      <w:r w:rsidRPr="00335EA9">
        <w:rPr>
          <w:lang w:val="fr-FR" w:eastAsia="fr-FR"/>
        </w:rPr>
        <w:t>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annexe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 xml:space="preserve">3 et </w:t>
      </w:r>
      <w:r>
        <w:rPr>
          <w:lang w:val="fr-FR" w:eastAsia="fr-FR"/>
        </w:rPr>
        <w:t xml:space="preserve">de </w:t>
      </w:r>
      <w:r w:rsidRPr="00335EA9">
        <w:rPr>
          <w:lang w:val="fr-FR" w:eastAsia="fr-FR"/>
        </w:rPr>
        <w:t>l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annexe</w:t>
      </w:r>
      <w:r w:rsidR="000C1099">
        <w:rPr>
          <w:lang w:val="fr-FR" w:eastAsia="fr-FR"/>
        </w:rPr>
        <w:t> </w:t>
      </w:r>
      <w:r w:rsidRPr="00335EA9">
        <w:rPr>
          <w:lang w:val="fr-FR" w:eastAsia="fr-FR"/>
        </w:rPr>
        <w:t>9 doivent se dérouler sur la même piste d</w:t>
      </w:r>
      <w:r>
        <w:rPr>
          <w:lang w:val="fr-FR" w:eastAsia="fr-FR"/>
        </w:rPr>
        <w:t>’</w:t>
      </w:r>
      <w:r w:rsidRPr="00335EA9">
        <w:rPr>
          <w:lang w:val="fr-FR" w:eastAsia="fr-FR"/>
        </w:rPr>
        <w:t>essai et dans des conditions ambiantes semblables.</w:t>
      </w:r>
      <w:r>
        <w:rPr>
          <w:lang w:val="fr-FR" w:eastAsia="fr-FR"/>
        </w:rPr>
        <w:t> ».</w:t>
      </w:r>
    </w:p>
    <w:p w14:paraId="22C50684" w14:textId="57A8836C" w:rsidR="000C1099" w:rsidRPr="000C1099" w:rsidRDefault="000C1099" w:rsidP="000C1099">
      <w:pPr>
        <w:pStyle w:val="SingleTxtG"/>
        <w:spacing w:before="240" w:after="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0C1099" w:rsidRPr="000C1099" w:rsidSect="00F029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2E86" w14:textId="77777777" w:rsidR="005303F6" w:rsidRDefault="005303F6" w:rsidP="00F95C08">
      <w:pPr>
        <w:spacing w:line="240" w:lineRule="auto"/>
      </w:pPr>
    </w:p>
  </w:endnote>
  <w:endnote w:type="continuationSeparator" w:id="0">
    <w:p w14:paraId="3CDC9C86" w14:textId="77777777" w:rsidR="005303F6" w:rsidRPr="00AC3823" w:rsidRDefault="005303F6" w:rsidP="00AC3823">
      <w:pPr>
        <w:pStyle w:val="Pieddepage"/>
      </w:pPr>
    </w:p>
  </w:endnote>
  <w:endnote w:type="continuationNotice" w:id="1">
    <w:p w14:paraId="6640ACD0" w14:textId="77777777" w:rsidR="005303F6" w:rsidRDefault="005303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27FF" w14:textId="1B6FBB7C" w:rsidR="00F029AB" w:rsidRPr="00F029AB" w:rsidRDefault="00F029AB" w:rsidP="00F029AB">
    <w:pPr>
      <w:pStyle w:val="Pieddepage"/>
      <w:tabs>
        <w:tab w:val="right" w:pos="9638"/>
      </w:tabs>
    </w:pPr>
    <w:r w:rsidRPr="00F029AB">
      <w:rPr>
        <w:b/>
        <w:sz w:val="18"/>
      </w:rPr>
      <w:fldChar w:fldCharType="begin"/>
    </w:r>
    <w:r w:rsidRPr="00F029AB">
      <w:rPr>
        <w:b/>
        <w:sz w:val="18"/>
      </w:rPr>
      <w:instrText xml:space="preserve"> PAGE  \* MERGEFORMAT </w:instrText>
    </w:r>
    <w:r w:rsidRPr="00F029AB">
      <w:rPr>
        <w:b/>
        <w:sz w:val="18"/>
      </w:rPr>
      <w:fldChar w:fldCharType="separate"/>
    </w:r>
    <w:r w:rsidRPr="00F029AB">
      <w:rPr>
        <w:b/>
        <w:noProof/>
        <w:sz w:val="18"/>
      </w:rPr>
      <w:t>2</w:t>
    </w:r>
    <w:r w:rsidRPr="00F029AB">
      <w:rPr>
        <w:b/>
        <w:sz w:val="18"/>
      </w:rPr>
      <w:fldChar w:fldCharType="end"/>
    </w:r>
    <w:r>
      <w:rPr>
        <w:b/>
        <w:sz w:val="18"/>
      </w:rPr>
      <w:tab/>
    </w:r>
    <w:r>
      <w:t>GE.23-06473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8563" w14:textId="32EEFA43" w:rsidR="00F029AB" w:rsidRPr="00F029AB" w:rsidRDefault="00F029AB" w:rsidP="00F029AB">
    <w:pPr>
      <w:pStyle w:val="Pieddepage"/>
      <w:tabs>
        <w:tab w:val="right" w:pos="9638"/>
      </w:tabs>
      <w:rPr>
        <w:b/>
        <w:sz w:val="18"/>
      </w:rPr>
    </w:pPr>
    <w:r>
      <w:t>GE.23-06473</w:t>
    </w:r>
    <w:r>
      <w:tab/>
    </w:r>
    <w:r w:rsidRPr="00F029AB">
      <w:rPr>
        <w:b/>
        <w:sz w:val="18"/>
      </w:rPr>
      <w:fldChar w:fldCharType="begin"/>
    </w:r>
    <w:r w:rsidRPr="00F029AB">
      <w:rPr>
        <w:b/>
        <w:sz w:val="18"/>
      </w:rPr>
      <w:instrText xml:space="preserve"> PAGE  \* MERGEFORMAT </w:instrText>
    </w:r>
    <w:r w:rsidRPr="00F029AB">
      <w:rPr>
        <w:b/>
        <w:sz w:val="18"/>
      </w:rPr>
      <w:fldChar w:fldCharType="separate"/>
    </w:r>
    <w:r w:rsidRPr="00F029AB">
      <w:rPr>
        <w:b/>
        <w:noProof/>
        <w:sz w:val="18"/>
      </w:rPr>
      <w:t>3</w:t>
    </w:r>
    <w:r w:rsidRPr="00F029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700C" w14:textId="678A5B80" w:rsidR="007F20FA" w:rsidRPr="00F029AB" w:rsidRDefault="00F029AB" w:rsidP="00F029A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ABE426" wp14:editId="45EB1CD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23-06473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189462B" wp14:editId="66C845E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2444428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99">
      <w:rPr>
        <w:sz w:val="20"/>
      </w:rPr>
      <w:t xml:space="preserve">    300423    010523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6D6C" w14:textId="77777777" w:rsidR="005303F6" w:rsidRPr="00AC3823" w:rsidRDefault="005303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82C4D5" w14:textId="77777777" w:rsidR="005303F6" w:rsidRPr="00AC3823" w:rsidRDefault="005303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219D91" w14:textId="77777777" w:rsidR="005303F6" w:rsidRPr="00AC3823" w:rsidRDefault="005303F6">
      <w:pPr>
        <w:spacing w:line="240" w:lineRule="auto"/>
        <w:rPr>
          <w:sz w:val="2"/>
          <w:szCs w:val="2"/>
        </w:rPr>
      </w:pPr>
    </w:p>
  </w:footnote>
  <w:footnote w:id="2">
    <w:p w14:paraId="4EEDCF54" w14:textId="70A53752" w:rsidR="00F029AB" w:rsidRDefault="00F029AB" w:rsidP="00F029AB">
      <w:pPr>
        <w:pStyle w:val="Notedebasdepage"/>
        <w:rPr>
          <w:lang w:val="fr-FR"/>
        </w:rPr>
      </w:pPr>
      <w:r>
        <w:rPr>
          <w:lang w:val="fr-FR"/>
        </w:rPr>
        <w:tab/>
      </w:r>
      <w:r w:rsidRPr="000C1099">
        <w:rPr>
          <w:sz w:val="20"/>
          <w:szCs w:val="22"/>
          <w:lang w:val="fr-FR"/>
        </w:rPr>
        <w:t>*</w:t>
      </w:r>
      <w:r w:rsidRPr="000C1099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</w:t>
      </w:r>
      <w:r w:rsidR="000C1099">
        <w:rPr>
          <w:lang w:val="fr-FR"/>
        </w:rPr>
        <w:t>’</w:t>
      </w:r>
      <w:r>
        <w:rPr>
          <w:lang w:val="fr-FR"/>
        </w:rPr>
        <w:t>il figure dans le projet de budget-programme pour 2023 (A/77/6 (Sect.</w:t>
      </w:r>
      <w:r w:rsidR="000C1099">
        <w:rPr>
          <w:lang w:val="fr-FR"/>
        </w:rPr>
        <w:t> </w:t>
      </w:r>
      <w:r>
        <w:rPr>
          <w:lang w:val="fr-FR"/>
        </w:rPr>
        <w:t>20), tableau 20.6), le Forum mondial a pour mission d</w:t>
      </w:r>
      <w:r w:rsidR="000C1099">
        <w:rPr>
          <w:lang w:val="fr-FR"/>
        </w:rPr>
        <w:t>’</w:t>
      </w:r>
      <w:r>
        <w:rPr>
          <w:lang w:val="fr-FR"/>
        </w:rPr>
        <w:t>élaborer, d</w:t>
      </w:r>
      <w:r w:rsidR="000C1099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0C1099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  <w:p w14:paraId="77DD6D08" w14:textId="77777777" w:rsidR="000C1099" w:rsidRPr="008F4608" w:rsidRDefault="000C1099" w:rsidP="00F029AB">
      <w:pPr>
        <w:pStyle w:val="Notedebasdepage"/>
      </w:pPr>
    </w:p>
  </w:footnote>
  <w:footnote w:id="3">
    <w:p w14:paraId="1437A6F4" w14:textId="23D44C57" w:rsidR="00F029AB" w:rsidRPr="008F4608" w:rsidRDefault="00F029AB" w:rsidP="00F029AB">
      <w:pPr>
        <w:pStyle w:val="Notedebasdepage"/>
        <w:rPr>
          <w:rFonts w:eastAsia="Calibri"/>
        </w:rPr>
      </w:pPr>
      <w:r>
        <w:rPr>
          <w:lang w:val="fr-FR"/>
        </w:rPr>
        <w:tab/>
      </w:r>
      <w:r w:rsidRPr="003E5B03"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</w:r>
      <w:hyperlink r:id="rId1" w:history="1">
        <w:r w:rsidRPr="000C1099">
          <w:rPr>
            <w:rStyle w:val="Lienhypertexte"/>
            <w:lang w:val="fr-FR"/>
          </w:rPr>
          <w:t>https://unece.org/documents-reference-only-0</w:t>
        </w:r>
      </w:hyperlink>
      <w:r>
        <w:rPr>
          <w:lang w:val="fr-FR"/>
        </w:rPr>
        <w:t>. Dans la fiche de renseignements, l</w:t>
      </w:r>
      <w:r w:rsidR="000C1099">
        <w:rPr>
          <w:lang w:val="fr-FR"/>
        </w:rPr>
        <w:t>’</w:t>
      </w:r>
      <w:r>
        <w:rPr>
          <w:lang w:val="fr-FR"/>
        </w:rPr>
        <w:t xml:space="preserve">adresse à laquelle le fichier doit être envoyé figure en haut du tableau « (0) instructions ». </w:t>
      </w:r>
    </w:p>
  </w:footnote>
  <w:footnote w:id="4">
    <w:p w14:paraId="360CA586" w14:textId="52054E34" w:rsidR="00F029AB" w:rsidRPr="008F4608" w:rsidRDefault="00F029AB" w:rsidP="00F029AB">
      <w:pPr>
        <w:pStyle w:val="Notedebasdepage"/>
      </w:pPr>
      <w:r>
        <w:rPr>
          <w:lang w:val="fr-FR"/>
        </w:rPr>
        <w:tab/>
      </w:r>
      <w:r w:rsidRPr="003E5B03"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Lorsque les autorités d</w:t>
      </w:r>
      <w:r w:rsidR="000C1099">
        <w:rPr>
          <w:lang w:val="fr-FR"/>
        </w:rPr>
        <w:t>’</w:t>
      </w:r>
      <w:r>
        <w:rPr>
          <w:lang w:val="fr-FR"/>
        </w:rPr>
        <w:t>homologation de type, les services techniques ou les constructeurs de véhicules décident de communiquer des procès-verbaux d</w:t>
      </w:r>
      <w:r w:rsidR="000C1099">
        <w:rPr>
          <w:lang w:val="fr-FR"/>
        </w:rPr>
        <w:t>’</w:t>
      </w:r>
      <w:r>
        <w:rPr>
          <w:lang w:val="fr-FR"/>
        </w:rPr>
        <w:t>essai supplémentaires, les véhicules soumis aux essais doivent être dans un état tel qu</w:t>
      </w:r>
      <w:r w:rsidR="000C1099">
        <w:rPr>
          <w:lang w:val="fr-FR"/>
        </w:rPr>
        <w:t>’</w:t>
      </w:r>
      <w:r>
        <w:rPr>
          <w:lang w:val="fr-FR"/>
        </w:rPr>
        <w:t>ils puissent être utilisés pour l</w:t>
      </w:r>
      <w:r w:rsidR="000C1099">
        <w:rPr>
          <w:lang w:val="fr-FR"/>
        </w:rPr>
        <w:t>’</w:t>
      </w:r>
      <w:r>
        <w:rPr>
          <w:lang w:val="fr-FR"/>
        </w:rPr>
        <w:t>homologation de type (par</w:t>
      </w:r>
      <w:r w:rsidR="000C1099">
        <w:rPr>
          <w:lang w:val="fr-FR"/>
        </w:rPr>
        <w:t> </w:t>
      </w:r>
      <w:r>
        <w:rPr>
          <w:lang w:val="fr-FR"/>
        </w:rPr>
        <w:t>exemple, ne pas avoir plus d</w:t>
      </w:r>
      <w:r w:rsidR="000C1099">
        <w:rPr>
          <w:lang w:val="fr-FR"/>
        </w:rPr>
        <w:t>’</w:t>
      </w:r>
      <w:r>
        <w:rPr>
          <w:lang w:val="fr-FR"/>
        </w:rPr>
        <w:t>un an, ne pas avoir subi de manipulation, être équipés d</w:t>
      </w:r>
      <w:r w:rsidR="000C1099">
        <w:rPr>
          <w:lang w:val="fr-FR"/>
        </w:rPr>
        <w:t>’</w:t>
      </w:r>
      <w:r>
        <w:rPr>
          <w:lang w:val="fr-FR"/>
        </w:rPr>
        <w:t xml:space="preserve">origine et avoir été entretenus conformément aux spécifications du constructeur) et </w:t>
      </w:r>
      <w:r w:rsidRPr="00150CD4">
        <w:rPr>
          <w:lang w:val="fr-FR"/>
        </w:rPr>
        <w:t xml:space="preserve">être </w:t>
      </w:r>
      <w:r>
        <w:rPr>
          <w:lang w:val="fr-FR"/>
        </w:rPr>
        <w:t>homologués conformément à la série</w:t>
      </w:r>
      <w:r w:rsidR="000C1099">
        <w:rPr>
          <w:lang w:val="fr-FR"/>
        </w:rPr>
        <w:t> </w:t>
      </w:r>
      <w:r>
        <w:rPr>
          <w:lang w:val="fr-FR"/>
        </w:rPr>
        <w:t>03 d</w:t>
      </w:r>
      <w:r w:rsidR="000C1099">
        <w:rPr>
          <w:lang w:val="fr-FR"/>
        </w:rPr>
        <w:t>’</w:t>
      </w:r>
      <w:r>
        <w:rPr>
          <w:lang w:val="fr-FR"/>
        </w:rPr>
        <w:t>amendements au Règlement ONU n</w:t>
      </w:r>
      <w:r w:rsidRPr="000C1099">
        <w:rPr>
          <w:vertAlign w:val="superscript"/>
          <w:lang w:val="fr-FR"/>
        </w:rPr>
        <w:t>o</w:t>
      </w:r>
      <w:r w:rsidR="000C1099">
        <w:rPr>
          <w:lang w:val="fr-FR"/>
        </w:rPr>
        <w:t> </w:t>
      </w:r>
      <w:r>
        <w:rPr>
          <w:lang w:val="fr-FR"/>
        </w:rPr>
        <w:t>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B219" w14:textId="6D4FB117" w:rsidR="00F029AB" w:rsidRPr="00F029AB" w:rsidRDefault="00F029AB">
    <w:pPr>
      <w:pStyle w:val="En-tte"/>
    </w:pPr>
    <w:fldSimple w:instr=" TITLE  \* MERGEFORMAT ">
      <w:r>
        <w:t>ECE/TRANS/WP.29/2023/71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E4EC" w14:textId="049C8ED7" w:rsidR="00F029AB" w:rsidRPr="00F029AB" w:rsidRDefault="00F029AB" w:rsidP="00F029AB">
    <w:pPr>
      <w:pStyle w:val="En-tte"/>
      <w:jc w:val="right"/>
    </w:pPr>
    <w:fldSimple w:instr=" TITLE  \* MERGEFORMAT ">
      <w:r>
        <w:t>ECE/TRANS/WP.29/2023/71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1852994">
    <w:abstractNumId w:val="12"/>
  </w:num>
  <w:num w:numId="2" w16cid:durableId="1305816640">
    <w:abstractNumId w:val="11"/>
  </w:num>
  <w:num w:numId="3" w16cid:durableId="917443672">
    <w:abstractNumId w:val="10"/>
  </w:num>
  <w:num w:numId="4" w16cid:durableId="208497871">
    <w:abstractNumId w:val="8"/>
  </w:num>
  <w:num w:numId="5" w16cid:durableId="1179806296">
    <w:abstractNumId w:val="3"/>
  </w:num>
  <w:num w:numId="6" w16cid:durableId="1380131021">
    <w:abstractNumId w:val="2"/>
  </w:num>
  <w:num w:numId="7" w16cid:durableId="494496120">
    <w:abstractNumId w:val="1"/>
  </w:num>
  <w:num w:numId="8" w16cid:durableId="1612862734">
    <w:abstractNumId w:val="0"/>
  </w:num>
  <w:num w:numId="9" w16cid:durableId="1857424089">
    <w:abstractNumId w:val="9"/>
  </w:num>
  <w:num w:numId="10" w16cid:durableId="1014259579">
    <w:abstractNumId w:val="7"/>
  </w:num>
  <w:num w:numId="11" w16cid:durableId="1591154185">
    <w:abstractNumId w:val="6"/>
  </w:num>
  <w:num w:numId="12" w16cid:durableId="866286187">
    <w:abstractNumId w:val="5"/>
  </w:num>
  <w:num w:numId="13" w16cid:durableId="710307457">
    <w:abstractNumId w:val="4"/>
  </w:num>
  <w:num w:numId="14" w16cid:durableId="1634943745">
    <w:abstractNumId w:val="12"/>
  </w:num>
  <w:num w:numId="15" w16cid:durableId="970132462">
    <w:abstractNumId w:val="11"/>
  </w:num>
  <w:num w:numId="16" w16cid:durableId="693846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F6"/>
    <w:rsid w:val="00017F94"/>
    <w:rsid w:val="00023842"/>
    <w:rsid w:val="000334F9"/>
    <w:rsid w:val="00045FEB"/>
    <w:rsid w:val="0007796D"/>
    <w:rsid w:val="000B7790"/>
    <w:rsid w:val="000C1099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303F6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C3DB5"/>
    <w:rsid w:val="00DD3BFD"/>
    <w:rsid w:val="00DF6678"/>
    <w:rsid w:val="00E0299A"/>
    <w:rsid w:val="00E85C74"/>
    <w:rsid w:val="00EA6547"/>
    <w:rsid w:val="00ED7237"/>
    <w:rsid w:val="00EF2E22"/>
    <w:rsid w:val="00F029AB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00C7A"/>
  <w15:docId w15:val="{BC459D5C-F638-4A5D-8D5F-49289AF2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C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documents-reference-only-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855C7-2F01-4A56-B1D9-2E1672008589}"/>
</file>

<file path=customXml/itemProps2.xml><?xml version="1.0" encoding="utf-8"?>
<ds:datastoreItem xmlns:ds="http://schemas.openxmlformats.org/officeDocument/2006/customXml" ds:itemID="{85BC2CD1-4C2B-45EE-BDE7-68E4C9AAEA0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579</Words>
  <Characters>3199</Characters>
  <Application>Microsoft Office Word</Application>
  <DocSecurity>0</DocSecurity>
  <Lines>71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ECE/TRANS/WP.29/2023/71</dc:title>
  <dc:subject/>
  <dc:creator>Christine CHAUTAGNAT</dc:creator>
  <cp:keywords/>
  <cp:lastModifiedBy>Christine Chautagnat</cp:lastModifiedBy>
  <cp:revision>2</cp:revision>
  <cp:lastPrinted>2014-05-14T10:59:00Z</cp:lastPrinted>
  <dcterms:created xsi:type="dcterms:W3CDTF">2023-05-01T08:33:00Z</dcterms:created>
  <dcterms:modified xsi:type="dcterms:W3CDTF">2023-05-01T08:33:00Z</dcterms:modified>
</cp:coreProperties>
</file>