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3A59" w14:textId="77777777" w:rsidR="000C47CE" w:rsidRPr="00010B7B" w:rsidRDefault="000C47CE" w:rsidP="000C47CE">
      <w:pPr>
        <w:spacing w:before="120"/>
        <w:rPr>
          <w:b/>
          <w:sz w:val="28"/>
          <w:szCs w:val="28"/>
        </w:rPr>
      </w:pPr>
      <w:r w:rsidRPr="00010B7B">
        <w:rPr>
          <w:b/>
          <w:sz w:val="28"/>
          <w:szCs w:val="28"/>
        </w:rPr>
        <w:t>Economic Commission for Europe</w:t>
      </w:r>
    </w:p>
    <w:tbl>
      <w:tblPr>
        <w:tblpPr w:leftFromText="142" w:rightFromText="142" w:vertAnchor="page" w:horzAnchor="margin" w:tblpY="1456"/>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524"/>
        <w:gridCol w:w="2839"/>
      </w:tblGrid>
      <w:tr w:rsidR="000C47CE" w:rsidRPr="00010B7B" w14:paraId="0D097A03" w14:textId="77777777" w:rsidTr="00FF696C">
        <w:trPr>
          <w:cantSplit/>
          <w:trHeight w:hRule="exact" w:val="958"/>
        </w:trPr>
        <w:tc>
          <w:tcPr>
            <w:tcW w:w="1701" w:type="dxa"/>
            <w:shd w:val="clear" w:color="auto" w:fill="auto"/>
            <w:vAlign w:val="bottom"/>
          </w:tcPr>
          <w:p w14:paraId="545A5B92" w14:textId="77777777" w:rsidR="000C47CE" w:rsidRPr="00010B7B" w:rsidRDefault="000C47CE" w:rsidP="001B1A4B">
            <w:pPr>
              <w:pStyle w:val="Heading5"/>
            </w:pPr>
          </w:p>
        </w:tc>
        <w:tc>
          <w:tcPr>
            <w:tcW w:w="5524" w:type="dxa"/>
            <w:shd w:val="clear" w:color="auto" w:fill="auto"/>
            <w:vAlign w:val="bottom"/>
          </w:tcPr>
          <w:p w14:paraId="2977E35B" w14:textId="77777777" w:rsidR="000C47CE" w:rsidRPr="00010B7B" w:rsidRDefault="000C47CE" w:rsidP="00FF696C">
            <w:pPr>
              <w:spacing w:after="80" w:line="240" w:lineRule="auto"/>
              <w:rPr>
                <w:b/>
                <w:sz w:val="24"/>
                <w:szCs w:val="44"/>
              </w:rPr>
            </w:pPr>
          </w:p>
        </w:tc>
        <w:tc>
          <w:tcPr>
            <w:tcW w:w="2839" w:type="dxa"/>
            <w:shd w:val="clear" w:color="auto" w:fill="auto"/>
          </w:tcPr>
          <w:p w14:paraId="7759E270" w14:textId="19D361D7" w:rsidR="000C47CE" w:rsidRPr="00010B7B" w:rsidRDefault="000C47CE" w:rsidP="00FF696C">
            <w:pPr>
              <w:spacing w:before="240" w:line="240" w:lineRule="exact"/>
              <w:ind w:left="4"/>
            </w:pPr>
            <w:r w:rsidRPr="00D93204">
              <w:rPr>
                <w:iCs/>
                <w:lang w:eastAsia="en-US"/>
              </w:rPr>
              <w:t>ECE/MP.EIA/</w:t>
            </w:r>
            <w:r w:rsidR="007C20C8">
              <w:rPr>
                <w:iCs/>
                <w:lang w:eastAsia="en-US"/>
              </w:rPr>
              <w:t>WG.2</w:t>
            </w:r>
            <w:r w:rsidRPr="00D93204">
              <w:rPr>
                <w:iCs/>
                <w:lang w:eastAsia="en-US"/>
              </w:rPr>
              <w:t>/202</w:t>
            </w:r>
            <w:r>
              <w:rPr>
                <w:iCs/>
                <w:lang w:eastAsia="en-US"/>
              </w:rPr>
              <w:t>3</w:t>
            </w:r>
            <w:r w:rsidRPr="00D93204">
              <w:rPr>
                <w:iCs/>
                <w:lang w:eastAsia="en-US"/>
              </w:rPr>
              <w:t>/INF.</w:t>
            </w:r>
            <w:r w:rsidR="007C20C8">
              <w:rPr>
                <w:iCs/>
                <w:lang w:eastAsia="en-US"/>
              </w:rPr>
              <w:t>9</w:t>
            </w:r>
            <w:r>
              <w:br/>
            </w:r>
            <w:r w:rsidR="00A80781">
              <w:rPr>
                <w:color w:val="FF0000"/>
              </w:rPr>
              <w:t>18 May</w:t>
            </w:r>
            <w:r w:rsidRPr="007C20C8">
              <w:rPr>
                <w:color w:val="FF0000"/>
              </w:rPr>
              <w:t xml:space="preserve"> 2023</w:t>
            </w:r>
            <w:r w:rsidRPr="003606B4">
              <w:rPr>
                <w:color w:val="FF0000"/>
                <w:lang w:val="en-US"/>
              </w:rPr>
              <w:br/>
            </w:r>
            <w:r w:rsidRPr="00010B7B">
              <w:t>English only</w:t>
            </w:r>
          </w:p>
          <w:p w14:paraId="4E50CE5C" w14:textId="77777777" w:rsidR="000C47CE" w:rsidRPr="00010B7B" w:rsidRDefault="000C47CE" w:rsidP="00FF696C">
            <w:pPr>
              <w:spacing w:line="240" w:lineRule="exact"/>
            </w:pPr>
            <w:r w:rsidRPr="00010B7B">
              <w:t xml:space="preserve"> 27 May 2021</w:t>
            </w:r>
          </w:p>
        </w:tc>
      </w:tr>
    </w:tbl>
    <w:p w14:paraId="3F9A8FB8" w14:textId="77777777" w:rsidR="000C47CE" w:rsidRPr="00501F18" w:rsidRDefault="000C47CE" w:rsidP="000C47CE">
      <w:pPr>
        <w:spacing w:before="120" w:line="240" w:lineRule="auto"/>
        <w:rPr>
          <w:bCs/>
          <w:sz w:val="28"/>
          <w:szCs w:val="28"/>
        </w:rPr>
      </w:pPr>
      <w:r w:rsidRPr="00501F18">
        <w:rPr>
          <w:bCs/>
          <w:sz w:val="28"/>
          <w:szCs w:val="28"/>
        </w:rPr>
        <w:t xml:space="preserve">Meeting of the Parties to the Convention </w:t>
      </w:r>
      <w:r w:rsidRPr="00501F18">
        <w:rPr>
          <w:bCs/>
          <w:sz w:val="28"/>
          <w:szCs w:val="28"/>
        </w:rPr>
        <w:br/>
        <w:t xml:space="preserve">on Environmental Impact Assessment </w:t>
      </w:r>
      <w:r w:rsidRPr="00501F18">
        <w:rPr>
          <w:bCs/>
          <w:sz w:val="28"/>
          <w:szCs w:val="28"/>
        </w:rPr>
        <w:br/>
        <w:t>in a Transboundary Context</w:t>
      </w:r>
    </w:p>
    <w:p w14:paraId="27885C63" w14:textId="77777777" w:rsidR="000C47CE" w:rsidRPr="00501F18" w:rsidRDefault="000C47CE" w:rsidP="000C47CE">
      <w:pPr>
        <w:autoSpaceDE w:val="0"/>
        <w:autoSpaceDN w:val="0"/>
        <w:adjustRightInd w:val="0"/>
        <w:spacing w:before="120"/>
        <w:rPr>
          <w:sz w:val="28"/>
          <w:szCs w:val="28"/>
        </w:rPr>
      </w:pPr>
      <w:r w:rsidRPr="00501F18">
        <w:rPr>
          <w:sz w:val="28"/>
          <w:szCs w:val="28"/>
        </w:rPr>
        <w:t xml:space="preserve">Meeting of the Parties to the Convention </w:t>
      </w:r>
      <w:r w:rsidRPr="00501F18">
        <w:rPr>
          <w:sz w:val="28"/>
          <w:szCs w:val="28"/>
        </w:rPr>
        <w:br/>
        <w:t xml:space="preserve">on Environmental Impact Assessment in </w:t>
      </w:r>
      <w:r w:rsidRPr="00501F18">
        <w:rPr>
          <w:sz w:val="28"/>
          <w:szCs w:val="28"/>
        </w:rPr>
        <w:br/>
        <w:t xml:space="preserve">a Transboundary Context serving as the </w:t>
      </w:r>
      <w:r w:rsidRPr="00501F18">
        <w:rPr>
          <w:sz w:val="28"/>
          <w:szCs w:val="28"/>
        </w:rPr>
        <w:br/>
        <w:t xml:space="preserve">Meeting of the Parties to the Protocol on </w:t>
      </w:r>
      <w:r w:rsidRPr="00501F18">
        <w:rPr>
          <w:sz w:val="28"/>
          <w:szCs w:val="28"/>
        </w:rPr>
        <w:br/>
        <w:t>Strategic Environmental Assessment</w:t>
      </w:r>
    </w:p>
    <w:p w14:paraId="3CA3D83A" w14:textId="77777777" w:rsidR="000D42CC" w:rsidRPr="00930D32" w:rsidRDefault="000D42CC" w:rsidP="000D42CC">
      <w:pPr>
        <w:spacing w:before="120" w:line="240" w:lineRule="auto"/>
        <w:rPr>
          <w:b/>
          <w:sz w:val="24"/>
          <w:szCs w:val="24"/>
        </w:rPr>
      </w:pPr>
      <w:r w:rsidRPr="00930D32">
        <w:rPr>
          <w:b/>
          <w:sz w:val="24"/>
          <w:szCs w:val="24"/>
        </w:rPr>
        <w:t>Working Group on Environmental Impact Assessment</w:t>
      </w:r>
      <w:r w:rsidRPr="00930D32">
        <w:rPr>
          <w:b/>
          <w:sz w:val="24"/>
          <w:szCs w:val="24"/>
        </w:rPr>
        <w:br/>
        <w:t>and Strategic Environmental Assessment</w:t>
      </w:r>
    </w:p>
    <w:p w14:paraId="74AAEAA1" w14:textId="77777777" w:rsidR="000D42CC" w:rsidRPr="00136A88" w:rsidRDefault="000D42CC" w:rsidP="000D42CC">
      <w:pPr>
        <w:spacing w:before="120"/>
        <w:rPr>
          <w:b/>
        </w:rPr>
      </w:pPr>
      <w:r>
        <w:rPr>
          <w:b/>
        </w:rPr>
        <w:t xml:space="preserve">Twelfth </w:t>
      </w:r>
      <w:r w:rsidRPr="00136A88">
        <w:rPr>
          <w:b/>
        </w:rPr>
        <w:t>meeting</w:t>
      </w:r>
    </w:p>
    <w:p w14:paraId="5BF82037" w14:textId="77777777" w:rsidR="000D42CC" w:rsidRPr="00136A88" w:rsidRDefault="000D42CC" w:rsidP="000D42CC">
      <w:r w:rsidRPr="00136A88">
        <w:t xml:space="preserve">Geneva, </w:t>
      </w:r>
      <w:r>
        <w:t>13</w:t>
      </w:r>
      <w:r w:rsidRPr="00E5595D">
        <w:t>–</w:t>
      </w:r>
      <w:r>
        <w:t>15</w:t>
      </w:r>
      <w:r w:rsidRPr="00E5595D">
        <w:t xml:space="preserve"> </w:t>
      </w:r>
      <w:r>
        <w:t>June</w:t>
      </w:r>
      <w:r w:rsidRPr="00E5595D">
        <w:t xml:space="preserve"> 202</w:t>
      </w:r>
      <w:r>
        <w:t>3</w:t>
      </w:r>
    </w:p>
    <w:p w14:paraId="5D57AFED" w14:textId="4CCEB859" w:rsidR="000C47CE" w:rsidRPr="000C47CE" w:rsidRDefault="000C47CE" w:rsidP="00110399">
      <w:r w:rsidRPr="000C47CE">
        <w:t xml:space="preserve">Item </w:t>
      </w:r>
      <w:r w:rsidR="000D42CC">
        <w:t>5-</w:t>
      </w:r>
      <w:r w:rsidRPr="000C47CE">
        <w:t xml:space="preserve">6 of the provisional agenda </w:t>
      </w:r>
    </w:p>
    <w:p w14:paraId="025B0D78" w14:textId="203C1DFC" w:rsidR="00110399" w:rsidRDefault="007C20C8" w:rsidP="00110399">
      <w:pPr>
        <w:rPr>
          <w:b/>
        </w:rPr>
      </w:pPr>
      <w:r>
        <w:rPr>
          <w:b/>
        </w:rPr>
        <w:t>Compliance and implementation</w:t>
      </w:r>
    </w:p>
    <w:p w14:paraId="3D572317" w14:textId="23E2B638" w:rsidR="007C20C8" w:rsidRPr="00595520" w:rsidRDefault="007C20C8" w:rsidP="00110399">
      <w:r>
        <w:rPr>
          <w:b/>
        </w:rPr>
        <w:t xml:space="preserve">Promoting practical application of the Convention and </w:t>
      </w:r>
      <w:r>
        <w:rPr>
          <w:b/>
        </w:rPr>
        <w:br/>
        <w:t>the Protocol</w:t>
      </w:r>
    </w:p>
    <w:p w14:paraId="4AB20CC5" w14:textId="67AC352D" w:rsidR="00995079" w:rsidRDefault="00110399" w:rsidP="00110399">
      <w:pPr>
        <w:pStyle w:val="HChG"/>
        <w:rPr>
          <w:lang w:eastAsia="en-US"/>
        </w:rPr>
      </w:pPr>
      <w:r>
        <w:rPr>
          <w:lang w:eastAsia="en-US"/>
        </w:rPr>
        <w:tab/>
      </w:r>
      <w:r>
        <w:rPr>
          <w:lang w:eastAsia="en-US"/>
        </w:rPr>
        <w:tab/>
      </w:r>
      <w:r w:rsidRPr="00110399">
        <w:rPr>
          <w:lang w:eastAsia="en-US"/>
        </w:rPr>
        <w:t>Workplan implementation status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10399" w14:paraId="085A45C9" w14:textId="77777777" w:rsidTr="006E5E26">
        <w:trPr>
          <w:jc w:val="center"/>
        </w:trPr>
        <w:tc>
          <w:tcPr>
            <w:tcW w:w="9637" w:type="dxa"/>
            <w:shd w:val="clear" w:color="auto" w:fill="auto"/>
          </w:tcPr>
          <w:p w14:paraId="7300FF97" w14:textId="77777777" w:rsidR="00110399" w:rsidRPr="00C6263E" w:rsidRDefault="00110399" w:rsidP="006E5E26">
            <w:pPr>
              <w:spacing w:before="240" w:after="120"/>
              <w:ind w:left="255"/>
              <w:rPr>
                <w:i/>
                <w:sz w:val="24"/>
              </w:rPr>
            </w:pPr>
            <w:r w:rsidRPr="00C6263E">
              <w:rPr>
                <w:i/>
                <w:sz w:val="24"/>
              </w:rPr>
              <w:t>Summary</w:t>
            </w:r>
          </w:p>
        </w:tc>
      </w:tr>
      <w:tr w:rsidR="00110399" w14:paraId="037D52E2" w14:textId="77777777" w:rsidTr="006E5E26">
        <w:trPr>
          <w:jc w:val="center"/>
        </w:trPr>
        <w:tc>
          <w:tcPr>
            <w:tcW w:w="9637" w:type="dxa"/>
            <w:shd w:val="clear" w:color="auto" w:fill="auto"/>
          </w:tcPr>
          <w:p w14:paraId="25F10684" w14:textId="61C974D5" w:rsidR="00110399" w:rsidRPr="00110399" w:rsidRDefault="00110399" w:rsidP="00110399">
            <w:pPr>
              <w:spacing w:after="120" w:line="240" w:lineRule="auto"/>
              <w:ind w:left="567" w:right="1134" w:firstLine="566"/>
              <w:jc w:val="both"/>
              <w:rPr>
                <w:lang w:eastAsia="en-US"/>
              </w:rPr>
            </w:pPr>
            <w:r w:rsidRPr="00110399">
              <w:rPr>
                <w:lang w:eastAsia="en-US"/>
              </w:rPr>
              <w:t xml:space="preserve">This note by the secretariat presents the implementation status as of to date of activities in the </w:t>
            </w:r>
            <w:bookmarkStart w:id="0" w:name="_Hlk74144783"/>
            <w:r w:rsidRPr="00110399">
              <w:rPr>
                <w:lang w:eastAsia="en-US"/>
              </w:rPr>
              <w:t xml:space="preserve">workplan for 2021–2023 </w:t>
            </w:r>
            <w:bookmarkEnd w:id="0"/>
            <w:r w:rsidRPr="00110399">
              <w:rPr>
                <w:lang w:eastAsia="en-US"/>
              </w:rPr>
              <w:t xml:space="preserve">adopted by the Meeting of the Parties to the Convention on Environmental Impact Assessment in a Transboundary Context and the Protocol on Strategic Environmental Assessment at their eighth and fourth sessions, respectively, (Vilnius, (online), 8–11 December 2021), through decision VIII/2–IV/2, (see ECE/MP.EIA/30/Add.1-ECE/MP.EIA/SEA/13/Add.1). Annex I to that decision contained the workplan activities, with related resource requirements provided in annex II. Any additional activities to the workplan are described in </w:t>
            </w:r>
            <w:r>
              <w:rPr>
                <w:lang w:eastAsia="en-US"/>
              </w:rPr>
              <w:t xml:space="preserve">the </w:t>
            </w:r>
            <w:r w:rsidRPr="00110399">
              <w:rPr>
                <w:lang w:eastAsia="en-US"/>
              </w:rPr>
              <w:t>annex to the present document.</w:t>
            </w:r>
          </w:p>
          <w:p w14:paraId="0A33E24D" w14:textId="4508313D" w:rsidR="00110399" w:rsidRDefault="00110399" w:rsidP="00F42143">
            <w:pPr>
              <w:pStyle w:val="SingleTxtG"/>
              <w:ind w:left="567" w:firstLine="567"/>
            </w:pPr>
            <w:r w:rsidRPr="00110399">
              <w:rPr>
                <w:lang w:eastAsia="en-US"/>
              </w:rPr>
              <w:t xml:space="preserve">The </w:t>
            </w:r>
            <w:r w:rsidR="007C20C8">
              <w:rPr>
                <w:lang w:eastAsia="en-US"/>
              </w:rPr>
              <w:t>Working Group</w:t>
            </w:r>
            <w:r w:rsidRPr="00110399">
              <w:rPr>
                <w:lang w:eastAsia="en-US"/>
              </w:rPr>
              <w:t xml:space="preserve"> is expected to take note of the information, </w:t>
            </w:r>
            <w:proofErr w:type="gramStart"/>
            <w:r w:rsidRPr="00110399">
              <w:rPr>
                <w:lang w:eastAsia="en-US"/>
              </w:rPr>
              <w:t>and,</w:t>
            </w:r>
            <w:proofErr w:type="gramEnd"/>
            <w:r w:rsidRPr="00110399">
              <w:rPr>
                <w:lang w:eastAsia="en-US"/>
              </w:rPr>
              <w:t xml:space="preserve"> as needed, provide advice and agree on actions to ensure the implementation of or follow-to these activities.</w:t>
            </w:r>
          </w:p>
        </w:tc>
      </w:tr>
      <w:tr w:rsidR="00110399" w14:paraId="53D3E1D6" w14:textId="77777777" w:rsidTr="006E5E26">
        <w:trPr>
          <w:jc w:val="center"/>
        </w:trPr>
        <w:tc>
          <w:tcPr>
            <w:tcW w:w="9637" w:type="dxa"/>
            <w:shd w:val="clear" w:color="auto" w:fill="auto"/>
          </w:tcPr>
          <w:p w14:paraId="79E15056" w14:textId="77777777" w:rsidR="00110399" w:rsidRDefault="00110399" w:rsidP="006E5E26"/>
        </w:tc>
      </w:tr>
    </w:tbl>
    <w:p w14:paraId="5480F9EE" w14:textId="533CEDA3" w:rsidR="00110399" w:rsidRDefault="00110399" w:rsidP="00110399">
      <w:pPr>
        <w:rPr>
          <w:lang w:eastAsia="en-US"/>
        </w:rPr>
      </w:pPr>
      <w:r>
        <w:rPr>
          <w:lang w:eastAsia="en-US"/>
        </w:rPr>
        <w:br w:type="page"/>
      </w:r>
    </w:p>
    <w:p w14:paraId="02A6D675" w14:textId="62AD29F1" w:rsidR="00110399" w:rsidRPr="00110399" w:rsidRDefault="00110399" w:rsidP="00110399">
      <w:pPr>
        <w:pStyle w:val="HChG"/>
      </w:pPr>
      <w:r>
        <w:lastRenderedPageBreak/>
        <w:tab/>
      </w:r>
      <w:r w:rsidRPr="00110399">
        <w:t>I.</w:t>
      </w:r>
      <w:r w:rsidRPr="00110399">
        <w:tab/>
        <w:t xml:space="preserve">Management, </w:t>
      </w:r>
      <w:proofErr w:type="gramStart"/>
      <w:r w:rsidRPr="00110399">
        <w:t>coordination</w:t>
      </w:r>
      <w:proofErr w:type="gramEnd"/>
      <w:r w:rsidRPr="00110399">
        <w:t xml:space="preserve"> and visibility of intersessional activities</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6"/>
        <w:gridCol w:w="4791"/>
      </w:tblGrid>
      <w:tr w:rsidR="00110399" w:rsidRPr="00110399" w14:paraId="2D647351" w14:textId="77777777" w:rsidTr="2A3FC294">
        <w:trPr>
          <w:tblHeader/>
        </w:trPr>
        <w:tc>
          <w:tcPr>
            <w:tcW w:w="4276" w:type="dxa"/>
            <w:tcBorders>
              <w:top w:val="single" w:sz="4" w:space="0" w:color="auto"/>
              <w:bottom w:val="single" w:sz="12" w:space="0" w:color="auto"/>
            </w:tcBorders>
            <w:shd w:val="clear" w:color="auto" w:fill="auto"/>
            <w:vAlign w:val="bottom"/>
          </w:tcPr>
          <w:p w14:paraId="3DA70354" w14:textId="77777777" w:rsidR="00110399" w:rsidRPr="00110399" w:rsidRDefault="00110399" w:rsidP="00110399">
            <w:pPr>
              <w:spacing w:before="80" w:after="80" w:line="200" w:lineRule="exact"/>
              <w:ind w:right="113"/>
              <w:rPr>
                <w:rFonts w:ascii="Times New Roman" w:hAnsi="Times New Roman" w:cs="Times New Roman"/>
                <w:i/>
                <w:sz w:val="16"/>
              </w:rPr>
            </w:pPr>
            <w:r w:rsidRPr="00110399">
              <w:rPr>
                <w:rFonts w:ascii="Times New Roman" w:hAnsi="Times New Roman" w:cs="Times New Roman"/>
                <w:i/>
                <w:sz w:val="16"/>
              </w:rPr>
              <w:t>Activities</w:t>
            </w:r>
          </w:p>
        </w:tc>
        <w:tc>
          <w:tcPr>
            <w:tcW w:w="4228" w:type="dxa"/>
            <w:tcBorders>
              <w:top w:val="single" w:sz="4" w:space="0" w:color="auto"/>
              <w:bottom w:val="single" w:sz="12" w:space="0" w:color="auto"/>
            </w:tcBorders>
            <w:shd w:val="clear" w:color="auto" w:fill="auto"/>
            <w:vAlign w:val="bottom"/>
          </w:tcPr>
          <w:p w14:paraId="4B378E8C" w14:textId="77777777" w:rsidR="00110399" w:rsidRPr="00110399" w:rsidRDefault="00110399" w:rsidP="00110399">
            <w:pPr>
              <w:spacing w:before="80" w:after="80" w:line="200" w:lineRule="exact"/>
              <w:ind w:right="113"/>
              <w:rPr>
                <w:rFonts w:ascii="Times New Roman" w:hAnsi="Times New Roman" w:cs="Times New Roman"/>
                <w:i/>
                <w:sz w:val="16"/>
              </w:rPr>
            </w:pPr>
            <w:r w:rsidRPr="00110399">
              <w:rPr>
                <w:rFonts w:ascii="Times New Roman" w:hAnsi="Times New Roman" w:cs="Times New Roman"/>
                <w:i/>
                <w:sz w:val="16"/>
              </w:rPr>
              <w:t>Implementation status</w:t>
            </w:r>
          </w:p>
        </w:tc>
      </w:tr>
      <w:tr w:rsidR="00110399" w:rsidRPr="00110399" w14:paraId="54A5537F" w14:textId="77777777" w:rsidTr="2A3FC294">
        <w:trPr>
          <w:trHeight w:hRule="exact" w:val="113"/>
          <w:tblHeader/>
        </w:trPr>
        <w:tc>
          <w:tcPr>
            <w:tcW w:w="4276" w:type="dxa"/>
            <w:tcBorders>
              <w:top w:val="single" w:sz="12" w:space="0" w:color="auto"/>
            </w:tcBorders>
            <w:shd w:val="clear" w:color="auto" w:fill="auto"/>
          </w:tcPr>
          <w:p w14:paraId="107BEB64" w14:textId="77777777" w:rsidR="00110399" w:rsidRPr="00110399" w:rsidRDefault="00110399" w:rsidP="00110399">
            <w:pPr>
              <w:spacing w:before="40" w:after="120" w:line="240" w:lineRule="atLeast"/>
              <w:ind w:right="113"/>
              <w:rPr>
                <w:rFonts w:ascii="Times New Roman" w:hAnsi="Times New Roman" w:cs="Times New Roman"/>
                <w:sz w:val="20"/>
              </w:rPr>
            </w:pPr>
          </w:p>
        </w:tc>
        <w:tc>
          <w:tcPr>
            <w:tcW w:w="4228" w:type="dxa"/>
            <w:tcBorders>
              <w:top w:val="single" w:sz="12" w:space="0" w:color="auto"/>
            </w:tcBorders>
            <w:shd w:val="clear" w:color="auto" w:fill="auto"/>
          </w:tcPr>
          <w:p w14:paraId="7D0219D1" w14:textId="77777777" w:rsidR="00110399" w:rsidRPr="00110399" w:rsidRDefault="00110399" w:rsidP="00110399">
            <w:pPr>
              <w:spacing w:before="40" w:after="120" w:line="240" w:lineRule="atLeast"/>
              <w:ind w:right="113"/>
              <w:rPr>
                <w:rFonts w:ascii="Times New Roman" w:hAnsi="Times New Roman" w:cs="Times New Roman"/>
                <w:sz w:val="20"/>
              </w:rPr>
            </w:pPr>
          </w:p>
        </w:tc>
      </w:tr>
      <w:tr w:rsidR="00B35DBE" w:rsidRPr="00110399" w14:paraId="7D50306A" w14:textId="77777777" w:rsidTr="2A3FC294">
        <w:tc>
          <w:tcPr>
            <w:tcW w:w="8504" w:type="dxa"/>
            <w:gridSpan w:val="2"/>
            <w:shd w:val="clear" w:color="auto" w:fill="auto"/>
          </w:tcPr>
          <w:p w14:paraId="01A8B7D5" w14:textId="77391122" w:rsidR="00110399" w:rsidRPr="00110399" w:rsidRDefault="00110399" w:rsidP="00110399">
            <w:pPr>
              <w:tabs>
                <w:tab w:val="left" w:pos="389"/>
              </w:tabs>
              <w:spacing w:before="40" w:after="120" w:line="240" w:lineRule="atLeast"/>
              <w:ind w:right="113"/>
              <w:rPr>
                <w:rFonts w:ascii="Times New Roman" w:hAnsi="Times New Roman" w:cs="Times New Roman"/>
                <w:b/>
                <w:bCs/>
                <w:sz w:val="20"/>
              </w:rPr>
            </w:pPr>
            <w:r w:rsidRPr="00110399">
              <w:rPr>
                <w:rFonts w:ascii="Times New Roman" w:hAnsi="Times New Roman" w:cs="Times New Roman"/>
                <w:b/>
                <w:bCs/>
                <w:sz w:val="20"/>
              </w:rPr>
              <w:t>A.</w:t>
            </w:r>
            <w:r>
              <w:rPr>
                <w:rFonts w:ascii="Times New Roman" w:hAnsi="Times New Roman" w:cs="Times New Roman"/>
                <w:b/>
                <w:bCs/>
                <w:sz w:val="20"/>
              </w:rPr>
              <w:t xml:space="preserve"> </w:t>
            </w:r>
            <w:r w:rsidRPr="00110399">
              <w:rPr>
                <w:rFonts w:ascii="Times New Roman" w:hAnsi="Times New Roman" w:cs="Times New Roman"/>
                <w:b/>
                <w:bCs/>
                <w:sz w:val="20"/>
              </w:rPr>
              <w:t>Organization of meetings</w:t>
            </w:r>
          </w:p>
          <w:p w14:paraId="40A10BD8"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i/>
                <w:iCs/>
                <w:sz w:val="20"/>
              </w:rPr>
              <w:t>Entity(</w:t>
            </w:r>
            <w:proofErr w:type="spellStart"/>
            <w:r w:rsidRPr="00110399">
              <w:rPr>
                <w:rFonts w:ascii="Times New Roman" w:hAnsi="Times New Roman" w:cs="Times New Roman"/>
                <w:i/>
                <w:iCs/>
                <w:sz w:val="20"/>
              </w:rPr>
              <w:t>ies</w:t>
            </w:r>
            <w:proofErr w:type="spellEnd"/>
            <w:r w:rsidRPr="00110399">
              <w:rPr>
                <w:rFonts w:ascii="Times New Roman" w:hAnsi="Times New Roman" w:cs="Times New Roman"/>
                <w:i/>
                <w:iCs/>
                <w:sz w:val="20"/>
              </w:rPr>
              <w:t>) responsible:</w:t>
            </w:r>
            <w:r w:rsidRPr="00110399">
              <w:rPr>
                <w:rFonts w:ascii="Times New Roman" w:hAnsi="Times New Roman" w:cs="Times New Roman"/>
                <w:sz w:val="20"/>
              </w:rPr>
              <w:t xml:space="preserve"> The secretariat, whenever needed, in consultation with the Bureau. For meetings hosted by a Party, the host country is responsible for the organizational aspects (and their costs) – in accordance with a detailed host country agreement to be concluded with the secretariat. </w:t>
            </w:r>
          </w:p>
        </w:tc>
      </w:tr>
      <w:tr w:rsidR="00B35DBE" w:rsidRPr="00110399" w14:paraId="055C530E" w14:textId="77777777" w:rsidTr="2A3FC294">
        <w:tc>
          <w:tcPr>
            <w:tcW w:w="4276" w:type="dxa"/>
            <w:shd w:val="clear" w:color="auto" w:fill="auto"/>
          </w:tcPr>
          <w:p w14:paraId="085E3AB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(a)</w:t>
            </w:r>
            <w:r w:rsidRPr="00110399">
              <w:rPr>
                <w:rFonts w:ascii="Times New Roman" w:hAnsi="Times New Roman" w:cs="Times New Roman"/>
                <w:sz w:val="20"/>
              </w:rPr>
              <w:tab/>
              <w:t xml:space="preserve">Prepare, edit, translate and publish on the website agendas and official meeting documents and prepare and publish informal meeting </w:t>
            </w:r>
            <w:proofErr w:type="gramStart"/>
            <w:r w:rsidRPr="00110399">
              <w:rPr>
                <w:rFonts w:ascii="Times New Roman" w:hAnsi="Times New Roman" w:cs="Times New Roman"/>
                <w:sz w:val="20"/>
              </w:rPr>
              <w:t>documents;</w:t>
            </w:r>
            <w:proofErr w:type="gramEnd"/>
          </w:p>
          <w:p w14:paraId="22000B40"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(b)</w:t>
            </w:r>
            <w:r w:rsidRPr="00110399">
              <w:rPr>
                <w:rFonts w:ascii="Times New Roman" w:hAnsi="Times New Roman" w:cs="Times New Roman"/>
                <w:sz w:val="20"/>
              </w:rPr>
              <w:tab/>
              <w:t xml:space="preserve">Send out invitations and </w:t>
            </w:r>
            <w:proofErr w:type="gramStart"/>
            <w:r w:rsidRPr="00110399">
              <w:rPr>
                <w:rFonts w:ascii="Times New Roman" w:hAnsi="Times New Roman" w:cs="Times New Roman"/>
                <w:sz w:val="20"/>
              </w:rPr>
              <w:t>information;</w:t>
            </w:r>
            <w:proofErr w:type="gramEnd"/>
            <w:r w:rsidRPr="00110399">
              <w:rPr>
                <w:rFonts w:ascii="Times New Roman" w:hAnsi="Times New Roman" w:cs="Times New Roman"/>
                <w:sz w:val="20"/>
              </w:rPr>
              <w:t xml:space="preserve"> </w:t>
            </w:r>
          </w:p>
          <w:p w14:paraId="76BC5EA1"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(c)</w:t>
            </w:r>
            <w:r w:rsidRPr="00110399">
              <w:rPr>
                <w:rFonts w:ascii="Times New Roman" w:hAnsi="Times New Roman" w:cs="Times New Roman"/>
                <w:sz w:val="20"/>
              </w:rPr>
              <w:tab/>
              <w:t xml:space="preserve">As relevant, organize/support the organization of parallel/side </w:t>
            </w:r>
            <w:proofErr w:type="gramStart"/>
            <w:r w:rsidRPr="00110399">
              <w:rPr>
                <w:rFonts w:ascii="Times New Roman" w:hAnsi="Times New Roman" w:cs="Times New Roman"/>
                <w:sz w:val="20"/>
              </w:rPr>
              <w:t>events;</w:t>
            </w:r>
            <w:proofErr w:type="gramEnd"/>
          </w:p>
          <w:p w14:paraId="33873229"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(d)</w:t>
            </w:r>
            <w:r w:rsidRPr="00110399">
              <w:rPr>
                <w:rFonts w:ascii="Times New Roman" w:hAnsi="Times New Roman" w:cs="Times New Roman"/>
                <w:sz w:val="20"/>
              </w:rPr>
              <w:tab/>
              <w:t xml:space="preserve">Register participants and organize travel for funded participants </w:t>
            </w:r>
            <w:proofErr w:type="gramStart"/>
            <w:r w:rsidRPr="00110399">
              <w:rPr>
                <w:rFonts w:ascii="Times New Roman" w:hAnsi="Times New Roman" w:cs="Times New Roman"/>
                <w:sz w:val="20"/>
              </w:rPr>
              <w:t>and,</w:t>
            </w:r>
            <w:proofErr w:type="gramEnd"/>
            <w:r w:rsidRPr="00110399">
              <w:rPr>
                <w:rFonts w:ascii="Times New Roman" w:hAnsi="Times New Roman" w:cs="Times New Roman"/>
                <w:sz w:val="20"/>
              </w:rPr>
              <w:t xml:space="preserve"> as needed, facilitate the obtention of visas;</w:t>
            </w:r>
          </w:p>
          <w:p w14:paraId="649C297B"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(e)</w:t>
            </w:r>
            <w:r w:rsidRPr="00110399">
              <w:rPr>
                <w:rFonts w:ascii="Times New Roman" w:hAnsi="Times New Roman" w:cs="Times New Roman"/>
                <w:sz w:val="20"/>
              </w:rPr>
              <w:tab/>
              <w:t xml:space="preserve">Support officers of the meeting, including by preparing detailed briefing </w:t>
            </w:r>
            <w:proofErr w:type="gramStart"/>
            <w:r w:rsidRPr="00110399">
              <w:rPr>
                <w:rFonts w:ascii="Times New Roman" w:hAnsi="Times New Roman" w:cs="Times New Roman"/>
                <w:sz w:val="20"/>
              </w:rPr>
              <w:t>notes;</w:t>
            </w:r>
            <w:proofErr w:type="gramEnd"/>
          </w:p>
          <w:p w14:paraId="55F044A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(f)</w:t>
            </w:r>
            <w:r w:rsidRPr="00110399">
              <w:rPr>
                <w:rFonts w:ascii="Times New Roman" w:hAnsi="Times New Roman" w:cs="Times New Roman"/>
                <w:sz w:val="20"/>
              </w:rPr>
              <w:tab/>
              <w:t>Organize logistics at the meeting (related to the meeting venue and to United Nations security</w:t>
            </w:r>
            <w:proofErr w:type="gramStart"/>
            <w:r w:rsidRPr="00110399">
              <w:rPr>
                <w:rFonts w:ascii="Times New Roman" w:hAnsi="Times New Roman" w:cs="Times New Roman"/>
                <w:sz w:val="20"/>
              </w:rPr>
              <w:t>);</w:t>
            </w:r>
            <w:proofErr w:type="gramEnd"/>
          </w:p>
          <w:p w14:paraId="7D877763"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(g)</w:t>
            </w:r>
            <w:r w:rsidRPr="00110399">
              <w:rPr>
                <w:rFonts w:ascii="Times New Roman" w:hAnsi="Times New Roman" w:cs="Times New Roman"/>
                <w:sz w:val="20"/>
              </w:rPr>
              <w:tab/>
              <w:t xml:space="preserve">As relevant, collect and record </w:t>
            </w:r>
            <w:proofErr w:type="gramStart"/>
            <w:r w:rsidRPr="00110399">
              <w:rPr>
                <w:rFonts w:ascii="Times New Roman" w:hAnsi="Times New Roman" w:cs="Times New Roman"/>
                <w:sz w:val="20"/>
              </w:rPr>
              <w:t>credentials;</w:t>
            </w:r>
            <w:proofErr w:type="gramEnd"/>
            <w:r w:rsidRPr="00110399">
              <w:rPr>
                <w:rFonts w:ascii="Times New Roman" w:hAnsi="Times New Roman" w:cs="Times New Roman"/>
                <w:sz w:val="20"/>
              </w:rPr>
              <w:t xml:space="preserve"> </w:t>
            </w:r>
          </w:p>
          <w:p w14:paraId="50FC094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(h)</w:t>
            </w:r>
            <w:r w:rsidRPr="00110399">
              <w:rPr>
                <w:rFonts w:ascii="Times New Roman" w:hAnsi="Times New Roman" w:cs="Times New Roman"/>
                <w:sz w:val="20"/>
              </w:rPr>
              <w:tab/>
              <w:t xml:space="preserve">Provide conference services at the </w:t>
            </w:r>
            <w:proofErr w:type="gramStart"/>
            <w:r w:rsidRPr="00110399">
              <w:rPr>
                <w:rFonts w:ascii="Times New Roman" w:hAnsi="Times New Roman" w:cs="Times New Roman"/>
                <w:sz w:val="20"/>
              </w:rPr>
              <w:t>meeting;</w:t>
            </w:r>
            <w:proofErr w:type="gramEnd"/>
          </w:p>
          <w:p w14:paraId="6FFD9E05"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(i)</w:t>
            </w:r>
            <w:r w:rsidRPr="00110399">
              <w:rPr>
                <w:rFonts w:ascii="Times New Roman" w:hAnsi="Times New Roman" w:cs="Times New Roman"/>
                <w:sz w:val="20"/>
              </w:rPr>
              <w:tab/>
              <w:t xml:space="preserve">Provide interpretation at the meeting in the three ECE </w:t>
            </w:r>
            <w:proofErr w:type="gramStart"/>
            <w:r w:rsidRPr="00110399">
              <w:rPr>
                <w:rFonts w:ascii="Times New Roman" w:hAnsi="Times New Roman" w:cs="Times New Roman"/>
                <w:sz w:val="20"/>
              </w:rPr>
              <w:t>languages;</w:t>
            </w:r>
            <w:proofErr w:type="gramEnd"/>
          </w:p>
          <w:p w14:paraId="6FA417DB"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(j)</w:t>
            </w:r>
            <w:r w:rsidRPr="00110399">
              <w:rPr>
                <w:rFonts w:ascii="Times New Roman" w:hAnsi="Times New Roman" w:cs="Times New Roman"/>
                <w:sz w:val="20"/>
              </w:rPr>
              <w:tab/>
              <w:t xml:space="preserve">Prepare, edit, translate and publish the meeting </w:t>
            </w:r>
            <w:proofErr w:type="gramStart"/>
            <w:r w:rsidRPr="00110399">
              <w:rPr>
                <w:rFonts w:ascii="Times New Roman" w:hAnsi="Times New Roman" w:cs="Times New Roman"/>
                <w:sz w:val="20"/>
              </w:rPr>
              <w:t>report;</w:t>
            </w:r>
            <w:proofErr w:type="gramEnd"/>
          </w:p>
          <w:p w14:paraId="05341816"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(k)</w:t>
            </w:r>
            <w:r w:rsidRPr="00110399">
              <w:rPr>
                <w:rFonts w:ascii="Times New Roman" w:hAnsi="Times New Roman" w:cs="Times New Roman"/>
                <w:sz w:val="20"/>
              </w:rPr>
              <w:tab/>
              <w:t xml:space="preserve">As relevant, prepare press releases/media </w:t>
            </w:r>
            <w:proofErr w:type="gramStart"/>
            <w:r w:rsidRPr="00110399">
              <w:rPr>
                <w:rFonts w:ascii="Times New Roman" w:hAnsi="Times New Roman" w:cs="Times New Roman"/>
                <w:sz w:val="20"/>
              </w:rPr>
              <w:t>coverage;</w:t>
            </w:r>
            <w:proofErr w:type="gramEnd"/>
          </w:p>
          <w:p w14:paraId="3A8CAA48"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(l)</w:t>
            </w:r>
            <w:r w:rsidRPr="00110399">
              <w:rPr>
                <w:rFonts w:ascii="Times New Roman" w:hAnsi="Times New Roman" w:cs="Times New Roman"/>
                <w:sz w:val="20"/>
              </w:rPr>
              <w:tab/>
              <w:t>Follow up on decisions taken.</w:t>
            </w:r>
          </w:p>
        </w:tc>
        <w:tc>
          <w:tcPr>
            <w:tcW w:w="4228" w:type="dxa"/>
            <w:shd w:val="clear" w:color="auto" w:fill="auto"/>
          </w:tcPr>
          <w:p w14:paraId="416D5F07" w14:textId="24CF5BEA"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 xml:space="preserve">The secretariat, in agreement with the elected officers, prepared, </w:t>
            </w:r>
            <w:proofErr w:type="gramStart"/>
            <w:r w:rsidRPr="00110399">
              <w:rPr>
                <w:rFonts w:ascii="Times New Roman" w:hAnsi="Times New Roman" w:cs="Times New Roman"/>
                <w:sz w:val="20"/>
              </w:rPr>
              <w:t>serviced</w:t>
            </w:r>
            <w:proofErr w:type="gramEnd"/>
            <w:r w:rsidRPr="00110399">
              <w:rPr>
                <w:rFonts w:ascii="Times New Roman" w:hAnsi="Times New Roman" w:cs="Times New Roman"/>
                <w:sz w:val="20"/>
              </w:rPr>
              <w:t xml:space="preserve"> and followed- up to: </w:t>
            </w:r>
          </w:p>
          <w:p w14:paraId="1BE36557" w14:textId="6C6618A4" w:rsidR="00110399" w:rsidRPr="00110399" w:rsidRDefault="001C31D2" w:rsidP="00110399">
            <w:pPr>
              <w:numPr>
                <w:ilvl w:val="0"/>
                <w:numId w:val="23"/>
              </w:numPr>
              <w:spacing w:before="40" w:after="120" w:line="240" w:lineRule="atLeast"/>
              <w:ind w:right="113"/>
              <w:rPr>
                <w:rFonts w:ascii="Times New Roman" w:hAnsi="Times New Roman" w:cs="Times New Roman"/>
                <w:sz w:val="20"/>
              </w:rPr>
            </w:pPr>
            <w:r>
              <w:rPr>
                <w:rFonts w:ascii="Times New Roman" w:hAnsi="Times New Roman" w:cs="Times New Roman"/>
                <w:sz w:val="20"/>
              </w:rPr>
              <w:t>Eight</w:t>
            </w:r>
            <w:r w:rsidR="00110399" w:rsidRPr="00110399">
              <w:rPr>
                <w:rFonts w:ascii="Times New Roman" w:hAnsi="Times New Roman" w:cs="Times New Roman"/>
                <w:sz w:val="20"/>
              </w:rPr>
              <w:t xml:space="preserve"> sessions of the Implementation Committee, including preparing agendas and reports, and assisting the curators in their preparation of internal working documents; sending out follow-up letters; and organising hearings and informal consultations with the Parties concerned. </w:t>
            </w:r>
          </w:p>
          <w:p w14:paraId="7DB36D41" w14:textId="77777777" w:rsidR="00110399" w:rsidRPr="00110399" w:rsidRDefault="002C369B" w:rsidP="00110399">
            <w:pPr>
              <w:numPr>
                <w:ilvl w:val="0"/>
                <w:numId w:val="24"/>
              </w:numPr>
              <w:spacing w:before="40" w:after="120" w:line="240" w:lineRule="atLeast"/>
              <w:ind w:right="113" w:firstLine="108"/>
              <w:rPr>
                <w:rFonts w:ascii="Times New Roman" w:hAnsi="Times New Roman" w:cs="Times New Roman"/>
                <w:sz w:val="20"/>
              </w:rPr>
            </w:pPr>
            <w:hyperlink r:id="rId11" w:history="1">
              <w:r w:rsidR="00110399" w:rsidRPr="00110399">
                <w:rPr>
                  <w:rFonts w:ascii="Times New Roman" w:hAnsi="Times New Roman" w:cs="Times New Roman"/>
                  <w:sz w:val="20"/>
                  <w:u w:val="single"/>
                </w:rPr>
                <w:t>49</w:t>
              </w:r>
              <w:r w:rsidR="00110399" w:rsidRPr="00110399">
                <w:rPr>
                  <w:rFonts w:ascii="Times New Roman" w:hAnsi="Times New Roman" w:cs="Times New Roman"/>
                  <w:sz w:val="20"/>
                  <w:u w:val="single"/>
                  <w:vertAlign w:val="superscript"/>
                </w:rPr>
                <w:t>th</w:t>
              </w:r>
              <w:r w:rsidR="00110399" w:rsidRPr="00110399">
                <w:rPr>
                  <w:rFonts w:ascii="Times New Roman" w:hAnsi="Times New Roman" w:cs="Times New Roman"/>
                  <w:sz w:val="20"/>
                  <w:u w:val="single"/>
                </w:rPr>
                <w:t xml:space="preserve"> session (online, 2 - 5 February 2021)</w:t>
              </w:r>
            </w:hyperlink>
            <w:r w:rsidR="00110399" w:rsidRPr="00110399">
              <w:rPr>
                <w:rFonts w:ascii="Times New Roman" w:hAnsi="Times New Roman" w:cs="Times New Roman"/>
                <w:sz w:val="20"/>
              </w:rPr>
              <w:t xml:space="preserve"> </w:t>
            </w:r>
          </w:p>
          <w:p w14:paraId="67734EB9" w14:textId="77777777" w:rsidR="00110399" w:rsidRPr="00110399" w:rsidRDefault="002C369B" w:rsidP="00110399">
            <w:pPr>
              <w:numPr>
                <w:ilvl w:val="0"/>
                <w:numId w:val="24"/>
              </w:numPr>
              <w:spacing w:before="40" w:after="120" w:line="240" w:lineRule="atLeast"/>
              <w:ind w:right="113" w:firstLine="108"/>
              <w:rPr>
                <w:rFonts w:ascii="Times New Roman" w:hAnsi="Times New Roman" w:cs="Times New Roman"/>
                <w:sz w:val="20"/>
              </w:rPr>
            </w:pPr>
            <w:hyperlink r:id="rId12" w:history="1">
              <w:r w:rsidR="00110399" w:rsidRPr="00110399">
                <w:rPr>
                  <w:rFonts w:ascii="Times New Roman" w:hAnsi="Times New Roman" w:cs="Times New Roman"/>
                  <w:sz w:val="20"/>
                  <w:u w:val="single"/>
                </w:rPr>
                <w:t>50</w:t>
              </w:r>
              <w:r w:rsidR="00110399" w:rsidRPr="00110399">
                <w:rPr>
                  <w:rFonts w:ascii="Times New Roman" w:hAnsi="Times New Roman" w:cs="Times New Roman"/>
                  <w:sz w:val="20"/>
                  <w:u w:val="single"/>
                  <w:vertAlign w:val="superscript"/>
                </w:rPr>
                <w:t>th</w:t>
              </w:r>
              <w:r w:rsidR="00110399" w:rsidRPr="00110399">
                <w:rPr>
                  <w:rFonts w:ascii="Times New Roman" w:hAnsi="Times New Roman" w:cs="Times New Roman"/>
                  <w:sz w:val="20"/>
                  <w:u w:val="single"/>
                </w:rPr>
                <w:t xml:space="preserve"> session (online, 4 - 7 May 2021)</w:t>
              </w:r>
            </w:hyperlink>
          </w:p>
          <w:p w14:paraId="4D9FEFA4" w14:textId="77777777" w:rsidR="00110399" w:rsidRPr="00110399" w:rsidRDefault="002C369B" w:rsidP="00110399">
            <w:pPr>
              <w:numPr>
                <w:ilvl w:val="0"/>
                <w:numId w:val="24"/>
              </w:numPr>
              <w:spacing w:before="40" w:after="120" w:line="240" w:lineRule="atLeast"/>
              <w:ind w:right="113" w:firstLine="108"/>
              <w:rPr>
                <w:rFonts w:ascii="Times New Roman" w:hAnsi="Times New Roman" w:cs="Times New Roman"/>
                <w:sz w:val="20"/>
              </w:rPr>
            </w:pPr>
            <w:hyperlink r:id="rId13" w:history="1">
              <w:r w:rsidR="00110399" w:rsidRPr="00110399">
                <w:rPr>
                  <w:rFonts w:ascii="Times New Roman" w:hAnsi="Times New Roman" w:cs="Times New Roman"/>
                  <w:sz w:val="20"/>
                  <w:u w:val="single"/>
                </w:rPr>
                <w:t>51</w:t>
              </w:r>
              <w:r w:rsidR="00110399" w:rsidRPr="00110399">
                <w:rPr>
                  <w:rFonts w:ascii="Times New Roman" w:hAnsi="Times New Roman" w:cs="Times New Roman"/>
                  <w:sz w:val="20"/>
                  <w:u w:val="single"/>
                  <w:vertAlign w:val="superscript"/>
                </w:rPr>
                <w:t>st</w:t>
              </w:r>
              <w:r w:rsidR="00110399" w:rsidRPr="00110399">
                <w:rPr>
                  <w:rFonts w:ascii="Times New Roman" w:hAnsi="Times New Roman" w:cs="Times New Roman"/>
                  <w:sz w:val="20"/>
                  <w:u w:val="single"/>
                </w:rPr>
                <w:t xml:space="preserve"> session (online, 4 - 7 October 2021)</w:t>
              </w:r>
            </w:hyperlink>
          </w:p>
          <w:p w14:paraId="0BB937A7" w14:textId="77777777" w:rsidR="00110399" w:rsidRPr="00110399" w:rsidRDefault="002C369B" w:rsidP="00110399">
            <w:pPr>
              <w:numPr>
                <w:ilvl w:val="0"/>
                <w:numId w:val="24"/>
              </w:numPr>
              <w:spacing w:before="40" w:after="120" w:line="240" w:lineRule="atLeast"/>
              <w:ind w:right="113" w:firstLine="108"/>
              <w:rPr>
                <w:rFonts w:ascii="Times New Roman" w:hAnsi="Times New Roman" w:cs="Times New Roman"/>
                <w:sz w:val="20"/>
              </w:rPr>
            </w:pPr>
            <w:hyperlink r:id="rId14" w:history="1">
              <w:r w:rsidR="00110399" w:rsidRPr="00110399">
                <w:rPr>
                  <w:rFonts w:ascii="Times New Roman" w:hAnsi="Times New Roman" w:cs="Times New Roman"/>
                  <w:sz w:val="20"/>
                  <w:u w:val="single"/>
                </w:rPr>
                <w:t>52</w:t>
              </w:r>
              <w:r w:rsidR="00110399" w:rsidRPr="00110399">
                <w:rPr>
                  <w:rFonts w:ascii="Times New Roman" w:hAnsi="Times New Roman" w:cs="Times New Roman"/>
                  <w:sz w:val="20"/>
                  <w:u w:val="single"/>
                  <w:vertAlign w:val="superscript"/>
                </w:rPr>
                <w:t>nd</w:t>
              </w:r>
              <w:r w:rsidR="00110399" w:rsidRPr="00110399">
                <w:rPr>
                  <w:rFonts w:ascii="Times New Roman" w:hAnsi="Times New Roman" w:cs="Times New Roman"/>
                  <w:sz w:val="20"/>
                  <w:u w:val="single"/>
                </w:rPr>
                <w:t xml:space="preserve"> session (online, 29-31 March 2022)</w:t>
              </w:r>
            </w:hyperlink>
          </w:p>
          <w:p w14:paraId="5B98C9AC" w14:textId="77777777" w:rsidR="00110399" w:rsidRPr="00110399" w:rsidRDefault="002C369B" w:rsidP="00110399">
            <w:pPr>
              <w:numPr>
                <w:ilvl w:val="0"/>
                <w:numId w:val="24"/>
              </w:numPr>
              <w:spacing w:before="40" w:after="120" w:line="240" w:lineRule="atLeast"/>
              <w:ind w:right="113" w:firstLine="108"/>
              <w:rPr>
                <w:rFonts w:ascii="Times New Roman" w:hAnsi="Times New Roman" w:cs="Times New Roman"/>
                <w:sz w:val="20"/>
              </w:rPr>
            </w:pPr>
            <w:hyperlink r:id="rId15" w:history="1">
              <w:r w:rsidR="00110399" w:rsidRPr="00110399">
                <w:rPr>
                  <w:rFonts w:ascii="Times New Roman" w:hAnsi="Times New Roman" w:cs="Times New Roman"/>
                  <w:sz w:val="20"/>
                  <w:u w:val="single"/>
                </w:rPr>
                <w:t>53</w:t>
              </w:r>
              <w:r w:rsidR="00110399" w:rsidRPr="00110399">
                <w:rPr>
                  <w:rFonts w:ascii="Times New Roman" w:hAnsi="Times New Roman" w:cs="Times New Roman"/>
                  <w:sz w:val="20"/>
                  <w:u w:val="single"/>
                  <w:vertAlign w:val="superscript"/>
                </w:rPr>
                <w:t>rd</w:t>
              </w:r>
              <w:r w:rsidR="00110399" w:rsidRPr="00110399">
                <w:rPr>
                  <w:rFonts w:ascii="Times New Roman" w:hAnsi="Times New Roman" w:cs="Times New Roman"/>
                  <w:sz w:val="20"/>
                  <w:u w:val="single"/>
                </w:rPr>
                <w:t xml:space="preserve"> session (online, 10-13 May 2022)</w:t>
              </w:r>
            </w:hyperlink>
          </w:p>
          <w:p w14:paraId="0F7DBAAE" w14:textId="058B1C29" w:rsidR="00110399" w:rsidRPr="000A3FB8" w:rsidRDefault="002C369B" w:rsidP="00110399">
            <w:pPr>
              <w:numPr>
                <w:ilvl w:val="0"/>
                <w:numId w:val="24"/>
              </w:numPr>
              <w:spacing w:before="40" w:after="120" w:line="240" w:lineRule="atLeast"/>
              <w:ind w:right="113" w:firstLine="108"/>
              <w:rPr>
                <w:rFonts w:ascii="Times New Roman" w:hAnsi="Times New Roman" w:cs="Times New Roman"/>
                <w:sz w:val="20"/>
              </w:rPr>
            </w:pPr>
            <w:hyperlink r:id="rId16" w:history="1">
              <w:r w:rsidR="00110399" w:rsidRPr="00110399">
                <w:rPr>
                  <w:rFonts w:ascii="Times New Roman" w:hAnsi="Times New Roman" w:cs="Times New Roman"/>
                  <w:sz w:val="20"/>
                  <w:u w:val="single"/>
                </w:rPr>
                <w:t>54</w:t>
              </w:r>
              <w:r w:rsidR="00110399" w:rsidRPr="00110399">
                <w:rPr>
                  <w:rFonts w:ascii="Times New Roman" w:hAnsi="Times New Roman" w:cs="Times New Roman"/>
                  <w:sz w:val="20"/>
                  <w:u w:val="single"/>
                  <w:vertAlign w:val="superscript"/>
                </w:rPr>
                <w:t>th</w:t>
              </w:r>
              <w:r w:rsidR="00110399" w:rsidRPr="00110399">
                <w:rPr>
                  <w:rFonts w:ascii="Times New Roman" w:hAnsi="Times New Roman" w:cs="Times New Roman"/>
                  <w:sz w:val="20"/>
                  <w:u w:val="single"/>
                </w:rPr>
                <w:t xml:space="preserve"> session (Geneva/online, 4–7 October 2022)</w:t>
              </w:r>
            </w:hyperlink>
          </w:p>
          <w:p w14:paraId="44C3FB9B" w14:textId="29E32398" w:rsidR="004A4041" w:rsidRPr="00665E7B" w:rsidRDefault="002C369B" w:rsidP="00110399">
            <w:pPr>
              <w:numPr>
                <w:ilvl w:val="0"/>
                <w:numId w:val="24"/>
              </w:numPr>
              <w:spacing w:before="40" w:after="120" w:line="240" w:lineRule="atLeast"/>
              <w:ind w:right="113" w:firstLine="108"/>
              <w:rPr>
                <w:rFonts w:ascii="Times New Roman" w:hAnsi="Times New Roman" w:cs="Times New Roman"/>
                <w:sz w:val="20"/>
                <w:szCs w:val="20"/>
              </w:rPr>
            </w:pPr>
            <w:hyperlink r:id="rId17" w:history="1">
              <w:r w:rsidR="004A4041" w:rsidRPr="00110399">
                <w:rPr>
                  <w:rFonts w:ascii="Times New Roman" w:hAnsi="Times New Roman" w:cs="Times New Roman"/>
                  <w:sz w:val="20"/>
                  <w:u w:val="single"/>
                </w:rPr>
                <w:t>5</w:t>
              </w:r>
              <w:r w:rsidR="004A4041">
                <w:rPr>
                  <w:rFonts w:ascii="Times New Roman" w:hAnsi="Times New Roman" w:cs="Times New Roman"/>
                  <w:sz w:val="20"/>
                  <w:u w:val="single"/>
                </w:rPr>
                <w:t>5</w:t>
              </w:r>
              <w:r w:rsidR="004A4041" w:rsidRPr="00110399">
                <w:rPr>
                  <w:rFonts w:ascii="Times New Roman" w:hAnsi="Times New Roman" w:cs="Times New Roman"/>
                  <w:sz w:val="20"/>
                  <w:u w:val="single"/>
                  <w:vertAlign w:val="superscript"/>
                </w:rPr>
                <w:t>th</w:t>
              </w:r>
              <w:r w:rsidR="004A4041" w:rsidRPr="00110399">
                <w:rPr>
                  <w:rFonts w:ascii="Times New Roman" w:hAnsi="Times New Roman" w:cs="Times New Roman"/>
                  <w:sz w:val="20"/>
                  <w:u w:val="single"/>
                </w:rPr>
                <w:t xml:space="preserve"> session (online, </w:t>
              </w:r>
              <w:r w:rsidR="004A4041">
                <w:rPr>
                  <w:rFonts w:ascii="Times New Roman" w:hAnsi="Times New Roman" w:cs="Times New Roman"/>
                  <w:sz w:val="20"/>
                  <w:u w:val="single"/>
                </w:rPr>
                <w:t>31 January</w:t>
              </w:r>
              <w:r w:rsidR="004A4041" w:rsidRPr="00110399">
                <w:rPr>
                  <w:rFonts w:ascii="Times New Roman" w:hAnsi="Times New Roman" w:cs="Times New Roman"/>
                  <w:sz w:val="20"/>
                  <w:u w:val="single"/>
                </w:rPr>
                <w:t>–</w:t>
              </w:r>
              <w:r w:rsidR="004A4041">
                <w:rPr>
                  <w:rFonts w:ascii="Times New Roman" w:hAnsi="Times New Roman" w:cs="Times New Roman"/>
                  <w:sz w:val="20"/>
                  <w:u w:val="single"/>
                </w:rPr>
                <w:br/>
                <w:t>3</w:t>
              </w:r>
              <w:r w:rsidR="004A4041" w:rsidRPr="00110399">
                <w:rPr>
                  <w:rFonts w:ascii="Times New Roman" w:hAnsi="Times New Roman" w:cs="Times New Roman"/>
                  <w:sz w:val="20"/>
                  <w:u w:val="single"/>
                </w:rPr>
                <w:t xml:space="preserve"> </w:t>
              </w:r>
              <w:r w:rsidR="004A4041">
                <w:rPr>
                  <w:rFonts w:ascii="Times New Roman" w:hAnsi="Times New Roman" w:cs="Times New Roman"/>
                  <w:sz w:val="20"/>
                  <w:u w:val="single"/>
                </w:rPr>
                <w:t>February</w:t>
              </w:r>
              <w:r w:rsidR="004A4041" w:rsidRPr="00110399">
                <w:rPr>
                  <w:rFonts w:ascii="Times New Roman" w:hAnsi="Times New Roman" w:cs="Times New Roman"/>
                  <w:sz w:val="20"/>
                  <w:u w:val="single"/>
                </w:rPr>
                <w:t xml:space="preserve"> 202</w:t>
              </w:r>
              <w:r w:rsidR="004A4041">
                <w:rPr>
                  <w:rFonts w:ascii="Times New Roman" w:hAnsi="Times New Roman" w:cs="Times New Roman"/>
                  <w:sz w:val="20"/>
                  <w:u w:val="single"/>
                </w:rPr>
                <w:t>3</w:t>
              </w:r>
              <w:r w:rsidR="004A4041" w:rsidRPr="00110399">
                <w:rPr>
                  <w:rFonts w:ascii="Times New Roman" w:hAnsi="Times New Roman" w:cs="Times New Roman"/>
                  <w:sz w:val="20"/>
                  <w:u w:val="single"/>
                </w:rPr>
                <w:t>)</w:t>
              </w:r>
            </w:hyperlink>
          </w:p>
          <w:p w14:paraId="3521D07B" w14:textId="36B28A4A" w:rsidR="000A096E" w:rsidRPr="005F0F07" w:rsidRDefault="002C369B" w:rsidP="000A096E">
            <w:pPr>
              <w:numPr>
                <w:ilvl w:val="0"/>
                <w:numId w:val="24"/>
              </w:numPr>
              <w:spacing w:before="40" w:after="120" w:line="240" w:lineRule="atLeast"/>
              <w:ind w:right="113" w:firstLine="108"/>
              <w:rPr>
                <w:rFonts w:ascii="Times New Roman" w:hAnsi="Times New Roman" w:cs="Times New Roman"/>
                <w:sz w:val="20"/>
                <w:szCs w:val="20"/>
                <w:u w:val="single"/>
              </w:rPr>
            </w:pPr>
            <w:hyperlink r:id="rId18" w:history="1">
              <w:r w:rsidR="1D4F474C" w:rsidRPr="2A3FC294">
                <w:rPr>
                  <w:rFonts w:ascii="Times New Roman" w:hAnsi="Times New Roman" w:cs="Times New Roman"/>
                  <w:sz w:val="20"/>
                  <w:szCs w:val="20"/>
                  <w:u w:val="single"/>
                </w:rPr>
                <w:t>56</w:t>
              </w:r>
              <w:r w:rsidR="1D4F474C" w:rsidRPr="2A3FC294">
                <w:rPr>
                  <w:rFonts w:ascii="Times New Roman" w:hAnsi="Times New Roman" w:cs="Times New Roman"/>
                  <w:sz w:val="20"/>
                  <w:szCs w:val="20"/>
                  <w:u w:val="single"/>
                  <w:vertAlign w:val="superscript"/>
                </w:rPr>
                <w:t>th</w:t>
              </w:r>
              <w:r w:rsidR="4B5CD5D2" w:rsidRPr="2A3FC294">
                <w:rPr>
                  <w:rFonts w:ascii="Times New Roman" w:hAnsi="Times New Roman" w:cs="Times New Roman"/>
                  <w:sz w:val="20"/>
                  <w:szCs w:val="20"/>
                  <w:u w:val="single"/>
                </w:rPr>
                <w:t xml:space="preserve"> </w:t>
              </w:r>
              <w:r w:rsidR="1D4F474C" w:rsidRPr="2A3FC294">
                <w:rPr>
                  <w:rFonts w:ascii="Times New Roman" w:hAnsi="Times New Roman" w:cs="Times New Roman"/>
                  <w:sz w:val="20"/>
                  <w:szCs w:val="20"/>
                  <w:u w:val="single"/>
                </w:rPr>
                <w:t xml:space="preserve">session </w:t>
              </w:r>
              <w:r w:rsidR="269F695F" w:rsidRPr="2A3FC294">
                <w:rPr>
                  <w:u w:val="single"/>
                </w:rPr>
                <w:t>(</w:t>
              </w:r>
              <w:r w:rsidR="269F695F" w:rsidRPr="2A3FC294">
                <w:rPr>
                  <w:rFonts w:ascii="Times New Roman" w:hAnsi="Times New Roman" w:cs="Times New Roman"/>
                  <w:sz w:val="20"/>
                  <w:szCs w:val="20"/>
                  <w:u w:val="single"/>
                </w:rPr>
                <w:t>Geneva, 2–5 May 2023)</w:t>
              </w:r>
            </w:hyperlink>
          </w:p>
          <w:p w14:paraId="656F6DF7" w14:textId="5C7FC6A4" w:rsidR="00110399" w:rsidRPr="00110399" w:rsidRDefault="00023698" w:rsidP="00110399">
            <w:pPr>
              <w:spacing w:before="40" w:after="120" w:line="240" w:lineRule="atLeast"/>
              <w:ind w:right="113"/>
              <w:rPr>
                <w:rFonts w:ascii="Times New Roman" w:hAnsi="Times New Roman" w:cs="Times New Roman"/>
                <w:sz w:val="20"/>
              </w:rPr>
            </w:pPr>
            <w:r>
              <w:rPr>
                <w:rFonts w:ascii="Times New Roman" w:hAnsi="Times New Roman" w:cs="Times New Roman"/>
                <w:sz w:val="20"/>
              </w:rPr>
              <w:t>As</w:t>
            </w:r>
            <w:r w:rsidR="00110399" w:rsidRPr="00110399">
              <w:rPr>
                <w:rFonts w:ascii="Times New Roman" w:hAnsi="Times New Roman" w:cs="Times New Roman"/>
                <w:sz w:val="20"/>
              </w:rPr>
              <w:t xml:space="preserve"> needed, </w:t>
            </w:r>
            <w:r w:rsidR="00860945">
              <w:rPr>
                <w:rFonts w:ascii="Times New Roman" w:hAnsi="Times New Roman" w:cs="Times New Roman"/>
                <w:sz w:val="20"/>
              </w:rPr>
              <w:t xml:space="preserve">in-between the sessions, </w:t>
            </w:r>
            <w:r w:rsidR="00C22486">
              <w:rPr>
                <w:rFonts w:ascii="Times New Roman" w:hAnsi="Times New Roman" w:cs="Times New Roman"/>
                <w:sz w:val="20"/>
              </w:rPr>
              <w:t xml:space="preserve">informal online </w:t>
            </w:r>
            <w:r w:rsidR="00B17AA8">
              <w:rPr>
                <w:rFonts w:ascii="Times New Roman" w:hAnsi="Times New Roman" w:cs="Times New Roman"/>
                <w:sz w:val="20"/>
              </w:rPr>
              <w:t xml:space="preserve">discussions were held </w:t>
            </w:r>
            <w:r w:rsidR="00D17F79">
              <w:rPr>
                <w:rFonts w:ascii="Times New Roman" w:hAnsi="Times New Roman" w:cs="Times New Roman"/>
                <w:sz w:val="20"/>
              </w:rPr>
              <w:t xml:space="preserve">for </w:t>
            </w:r>
            <w:r w:rsidR="00110399" w:rsidRPr="00110399">
              <w:rPr>
                <w:rFonts w:ascii="Times New Roman" w:hAnsi="Times New Roman" w:cs="Times New Roman"/>
                <w:sz w:val="20"/>
              </w:rPr>
              <w:t xml:space="preserve">the Committee </w:t>
            </w:r>
            <w:r w:rsidR="00D17F79">
              <w:rPr>
                <w:rFonts w:ascii="Times New Roman" w:hAnsi="Times New Roman" w:cs="Times New Roman"/>
                <w:sz w:val="20"/>
              </w:rPr>
              <w:t>to discuss matters</w:t>
            </w:r>
            <w:r w:rsidR="00110399" w:rsidRPr="00110399">
              <w:rPr>
                <w:rFonts w:ascii="Times New Roman" w:hAnsi="Times New Roman" w:cs="Times New Roman"/>
                <w:sz w:val="20"/>
              </w:rPr>
              <w:t xml:space="preserve"> (e.g. on 4 February 2022) </w:t>
            </w:r>
            <w:proofErr w:type="gramStart"/>
            <w:r w:rsidR="00110399" w:rsidRPr="00110399">
              <w:rPr>
                <w:rFonts w:ascii="Times New Roman" w:hAnsi="Times New Roman" w:cs="Times New Roman"/>
                <w:sz w:val="20"/>
              </w:rPr>
              <w:t>and  electronic</w:t>
            </w:r>
            <w:proofErr w:type="gramEnd"/>
            <w:r w:rsidR="00110399" w:rsidRPr="00110399">
              <w:rPr>
                <w:rFonts w:ascii="Times New Roman" w:hAnsi="Times New Roman" w:cs="Times New Roman"/>
                <w:sz w:val="20"/>
              </w:rPr>
              <w:t xml:space="preserve"> decision-making procedure</w:t>
            </w:r>
            <w:r w:rsidR="00DC541E">
              <w:rPr>
                <w:rFonts w:ascii="Times New Roman" w:hAnsi="Times New Roman" w:cs="Times New Roman"/>
                <w:sz w:val="20"/>
              </w:rPr>
              <w:t xml:space="preserve"> used</w:t>
            </w:r>
            <w:r w:rsidR="00110399" w:rsidRPr="00110399">
              <w:rPr>
                <w:rFonts w:ascii="Times New Roman" w:hAnsi="Times New Roman" w:cs="Times New Roman"/>
                <w:sz w:val="20"/>
              </w:rPr>
              <w:t>.</w:t>
            </w:r>
          </w:p>
          <w:p w14:paraId="20289803" w14:textId="427036F6" w:rsidR="00110399" w:rsidRPr="004A525E" w:rsidRDefault="009854A1" w:rsidP="004A525E">
            <w:pPr>
              <w:numPr>
                <w:ilvl w:val="0"/>
                <w:numId w:val="25"/>
              </w:numPr>
              <w:spacing w:before="40" w:after="120" w:line="240" w:lineRule="atLeast"/>
              <w:ind w:right="113"/>
              <w:rPr>
                <w:rFonts w:ascii="Times New Roman" w:hAnsi="Times New Roman" w:cs="Times New Roman"/>
                <w:sz w:val="20"/>
              </w:rPr>
            </w:pPr>
            <w:r>
              <w:rPr>
                <w:rFonts w:ascii="Times New Roman" w:hAnsi="Times New Roman" w:cs="Times New Roman"/>
                <w:sz w:val="20"/>
              </w:rPr>
              <w:t>Three</w:t>
            </w:r>
            <w:r w:rsidR="00110399" w:rsidRPr="00110399">
              <w:rPr>
                <w:rFonts w:ascii="Times New Roman" w:hAnsi="Times New Roman" w:cs="Times New Roman"/>
                <w:sz w:val="20"/>
              </w:rPr>
              <w:t xml:space="preserve"> meetings of the Bureau (</w:t>
            </w:r>
            <w:hyperlink r:id="rId19" w:history="1">
              <w:r w:rsidR="00110399" w:rsidRPr="00110399">
                <w:rPr>
                  <w:rFonts w:ascii="Times New Roman" w:hAnsi="Times New Roman" w:cs="Times New Roman"/>
                  <w:sz w:val="20"/>
                  <w:u w:val="single"/>
                </w:rPr>
                <w:t>Online, 16-17 June 2021</w:t>
              </w:r>
            </w:hyperlink>
            <w:r>
              <w:rPr>
                <w:rFonts w:ascii="Times New Roman" w:hAnsi="Times New Roman" w:cs="Times New Roman"/>
                <w:sz w:val="20"/>
              </w:rPr>
              <w:t xml:space="preserve">, </w:t>
            </w:r>
            <w:hyperlink r:id="rId20" w:history="1">
              <w:r w:rsidR="00110399" w:rsidRPr="006940A6">
                <w:rPr>
                  <w:rFonts w:ascii="Times New Roman" w:hAnsi="Times New Roman" w:cs="Times New Roman"/>
                  <w:sz w:val="20"/>
                  <w:szCs w:val="20"/>
                  <w:u w:val="single"/>
                </w:rPr>
                <w:t>Geneva, 9–10 June 2022</w:t>
              </w:r>
            </w:hyperlink>
            <w:r w:rsidR="00783119" w:rsidRPr="006940A6">
              <w:rPr>
                <w:rFonts w:ascii="Times New Roman" w:hAnsi="Times New Roman" w:cs="Times New Roman"/>
                <w:sz w:val="20"/>
                <w:szCs w:val="20"/>
              </w:rPr>
              <w:t xml:space="preserve"> and </w:t>
            </w:r>
            <w:hyperlink r:id="rId21" w:history="1">
              <w:r w:rsidR="00783119" w:rsidRPr="006940A6">
                <w:rPr>
                  <w:rFonts w:ascii="Times New Roman" w:hAnsi="Times New Roman" w:cs="Times New Roman"/>
                  <w:sz w:val="20"/>
                  <w:szCs w:val="20"/>
                  <w:u w:val="single"/>
                </w:rPr>
                <w:t>Geneva, 22-23 Februa</w:t>
              </w:r>
              <w:r w:rsidR="003C2FDA" w:rsidRPr="006940A6">
                <w:rPr>
                  <w:rFonts w:ascii="Times New Roman" w:hAnsi="Times New Roman" w:cs="Times New Roman"/>
                  <w:sz w:val="20"/>
                  <w:szCs w:val="20"/>
                  <w:u w:val="single"/>
                </w:rPr>
                <w:t>r</w:t>
              </w:r>
              <w:r w:rsidR="00783119" w:rsidRPr="006940A6">
                <w:rPr>
                  <w:rFonts w:ascii="Times New Roman" w:hAnsi="Times New Roman" w:cs="Times New Roman"/>
                  <w:sz w:val="20"/>
                  <w:szCs w:val="20"/>
                  <w:u w:val="single"/>
                </w:rPr>
                <w:t>y 2023</w:t>
              </w:r>
            </w:hyperlink>
            <w:r w:rsidR="00110399" w:rsidRPr="002776C1">
              <w:rPr>
                <w:rFonts w:ascii="Times New Roman" w:eastAsia="Times New Roman" w:hAnsi="Times New Roman" w:cs="Times New Roman"/>
                <w:sz w:val="20"/>
                <w:szCs w:val="20"/>
                <w:u w:val="single"/>
                <w:lang w:eastAsia="fr-FR"/>
              </w:rPr>
              <w:t>)</w:t>
            </w:r>
            <w:r w:rsidR="00110399" w:rsidRPr="004A525E">
              <w:rPr>
                <w:rFonts w:ascii="Times New Roman" w:hAnsi="Times New Roman" w:cs="Times New Roman"/>
                <w:sz w:val="20"/>
              </w:rPr>
              <w:t xml:space="preserve"> in consultation with the Chairs; involving preparing </w:t>
            </w:r>
            <w:r w:rsidR="00D42C40" w:rsidRPr="004A525E">
              <w:rPr>
                <w:rFonts w:ascii="Times New Roman" w:hAnsi="Times New Roman" w:cs="Times New Roman"/>
                <w:sz w:val="20"/>
              </w:rPr>
              <w:t>45</w:t>
            </w:r>
            <w:r w:rsidR="00110399" w:rsidRPr="004A525E">
              <w:rPr>
                <w:rFonts w:ascii="Times New Roman" w:hAnsi="Times New Roman" w:cs="Times New Roman"/>
                <w:sz w:val="20"/>
              </w:rPr>
              <w:t xml:space="preserve"> informal documents</w:t>
            </w:r>
            <w:r w:rsidR="007D2CB4">
              <w:rPr>
                <w:rFonts w:ascii="Times New Roman" w:hAnsi="Times New Roman" w:cs="Times New Roman"/>
                <w:sz w:val="20"/>
              </w:rPr>
              <w:t>, in total,</w:t>
            </w:r>
            <w:r w:rsidR="00110399" w:rsidRPr="004A525E">
              <w:rPr>
                <w:rFonts w:ascii="Times New Roman" w:hAnsi="Times New Roman" w:cs="Times New Roman"/>
                <w:sz w:val="20"/>
              </w:rPr>
              <w:t xml:space="preserve"> and reporting on the meeting outcomes.</w:t>
            </w:r>
          </w:p>
          <w:p w14:paraId="505C70B3" w14:textId="5E33B872" w:rsidR="00110399" w:rsidRPr="00110399" w:rsidRDefault="004A4041" w:rsidP="004A4041">
            <w:pPr>
              <w:numPr>
                <w:ilvl w:val="0"/>
                <w:numId w:val="25"/>
              </w:numPr>
              <w:spacing w:before="40" w:after="120" w:line="240" w:lineRule="atLeast"/>
              <w:ind w:right="113"/>
              <w:rPr>
                <w:rFonts w:ascii="Times New Roman" w:hAnsi="Times New Roman" w:cs="Times New Roman"/>
                <w:sz w:val="20"/>
              </w:rPr>
            </w:pPr>
            <w:r>
              <w:rPr>
                <w:rFonts w:ascii="Times New Roman" w:hAnsi="Times New Roman" w:cs="Times New Roman"/>
                <w:sz w:val="20"/>
              </w:rPr>
              <w:t>Two</w:t>
            </w:r>
            <w:r w:rsidR="00110399" w:rsidRPr="00110399">
              <w:rPr>
                <w:rFonts w:ascii="Times New Roman" w:hAnsi="Times New Roman" w:cs="Times New Roman"/>
                <w:sz w:val="20"/>
              </w:rPr>
              <w:t xml:space="preserve"> meeting</w:t>
            </w:r>
            <w:r>
              <w:rPr>
                <w:rFonts w:ascii="Times New Roman" w:hAnsi="Times New Roman" w:cs="Times New Roman"/>
                <w:sz w:val="20"/>
              </w:rPr>
              <w:t>s</w:t>
            </w:r>
            <w:r w:rsidR="00110399" w:rsidRPr="00110399">
              <w:rPr>
                <w:rFonts w:ascii="Times New Roman" w:hAnsi="Times New Roman" w:cs="Times New Roman"/>
                <w:sz w:val="20"/>
              </w:rPr>
              <w:t xml:space="preserve"> of the Working Group (Geneva/online, 1–3 December 2021</w:t>
            </w:r>
            <w:r>
              <w:rPr>
                <w:rFonts w:ascii="Times New Roman" w:hAnsi="Times New Roman" w:cs="Times New Roman"/>
                <w:sz w:val="20"/>
              </w:rPr>
              <w:t xml:space="preserve"> and Geneva, </w:t>
            </w:r>
            <w:r w:rsidRPr="004A4041">
              <w:rPr>
                <w:rFonts w:ascii="Times New Roman" w:hAnsi="Times New Roman" w:cs="Times New Roman"/>
                <w:sz w:val="20"/>
              </w:rPr>
              <w:t>19 - 21 December 2022</w:t>
            </w:r>
            <w:r w:rsidR="00110399" w:rsidRPr="00110399">
              <w:rPr>
                <w:rFonts w:ascii="Times New Roman" w:hAnsi="Times New Roman" w:cs="Times New Roman"/>
                <w:sz w:val="20"/>
              </w:rPr>
              <w:t xml:space="preserve">), with </w:t>
            </w:r>
            <w:r>
              <w:rPr>
                <w:rFonts w:ascii="Times New Roman" w:hAnsi="Times New Roman" w:cs="Times New Roman"/>
                <w:sz w:val="20"/>
              </w:rPr>
              <w:t>8</w:t>
            </w:r>
            <w:r w:rsidR="00110399" w:rsidRPr="00110399">
              <w:rPr>
                <w:rFonts w:ascii="Times New Roman" w:hAnsi="Times New Roman" w:cs="Times New Roman"/>
                <w:sz w:val="20"/>
              </w:rPr>
              <w:t xml:space="preserve"> official documents, </w:t>
            </w:r>
            <w:r>
              <w:rPr>
                <w:rFonts w:ascii="Times New Roman" w:hAnsi="Times New Roman" w:cs="Times New Roman"/>
                <w:sz w:val="20"/>
              </w:rPr>
              <w:t>24</w:t>
            </w:r>
            <w:r w:rsidR="00110399" w:rsidRPr="00110399">
              <w:rPr>
                <w:rFonts w:ascii="Times New Roman" w:hAnsi="Times New Roman" w:cs="Times New Roman"/>
                <w:sz w:val="20"/>
              </w:rPr>
              <w:t xml:space="preserve"> informal ones and the meeting report</w:t>
            </w:r>
            <w:r>
              <w:rPr>
                <w:rFonts w:ascii="Times New Roman" w:hAnsi="Times New Roman" w:cs="Times New Roman"/>
                <w:sz w:val="20"/>
              </w:rPr>
              <w:t>s</w:t>
            </w:r>
            <w:r w:rsidR="00110399" w:rsidRPr="00110399">
              <w:rPr>
                <w:rFonts w:ascii="Times New Roman" w:hAnsi="Times New Roman" w:cs="Times New Roman"/>
                <w:sz w:val="20"/>
              </w:rPr>
              <w:t>, and a full day thematic seminar on sustainable infrastructure (organized in cooperation with Switzerland</w:t>
            </w:r>
            <w:r>
              <w:rPr>
                <w:rFonts w:ascii="Times New Roman" w:hAnsi="Times New Roman" w:cs="Times New Roman"/>
                <w:sz w:val="20"/>
              </w:rPr>
              <w:t xml:space="preserve"> during the 10</w:t>
            </w:r>
            <w:r w:rsidRPr="00063D43">
              <w:rPr>
                <w:vertAlign w:val="superscript"/>
              </w:rPr>
              <w:t>th</w:t>
            </w:r>
            <w:r>
              <w:rPr>
                <w:rFonts w:ascii="Times New Roman" w:hAnsi="Times New Roman" w:cs="Times New Roman"/>
                <w:sz w:val="20"/>
              </w:rPr>
              <w:t xml:space="preserve"> meeting of the Working Group on EIA and SEA</w:t>
            </w:r>
            <w:r w:rsidR="00110399" w:rsidRPr="00110399">
              <w:rPr>
                <w:rFonts w:ascii="Times New Roman" w:hAnsi="Times New Roman" w:cs="Times New Roman"/>
                <w:sz w:val="20"/>
              </w:rPr>
              <w:t xml:space="preserve">). Preparations for the </w:t>
            </w:r>
            <w:r>
              <w:rPr>
                <w:rFonts w:ascii="Times New Roman" w:hAnsi="Times New Roman" w:cs="Times New Roman"/>
                <w:sz w:val="20"/>
              </w:rPr>
              <w:t>third</w:t>
            </w:r>
            <w:r w:rsidR="00110399" w:rsidRPr="00110399">
              <w:rPr>
                <w:rFonts w:ascii="Times New Roman" w:hAnsi="Times New Roman" w:cs="Times New Roman"/>
                <w:sz w:val="20"/>
              </w:rPr>
              <w:t xml:space="preserve"> meeting (Geneva, </w:t>
            </w:r>
            <w:r w:rsidRPr="004A4041">
              <w:rPr>
                <w:rFonts w:ascii="Times New Roman" w:hAnsi="Times New Roman" w:cs="Times New Roman"/>
                <w:sz w:val="20"/>
              </w:rPr>
              <w:t>13 - 15 June 2023</w:t>
            </w:r>
            <w:r w:rsidR="00110399" w:rsidRPr="00110399">
              <w:rPr>
                <w:rFonts w:ascii="Times New Roman" w:hAnsi="Times New Roman" w:cs="Times New Roman"/>
                <w:sz w:val="20"/>
              </w:rPr>
              <w:t xml:space="preserve">) in progress and on time </w:t>
            </w:r>
            <w:r w:rsidR="00967391">
              <w:rPr>
                <w:rFonts w:ascii="Times New Roman" w:hAnsi="Times New Roman" w:cs="Times New Roman"/>
                <w:sz w:val="20"/>
              </w:rPr>
              <w:t xml:space="preserve">(9 official and </w:t>
            </w:r>
            <w:r w:rsidR="00611DED">
              <w:rPr>
                <w:rFonts w:ascii="Times New Roman" w:hAnsi="Times New Roman" w:cs="Times New Roman"/>
                <w:sz w:val="20"/>
              </w:rPr>
              <w:t>11 informal documents)</w:t>
            </w:r>
            <w:r w:rsidR="00266CE7">
              <w:rPr>
                <w:rFonts w:ascii="Times New Roman" w:hAnsi="Times New Roman" w:cs="Times New Roman"/>
                <w:sz w:val="20"/>
              </w:rPr>
              <w:t>.</w:t>
            </w:r>
          </w:p>
        </w:tc>
      </w:tr>
      <w:tr w:rsidR="00B35DBE" w:rsidRPr="00110399" w14:paraId="208B3CAE" w14:textId="77777777" w:rsidTr="2A3FC294">
        <w:tc>
          <w:tcPr>
            <w:tcW w:w="4276" w:type="dxa"/>
            <w:shd w:val="clear" w:color="auto" w:fill="auto"/>
          </w:tcPr>
          <w:p w14:paraId="41EAF343"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(m)</w:t>
            </w:r>
            <w:r w:rsidRPr="00110399">
              <w:rPr>
                <w:rFonts w:ascii="Times New Roman" w:hAnsi="Times New Roman" w:cs="Times New Roman"/>
                <w:sz w:val="20"/>
              </w:rPr>
              <w:tab/>
              <w:t xml:space="preserve">In consultation with the Bureau, assist the Meetings of the Parties and their subsidiary bodies in possible </w:t>
            </w:r>
            <w:r w:rsidRPr="00110399">
              <w:rPr>
                <w:rFonts w:ascii="Times New Roman" w:hAnsi="Times New Roman" w:cs="Times New Roman"/>
                <w:sz w:val="20"/>
              </w:rPr>
              <w:lastRenderedPageBreak/>
              <w:t>further clarification of procedural matters of relevance to meetings with remote participation for consideration by the Meetings of the Parties in 2023.</w:t>
            </w:r>
          </w:p>
        </w:tc>
        <w:tc>
          <w:tcPr>
            <w:tcW w:w="4228" w:type="dxa"/>
            <w:shd w:val="clear" w:color="auto" w:fill="auto"/>
          </w:tcPr>
          <w:p w14:paraId="6D832D80"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lastRenderedPageBreak/>
              <w:t xml:space="preserve">In June 2021, the Bureau reviewed the note (of 27 November 2020) that it had prepared with support of the </w:t>
            </w:r>
            <w:r w:rsidRPr="00110399">
              <w:rPr>
                <w:rFonts w:ascii="Times New Roman" w:hAnsi="Times New Roman" w:cs="Times New Roman"/>
                <w:sz w:val="20"/>
              </w:rPr>
              <w:lastRenderedPageBreak/>
              <w:t xml:space="preserve">secretariat in consultation with the Treaty Section of the UN Office of Legal </w:t>
            </w:r>
            <w:proofErr w:type="gramStart"/>
            <w:r w:rsidRPr="00110399">
              <w:rPr>
                <w:rFonts w:ascii="Times New Roman" w:hAnsi="Times New Roman" w:cs="Times New Roman"/>
                <w:sz w:val="20"/>
              </w:rPr>
              <w:t>Affairs, and</w:t>
            </w:r>
            <w:proofErr w:type="gramEnd"/>
            <w:r w:rsidRPr="00110399">
              <w:rPr>
                <w:rFonts w:ascii="Times New Roman" w:hAnsi="Times New Roman" w:cs="Times New Roman"/>
                <w:sz w:val="20"/>
              </w:rPr>
              <w:t xml:space="preserve"> invited the Working Group to clarify and justify possible further development needs of the paper. At its 10</w:t>
            </w:r>
            <w:r w:rsidRPr="00110399">
              <w:rPr>
                <w:rFonts w:ascii="Times New Roman" w:hAnsi="Times New Roman" w:cs="Times New Roman"/>
                <w:sz w:val="20"/>
                <w:vertAlign w:val="superscript"/>
              </w:rPr>
              <w:t>th</w:t>
            </w:r>
            <w:r w:rsidRPr="00110399">
              <w:rPr>
                <w:rFonts w:ascii="Times New Roman" w:hAnsi="Times New Roman" w:cs="Times New Roman"/>
                <w:sz w:val="20"/>
              </w:rPr>
              <w:t xml:space="preserve"> meeting (December 2021), the Working Group invited the Bureau to review the consistency of its note with similar notes prepared under the other UNECE </w:t>
            </w:r>
            <w:proofErr w:type="spellStart"/>
            <w:r w:rsidRPr="00110399">
              <w:rPr>
                <w:rFonts w:ascii="Times New Roman" w:hAnsi="Times New Roman" w:cs="Times New Roman"/>
                <w:sz w:val="20"/>
              </w:rPr>
              <w:t>MEAs.</w:t>
            </w:r>
            <w:proofErr w:type="spellEnd"/>
            <w:r w:rsidRPr="00110399">
              <w:rPr>
                <w:rFonts w:ascii="Times New Roman" w:hAnsi="Times New Roman" w:cs="Times New Roman"/>
                <w:sz w:val="20"/>
              </w:rPr>
              <w:t xml:space="preserve"> </w:t>
            </w:r>
          </w:p>
          <w:p w14:paraId="421F645C" w14:textId="64DD0CE5" w:rsid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In June 2022, the Bureau agreed that</w:t>
            </w:r>
            <w:r w:rsidR="003E2142" w:rsidRPr="00110399">
              <w:rPr>
                <w:rFonts w:ascii="Times New Roman" w:hAnsi="Times New Roman" w:cs="Times New Roman"/>
                <w:sz w:val="20"/>
              </w:rPr>
              <w:t xml:space="preserve"> revisiting the 2020 note was not necessar</w:t>
            </w:r>
            <w:r w:rsidR="0037510A">
              <w:rPr>
                <w:rFonts w:ascii="Times New Roman" w:hAnsi="Times New Roman" w:cs="Times New Roman"/>
                <w:sz w:val="20"/>
              </w:rPr>
              <w:t>y</w:t>
            </w:r>
            <w:r w:rsidR="00626388">
              <w:rPr>
                <w:rFonts w:ascii="Times New Roman" w:hAnsi="Times New Roman" w:cs="Times New Roman"/>
                <w:sz w:val="20"/>
              </w:rPr>
              <w:t xml:space="preserve"> as</w:t>
            </w:r>
            <w:r w:rsidRPr="00110399">
              <w:rPr>
                <w:rFonts w:ascii="Times New Roman" w:hAnsi="Times New Roman" w:cs="Times New Roman"/>
                <w:sz w:val="20"/>
              </w:rPr>
              <w:t xml:space="preserve">: (a)  </w:t>
            </w:r>
            <w:r w:rsidR="00120C8D">
              <w:rPr>
                <w:rFonts w:ascii="Times New Roman" w:hAnsi="Times New Roman" w:cs="Times New Roman"/>
                <w:sz w:val="20"/>
              </w:rPr>
              <w:t xml:space="preserve"> it</w:t>
            </w:r>
            <w:r w:rsidRPr="00110399">
              <w:rPr>
                <w:rFonts w:ascii="Times New Roman" w:hAnsi="Times New Roman" w:cs="Times New Roman"/>
                <w:sz w:val="20"/>
              </w:rPr>
              <w:t xml:space="preserve"> had applied only to the 2020 MOP sessions and to any similar future exceptional case of extraordinary circumstances; (b) in-person meetings </w:t>
            </w:r>
            <w:r w:rsidR="00120C8D">
              <w:rPr>
                <w:rFonts w:ascii="Times New Roman" w:hAnsi="Times New Roman" w:cs="Times New Roman"/>
                <w:sz w:val="20"/>
              </w:rPr>
              <w:t>were</w:t>
            </w:r>
            <w:r w:rsidR="003D0FC0">
              <w:rPr>
                <w:rFonts w:ascii="Times New Roman" w:hAnsi="Times New Roman" w:cs="Times New Roman"/>
                <w:sz w:val="20"/>
              </w:rPr>
              <w:t xml:space="preserve"> </w:t>
            </w:r>
            <w:r w:rsidRPr="00110399">
              <w:rPr>
                <w:rFonts w:ascii="Times New Roman" w:hAnsi="Times New Roman" w:cs="Times New Roman"/>
                <w:sz w:val="20"/>
              </w:rPr>
              <w:t xml:space="preserve">again the norm,; (c) </w:t>
            </w:r>
            <w:r w:rsidR="006353F8">
              <w:rPr>
                <w:rFonts w:ascii="Times New Roman" w:hAnsi="Times New Roman" w:cs="Times New Roman"/>
                <w:sz w:val="20"/>
              </w:rPr>
              <w:t xml:space="preserve">no </w:t>
            </w:r>
            <w:r w:rsidRPr="00110399">
              <w:rPr>
                <w:rFonts w:ascii="Times New Roman" w:hAnsi="Times New Roman" w:cs="Times New Roman"/>
                <w:sz w:val="20"/>
              </w:rPr>
              <w:t>other MEAs reused or modified their</w:t>
            </w:r>
            <w:r w:rsidR="007E017C">
              <w:rPr>
                <w:rFonts w:ascii="Times New Roman" w:hAnsi="Times New Roman" w:cs="Times New Roman"/>
                <w:sz w:val="20"/>
              </w:rPr>
              <w:t xml:space="preserve"> equivalent</w:t>
            </w:r>
            <w:r w:rsidRPr="00110399">
              <w:rPr>
                <w:rFonts w:ascii="Times New Roman" w:hAnsi="Times New Roman" w:cs="Times New Roman"/>
                <w:sz w:val="20"/>
              </w:rPr>
              <w:t xml:space="preserve"> procedural notes from 2020-2021, but considered them to have applied only to one  MOP/COP organized under exceptional circumstances.</w:t>
            </w:r>
          </w:p>
          <w:p w14:paraId="43159EB6" w14:textId="6B90A8FB" w:rsidR="002D44DE" w:rsidRDefault="002D44DE" w:rsidP="00110399">
            <w:pPr>
              <w:spacing w:before="40" w:after="120" w:line="240" w:lineRule="atLeast"/>
              <w:ind w:right="113"/>
              <w:rPr>
                <w:rFonts w:ascii="Times New Roman" w:hAnsi="Times New Roman" w:cs="Times New Roman"/>
                <w:sz w:val="20"/>
              </w:rPr>
            </w:pPr>
            <w:r>
              <w:rPr>
                <w:rFonts w:ascii="Times New Roman" w:hAnsi="Times New Roman" w:cs="Times New Roman"/>
                <w:sz w:val="20"/>
              </w:rPr>
              <w:t xml:space="preserve">In February 2023, the Bureau </w:t>
            </w:r>
            <w:r w:rsidR="00C81F25">
              <w:rPr>
                <w:rFonts w:ascii="Times New Roman" w:hAnsi="Times New Roman" w:cs="Times New Roman"/>
                <w:sz w:val="20"/>
              </w:rPr>
              <w:t xml:space="preserve">accepted the </w:t>
            </w:r>
            <w:r w:rsidR="00215B16">
              <w:rPr>
                <w:rFonts w:ascii="Times New Roman" w:hAnsi="Times New Roman" w:cs="Times New Roman"/>
                <w:sz w:val="20"/>
              </w:rPr>
              <w:t xml:space="preserve">revision proposals </w:t>
            </w:r>
            <w:r w:rsidR="00BF5C3B">
              <w:rPr>
                <w:rFonts w:ascii="Times New Roman" w:hAnsi="Times New Roman" w:cs="Times New Roman"/>
                <w:sz w:val="20"/>
              </w:rPr>
              <w:t xml:space="preserve">to the note put forward </w:t>
            </w:r>
            <w:r w:rsidR="00215B16">
              <w:rPr>
                <w:rFonts w:ascii="Times New Roman" w:hAnsi="Times New Roman" w:cs="Times New Roman"/>
                <w:sz w:val="20"/>
              </w:rPr>
              <w:t xml:space="preserve">by the EU and its Member States. </w:t>
            </w:r>
            <w:r w:rsidR="00BF5C3B">
              <w:rPr>
                <w:rFonts w:ascii="Times New Roman" w:hAnsi="Times New Roman" w:cs="Times New Roman"/>
                <w:sz w:val="20"/>
              </w:rPr>
              <w:t xml:space="preserve">It </w:t>
            </w:r>
            <w:r>
              <w:rPr>
                <w:rFonts w:ascii="Times New Roman" w:hAnsi="Times New Roman" w:cs="Times New Roman"/>
                <w:sz w:val="20"/>
              </w:rPr>
              <w:t>agreed</w:t>
            </w:r>
            <w:r w:rsidR="006650AE">
              <w:rPr>
                <w:rFonts w:ascii="Times New Roman" w:hAnsi="Times New Roman" w:cs="Times New Roman"/>
                <w:sz w:val="20"/>
              </w:rPr>
              <w:t>, however,</w:t>
            </w:r>
            <w:r>
              <w:rPr>
                <w:rFonts w:ascii="Times New Roman" w:hAnsi="Times New Roman" w:cs="Times New Roman"/>
                <w:sz w:val="20"/>
              </w:rPr>
              <w:t xml:space="preserve"> that </w:t>
            </w:r>
            <w:r w:rsidR="001F29DA">
              <w:rPr>
                <w:rFonts w:ascii="Times New Roman" w:hAnsi="Times New Roman" w:cs="Times New Roman"/>
                <w:sz w:val="20"/>
              </w:rPr>
              <w:t xml:space="preserve">the procedural note </w:t>
            </w:r>
            <w:r w:rsidR="003F4C98">
              <w:rPr>
                <w:rFonts w:ascii="Times New Roman" w:hAnsi="Times New Roman" w:cs="Times New Roman"/>
                <w:sz w:val="20"/>
              </w:rPr>
              <w:t xml:space="preserve">should not be tabled for the next sessions of the Meetings of the Parties, which would take place in-person </w:t>
            </w:r>
            <w:r w:rsidR="00C9233B">
              <w:rPr>
                <w:rFonts w:ascii="Times New Roman" w:hAnsi="Times New Roman" w:cs="Times New Roman"/>
                <w:sz w:val="20"/>
              </w:rPr>
              <w:t xml:space="preserve">and in accordance with the </w:t>
            </w:r>
            <w:r w:rsidR="006650AE">
              <w:rPr>
                <w:rFonts w:ascii="Times New Roman" w:hAnsi="Times New Roman" w:cs="Times New Roman"/>
                <w:sz w:val="20"/>
              </w:rPr>
              <w:t xml:space="preserve">applicable </w:t>
            </w:r>
            <w:r w:rsidR="00C9233B">
              <w:rPr>
                <w:rFonts w:ascii="Times New Roman" w:hAnsi="Times New Roman" w:cs="Times New Roman"/>
                <w:sz w:val="20"/>
              </w:rPr>
              <w:t>rule</w:t>
            </w:r>
            <w:r w:rsidR="006650AE">
              <w:rPr>
                <w:rFonts w:ascii="Times New Roman" w:hAnsi="Times New Roman" w:cs="Times New Roman"/>
                <w:sz w:val="20"/>
              </w:rPr>
              <w:t>s</w:t>
            </w:r>
            <w:r w:rsidR="00C9233B">
              <w:rPr>
                <w:rFonts w:ascii="Times New Roman" w:hAnsi="Times New Roman" w:cs="Times New Roman"/>
                <w:sz w:val="20"/>
              </w:rPr>
              <w:t xml:space="preserve"> of </w:t>
            </w:r>
            <w:proofErr w:type="gramStart"/>
            <w:r w:rsidR="00C9233B">
              <w:rPr>
                <w:rFonts w:ascii="Times New Roman" w:hAnsi="Times New Roman" w:cs="Times New Roman"/>
                <w:sz w:val="20"/>
              </w:rPr>
              <w:t xml:space="preserve">procedure </w:t>
            </w:r>
            <w:r w:rsidR="00E46036">
              <w:rPr>
                <w:rFonts w:ascii="Times New Roman" w:hAnsi="Times New Roman" w:cs="Times New Roman"/>
                <w:sz w:val="20"/>
              </w:rPr>
              <w:t xml:space="preserve"> adopted</w:t>
            </w:r>
            <w:proofErr w:type="gramEnd"/>
            <w:r w:rsidR="00F2101A">
              <w:rPr>
                <w:rFonts w:ascii="Times New Roman" w:hAnsi="Times New Roman" w:cs="Times New Roman"/>
                <w:sz w:val="20"/>
              </w:rPr>
              <w:t xml:space="preserve"> by the Meetings of the Parties</w:t>
            </w:r>
            <w:r w:rsidR="008C30D0">
              <w:rPr>
                <w:rFonts w:ascii="Times New Roman" w:hAnsi="Times New Roman" w:cs="Times New Roman"/>
                <w:sz w:val="20"/>
              </w:rPr>
              <w:t xml:space="preserve">. </w:t>
            </w:r>
            <w:r w:rsidR="00E46036">
              <w:rPr>
                <w:rFonts w:ascii="Times New Roman" w:hAnsi="Times New Roman" w:cs="Times New Roman"/>
                <w:sz w:val="20"/>
              </w:rPr>
              <w:t>Moreover</w:t>
            </w:r>
            <w:proofErr w:type="gramStart"/>
            <w:r w:rsidR="00E46036">
              <w:rPr>
                <w:rFonts w:ascii="Times New Roman" w:hAnsi="Times New Roman" w:cs="Times New Roman"/>
                <w:sz w:val="20"/>
              </w:rPr>
              <w:t xml:space="preserve">, </w:t>
            </w:r>
            <w:r w:rsidR="00D073E4">
              <w:rPr>
                <w:rFonts w:ascii="Times New Roman" w:hAnsi="Times New Roman" w:cs="Times New Roman"/>
                <w:sz w:val="20"/>
              </w:rPr>
              <w:t>,</w:t>
            </w:r>
            <w:proofErr w:type="gramEnd"/>
            <w:r w:rsidR="00D073E4">
              <w:rPr>
                <w:rFonts w:ascii="Times New Roman" w:hAnsi="Times New Roman" w:cs="Times New Roman"/>
                <w:sz w:val="20"/>
              </w:rPr>
              <w:t xml:space="preserve"> any broader revision </w:t>
            </w:r>
            <w:r w:rsidR="007C5CC1">
              <w:rPr>
                <w:rFonts w:ascii="Times New Roman" w:hAnsi="Times New Roman" w:cs="Times New Roman"/>
                <w:sz w:val="20"/>
              </w:rPr>
              <w:t xml:space="preserve">of </w:t>
            </w:r>
            <w:r w:rsidR="00D073E4">
              <w:rPr>
                <w:rFonts w:ascii="Times New Roman" w:hAnsi="Times New Roman" w:cs="Times New Roman"/>
                <w:sz w:val="20"/>
              </w:rPr>
              <w:t xml:space="preserve">the </w:t>
            </w:r>
            <w:r w:rsidR="004E5565">
              <w:rPr>
                <w:rFonts w:ascii="Times New Roman" w:hAnsi="Times New Roman" w:cs="Times New Roman"/>
                <w:sz w:val="20"/>
              </w:rPr>
              <w:t>meeting</w:t>
            </w:r>
            <w:r w:rsidR="007C5CC1">
              <w:rPr>
                <w:rFonts w:ascii="Times New Roman" w:hAnsi="Times New Roman" w:cs="Times New Roman"/>
                <w:sz w:val="20"/>
              </w:rPr>
              <w:t xml:space="preserve"> format</w:t>
            </w:r>
            <w:r w:rsidR="004E5565">
              <w:rPr>
                <w:rFonts w:ascii="Times New Roman" w:hAnsi="Times New Roman" w:cs="Times New Roman"/>
                <w:sz w:val="20"/>
              </w:rPr>
              <w:t xml:space="preserve"> of the Meetings of the Parties and</w:t>
            </w:r>
            <w:r w:rsidR="007C5CC1">
              <w:rPr>
                <w:rFonts w:ascii="Times New Roman" w:hAnsi="Times New Roman" w:cs="Times New Roman"/>
                <w:sz w:val="20"/>
              </w:rPr>
              <w:t>/or</w:t>
            </w:r>
            <w:r w:rsidR="004E5565">
              <w:rPr>
                <w:rFonts w:ascii="Times New Roman" w:hAnsi="Times New Roman" w:cs="Times New Roman"/>
                <w:sz w:val="20"/>
              </w:rPr>
              <w:t xml:space="preserve"> their subsidiary bodies</w:t>
            </w:r>
            <w:r w:rsidR="00EC6ACB">
              <w:rPr>
                <w:rFonts w:ascii="Times New Roman" w:hAnsi="Times New Roman" w:cs="Times New Roman"/>
                <w:sz w:val="20"/>
              </w:rPr>
              <w:t>, or any other procedural aspects of their functioning, in gene</w:t>
            </w:r>
            <w:r w:rsidR="00704E21">
              <w:rPr>
                <w:rFonts w:ascii="Times New Roman" w:hAnsi="Times New Roman" w:cs="Times New Roman"/>
                <w:sz w:val="20"/>
              </w:rPr>
              <w:t>ral, would require</w:t>
            </w:r>
            <w:r w:rsidR="00942AD0">
              <w:rPr>
                <w:rFonts w:ascii="Times New Roman" w:hAnsi="Times New Roman" w:cs="Times New Roman"/>
                <w:sz w:val="20"/>
              </w:rPr>
              <w:t>: (a) a mandate from the Meetings of the Parties</w:t>
            </w:r>
            <w:r w:rsidR="00D439BD">
              <w:rPr>
                <w:rFonts w:ascii="Times New Roman" w:hAnsi="Times New Roman" w:cs="Times New Roman"/>
                <w:sz w:val="20"/>
              </w:rPr>
              <w:t xml:space="preserve">; (b) </w:t>
            </w:r>
            <w:r w:rsidR="00D36F0F">
              <w:rPr>
                <w:rFonts w:ascii="Times New Roman" w:hAnsi="Times New Roman" w:cs="Times New Roman"/>
                <w:sz w:val="20"/>
              </w:rPr>
              <w:t>appropriate allocation of resources</w:t>
            </w:r>
            <w:r w:rsidR="00ED1119">
              <w:rPr>
                <w:rFonts w:ascii="Times New Roman" w:hAnsi="Times New Roman" w:cs="Times New Roman"/>
                <w:sz w:val="20"/>
              </w:rPr>
              <w:t xml:space="preserve"> (financial and staffing)</w:t>
            </w:r>
            <w:r w:rsidR="00D36F0F">
              <w:rPr>
                <w:rFonts w:ascii="Times New Roman" w:hAnsi="Times New Roman" w:cs="Times New Roman"/>
                <w:sz w:val="20"/>
              </w:rPr>
              <w:t>.</w:t>
            </w:r>
            <w:r w:rsidR="00392FE4">
              <w:rPr>
                <w:rFonts w:ascii="Times New Roman" w:hAnsi="Times New Roman" w:cs="Times New Roman"/>
                <w:sz w:val="20"/>
              </w:rPr>
              <w:t xml:space="preserve"> </w:t>
            </w:r>
          </w:p>
          <w:p w14:paraId="5C75715F" w14:textId="3033822C" w:rsidR="00D36F0F" w:rsidRPr="00110399" w:rsidRDefault="00D36F0F" w:rsidP="00110399">
            <w:pPr>
              <w:spacing w:before="40" w:after="120" w:line="240" w:lineRule="atLeast"/>
              <w:ind w:right="113"/>
              <w:rPr>
                <w:rFonts w:ascii="Times New Roman" w:hAnsi="Times New Roman" w:cs="Times New Roman"/>
                <w:sz w:val="20"/>
              </w:rPr>
            </w:pPr>
          </w:p>
        </w:tc>
      </w:tr>
      <w:tr w:rsidR="00110399" w:rsidRPr="00110399" w14:paraId="627320E4" w14:textId="77777777" w:rsidTr="002C369B">
        <w:trPr>
          <w:cantSplit/>
        </w:trPr>
        <w:tc>
          <w:tcPr>
            <w:tcW w:w="8504" w:type="dxa"/>
            <w:gridSpan w:val="2"/>
            <w:shd w:val="clear" w:color="auto" w:fill="auto"/>
          </w:tcPr>
          <w:p w14:paraId="18A399A8" w14:textId="77777777" w:rsidR="00110399" w:rsidRPr="00110399" w:rsidRDefault="00110399" w:rsidP="00110399">
            <w:pPr>
              <w:spacing w:before="40" w:after="120" w:line="240" w:lineRule="atLeast"/>
              <w:ind w:right="113"/>
              <w:rPr>
                <w:rFonts w:ascii="Times New Roman" w:hAnsi="Times New Roman" w:cs="Times New Roman"/>
                <w:b/>
                <w:bCs/>
                <w:sz w:val="20"/>
              </w:rPr>
            </w:pPr>
            <w:r w:rsidRPr="00110399">
              <w:rPr>
                <w:rFonts w:ascii="Times New Roman" w:hAnsi="Times New Roman" w:cs="Times New Roman"/>
                <w:b/>
                <w:bCs/>
                <w:sz w:val="20"/>
              </w:rPr>
              <w:lastRenderedPageBreak/>
              <w:t>B.</w:t>
            </w:r>
            <w:r w:rsidRPr="00110399">
              <w:rPr>
                <w:rFonts w:ascii="Times New Roman" w:hAnsi="Times New Roman" w:cs="Times New Roman"/>
                <w:b/>
                <w:bCs/>
                <w:sz w:val="20"/>
              </w:rPr>
              <w:tab/>
            </w:r>
            <w:bookmarkStart w:id="1" w:name="_Hlk36021677"/>
            <w:r w:rsidRPr="00110399">
              <w:rPr>
                <w:rFonts w:ascii="Times New Roman" w:hAnsi="Times New Roman" w:cs="Times New Roman"/>
                <w:b/>
                <w:bCs/>
                <w:sz w:val="20"/>
              </w:rPr>
              <w:t>Communication, visibility, coordination</w:t>
            </w:r>
            <w:bookmarkEnd w:id="1"/>
          </w:p>
          <w:p w14:paraId="574A8F95" w14:textId="77777777" w:rsidR="00110399" w:rsidRPr="00110399" w:rsidRDefault="00110399" w:rsidP="00110399">
            <w:p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i/>
                <w:iCs/>
                <w:sz w:val="20"/>
              </w:rPr>
              <w:t>Entity(</w:t>
            </w:r>
            <w:proofErr w:type="spellStart"/>
            <w:r w:rsidRPr="00110399">
              <w:rPr>
                <w:rFonts w:ascii="Times New Roman" w:hAnsi="Times New Roman" w:cs="Times New Roman"/>
                <w:i/>
                <w:iCs/>
                <w:sz w:val="20"/>
              </w:rPr>
              <w:t>ies</w:t>
            </w:r>
            <w:proofErr w:type="spellEnd"/>
            <w:r w:rsidRPr="00110399">
              <w:rPr>
                <w:rFonts w:ascii="Times New Roman" w:hAnsi="Times New Roman" w:cs="Times New Roman"/>
                <w:i/>
                <w:iCs/>
                <w:sz w:val="20"/>
              </w:rPr>
              <w:t>) responsible:</w:t>
            </w:r>
            <w:r w:rsidRPr="00110399">
              <w:rPr>
                <w:rFonts w:ascii="Times New Roman" w:hAnsi="Times New Roman" w:cs="Times New Roman"/>
                <w:sz w:val="20"/>
              </w:rPr>
              <w:t xml:space="preserve"> The secretariat, whenever needed, in consultation with the treaty bodies. Parties are to inform the secretariat of any changes to their focal points/points of contact</w:t>
            </w:r>
          </w:p>
        </w:tc>
      </w:tr>
      <w:tr w:rsidR="00B35DBE" w:rsidRPr="00110399" w14:paraId="76594AA5" w14:textId="77777777" w:rsidTr="002C369B">
        <w:tc>
          <w:tcPr>
            <w:tcW w:w="4276" w:type="dxa"/>
            <w:shd w:val="clear" w:color="auto" w:fill="auto"/>
          </w:tcPr>
          <w:p w14:paraId="75C1BBE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(a)</w:t>
            </w:r>
            <w:r w:rsidRPr="00110399">
              <w:rPr>
                <w:rFonts w:ascii="Times New Roman" w:hAnsi="Times New Roman" w:cs="Times New Roman"/>
                <w:sz w:val="20"/>
              </w:rPr>
              <w:tab/>
              <w:t xml:space="preserve">Liaise with focal points, stakeholders and partner organizations within and outside the United Nations, responding to any queries and raising awareness of the treaties and their </w:t>
            </w:r>
            <w:proofErr w:type="gramStart"/>
            <w:r w:rsidRPr="00110399">
              <w:rPr>
                <w:rFonts w:ascii="Times New Roman" w:hAnsi="Times New Roman" w:cs="Times New Roman"/>
                <w:sz w:val="20"/>
              </w:rPr>
              <w:t>activities;</w:t>
            </w:r>
            <w:proofErr w:type="gramEnd"/>
          </w:p>
          <w:p w14:paraId="24521DB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(b)</w:t>
            </w:r>
            <w:r w:rsidRPr="00110399">
              <w:rPr>
                <w:rFonts w:ascii="Times New Roman" w:hAnsi="Times New Roman" w:cs="Times New Roman"/>
                <w:sz w:val="20"/>
              </w:rPr>
              <w:tab/>
              <w:t xml:space="preserve">Coordinate the implementation of workplan activities, including cooperating with other ECE multilateral environmental agreement secretariats and subprogrammes, and, subject to the resources available, with other United Nations bodies and other international </w:t>
            </w:r>
            <w:proofErr w:type="gramStart"/>
            <w:r w:rsidRPr="00110399">
              <w:rPr>
                <w:rFonts w:ascii="Times New Roman" w:hAnsi="Times New Roman" w:cs="Times New Roman"/>
                <w:sz w:val="20"/>
              </w:rPr>
              <w:t>organizations;</w:t>
            </w:r>
            <w:proofErr w:type="gramEnd"/>
          </w:p>
          <w:p w14:paraId="7D4A503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(c)</w:t>
            </w:r>
            <w:r w:rsidRPr="00110399">
              <w:rPr>
                <w:rFonts w:ascii="Times New Roman" w:hAnsi="Times New Roman" w:cs="Times New Roman"/>
                <w:sz w:val="20"/>
              </w:rPr>
              <w:tab/>
              <w:t xml:space="preserve">Represent the Convention and the Protocol at relevant meetings and events, as needed, to promote and/or coordinate </w:t>
            </w:r>
            <w:proofErr w:type="gramStart"/>
            <w:r w:rsidRPr="00110399">
              <w:rPr>
                <w:rFonts w:ascii="Times New Roman" w:hAnsi="Times New Roman" w:cs="Times New Roman"/>
                <w:sz w:val="20"/>
              </w:rPr>
              <w:t>activities;</w:t>
            </w:r>
            <w:proofErr w:type="gramEnd"/>
          </w:p>
          <w:p w14:paraId="26F529CD"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(d)</w:t>
            </w:r>
            <w:r w:rsidRPr="00110399">
              <w:rPr>
                <w:rFonts w:ascii="Times New Roman" w:hAnsi="Times New Roman" w:cs="Times New Roman"/>
                <w:sz w:val="20"/>
              </w:rPr>
              <w:tab/>
              <w:t xml:space="preserve">Ensure visibility and easy access to up-to-date information and documents on the treaty website, including online databases of focal points for administrative matters and points of contact for notification under the Convention and the Protocol and online meeting </w:t>
            </w:r>
            <w:proofErr w:type="gramStart"/>
            <w:r w:rsidRPr="00110399">
              <w:rPr>
                <w:rFonts w:ascii="Times New Roman" w:hAnsi="Times New Roman" w:cs="Times New Roman"/>
                <w:sz w:val="20"/>
              </w:rPr>
              <w:t>calendars;</w:t>
            </w:r>
            <w:proofErr w:type="gramEnd"/>
          </w:p>
          <w:p w14:paraId="265157D8"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lastRenderedPageBreak/>
              <w:t>(e)</w:t>
            </w:r>
            <w:r w:rsidRPr="00110399">
              <w:rPr>
                <w:rFonts w:ascii="Times New Roman" w:hAnsi="Times New Roman" w:cs="Times New Roman"/>
                <w:sz w:val="20"/>
              </w:rPr>
              <w:tab/>
              <w:t xml:space="preserve">Prepare correspondence and briefings for ECE senior management for high-level bilateral and multilateral meetings within and beyond the ECE </w:t>
            </w:r>
            <w:proofErr w:type="gramStart"/>
            <w:r w:rsidRPr="00110399">
              <w:rPr>
                <w:rFonts w:ascii="Times New Roman" w:hAnsi="Times New Roman" w:cs="Times New Roman"/>
                <w:sz w:val="20"/>
              </w:rPr>
              <w:t>region;</w:t>
            </w:r>
            <w:proofErr w:type="gramEnd"/>
          </w:p>
          <w:p w14:paraId="19A3C00E" w14:textId="09FC5182"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(f)</w:t>
            </w:r>
            <w:r w:rsidRPr="00110399">
              <w:rPr>
                <w:rFonts w:ascii="Times New Roman" w:hAnsi="Times New Roman" w:cs="Times New Roman"/>
                <w:sz w:val="20"/>
              </w:rPr>
              <w:tab/>
              <w:t xml:space="preserve">As needed, prepare </w:t>
            </w:r>
            <w:r>
              <w:rPr>
                <w:rFonts w:ascii="Times New Roman" w:hAnsi="Times New Roman" w:cs="Times New Roman"/>
                <w:sz w:val="20"/>
              </w:rPr>
              <w:t>press releases</w:t>
            </w:r>
            <w:r w:rsidRPr="00110399">
              <w:rPr>
                <w:rFonts w:ascii="Times New Roman" w:hAnsi="Times New Roman" w:cs="Times New Roman"/>
                <w:sz w:val="20"/>
              </w:rPr>
              <w:t xml:space="preserve"> and other advocacy materials.</w:t>
            </w:r>
          </w:p>
        </w:tc>
        <w:tc>
          <w:tcPr>
            <w:tcW w:w="4228" w:type="dxa"/>
            <w:shd w:val="clear" w:color="auto" w:fill="auto"/>
          </w:tcPr>
          <w:p w14:paraId="3A0B909C" w14:textId="77777777" w:rsidR="00110399" w:rsidRPr="00110399" w:rsidRDefault="00110399" w:rsidP="00110399">
            <w:p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lastRenderedPageBreak/>
              <w:t>The secretariat has:</w:t>
            </w:r>
          </w:p>
          <w:p w14:paraId="68B77B00" w14:textId="77777777" w:rsidR="00110399" w:rsidRPr="00110399" w:rsidRDefault="00110399" w:rsidP="00110399">
            <w:pPr>
              <w:numPr>
                <w:ilvl w:val="0"/>
                <w:numId w:val="26"/>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 xml:space="preserve">Liaised with focal points and partners on a daily </w:t>
            </w:r>
            <w:proofErr w:type="gramStart"/>
            <w:r w:rsidRPr="00110399">
              <w:rPr>
                <w:rFonts w:ascii="Times New Roman" w:hAnsi="Times New Roman" w:cs="Times New Roman"/>
                <w:sz w:val="20"/>
                <w:lang w:val="en-US"/>
              </w:rPr>
              <w:t>basis;</w:t>
            </w:r>
            <w:proofErr w:type="gramEnd"/>
          </w:p>
          <w:p w14:paraId="61F69008" w14:textId="77777777" w:rsidR="00110399" w:rsidRPr="00110399" w:rsidRDefault="00110399" w:rsidP="00110399">
            <w:pPr>
              <w:numPr>
                <w:ilvl w:val="0"/>
                <w:numId w:val="26"/>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 xml:space="preserve">Coordinated the workplan implementation within relevant ECE and other UN entities and legal instruments, as regards procedural, financial, legal and substantive issues: with all UNECE MEA secretariats and OLA; the regional seas cooperation: with the secretariats of six regional seas conventions/commissions (Arctic Council’s PAME; Barcelona Convention, Black Sea Commission, HELCOM, OSPAR Convention and Tehran Convention) and of the UNECE Aarhus, Air,  Industrial Accidents and Water Conventions;  the seminar on sustainable infrastructure: with EIB, IAIA, OSCE, UNEP, WHO, </w:t>
            </w:r>
            <w:proofErr w:type="spellStart"/>
            <w:r w:rsidRPr="00110399">
              <w:rPr>
                <w:rFonts w:ascii="Times New Roman" w:hAnsi="Times New Roman" w:cs="Times New Roman"/>
                <w:sz w:val="20"/>
                <w:lang w:val="en-US"/>
              </w:rPr>
              <w:t>Zoi</w:t>
            </w:r>
            <w:proofErr w:type="spellEnd"/>
            <w:r w:rsidRPr="00110399">
              <w:rPr>
                <w:rFonts w:ascii="Times New Roman" w:hAnsi="Times New Roman" w:cs="Times New Roman"/>
                <w:sz w:val="20"/>
                <w:lang w:val="en-US"/>
              </w:rPr>
              <w:t xml:space="preserve"> Environment Network; the draft guidance on health: with EIB and WHO; capacity building and awareness raising activities in Central Asia: with OSCE; and in Eastern Europe and the Caucasus: the EU, </w:t>
            </w:r>
            <w:r w:rsidRPr="00110399">
              <w:rPr>
                <w:rFonts w:ascii="Times New Roman" w:hAnsi="Times New Roman" w:cs="Times New Roman"/>
                <w:sz w:val="20"/>
                <w:lang w:val="en-US"/>
              </w:rPr>
              <w:lastRenderedPageBreak/>
              <w:t>OECD, UNDP, UNEP, UNIDO. Coordinated and provided inputs to the 9</w:t>
            </w:r>
            <w:r w:rsidRPr="00110399">
              <w:rPr>
                <w:rFonts w:ascii="Times New Roman" w:hAnsi="Times New Roman" w:cs="Times New Roman"/>
                <w:sz w:val="20"/>
                <w:vertAlign w:val="superscript"/>
                <w:lang w:val="en-US"/>
              </w:rPr>
              <w:t>th</w:t>
            </w:r>
            <w:r w:rsidRPr="00110399">
              <w:rPr>
                <w:rFonts w:ascii="Times New Roman" w:hAnsi="Times New Roman" w:cs="Times New Roman"/>
                <w:sz w:val="20"/>
                <w:lang w:val="en-US"/>
              </w:rPr>
              <w:t xml:space="preserve"> Environment for Europe Ministerial Conference (Nicosia, 5–7 October 2022). </w:t>
            </w:r>
          </w:p>
          <w:p w14:paraId="4B00655D" w14:textId="445CACDA" w:rsidR="00110399" w:rsidRPr="00110399" w:rsidRDefault="00110399" w:rsidP="00110399">
            <w:pPr>
              <w:numPr>
                <w:ilvl w:val="0"/>
                <w:numId w:val="26"/>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 xml:space="preserve">Maintained the official and </w:t>
            </w:r>
            <w:r>
              <w:rPr>
                <w:rFonts w:ascii="Times New Roman" w:hAnsi="Times New Roman" w:cs="Times New Roman"/>
                <w:sz w:val="20"/>
                <w:lang w:val="en-US"/>
              </w:rPr>
              <w:t>password-protected</w:t>
            </w:r>
            <w:r w:rsidRPr="00110399">
              <w:rPr>
                <w:rFonts w:ascii="Times New Roman" w:hAnsi="Times New Roman" w:cs="Times New Roman"/>
                <w:sz w:val="20"/>
                <w:lang w:val="en-US"/>
              </w:rPr>
              <w:t xml:space="preserve"> websites, updating the online databases of focal points and points of contact and meeting </w:t>
            </w:r>
            <w:proofErr w:type="gramStart"/>
            <w:r w:rsidRPr="00110399">
              <w:rPr>
                <w:rFonts w:ascii="Times New Roman" w:hAnsi="Times New Roman" w:cs="Times New Roman"/>
                <w:sz w:val="20"/>
                <w:lang w:val="en-US"/>
              </w:rPr>
              <w:t>calendars;</w:t>
            </w:r>
            <w:proofErr w:type="gramEnd"/>
            <w:r w:rsidRPr="00110399">
              <w:rPr>
                <w:rFonts w:ascii="Times New Roman" w:hAnsi="Times New Roman" w:cs="Times New Roman"/>
                <w:sz w:val="20"/>
                <w:lang w:val="en-US"/>
              </w:rPr>
              <w:t xml:space="preserve"> </w:t>
            </w:r>
          </w:p>
          <w:p w14:paraId="693D6E2F" w14:textId="77777777" w:rsidR="00110399" w:rsidRPr="00110399" w:rsidRDefault="00110399" w:rsidP="00B35DBE">
            <w:pPr>
              <w:numPr>
                <w:ilvl w:val="0"/>
                <w:numId w:val="27"/>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On a weekly basis, briefed the senior managers (</w:t>
            </w:r>
            <w:proofErr w:type="gramStart"/>
            <w:r w:rsidRPr="00110399">
              <w:rPr>
                <w:rFonts w:ascii="Times New Roman" w:hAnsi="Times New Roman" w:cs="Times New Roman"/>
                <w:sz w:val="20"/>
                <w:lang w:val="en-US"/>
              </w:rPr>
              <w:t>e.g.</w:t>
            </w:r>
            <w:proofErr w:type="gramEnd"/>
            <w:r w:rsidRPr="00110399">
              <w:rPr>
                <w:rFonts w:ascii="Times New Roman" w:hAnsi="Times New Roman" w:cs="Times New Roman"/>
                <w:sz w:val="20"/>
                <w:lang w:val="en-US"/>
              </w:rPr>
              <w:t xml:space="preserve"> briefing notes and speaking points in advance of multilateral and bilateral meetings).</w:t>
            </w:r>
          </w:p>
          <w:p w14:paraId="74B8F343" w14:textId="210D4527" w:rsidR="00110399" w:rsidRPr="00110399" w:rsidRDefault="00110399" w:rsidP="00B35DBE">
            <w:pPr>
              <w:numPr>
                <w:ilvl w:val="0"/>
                <w:numId w:val="27"/>
              </w:numPr>
              <w:spacing w:before="40" w:after="120" w:line="240" w:lineRule="atLeast"/>
              <w:ind w:right="113"/>
              <w:rPr>
                <w:rFonts w:ascii="Times New Roman" w:hAnsi="Times New Roman" w:cs="Times New Roman"/>
                <w:sz w:val="20"/>
                <w:lang w:val="en-US"/>
              </w:rPr>
            </w:pPr>
            <w:r>
              <w:rPr>
                <w:rFonts w:ascii="Times New Roman" w:hAnsi="Times New Roman" w:cs="Times New Roman"/>
                <w:sz w:val="20"/>
                <w:lang w:val="en-US"/>
              </w:rPr>
              <w:t>Press releases</w:t>
            </w:r>
            <w:r w:rsidRPr="00110399">
              <w:rPr>
                <w:rFonts w:ascii="Times New Roman" w:hAnsi="Times New Roman" w:cs="Times New Roman"/>
                <w:sz w:val="20"/>
                <w:lang w:val="en-US"/>
              </w:rPr>
              <w:t xml:space="preserve"> prepared for EU4Environment funded activities; and on cooperation in marine regions.</w:t>
            </w:r>
          </w:p>
        </w:tc>
      </w:tr>
      <w:tr w:rsidR="00110399" w:rsidRPr="00110399" w14:paraId="660DE26B" w14:textId="77777777" w:rsidTr="002C369B">
        <w:tc>
          <w:tcPr>
            <w:tcW w:w="8504" w:type="dxa"/>
            <w:gridSpan w:val="2"/>
            <w:shd w:val="clear" w:color="auto" w:fill="auto"/>
          </w:tcPr>
          <w:p w14:paraId="5A919F24" w14:textId="77777777" w:rsidR="00110399" w:rsidRPr="00110399" w:rsidRDefault="00110399" w:rsidP="00110399">
            <w:pPr>
              <w:spacing w:before="40" w:after="120" w:line="240" w:lineRule="atLeast"/>
              <w:ind w:right="113"/>
              <w:rPr>
                <w:rFonts w:ascii="Times New Roman" w:hAnsi="Times New Roman" w:cs="Times New Roman"/>
                <w:b/>
                <w:bCs/>
                <w:sz w:val="20"/>
              </w:rPr>
            </w:pPr>
            <w:r w:rsidRPr="00110399">
              <w:rPr>
                <w:rFonts w:ascii="Times New Roman" w:hAnsi="Times New Roman" w:cs="Times New Roman"/>
                <w:b/>
                <w:bCs/>
                <w:sz w:val="20"/>
              </w:rPr>
              <w:lastRenderedPageBreak/>
              <w:t>C.</w:t>
            </w:r>
            <w:r w:rsidRPr="00110399">
              <w:rPr>
                <w:rFonts w:ascii="Times New Roman" w:hAnsi="Times New Roman" w:cs="Times New Roman"/>
                <w:b/>
                <w:bCs/>
                <w:sz w:val="20"/>
              </w:rPr>
              <w:tab/>
              <w:t>General programme management</w:t>
            </w:r>
          </w:p>
          <w:p w14:paraId="1F93040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i/>
                <w:iCs/>
                <w:sz w:val="20"/>
                <w:lang w:eastAsia="en-US"/>
              </w:rPr>
              <w:t>Entity(</w:t>
            </w:r>
            <w:proofErr w:type="spellStart"/>
            <w:r w:rsidRPr="00110399">
              <w:rPr>
                <w:rFonts w:ascii="Times New Roman" w:hAnsi="Times New Roman" w:cs="Times New Roman"/>
                <w:i/>
                <w:iCs/>
                <w:sz w:val="20"/>
                <w:lang w:eastAsia="en-US"/>
              </w:rPr>
              <w:t>ies</w:t>
            </w:r>
            <w:proofErr w:type="spellEnd"/>
            <w:r w:rsidRPr="00110399">
              <w:rPr>
                <w:rFonts w:ascii="Times New Roman" w:hAnsi="Times New Roman" w:cs="Times New Roman"/>
                <w:i/>
                <w:iCs/>
                <w:sz w:val="20"/>
                <w:lang w:eastAsia="en-US"/>
              </w:rPr>
              <w:t xml:space="preserve">) responsible: </w:t>
            </w:r>
            <w:r w:rsidRPr="00110399">
              <w:rPr>
                <w:rFonts w:ascii="Times New Roman" w:hAnsi="Times New Roman" w:cs="Times New Roman"/>
                <w:sz w:val="20"/>
                <w:lang w:eastAsia="en-US"/>
              </w:rPr>
              <w:t>The secretariat</w:t>
            </w:r>
          </w:p>
        </w:tc>
      </w:tr>
      <w:tr w:rsidR="00B35DBE" w:rsidRPr="00110399" w14:paraId="183EB03A" w14:textId="77777777" w:rsidTr="002C369B">
        <w:trPr>
          <w:trHeight w:val="63"/>
        </w:trPr>
        <w:tc>
          <w:tcPr>
            <w:tcW w:w="4276" w:type="dxa"/>
            <w:shd w:val="clear" w:color="auto" w:fill="auto"/>
          </w:tcPr>
          <w:p w14:paraId="3DB42253"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(a)</w:t>
            </w:r>
            <w:r w:rsidRPr="00110399">
              <w:rPr>
                <w:rFonts w:ascii="Times New Roman" w:hAnsi="Times New Roman" w:cs="Times New Roman"/>
                <w:sz w:val="20"/>
              </w:rPr>
              <w:tab/>
              <w:t xml:space="preserve">Prepare payment requests for donors’ contributions to the trust </w:t>
            </w:r>
            <w:proofErr w:type="gramStart"/>
            <w:r w:rsidRPr="00110399">
              <w:rPr>
                <w:rFonts w:ascii="Times New Roman" w:hAnsi="Times New Roman" w:cs="Times New Roman"/>
                <w:sz w:val="20"/>
              </w:rPr>
              <w:t>fund;</w:t>
            </w:r>
            <w:proofErr w:type="gramEnd"/>
          </w:p>
          <w:p w14:paraId="4295A2DE"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(b)</w:t>
            </w:r>
            <w:r w:rsidRPr="00110399">
              <w:rPr>
                <w:rFonts w:ascii="Times New Roman" w:hAnsi="Times New Roman" w:cs="Times New Roman"/>
                <w:sz w:val="20"/>
              </w:rPr>
              <w:tab/>
              <w:t xml:space="preserve">Prepare and submit for the Bureau’s agreement annual financial reports, prior to publishing them on the </w:t>
            </w:r>
            <w:proofErr w:type="gramStart"/>
            <w:r w:rsidRPr="00110399">
              <w:rPr>
                <w:rFonts w:ascii="Times New Roman" w:hAnsi="Times New Roman" w:cs="Times New Roman"/>
                <w:sz w:val="20"/>
              </w:rPr>
              <w:t>website;</w:t>
            </w:r>
            <w:proofErr w:type="gramEnd"/>
            <w:r w:rsidRPr="00110399">
              <w:rPr>
                <w:rFonts w:ascii="Times New Roman" w:hAnsi="Times New Roman" w:cs="Times New Roman"/>
                <w:sz w:val="20"/>
              </w:rPr>
              <w:t xml:space="preserve"> </w:t>
            </w:r>
          </w:p>
          <w:p w14:paraId="0195FAE4"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(c)</w:t>
            </w:r>
            <w:r w:rsidRPr="00110399">
              <w:rPr>
                <w:rFonts w:ascii="Times New Roman" w:hAnsi="Times New Roman" w:cs="Times New Roman"/>
                <w:sz w:val="20"/>
              </w:rPr>
              <w:tab/>
              <w:t xml:space="preserve">If requested, and on an exceptional basis, prepare separate financial reports to individual </w:t>
            </w:r>
            <w:proofErr w:type="gramStart"/>
            <w:r w:rsidRPr="00110399">
              <w:rPr>
                <w:rFonts w:ascii="Times New Roman" w:hAnsi="Times New Roman" w:cs="Times New Roman"/>
                <w:sz w:val="20"/>
              </w:rPr>
              <w:t>donors;</w:t>
            </w:r>
            <w:proofErr w:type="gramEnd"/>
          </w:p>
          <w:p w14:paraId="71C6A0F1"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(d)</w:t>
            </w:r>
            <w:r w:rsidRPr="00110399">
              <w:rPr>
                <w:rFonts w:ascii="Times New Roman" w:hAnsi="Times New Roman" w:cs="Times New Roman"/>
                <w:sz w:val="20"/>
              </w:rPr>
              <w:tab/>
              <w:t xml:space="preserve">Support the Bureau in preparing a proposal on how to better reflect the in-kind contributions and their monetary value in the financial scheme/as part of the resource requirements of the workplan under the Convention and the Protocol for consideration of the Meetings of the Parties in </w:t>
            </w:r>
            <w:proofErr w:type="gramStart"/>
            <w:r w:rsidRPr="00110399">
              <w:rPr>
                <w:rFonts w:ascii="Times New Roman" w:hAnsi="Times New Roman" w:cs="Times New Roman"/>
                <w:sz w:val="20"/>
              </w:rPr>
              <w:t>2023;</w:t>
            </w:r>
            <w:proofErr w:type="gramEnd"/>
          </w:p>
          <w:p w14:paraId="6C192C85"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(e)</w:t>
            </w:r>
            <w:r w:rsidRPr="00110399">
              <w:rPr>
                <w:rFonts w:ascii="Times New Roman" w:hAnsi="Times New Roman" w:cs="Times New Roman"/>
                <w:sz w:val="20"/>
              </w:rPr>
              <w:tab/>
              <w:t xml:space="preserve">Prepare annual and longer-term cost-plans and forecast meetings, documents and publications for processing by the United Nations administration and relevant </w:t>
            </w:r>
            <w:proofErr w:type="gramStart"/>
            <w:r w:rsidRPr="00110399">
              <w:rPr>
                <w:rFonts w:ascii="Times New Roman" w:hAnsi="Times New Roman" w:cs="Times New Roman"/>
                <w:sz w:val="20"/>
              </w:rPr>
              <w:t>services;</w:t>
            </w:r>
            <w:proofErr w:type="gramEnd"/>
          </w:p>
          <w:p w14:paraId="1CCDD025"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(f)</w:t>
            </w:r>
            <w:r w:rsidRPr="00110399">
              <w:rPr>
                <w:rFonts w:ascii="Times New Roman" w:hAnsi="Times New Roman" w:cs="Times New Roman"/>
                <w:sz w:val="20"/>
              </w:rPr>
              <w:tab/>
              <w:t xml:space="preserve">Report on substantive and administrative </w:t>
            </w:r>
            <w:proofErr w:type="gramStart"/>
            <w:r w:rsidRPr="00110399">
              <w:rPr>
                <w:rFonts w:ascii="Times New Roman" w:hAnsi="Times New Roman" w:cs="Times New Roman"/>
                <w:sz w:val="20"/>
              </w:rPr>
              <w:t>issues;</w:t>
            </w:r>
            <w:proofErr w:type="gramEnd"/>
          </w:p>
          <w:p w14:paraId="1EB6EF97" w14:textId="77777777" w:rsidR="00110399" w:rsidRPr="00110399" w:rsidRDefault="00110399" w:rsidP="00110399">
            <w:pPr>
              <w:spacing w:before="40" w:after="120" w:line="240" w:lineRule="atLeast"/>
              <w:ind w:right="113"/>
              <w:rPr>
                <w:rFonts w:ascii="Times New Roman" w:hAnsi="Times New Roman" w:cs="Times New Roman"/>
                <w:sz w:val="20"/>
              </w:rPr>
            </w:pPr>
            <w:r w:rsidRPr="00110399">
              <w:rPr>
                <w:rFonts w:ascii="Times New Roman" w:hAnsi="Times New Roman" w:cs="Times New Roman"/>
                <w:sz w:val="20"/>
              </w:rPr>
              <w:t>(g)</w:t>
            </w:r>
            <w:r w:rsidRPr="00110399">
              <w:rPr>
                <w:rFonts w:ascii="Times New Roman" w:hAnsi="Times New Roman" w:cs="Times New Roman"/>
                <w:sz w:val="20"/>
              </w:rPr>
              <w:tab/>
              <w:t>Recruit/contract and manage secretariat staff and consultants.</w:t>
            </w:r>
          </w:p>
        </w:tc>
        <w:tc>
          <w:tcPr>
            <w:tcW w:w="4228" w:type="dxa"/>
            <w:shd w:val="clear" w:color="auto" w:fill="auto"/>
          </w:tcPr>
          <w:p w14:paraId="6B1226A8" w14:textId="77777777" w:rsidR="00110399" w:rsidRPr="00110399" w:rsidRDefault="00110399" w:rsidP="00110399">
            <w:p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The secretariat has:</w:t>
            </w:r>
          </w:p>
          <w:p w14:paraId="3261DAB7" w14:textId="7777777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Finalized the financial report for 2017-2020 for the Bureau’s approval at its meeting in June 2021.</w:t>
            </w:r>
          </w:p>
          <w:p w14:paraId="6F1076AB" w14:textId="7777777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payment requests on a weekly basis</w:t>
            </w:r>
          </w:p>
          <w:p w14:paraId="65A5764E" w14:textId="7777777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Sent out reminders to Parties on missing contributions.</w:t>
            </w:r>
          </w:p>
          <w:p w14:paraId="17B875AA" w14:textId="5D5D2967" w:rsidR="00110399" w:rsidRPr="00110399" w:rsidRDefault="00110399" w:rsidP="00B35DBE">
            <w:pPr>
              <w:numPr>
                <w:ilvl w:val="0"/>
                <w:numId w:val="28"/>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the annual financial report</w:t>
            </w:r>
            <w:r w:rsidR="00374EDB">
              <w:rPr>
                <w:rFonts w:ascii="Times New Roman" w:hAnsi="Times New Roman" w:cs="Times New Roman"/>
                <w:sz w:val="20"/>
                <w:lang w:val="en-US"/>
              </w:rPr>
              <w:t>s</w:t>
            </w:r>
            <w:r w:rsidRPr="00110399">
              <w:rPr>
                <w:rFonts w:ascii="Times New Roman" w:hAnsi="Times New Roman" w:cs="Times New Roman"/>
                <w:sz w:val="20"/>
                <w:lang w:val="en-US"/>
              </w:rPr>
              <w:t xml:space="preserve"> for 2021</w:t>
            </w:r>
            <w:r w:rsidR="00374EDB">
              <w:rPr>
                <w:rFonts w:ascii="Times New Roman" w:hAnsi="Times New Roman" w:cs="Times New Roman"/>
                <w:sz w:val="20"/>
                <w:lang w:val="en-US"/>
              </w:rPr>
              <w:t xml:space="preserve"> and 2022</w:t>
            </w:r>
            <w:r w:rsidR="008560D9">
              <w:rPr>
                <w:rFonts w:ascii="Times New Roman" w:hAnsi="Times New Roman" w:cs="Times New Roman"/>
                <w:sz w:val="20"/>
                <w:lang w:val="en-US"/>
              </w:rPr>
              <w:t>.</w:t>
            </w:r>
          </w:p>
          <w:p w14:paraId="1A86C0BE"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Reported on the use of the Norwegian grant in 2018–2020.</w:t>
            </w:r>
          </w:p>
          <w:p w14:paraId="3E9D0587" w14:textId="5CF3BB0A"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 xml:space="preserve">Prepared an informal document for the Bureau’s meeting in June 2021 on the consideration of in-kind contributions, revised it </w:t>
            </w:r>
            <w:proofErr w:type="gramStart"/>
            <w:r w:rsidRPr="00110399">
              <w:rPr>
                <w:rFonts w:ascii="Times New Roman" w:hAnsi="Times New Roman" w:cs="Times New Roman"/>
                <w:sz w:val="20"/>
                <w:lang w:val="en-US"/>
              </w:rPr>
              <w:t>taking into account</w:t>
            </w:r>
            <w:proofErr w:type="gramEnd"/>
            <w:r w:rsidRPr="00110399">
              <w:rPr>
                <w:rFonts w:ascii="Times New Roman" w:hAnsi="Times New Roman" w:cs="Times New Roman"/>
                <w:sz w:val="20"/>
                <w:lang w:val="en-US"/>
              </w:rPr>
              <w:t xml:space="preserve"> Bureau’s comments in 2021 and 2022</w:t>
            </w:r>
            <w:r w:rsidR="001A40A4">
              <w:rPr>
                <w:rFonts w:ascii="Times New Roman" w:hAnsi="Times New Roman" w:cs="Times New Roman"/>
                <w:sz w:val="20"/>
                <w:lang w:val="en-US"/>
              </w:rPr>
              <w:t xml:space="preserve">; </w:t>
            </w:r>
            <w:r w:rsidR="00EC512F">
              <w:rPr>
                <w:rFonts w:ascii="Times New Roman" w:hAnsi="Times New Roman" w:cs="Times New Roman"/>
                <w:sz w:val="20"/>
                <w:lang w:val="en-US"/>
              </w:rPr>
              <w:t xml:space="preserve">proposed how to reflect them in </w:t>
            </w:r>
            <w:r w:rsidR="007D13EF">
              <w:rPr>
                <w:rFonts w:ascii="Times New Roman" w:hAnsi="Times New Roman" w:cs="Times New Roman"/>
                <w:sz w:val="20"/>
                <w:lang w:val="en-US"/>
              </w:rPr>
              <w:t>the MOP decisions</w:t>
            </w:r>
            <w:r w:rsidR="000D1130">
              <w:rPr>
                <w:rFonts w:ascii="Times New Roman" w:hAnsi="Times New Roman" w:cs="Times New Roman"/>
                <w:sz w:val="20"/>
                <w:lang w:val="en-US"/>
              </w:rPr>
              <w:t xml:space="preserve"> on financial arrangements and the workplan for 2024–</w:t>
            </w:r>
            <w:r w:rsidR="00E32D7B">
              <w:rPr>
                <w:rFonts w:ascii="Times New Roman" w:hAnsi="Times New Roman" w:cs="Times New Roman"/>
                <w:sz w:val="20"/>
                <w:lang w:val="en-US"/>
              </w:rPr>
              <w:t>26</w:t>
            </w:r>
          </w:p>
          <w:p w14:paraId="28E9D0FB"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 xml:space="preserve">Forecasted meetings and documents for 2021, 2022 and (first half of) </w:t>
            </w:r>
            <w:proofErr w:type="gramStart"/>
            <w:r w:rsidRPr="00110399">
              <w:rPr>
                <w:rFonts w:ascii="Times New Roman" w:hAnsi="Times New Roman" w:cs="Times New Roman"/>
                <w:sz w:val="20"/>
                <w:lang w:val="en-US"/>
              </w:rPr>
              <w:t>2023;</w:t>
            </w:r>
            <w:proofErr w:type="gramEnd"/>
          </w:p>
          <w:p w14:paraId="2D02E4DB"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Prepared annual cost-plans for 2021, 2022 and 2023</w:t>
            </w:r>
          </w:p>
          <w:p w14:paraId="63127DD3"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Responded to weekly administrative and substantive reporting requests within ECE</w:t>
            </w:r>
          </w:p>
          <w:p w14:paraId="5771E071" w14:textId="353A5988"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Contracted numerous consultants to support workplan activities (for capacity building activities in Eastern Europe, the Caucasus and  Central Asia; the regional seas cooperation, review</w:t>
            </w:r>
            <w:r w:rsidR="008D19DF">
              <w:rPr>
                <w:rFonts w:ascii="Times New Roman" w:hAnsi="Times New Roman" w:cs="Times New Roman"/>
                <w:sz w:val="20"/>
                <w:lang w:val="en-US"/>
              </w:rPr>
              <w:t>s</w:t>
            </w:r>
            <w:r w:rsidRPr="00110399">
              <w:rPr>
                <w:rFonts w:ascii="Times New Roman" w:hAnsi="Times New Roman" w:cs="Times New Roman"/>
                <w:sz w:val="20"/>
                <w:lang w:val="en-US"/>
              </w:rPr>
              <w:t xml:space="preserve"> of implementation</w:t>
            </w:r>
            <w:r w:rsidR="008D19DF">
              <w:rPr>
                <w:rFonts w:ascii="Times New Roman" w:hAnsi="Times New Roman" w:cs="Times New Roman"/>
                <w:sz w:val="20"/>
                <w:lang w:val="en-US"/>
              </w:rPr>
              <w:t>; high-level event and its background document</w:t>
            </w:r>
            <w:r w:rsidRPr="00110399">
              <w:rPr>
                <w:rFonts w:ascii="Times New Roman" w:hAnsi="Times New Roman" w:cs="Times New Roman"/>
                <w:sz w:val="20"/>
                <w:lang w:val="en-US"/>
              </w:rPr>
              <w:t xml:space="preserve">), and the MOP </w:t>
            </w:r>
            <w:proofErr w:type="gramStart"/>
            <w:r w:rsidRPr="00110399">
              <w:rPr>
                <w:rFonts w:ascii="Times New Roman" w:hAnsi="Times New Roman" w:cs="Times New Roman"/>
                <w:sz w:val="20"/>
                <w:lang w:val="en-US"/>
              </w:rPr>
              <w:t>preparations;</w:t>
            </w:r>
            <w:proofErr w:type="gramEnd"/>
            <w:r w:rsidRPr="00110399">
              <w:rPr>
                <w:rFonts w:ascii="Times New Roman" w:hAnsi="Times New Roman" w:cs="Times New Roman"/>
                <w:sz w:val="20"/>
                <w:lang w:val="en-US"/>
              </w:rPr>
              <w:t xml:space="preserve"> </w:t>
            </w:r>
          </w:p>
          <w:p w14:paraId="46BC3241" w14:textId="77777777" w:rsidR="00110399" w:rsidRPr="00110399" w:rsidRDefault="00110399" w:rsidP="00B35DBE">
            <w:pPr>
              <w:numPr>
                <w:ilvl w:val="0"/>
                <w:numId w:val="29"/>
              </w:numPr>
              <w:spacing w:before="40" w:after="120" w:line="240" w:lineRule="atLeast"/>
              <w:ind w:right="113"/>
              <w:rPr>
                <w:rFonts w:ascii="Times New Roman" w:hAnsi="Times New Roman" w:cs="Times New Roman"/>
                <w:sz w:val="20"/>
                <w:lang w:val="en-US"/>
              </w:rPr>
            </w:pPr>
            <w:r w:rsidRPr="00110399">
              <w:rPr>
                <w:rFonts w:ascii="Times New Roman" w:hAnsi="Times New Roman" w:cs="Times New Roman"/>
                <w:sz w:val="20"/>
                <w:lang w:val="en-US"/>
              </w:rPr>
              <w:t xml:space="preserve">Managed the secretariat staff </w:t>
            </w:r>
          </w:p>
          <w:p w14:paraId="3CE0D456" w14:textId="77777777" w:rsidR="00110399" w:rsidRPr="00110399" w:rsidRDefault="00110399" w:rsidP="00110399">
            <w:pPr>
              <w:spacing w:before="40" w:after="120" w:line="240" w:lineRule="atLeast"/>
              <w:ind w:right="113"/>
              <w:rPr>
                <w:rFonts w:ascii="Times New Roman" w:hAnsi="Times New Roman" w:cs="Times New Roman"/>
                <w:sz w:val="20"/>
                <w:lang w:val="en-US"/>
              </w:rPr>
            </w:pPr>
          </w:p>
        </w:tc>
      </w:tr>
    </w:tbl>
    <w:p w14:paraId="63756FC9" w14:textId="37C3D308" w:rsidR="00110399" w:rsidRDefault="00B35DBE" w:rsidP="00B35DBE">
      <w:pPr>
        <w:pStyle w:val="HChG"/>
      </w:pPr>
      <w:r>
        <w:lastRenderedPageBreak/>
        <w:tab/>
      </w:r>
      <w:r w:rsidRPr="00B35DBE">
        <w:t>II.</w:t>
      </w:r>
      <w:r w:rsidRPr="00B35DBE">
        <w:tab/>
        <w:t>Compliance with and implementation of the Convention and the Protocol</w:t>
      </w:r>
    </w:p>
    <w:tbl>
      <w:tblPr>
        <w:tblStyle w:val="TableGrid2"/>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86"/>
        <w:gridCol w:w="5851"/>
      </w:tblGrid>
      <w:tr w:rsidR="00B35DBE" w:rsidRPr="00B35DBE" w14:paraId="4D96E660" w14:textId="77777777" w:rsidTr="2A3FC294">
        <w:trPr>
          <w:tblHeader/>
        </w:trPr>
        <w:tc>
          <w:tcPr>
            <w:tcW w:w="3341" w:type="dxa"/>
            <w:tcBorders>
              <w:top w:val="single" w:sz="4" w:space="0" w:color="auto"/>
              <w:bottom w:val="single" w:sz="12" w:space="0" w:color="auto"/>
            </w:tcBorders>
            <w:shd w:val="clear" w:color="auto" w:fill="auto"/>
            <w:vAlign w:val="bottom"/>
          </w:tcPr>
          <w:p w14:paraId="5EDD5DFC" w14:textId="77777777" w:rsidR="00B35DBE" w:rsidRPr="00B35DBE" w:rsidRDefault="00B35DBE" w:rsidP="00B35DBE">
            <w:pPr>
              <w:spacing w:before="80" w:after="80" w:line="200" w:lineRule="exact"/>
              <w:ind w:right="113"/>
              <w:rPr>
                <w:rFonts w:ascii="Times New Roman" w:hAnsi="Times New Roman" w:cs="Times New Roman"/>
                <w:i/>
                <w:sz w:val="16"/>
              </w:rPr>
            </w:pPr>
            <w:bookmarkStart w:id="2" w:name="_Hlk22918633"/>
            <w:r w:rsidRPr="00B35DBE">
              <w:rPr>
                <w:rFonts w:ascii="Times New Roman" w:hAnsi="Times New Roman" w:cs="Times New Roman"/>
                <w:i/>
                <w:sz w:val="16"/>
              </w:rPr>
              <w:t xml:space="preserve">Activities </w:t>
            </w:r>
          </w:p>
        </w:tc>
        <w:tc>
          <w:tcPr>
            <w:tcW w:w="5163" w:type="dxa"/>
            <w:tcBorders>
              <w:top w:val="single" w:sz="4" w:space="0" w:color="auto"/>
              <w:bottom w:val="single" w:sz="12" w:space="0" w:color="auto"/>
            </w:tcBorders>
            <w:shd w:val="clear" w:color="auto" w:fill="auto"/>
            <w:vAlign w:val="bottom"/>
          </w:tcPr>
          <w:p w14:paraId="6D6B6F3A" w14:textId="77777777" w:rsidR="00B35DBE" w:rsidRPr="00B35DBE" w:rsidRDefault="00B35DBE" w:rsidP="00B35DBE">
            <w:pPr>
              <w:spacing w:before="80" w:after="80" w:line="200" w:lineRule="exact"/>
              <w:ind w:right="113"/>
              <w:rPr>
                <w:rFonts w:ascii="Times New Roman" w:hAnsi="Times New Roman" w:cs="Times New Roman"/>
                <w:i/>
                <w:sz w:val="16"/>
              </w:rPr>
            </w:pPr>
            <w:r w:rsidRPr="00B35DBE">
              <w:rPr>
                <w:rFonts w:ascii="Times New Roman" w:hAnsi="Times New Roman" w:cs="Times New Roman"/>
                <w:i/>
                <w:sz w:val="16"/>
              </w:rPr>
              <w:t xml:space="preserve">Implementation status </w:t>
            </w:r>
          </w:p>
        </w:tc>
      </w:tr>
      <w:tr w:rsidR="00B35DBE" w:rsidRPr="00B35DBE" w14:paraId="7CDF2A27" w14:textId="77777777" w:rsidTr="2A3FC294">
        <w:trPr>
          <w:trHeight w:hRule="exact" w:val="113"/>
        </w:trPr>
        <w:tc>
          <w:tcPr>
            <w:tcW w:w="3341" w:type="dxa"/>
            <w:tcBorders>
              <w:top w:val="single" w:sz="12" w:space="0" w:color="auto"/>
            </w:tcBorders>
            <w:shd w:val="clear" w:color="auto" w:fill="auto"/>
          </w:tcPr>
          <w:p w14:paraId="08FDAAB2" w14:textId="77777777" w:rsidR="00B35DBE" w:rsidRPr="00B35DBE" w:rsidRDefault="00B35DBE" w:rsidP="00B35DBE">
            <w:pPr>
              <w:spacing w:before="40" w:after="120" w:line="240" w:lineRule="atLeast"/>
              <w:ind w:right="113"/>
              <w:rPr>
                <w:rFonts w:ascii="Times New Roman" w:hAnsi="Times New Roman" w:cs="Times New Roman"/>
                <w:sz w:val="20"/>
              </w:rPr>
            </w:pPr>
          </w:p>
        </w:tc>
        <w:tc>
          <w:tcPr>
            <w:tcW w:w="5163" w:type="dxa"/>
            <w:tcBorders>
              <w:top w:val="single" w:sz="12" w:space="0" w:color="auto"/>
            </w:tcBorders>
            <w:shd w:val="clear" w:color="auto" w:fill="auto"/>
          </w:tcPr>
          <w:p w14:paraId="068A25F7" w14:textId="77777777" w:rsidR="00B35DBE" w:rsidRPr="00B35DBE" w:rsidRDefault="00B35DBE" w:rsidP="00B35DBE">
            <w:pPr>
              <w:spacing w:before="40" w:after="120" w:line="240" w:lineRule="atLeast"/>
              <w:ind w:right="113"/>
              <w:rPr>
                <w:rFonts w:ascii="Times New Roman" w:hAnsi="Times New Roman" w:cs="Times New Roman"/>
                <w:sz w:val="20"/>
              </w:rPr>
            </w:pPr>
          </w:p>
        </w:tc>
      </w:tr>
      <w:tr w:rsidR="00B35DBE" w:rsidRPr="00B35DBE" w14:paraId="226749B2" w14:textId="77777777" w:rsidTr="2A3FC294">
        <w:tc>
          <w:tcPr>
            <w:tcW w:w="8504" w:type="dxa"/>
            <w:gridSpan w:val="2"/>
            <w:shd w:val="clear" w:color="auto" w:fill="auto"/>
          </w:tcPr>
          <w:p w14:paraId="3110D6B4"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 Review of compliance</w:t>
            </w:r>
          </w:p>
          <w:p w14:paraId="6E098B75"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Entity(</w:t>
            </w:r>
            <w:proofErr w:type="spellStart"/>
            <w:r w:rsidRPr="00B35DBE">
              <w:rPr>
                <w:rFonts w:ascii="Times New Roman" w:hAnsi="Times New Roman" w:cs="Times New Roman"/>
                <w:i/>
                <w:iCs/>
                <w:sz w:val="20"/>
              </w:rPr>
              <w:t>ies</w:t>
            </w:r>
            <w:proofErr w:type="spellEnd"/>
            <w:r w:rsidRPr="00B35DBE">
              <w:rPr>
                <w:rFonts w:ascii="Times New Roman" w:hAnsi="Times New Roman" w:cs="Times New Roman"/>
                <w:i/>
                <w:iCs/>
                <w:sz w:val="20"/>
              </w:rPr>
              <w:t>) responsible:</w:t>
            </w:r>
            <w:r w:rsidRPr="00B35DBE">
              <w:rPr>
                <w:rFonts w:ascii="Times New Roman" w:hAnsi="Times New Roman" w:cs="Times New Roman"/>
                <w:sz w:val="20"/>
              </w:rPr>
              <w:t xml:space="preserve"> The Implementation Committee, supported by the secretariat.</w:t>
            </w:r>
          </w:p>
          <w:p w14:paraId="7F38000F"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Method of work:</w:t>
            </w:r>
            <w:r w:rsidRPr="00B35DBE">
              <w:rPr>
                <w:rFonts w:ascii="Times New Roman" w:hAnsi="Times New Roman" w:cs="Times New Roman"/>
                <w:sz w:val="20"/>
              </w:rPr>
              <w:t xml:space="preserve"> The Committee is to hold three annual (in total, nine) meetings in 2021–2023, and, in between, as needed, work via email, and hold virtual (for example, Webex) meetings or audio/videoconferences. </w:t>
            </w:r>
          </w:p>
        </w:tc>
      </w:tr>
      <w:tr w:rsidR="00B35DBE" w:rsidRPr="00B35DBE" w14:paraId="423CD47E" w14:textId="77777777" w:rsidTr="2A3FC294">
        <w:tc>
          <w:tcPr>
            <w:tcW w:w="3341" w:type="dxa"/>
            <w:shd w:val="clear" w:color="auto" w:fill="auto"/>
          </w:tcPr>
          <w:p w14:paraId="6F82EA15"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 xml:space="preserve">A.1. Consideration of compliance issues </w:t>
            </w:r>
          </w:p>
          <w:p w14:paraId="0C5B1F38" w14:textId="77777777" w:rsidR="00B35DBE" w:rsidRPr="00B35DBE" w:rsidRDefault="00B35DBE" w:rsidP="00B35DBE">
            <w:pPr>
              <w:spacing w:before="40" w:after="120" w:line="240" w:lineRule="atLeast"/>
              <w:ind w:right="113"/>
              <w:rPr>
                <w:rFonts w:ascii="Times New Roman" w:hAnsi="Times New Roman" w:cs="Times New Roman"/>
                <w:sz w:val="20"/>
              </w:rPr>
            </w:pPr>
          </w:p>
          <w:p w14:paraId="1EC956ED" w14:textId="77777777" w:rsidR="00B35DBE" w:rsidRPr="00B35DBE" w:rsidRDefault="00B35DBE" w:rsidP="00B35DBE">
            <w:pPr>
              <w:spacing w:before="40" w:after="120" w:line="240" w:lineRule="atLeast"/>
              <w:ind w:right="113"/>
              <w:rPr>
                <w:rFonts w:ascii="Times New Roman" w:hAnsi="Times New Roman" w:cs="Times New Roman"/>
                <w:sz w:val="20"/>
              </w:rPr>
            </w:pPr>
          </w:p>
        </w:tc>
        <w:tc>
          <w:tcPr>
            <w:tcW w:w="5163" w:type="dxa"/>
            <w:shd w:val="clear" w:color="auto" w:fill="auto"/>
          </w:tcPr>
          <w:p w14:paraId="46A5C728" w14:textId="03C9E0BF"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The Implementation Committee held </w:t>
            </w:r>
            <w:r w:rsidR="006B7A09">
              <w:rPr>
                <w:rFonts w:ascii="Times New Roman" w:hAnsi="Times New Roman" w:cs="Times New Roman"/>
                <w:sz w:val="20"/>
              </w:rPr>
              <w:t>eight</w:t>
            </w:r>
            <w:r w:rsidRPr="00B35DBE">
              <w:rPr>
                <w:rFonts w:ascii="Times New Roman" w:hAnsi="Times New Roman" w:cs="Times New Roman"/>
                <w:sz w:val="20"/>
              </w:rPr>
              <w:t xml:space="preserve"> sessions (see item I </w:t>
            </w:r>
            <w:proofErr w:type="gramStart"/>
            <w:r w:rsidRPr="00B35DBE">
              <w:rPr>
                <w:rFonts w:ascii="Times New Roman" w:hAnsi="Times New Roman" w:cs="Times New Roman"/>
                <w:sz w:val="20"/>
              </w:rPr>
              <w:t>A</w:t>
            </w:r>
            <w:proofErr w:type="gramEnd"/>
            <w:r w:rsidRPr="00B35DBE">
              <w:rPr>
                <w:rFonts w:ascii="Times New Roman" w:hAnsi="Times New Roman" w:cs="Times New Roman"/>
                <w:sz w:val="20"/>
              </w:rPr>
              <w:t xml:space="preserve"> above): Out of the </w:t>
            </w:r>
            <w:r w:rsidR="00A9789D">
              <w:rPr>
                <w:rFonts w:ascii="Times New Roman" w:hAnsi="Times New Roman" w:cs="Times New Roman"/>
                <w:sz w:val="20"/>
              </w:rPr>
              <w:t>50</w:t>
            </w:r>
            <w:r w:rsidRPr="00B35DBE">
              <w:rPr>
                <w:rFonts w:ascii="Times New Roman" w:hAnsi="Times New Roman" w:cs="Times New Roman"/>
                <w:sz w:val="20"/>
              </w:rPr>
              <w:t xml:space="preserve"> compliance </w:t>
            </w:r>
            <w:r w:rsidR="00DE3AB0" w:rsidRPr="00B35DBE">
              <w:rPr>
                <w:rFonts w:ascii="Times New Roman" w:hAnsi="Times New Roman" w:cs="Times New Roman"/>
                <w:sz w:val="20"/>
              </w:rPr>
              <w:t>issues considered</w:t>
            </w:r>
            <w:r w:rsidRPr="00B35DBE">
              <w:rPr>
                <w:rFonts w:ascii="Times New Roman" w:hAnsi="Times New Roman" w:cs="Times New Roman"/>
                <w:sz w:val="20"/>
              </w:rPr>
              <w:t xml:space="preserve"> thus far, the status is as follows:  </w:t>
            </w:r>
          </w:p>
          <w:p w14:paraId="60D632F4" w14:textId="72BFA466" w:rsidR="00B35DBE" w:rsidRPr="00B35DBE" w:rsidRDefault="00B35DBE" w:rsidP="00B35DBE">
            <w:pPr>
              <w:numPr>
                <w:ilvl w:val="0"/>
                <w:numId w:val="31"/>
              </w:num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Follow-up to 5 MOP decisions (regarding Armenia, Azerbaijan, Belarus and two decisions regarding Ukraine</w:t>
            </w:r>
            <w:proofErr w:type="gramStart"/>
            <w:r w:rsidRPr="00B35DBE">
              <w:rPr>
                <w:rFonts w:ascii="Times New Roman" w:hAnsi="Times New Roman" w:cs="Times New Roman"/>
                <w:sz w:val="20"/>
              </w:rPr>
              <w:t>);</w:t>
            </w:r>
            <w:proofErr w:type="gramEnd"/>
            <w:r w:rsidRPr="00B35DBE">
              <w:rPr>
                <w:rFonts w:ascii="Times New Roman" w:hAnsi="Times New Roman" w:cs="Times New Roman"/>
                <w:sz w:val="20"/>
              </w:rPr>
              <w:t xml:space="preserve"> </w:t>
            </w:r>
          </w:p>
          <w:p w14:paraId="146DAA49" w14:textId="16325093" w:rsidR="00B35DBE" w:rsidRPr="00B35DBE" w:rsidRDefault="001235CD" w:rsidP="00B35DBE">
            <w:pPr>
              <w:numPr>
                <w:ilvl w:val="0"/>
                <w:numId w:val="31"/>
              </w:numPr>
              <w:spacing w:before="40" w:after="120" w:line="240" w:lineRule="atLeast"/>
              <w:ind w:right="113"/>
              <w:rPr>
                <w:rFonts w:ascii="Times New Roman" w:hAnsi="Times New Roman" w:cs="Times New Roman"/>
                <w:sz w:val="20"/>
              </w:rPr>
            </w:pPr>
            <w:r>
              <w:rPr>
                <w:rFonts w:ascii="Times New Roman" w:hAnsi="Times New Roman" w:cs="Times New Roman"/>
                <w:sz w:val="20"/>
              </w:rPr>
              <w:t>4</w:t>
            </w:r>
            <w:r w:rsidR="00B35DBE" w:rsidRPr="00B35DBE">
              <w:rPr>
                <w:rFonts w:ascii="Times New Roman" w:hAnsi="Times New Roman" w:cs="Times New Roman"/>
                <w:sz w:val="20"/>
              </w:rPr>
              <w:t xml:space="preserve"> submissions: 1</w:t>
            </w:r>
            <w:r w:rsidR="00C35C5B">
              <w:rPr>
                <w:rFonts w:ascii="Times New Roman" w:hAnsi="Times New Roman" w:cs="Times New Roman"/>
                <w:sz w:val="20"/>
              </w:rPr>
              <w:t>.</w:t>
            </w:r>
            <w:r w:rsidR="00B35DBE" w:rsidRPr="00B35DBE">
              <w:rPr>
                <w:rFonts w:ascii="Times New Roman" w:hAnsi="Times New Roman" w:cs="Times New Roman"/>
                <w:sz w:val="20"/>
              </w:rPr>
              <w:t xml:space="preserve"> (mining activities, Serbia) finalized in July 2022 (see </w:t>
            </w:r>
            <w:hyperlink r:id="rId22" w:history="1">
              <w:r w:rsidR="00B35DBE" w:rsidRPr="00B35DBE">
                <w:rPr>
                  <w:rFonts w:ascii="Times New Roman" w:hAnsi="Times New Roman" w:cs="Times New Roman"/>
                  <w:sz w:val="20"/>
                  <w:u w:val="single"/>
                </w:rPr>
                <w:t>ECE/MP.EIA/IC/2022/8</w:t>
              </w:r>
            </w:hyperlink>
            <w:r w:rsidR="00B35DBE" w:rsidRPr="00B35DBE">
              <w:rPr>
                <w:rFonts w:ascii="Times New Roman" w:hAnsi="Times New Roman" w:cs="Times New Roman"/>
                <w:sz w:val="20"/>
              </w:rPr>
              <w:t>); 2</w:t>
            </w:r>
            <w:r w:rsidR="00C35C5B">
              <w:rPr>
                <w:rFonts w:ascii="Times New Roman" w:hAnsi="Times New Roman" w:cs="Times New Roman"/>
                <w:sz w:val="20"/>
              </w:rPr>
              <w:t>.</w:t>
            </w:r>
            <w:r w:rsidR="00B35DBE" w:rsidRPr="00B35DBE">
              <w:rPr>
                <w:rFonts w:ascii="Times New Roman" w:hAnsi="Times New Roman" w:cs="Times New Roman"/>
                <w:sz w:val="20"/>
              </w:rPr>
              <w:t xml:space="preserve"> (</w:t>
            </w:r>
            <w:r w:rsidR="007E7E0C">
              <w:rPr>
                <w:rFonts w:ascii="Times New Roman" w:hAnsi="Times New Roman" w:cs="Times New Roman"/>
                <w:sz w:val="20"/>
              </w:rPr>
              <w:t xml:space="preserve">Construction of large HPP, </w:t>
            </w:r>
            <w:r w:rsidR="00C4191B">
              <w:rPr>
                <w:rFonts w:ascii="Times New Roman" w:hAnsi="Times New Roman" w:cs="Times New Roman"/>
                <w:sz w:val="20"/>
              </w:rPr>
              <w:t>Bosnia and Herzegovina) finalized in February 2023</w:t>
            </w:r>
            <w:r w:rsidR="000B197A">
              <w:rPr>
                <w:rFonts w:ascii="Times New Roman" w:hAnsi="Times New Roman" w:cs="Times New Roman"/>
                <w:sz w:val="20"/>
              </w:rPr>
              <w:t xml:space="preserve"> (see ECE/MP.EIA/IC/2023/</w:t>
            </w:r>
            <w:r w:rsidR="006970AD">
              <w:rPr>
                <w:rFonts w:ascii="Times New Roman" w:hAnsi="Times New Roman" w:cs="Times New Roman"/>
                <w:sz w:val="20"/>
              </w:rPr>
              <w:t>5)</w:t>
            </w:r>
            <w:r w:rsidR="00B5070A">
              <w:rPr>
                <w:rFonts w:ascii="Times New Roman" w:hAnsi="Times New Roman" w:cs="Times New Roman"/>
                <w:sz w:val="20"/>
              </w:rPr>
              <w:t>; 3</w:t>
            </w:r>
            <w:r w:rsidR="00CA240C">
              <w:rPr>
                <w:rFonts w:ascii="Times New Roman" w:hAnsi="Times New Roman" w:cs="Times New Roman"/>
                <w:sz w:val="20"/>
              </w:rPr>
              <w:t>.</w:t>
            </w:r>
            <w:r w:rsidR="00B5070A">
              <w:rPr>
                <w:rFonts w:ascii="Times New Roman" w:hAnsi="Times New Roman" w:cs="Times New Roman"/>
                <w:sz w:val="20"/>
              </w:rPr>
              <w:t xml:space="preserve"> (</w:t>
            </w:r>
            <w:r w:rsidR="00B35DBE" w:rsidRPr="00B35DBE">
              <w:rPr>
                <w:rFonts w:ascii="Times New Roman" w:hAnsi="Times New Roman" w:cs="Times New Roman"/>
                <w:sz w:val="20"/>
              </w:rPr>
              <w:t xml:space="preserve">Construction of small HPPs, Albania) </w:t>
            </w:r>
            <w:r w:rsidR="005B4306">
              <w:rPr>
                <w:rFonts w:ascii="Times New Roman" w:hAnsi="Times New Roman" w:cs="Times New Roman"/>
                <w:sz w:val="20"/>
              </w:rPr>
              <w:t>finalized</w:t>
            </w:r>
            <w:r w:rsidR="00B35DBE" w:rsidRPr="00B35DBE">
              <w:rPr>
                <w:rFonts w:ascii="Times New Roman" w:hAnsi="Times New Roman" w:cs="Times New Roman"/>
                <w:sz w:val="20"/>
              </w:rPr>
              <w:t xml:space="preserve"> in </w:t>
            </w:r>
            <w:r w:rsidR="00B5070A">
              <w:rPr>
                <w:rFonts w:ascii="Times New Roman" w:hAnsi="Times New Roman" w:cs="Times New Roman"/>
                <w:sz w:val="20"/>
              </w:rPr>
              <w:t>May</w:t>
            </w:r>
            <w:r w:rsidR="00B35DBE" w:rsidRPr="00B35DBE">
              <w:rPr>
                <w:rFonts w:ascii="Times New Roman" w:hAnsi="Times New Roman" w:cs="Times New Roman"/>
                <w:sz w:val="20"/>
              </w:rPr>
              <w:t xml:space="preserve"> 2023;</w:t>
            </w:r>
            <w:r w:rsidR="005B4306">
              <w:rPr>
                <w:rFonts w:ascii="Times New Roman" w:hAnsi="Times New Roman" w:cs="Times New Roman"/>
                <w:sz w:val="20"/>
              </w:rPr>
              <w:t xml:space="preserve"> 4</w:t>
            </w:r>
            <w:r w:rsidR="00A8747F">
              <w:rPr>
                <w:rFonts w:ascii="Times New Roman" w:hAnsi="Times New Roman" w:cs="Times New Roman"/>
                <w:sz w:val="20"/>
              </w:rPr>
              <w:t>. (</w:t>
            </w:r>
            <w:r w:rsidR="00A8747F" w:rsidRPr="00A8747F">
              <w:rPr>
                <w:rFonts w:ascii="Times New Roman" w:hAnsi="Times New Roman" w:cs="Times New Roman"/>
                <w:sz w:val="20"/>
              </w:rPr>
              <w:t xml:space="preserve">Poland - </w:t>
            </w:r>
            <w:proofErr w:type="spellStart"/>
            <w:r w:rsidR="00A8747F" w:rsidRPr="00A8747F">
              <w:rPr>
                <w:rFonts w:ascii="Times New Roman" w:hAnsi="Times New Roman" w:cs="Times New Roman"/>
                <w:sz w:val="20"/>
              </w:rPr>
              <w:t>Bialowieza</w:t>
            </w:r>
            <w:proofErr w:type="spellEnd"/>
            <w:r w:rsidR="00A8747F" w:rsidRPr="00A8747F">
              <w:rPr>
                <w:rFonts w:ascii="Times New Roman" w:hAnsi="Times New Roman" w:cs="Times New Roman"/>
                <w:sz w:val="20"/>
              </w:rPr>
              <w:t xml:space="preserve"> Forest</w:t>
            </w:r>
            <w:r w:rsidR="004C2497">
              <w:rPr>
                <w:rFonts w:ascii="Times New Roman" w:hAnsi="Times New Roman" w:cs="Times New Roman"/>
                <w:sz w:val="20"/>
              </w:rPr>
              <w:t xml:space="preserve">) to be considered at IC57. </w:t>
            </w:r>
          </w:p>
          <w:p w14:paraId="4E2A7EB9" w14:textId="66AC0962" w:rsidR="00B35DBE" w:rsidRPr="00B35DBE" w:rsidRDefault="007E776D" w:rsidP="00B35DBE">
            <w:pPr>
              <w:numPr>
                <w:ilvl w:val="0"/>
                <w:numId w:val="31"/>
              </w:numPr>
              <w:spacing w:before="40" w:after="120" w:line="240" w:lineRule="atLeast"/>
              <w:ind w:right="113"/>
              <w:rPr>
                <w:rFonts w:ascii="Times New Roman" w:hAnsi="Times New Roman" w:cs="Times New Roman"/>
                <w:sz w:val="20"/>
              </w:rPr>
            </w:pPr>
            <w:r>
              <w:rPr>
                <w:rFonts w:ascii="Times New Roman" w:hAnsi="Times New Roman" w:cs="Times New Roman"/>
                <w:sz w:val="20"/>
              </w:rPr>
              <w:t>6</w:t>
            </w:r>
            <w:r w:rsidR="00B35DBE" w:rsidRPr="00B35DBE">
              <w:rPr>
                <w:rFonts w:ascii="Times New Roman" w:hAnsi="Times New Roman" w:cs="Times New Roman"/>
                <w:sz w:val="20"/>
              </w:rPr>
              <w:t xml:space="preserve"> Committee initiatives: 1 on Serbian Energy Strategy finalized in March 2022 (see </w:t>
            </w:r>
            <w:hyperlink r:id="rId23">
              <w:r w:rsidR="00B35DBE" w:rsidRPr="00B35DBE">
                <w:rPr>
                  <w:rFonts w:ascii="Times New Roman" w:hAnsi="Times New Roman" w:cs="Times New Roman"/>
                  <w:sz w:val="20"/>
                  <w:u w:val="single"/>
                </w:rPr>
                <w:t>ECE/MP.EIA/IC/2022/5</w:t>
              </w:r>
            </w:hyperlink>
            <w:r w:rsidR="00B35DBE" w:rsidRPr="00B35DBE">
              <w:rPr>
                <w:rFonts w:ascii="Times New Roman" w:hAnsi="Times New Roman" w:cs="Times New Roman"/>
                <w:sz w:val="20"/>
              </w:rPr>
              <w:t>); 1 concerning construction by Ukraine of Svydovets tourism resort – postponed owing to the war</w:t>
            </w:r>
            <w:r w:rsidR="001346E4">
              <w:rPr>
                <w:rFonts w:ascii="Times New Roman" w:hAnsi="Times New Roman" w:cs="Times New Roman"/>
                <w:sz w:val="20"/>
              </w:rPr>
              <w:t xml:space="preserve">, informal consultations at IC </w:t>
            </w:r>
            <w:r w:rsidR="005B7793">
              <w:rPr>
                <w:rFonts w:ascii="Times New Roman" w:hAnsi="Times New Roman" w:cs="Times New Roman"/>
                <w:sz w:val="20"/>
              </w:rPr>
              <w:t>56</w:t>
            </w:r>
            <w:r w:rsidR="00B35DBE" w:rsidRPr="00B35DBE">
              <w:rPr>
                <w:rFonts w:ascii="Times New Roman" w:hAnsi="Times New Roman" w:cs="Times New Roman"/>
                <w:sz w:val="20"/>
              </w:rPr>
              <w:t>; 3 on LTE of NPPs</w:t>
            </w:r>
            <w:r w:rsidR="00B5070A">
              <w:rPr>
                <w:rFonts w:ascii="Times New Roman" w:hAnsi="Times New Roman" w:cs="Times New Roman"/>
                <w:sz w:val="20"/>
              </w:rPr>
              <w:t xml:space="preserve">: </w:t>
            </w:r>
            <w:r w:rsidR="00B35DBE" w:rsidRPr="00B35DBE">
              <w:rPr>
                <w:rFonts w:ascii="Times New Roman" w:hAnsi="Times New Roman" w:cs="Times New Roman"/>
                <w:sz w:val="20"/>
              </w:rPr>
              <w:t xml:space="preserve"> </w:t>
            </w:r>
            <w:r w:rsidR="00B5070A" w:rsidRPr="00B35DBE">
              <w:rPr>
                <w:rFonts w:ascii="Times New Roman" w:hAnsi="Times New Roman" w:cs="Times New Roman"/>
                <w:sz w:val="20"/>
              </w:rPr>
              <w:t xml:space="preserve">Bulgaria </w:t>
            </w:r>
            <w:r w:rsidR="00B35DBE" w:rsidRPr="00B35DBE">
              <w:rPr>
                <w:rFonts w:ascii="Times New Roman" w:hAnsi="Times New Roman" w:cs="Times New Roman"/>
                <w:sz w:val="20"/>
              </w:rPr>
              <w:t>(</w:t>
            </w:r>
            <w:r w:rsidR="00F840F6">
              <w:rPr>
                <w:rFonts w:ascii="Times New Roman" w:hAnsi="Times New Roman" w:cs="Times New Roman"/>
                <w:sz w:val="20"/>
              </w:rPr>
              <w:t>finalized in February 2023</w:t>
            </w:r>
            <w:r w:rsidR="005B7793">
              <w:rPr>
                <w:rFonts w:ascii="Times New Roman" w:hAnsi="Times New Roman" w:cs="Times New Roman"/>
                <w:sz w:val="20"/>
              </w:rPr>
              <w:t>, see</w:t>
            </w:r>
            <w:r w:rsidR="00C26905">
              <w:rPr>
                <w:rFonts w:ascii="Times New Roman" w:hAnsi="Times New Roman" w:cs="Times New Roman"/>
                <w:sz w:val="20"/>
              </w:rPr>
              <w:t xml:space="preserve"> ECE/MP.EIA/IC/2023/6</w:t>
            </w:r>
            <w:r w:rsidR="00F840F6">
              <w:rPr>
                <w:rFonts w:ascii="Times New Roman" w:hAnsi="Times New Roman" w:cs="Times New Roman"/>
                <w:sz w:val="20"/>
              </w:rPr>
              <w:t xml:space="preserve">), </w:t>
            </w:r>
            <w:r w:rsidR="00B35DBE" w:rsidRPr="00B35DBE">
              <w:rPr>
                <w:rFonts w:ascii="Times New Roman" w:hAnsi="Times New Roman" w:cs="Times New Roman"/>
                <w:sz w:val="20"/>
              </w:rPr>
              <w:t>Belgium</w:t>
            </w:r>
            <w:r w:rsidR="00F840F6">
              <w:rPr>
                <w:rFonts w:ascii="Times New Roman" w:hAnsi="Times New Roman" w:cs="Times New Roman"/>
                <w:sz w:val="20"/>
              </w:rPr>
              <w:t xml:space="preserve"> and</w:t>
            </w:r>
            <w:r w:rsidR="00B35DBE" w:rsidRPr="00B35DBE">
              <w:rPr>
                <w:rFonts w:ascii="Times New Roman" w:hAnsi="Times New Roman" w:cs="Times New Roman"/>
                <w:sz w:val="20"/>
              </w:rPr>
              <w:t xml:space="preserve"> Czechia </w:t>
            </w:r>
            <w:r w:rsidR="00F840F6">
              <w:rPr>
                <w:rFonts w:ascii="Times New Roman" w:hAnsi="Times New Roman" w:cs="Times New Roman"/>
                <w:sz w:val="20"/>
              </w:rPr>
              <w:t xml:space="preserve">finalized in </w:t>
            </w:r>
            <w:r w:rsidR="00B35DBE" w:rsidRPr="00B35DBE">
              <w:rPr>
                <w:rFonts w:ascii="Times New Roman" w:hAnsi="Times New Roman" w:cs="Times New Roman"/>
                <w:sz w:val="20"/>
              </w:rPr>
              <w:t>May 2023)</w:t>
            </w:r>
            <w:r w:rsidR="001977D0">
              <w:rPr>
                <w:rFonts w:ascii="Times New Roman" w:hAnsi="Times New Roman" w:cs="Times New Roman"/>
                <w:sz w:val="20"/>
              </w:rPr>
              <w:t>, 1 on Belarus national legislation</w:t>
            </w:r>
          </w:p>
          <w:p w14:paraId="4F4C4EA1" w14:textId="616EC1D7" w:rsidR="00B35DBE" w:rsidRPr="00B35DBE" w:rsidRDefault="00B35DBE" w:rsidP="00B35DBE">
            <w:pPr>
              <w:numPr>
                <w:ilvl w:val="0"/>
                <w:numId w:val="31"/>
              </w:num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17 information gatherings: 8 closed - 1 (at IC49 (Denmark), 3 at IC 50 (Bosnia and Herzegovina (twice) and Switzerland), 1 at IC 51 (Bosnia and Herzegovina); 1 at IC 53 (Poland); 2 at IC 54 (Spain and Germany); </w:t>
            </w:r>
            <w:r w:rsidR="00FA35D3">
              <w:rPr>
                <w:rFonts w:ascii="Times New Roman" w:hAnsi="Times New Roman" w:cs="Times New Roman"/>
                <w:sz w:val="20"/>
              </w:rPr>
              <w:t>4</w:t>
            </w:r>
            <w:r w:rsidRPr="00B35DBE">
              <w:rPr>
                <w:rFonts w:ascii="Times New Roman" w:hAnsi="Times New Roman" w:cs="Times New Roman"/>
                <w:sz w:val="20"/>
              </w:rPr>
              <w:t xml:space="preserve"> turned into Committee initiatives at IC 52 (LTEs of NPPs by Bulgaria and Belgium)  IC 53 (LTE by Czechia)</w:t>
            </w:r>
            <w:r w:rsidR="00481A5B">
              <w:rPr>
                <w:rFonts w:ascii="Times New Roman" w:hAnsi="Times New Roman" w:cs="Times New Roman"/>
                <w:sz w:val="20"/>
              </w:rPr>
              <w:t xml:space="preserve"> and IC 56 (Belarus national legislation)</w:t>
            </w:r>
            <w:r w:rsidRPr="00B35DBE">
              <w:rPr>
                <w:rFonts w:ascii="Times New Roman" w:hAnsi="Times New Roman" w:cs="Times New Roman"/>
                <w:sz w:val="20"/>
              </w:rPr>
              <w:t>; informal consultations for three  issues (Ukraine, construction of units 3 and 4 of the Khmelnitsky NPP</w:t>
            </w:r>
            <w:r w:rsidR="005F7E84">
              <w:rPr>
                <w:rFonts w:ascii="Times New Roman" w:hAnsi="Times New Roman" w:cs="Times New Roman"/>
                <w:sz w:val="20"/>
              </w:rPr>
              <w:t xml:space="preserve">, Ukraine, LTEs of 12 </w:t>
            </w:r>
            <w:proofErr w:type="spellStart"/>
            <w:r w:rsidR="005F7E84">
              <w:rPr>
                <w:rFonts w:ascii="Times New Roman" w:hAnsi="Times New Roman" w:cs="Times New Roman"/>
                <w:sz w:val="20"/>
              </w:rPr>
              <w:t>units</w:t>
            </w:r>
            <w:r w:rsidRPr="00B35DBE">
              <w:rPr>
                <w:rFonts w:ascii="Times New Roman" w:hAnsi="Times New Roman" w:cs="Times New Roman"/>
                <w:sz w:val="20"/>
              </w:rPr>
              <w:t>and</w:t>
            </w:r>
            <w:proofErr w:type="spellEnd"/>
            <w:r w:rsidRPr="00B35DBE">
              <w:rPr>
                <w:rFonts w:ascii="Times New Roman" w:hAnsi="Times New Roman" w:cs="Times New Roman"/>
                <w:sz w:val="20"/>
              </w:rPr>
              <w:t xml:space="preserve"> activities at the </w:t>
            </w:r>
            <w:proofErr w:type="spellStart"/>
            <w:r w:rsidRPr="00B35DBE">
              <w:rPr>
                <w:rFonts w:ascii="Times New Roman" w:hAnsi="Times New Roman" w:cs="Times New Roman"/>
                <w:sz w:val="20"/>
              </w:rPr>
              <w:t>Muzhyevo</w:t>
            </w:r>
            <w:proofErr w:type="spellEnd"/>
            <w:r w:rsidRPr="00B35DBE">
              <w:rPr>
                <w:rFonts w:ascii="Times New Roman" w:hAnsi="Times New Roman" w:cs="Times New Roman"/>
                <w:sz w:val="20"/>
              </w:rPr>
              <w:t xml:space="preserve"> gold mine; carried out in October 2021 and </w:t>
            </w:r>
            <w:r w:rsidR="000C035A">
              <w:rPr>
                <w:rFonts w:ascii="Times New Roman" w:hAnsi="Times New Roman" w:cs="Times New Roman"/>
                <w:sz w:val="20"/>
              </w:rPr>
              <w:t>May 2023)</w:t>
            </w:r>
          </w:p>
          <w:p w14:paraId="7B80535F" w14:textId="2E218577" w:rsidR="00B35DBE" w:rsidRDefault="00B35DBE" w:rsidP="00B35DBE">
            <w:pPr>
              <w:numPr>
                <w:ilvl w:val="0"/>
                <w:numId w:val="31"/>
              </w:num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19 specific compliance issues (arising from the reviews of implementation): one closed at IC 50, 12 closed at IC 54</w:t>
            </w:r>
            <w:r w:rsidR="0065431E">
              <w:rPr>
                <w:rFonts w:ascii="Times New Roman" w:hAnsi="Times New Roman" w:cs="Times New Roman"/>
                <w:sz w:val="20"/>
              </w:rPr>
              <w:t>, one closed at IC 55</w:t>
            </w:r>
            <w:r w:rsidRPr="00B35DBE">
              <w:rPr>
                <w:rFonts w:ascii="Times New Roman" w:hAnsi="Times New Roman" w:cs="Times New Roman"/>
                <w:sz w:val="20"/>
              </w:rPr>
              <w:t>. One pending following the sixth review of the Convention’s implementation (Kyrgyzstan), one pending following the 1</w:t>
            </w:r>
            <w:r w:rsidRPr="00B35DBE">
              <w:rPr>
                <w:rFonts w:ascii="Times New Roman" w:hAnsi="Times New Roman" w:cs="Times New Roman"/>
                <w:sz w:val="20"/>
                <w:vertAlign w:val="superscript"/>
              </w:rPr>
              <w:t>st</w:t>
            </w:r>
            <w:r w:rsidRPr="00B35DBE">
              <w:rPr>
                <w:rFonts w:ascii="Times New Roman" w:hAnsi="Times New Roman" w:cs="Times New Roman"/>
                <w:sz w:val="20"/>
              </w:rPr>
              <w:t xml:space="preserve"> review of the Protocol (EU); one pending following the 2</w:t>
            </w:r>
            <w:r w:rsidRPr="00B35DBE">
              <w:rPr>
                <w:rFonts w:ascii="Times New Roman" w:hAnsi="Times New Roman" w:cs="Times New Roman"/>
                <w:sz w:val="20"/>
                <w:vertAlign w:val="superscript"/>
              </w:rPr>
              <w:t>nd</w:t>
            </w:r>
            <w:r w:rsidRPr="00B35DBE">
              <w:rPr>
                <w:rFonts w:ascii="Times New Roman" w:hAnsi="Times New Roman" w:cs="Times New Roman"/>
                <w:sz w:val="20"/>
              </w:rPr>
              <w:t xml:space="preserve"> review of the Protocol (Serbia); and t</w:t>
            </w:r>
            <w:r w:rsidR="009B2E63">
              <w:rPr>
                <w:rFonts w:ascii="Times New Roman" w:hAnsi="Times New Roman" w:cs="Times New Roman"/>
                <w:sz w:val="20"/>
              </w:rPr>
              <w:t>wo</w:t>
            </w:r>
            <w:r w:rsidRPr="00B35DBE">
              <w:rPr>
                <w:rFonts w:ascii="Times New Roman" w:hAnsi="Times New Roman" w:cs="Times New Roman"/>
                <w:sz w:val="20"/>
              </w:rPr>
              <w:t xml:space="preserve"> pending following the 3</w:t>
            </w:r>
            <w:r w:rsidRPr="00B35DBE">
              <w:rPr>
                <w:rFonts w:ascii="Times New Roman" w:hAnsi="Times New Roman" w:cs="Times New Roman"/>
                <w:sz w:val="20"/>
                <w:vertAlign w:val="superscript"/>
              </w:rPr>
              <w:t>rd</w:t>
            </w:r>
            <w:r w:rsidRPr="00B35DBE">
              <w:rPr>
                <w:rFonts w:ascii="Times New Roman" w:hAnsi="Times New Roman" w:cs="Times New Roman"/>
                <w:sz w:val="20"/>
              </w:rPr>
              <w:t xml:space="preserve"> review of the Protocol’s implementation (Armenia </w:t>
            </w:r>
            <w:r w:rsidR="009B2E63">
              <w:rPr>
                <w:rFonts w:ascii="Times New Roman" w:hAnsi="Times New Roman" w:cs="Times New Roman"/>
                <w:sz w:val="20"/>
              </w:rPr>
              <w:t>and</w:t>
            </w:r>
            <w:r w:rsidRPr="00B35DBE">
              <w:rPr>
                <w:rFonts w:ascii="Times New Roman" w:hAnsi="Times New Roman" w:cs="Times New Roman"/>
                <w:sz w:val="20"/>
              </w:rPr>
              <w:t xml:space="preserve"> North Macedonia). </w:t>
            </w:r>
          </w:p>
          <w:p w14:paraId="3D716502" w14:textId="7FF21E10" w:rsidR="000A35E6" w:rsidRPr="00B35DBE" w:rsidRDefault="00AA300E" w:rsidP="00E1169F">
            <w:pPr>
              <w:spacing w:before="40" w:after="120" w:line="240" w:lineRule="atLeast"/>
              <w:ind w:right="113"/>
              <w:rPr>
                <w:rFonts w:ascii="Times New Roman" w:hAnsi="Times New Roman" w:cs="Times New Roman"/>
                <w:sz w:val="20"/>
              </w:rPr>
            </w:pPr>
            <w:r w:rsidRPr="00633407">
              <w:rPr>
                <w:rFonts w:ascii="Times New Roman" w:hAnsi="Times New Roman" w:cs="Times New Roman"/>
                <w:sz w:val="20"/>
              </w:rPr>
              <w:t>At IC5</w:t>
            </w:r>
            <w:r w:rsidR="0017568F">
              <w:rPr>
                <w:rFonts w:ascii="Times New Roman" w:hAnsi="Times New Roman" w:cs="Times New Roman"/>
                <w:sz w:val="20"/>
              </w:rPr>
              <w:t>6</w:t>
            </w:r>
            <w:r w:rsidRPr="00633407">
              <w:rPr>
                <w:rFonts w:ascii="Times New Roman" w:hAnsi="Times New Roman" w:cs="Times New Roman"/>
                <w:sz w:val="20"/>
              </w:rPr>
              <w:t>, t</w:t>
            </w:r>
            <w:r w:rsidR="000A35E6" w:rsidRPr="00633407">
              <w:rPr>
                <w:rFonts w:ascii="Times New Roman" w:hAnsi="Times New Roman" w:cs="Times New Roman"/>
                <w:sz w:val="20"/>
              </w:rPr>
              <w:t>he Committee</w:t>
            </w:r>
            <w:r w:rsidR="00255012" w:rsidRPr="00633407">
              <w:rPr>
                <w:rFonts w:ascii="Times New Roman" w:hAnsi="Times New Roman" w:cs="Times New Roman"/>
                <w:sz w:val="20"/>
              </w:rPr>
              <w:t xml:space="preserve"> </w:t>
            </w:r>
            <w:r w:rsidR="004E1BC1" w:rsidRPr="00633407">
              <w:rPr>
                <w:rFonts w:ascii="Times New Roman" w:hAnsi="Times New Roman" w:cs="Times New Roman"/>
                <w:sz w:val="20"/>
              </w:rPr>
              <w:t>prepar</w:t>
            </w:r>
            <w:r w:rsidR="0017568F">
              <w:rPr>
                <w:rFonts w:ascii="Times New Roman" w:hAnsi="Times New Roman" w:cs="Times New Roman"/>
                <w:sz w:val="20"/>
              </w:rPr>
              <w:t xml:space="preserve">ed </w:t>
            </w:r>
            <w:r w:rsidR="007064FB">
              <w:rPr>
                <w:rFonts w:ascii="Times New Roman" w:hAnsi="Times New Roman" w:cs="Times New Roman"/>
                <w:sz w:val="20"/>
              </w:rPr>
              <w:t xml:space="preserve">most </w:t>
            </w:r>
            <w:r w:rsidR="00255012" w:rsidRPr="00633407">
              <w:rPr>
                <w:rFonts w:ascii="Times New Roman" w:hAnsi="Times New Roman" w:cs="Times New Roman"/>
                <w:sz w:val="20"/>
              </w:rPr>
              <w:t>draft</w:t>
            </w:r>
            <w:r w:rsidR="001026EC" w:rsidRPr="00633407">
              <w:rPr>
                <w:rFonts w:ascii="Times New Roman" w:hAnsi="Times New Roman" w:cs="Times New Roman"/>
                <w:sz w:val="20"/>
              </w:rPr>
              <w:t xml:space="preserve"> </w:t>
            </w:r>
            <w:r w:rsidR="00633407">
              <w:rPr>
                <w:rFonts w:ascii="Times New Roman" w:hAnsi="Times New Roman" w:cs="Times New Roman"/>
                <w:sz w:val="20"/>
              </w:rPr>
              <w:t xml:space="preserve">MOP </w:t>
            </w:r>
            <w:r w:rsidR="001026EC" w:rsidRPr="00633407">
              <w:rPr>
                <w:rFonts w:ascii="Times New Roman" w:hAnsi="Times New Roman" w:cs="Times New Roman"/>
                <w:sz w:val="20"/>
              </w:rPr>
              <w:t>decis</w:t>
            </w:r>
            <w:r w:rsidR="0037039B" w:rsidRPr="00633407">
              <w:rPr>
                <w:rFonts w:ascii="Times New Roman" w:hAnsi="Times New Roman" w:cs="Times New Roman"/>
                <w:sz w:val="20"/>
              </w:rPr>
              <w:t xml:space="preserve">ions </w:t>
            </w:r>
            <w:r w:rsidR="004E1BC1" w:rsidRPr="00633407">
              <w:rPr>
                <w:rFonts w:ascii="Times New Roman" w:hAnsi="Times New Roman" w:cs="Times New Roman"/>
                <w:sz w:val="20"/>
              </w:rPr>
              <w:t>on compliance</w:t>
            </w:r>
            <w:r w:rsidRPr="00633407">
              <w:rPr>
                <w:rFonts w:ascii="Times New Roman" w:hAnsi="Times New Roman" w:cs="Times New Roman"/>
                <w:sz w:val="20"/>
              </w:rPr>
              <w:t xml:space="preserve">, and will complete this work at </w:t>
            </w:r>
            <w:r w:rsidR="008D54B5" w:rsidRPr="00633407">
              <w:rPr>
                <w:rFonts w:ascii="Times New Roman" w:hAnsi="Times New Roman" w:cs="Times New Roman"/>
                <w:sz w:val="20"/>
              </w:rPr>
              <w:t>IC57</w:t>
            </w:r>
            <w:r w:rsidR="00633407">
              <w:rPr>
                <w:rFonts w:ascii="Times New Roman" w:hAnsi="Times New Roman" w:cs="Times New Roman"/>
                <w:sz w:val="20"/>
              </w:rPr>
              <w:t xml:space="preserve">, including </w:t>
            </w:r>
            <w:proofErr w:type="gramStart"/>
            <w:r w:rsidR="00633407">
              <w:rPr>
                <w:rFonts w:ascii="Times New Roman" w:hAnsi="Times New Roman" w:cs="Times New Roman"/>
                <w:sz w:val="20"/>
              </w:rPr>
              <w:t xml:space="preserve">taking into </w:t>
            </w:r>
            <w:r w:rsidR="00633407">
              <w:rPr>
                <w:rFonts w:ascii="Times New Roman" w:hAnsi="Times New Roman" w:cs="Times New Roman"/>
                <w:sz w:val="20"/>
              </w:rPr>
              <w:lastRenderedPageBreak/>
              <w:t>account</w:t>
            </w:r>
            <w:proofErr w:type="gramEnd"/>
            <w:r w:rsidR="00633407">
              <w:rPr>
                <w:rFonts w:ascii="Times New Roman" w:hAnsi="Times New Roman" w:cs="Times New Roman"/>
                <w:sz w:val="20"/>
              </w:rPr>
              <w:t xml:space="preserve"> comments from the Working Group at its 12</w:t>
            </w:r>
            <w:r w:rsidR="00633407" w:rsidRPr="00633407">
              <w:rPr>
                <w:rFonts w:ascii="Times New Roman" w:hAnsi="Times New Roman" w:cs="Times New Roman"/>
                <w:sz w:val="20"/>
                <w:vertAlign w:val="superscript"/>
              </w:rPr>
              <w:t>th</w:t>
            </w:r>
            <w:r w:rsidR="00633407">
              <w:rPr>
                <w:rFonts w:ascii="Times New Roman" w:hAnsi="Times New Roman" w:cs="Times New Roman"/>
                <w:sz w:val="20"/>
              </w:rPr>
              <w:t xml:space="preserve"> meeting, as relevant</w:t>
            </w:r>
            <w:r w:rsidR="0037039B" w:rsidRPr="00633407">
              <w:rPr>
                <w:rFonts w:ascii="Times New Roman" w:hAnsi="Times New Roman" w:cs="Times New Roman"/>
                <w:sz w:val="20"/>
              </w:rPr>
              <w:t>.</w:t>
            </w:r>
            <w:r w:rsidR="0037039B">
              <w:rPr>
                <w:rFonts w:ascii="Times New Roman" w:hAnsi="Times New Roman" w:cs="Times New Roman"/>
                <w:sz w:val="20"/>
              </w:rPr>
              <w:t xml:space="preserve"> </w:t>
            </w:r>
          </w:p>
        </w:tc>
      </w:tr>
      <w:tr w:rsidR="00B35DBE" w:rsidRPr="00B35DBE" w14:paraId="1B10E11F" w14:textId="77777777" w:rsidTr="2A3FC294">
        <w:tc>
          <w:tcPr>
            <w:tcW w:w="3341" w:type="dxa"/>
            <w:shd w:val="clear" w:color="auto" w:fill="auto"/>
          </w:tcPr>
          <w:p w14:paraId="32B0CCA7"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lastRenderedPageBreak/>
              <w:t>A.2. Examination of the outcome of the sixth review of implementation of the Convention and the third review of implementation of the Protocol (by the end of 2021)</w:t>
            </w:r>
          </w:p>
        </w:tc>
        <w:tc>
          <w:tcPr>
            <w:tcW w:w="5163" w:type="dxa"/>
            <w:shd w:val="clear" w:color="auto" w:fill="auto"/>
          </w:tcPr>
          <w:p w14:paraId="43A7E534" w14:textId="576A05A3"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The secretariat published the review reports in English and Russian in summer 2021. The French version was  published in October 2022.The reports of the sixth review of implementation of the Convention are available at: </w:t>
            </w:r>
            <w:hyperlink r:id="rId24" w:history="1">
              <w:r w:rsidRPr="00B35DBE">
                <w:rPr>
                  <w:rFonts w:ascii="Times New Roman" w:hAnsi="Times New Roman" w:cs="Times New Roman"/>
                  <w:sz w:val="20"/>
                  <w:u w:val="single"/>
                </w:rPr>
                <w:t>https://unece.org/info/Environment-Policy/Environmental-assessment/pub/358700</w:t>
              </w:r>
            </w:hyperlink>
            <w:r w:rsidRPr="00B35DBE">
              <w:rPr>
                <w:rFonts w:ascii="Times New Roman" w:hAnsi="Times New Roman" w:cs="Times New Roman"/>
                <w:sz w:val="20"/>
              </w:rPr>
              <w:t xml:space="preserve">. The reports of the third review of implementation of the Protocol are available at: </w:t>
            </w:r>
            <w:hyperlink r:id="rId25" w:history="1">
              <w:r w:rsidR="008531C3" w:rsidRPr="00300EA0">
                <w:rPr>
                  <w:rStyle w:val="Hyperlink"/>
                  <w:rFonts w:asciiTheme="majorBidi" w:hAnsiTheme="majorBidi" w:cstheme="majorBidi"/>
                  <w:sz w:val="20"/>
                  <w:szCs w:val="20"/>
                </w:rPr>
                <w:t>https://unece.org/info/Environment-Policy/Environmental-assessment/pub/359130</w:t>
              </w:r>
            </w:hyperlink>
          </w:p>
        </w:tc>
      </w:tr>
      <w:tr w:rsidR="00B35DBE" w:rsidRPr="00B35DBE" w14:paraId="66EC1F25" w14:textId="77777777" w:rsidTr="2A3FC294">
        <w:tc>
          <w:tcPr>
            <w:tcW w:w="3341" w:type="dxa"/>
            <w:shd w:val="clear" w:color="auto" w:fill="auto"/>
          </w:tcPr>
          <w:p w14:paraId="719924F2"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A.3. As necessary, review and revision of the Committee’s structure and functions and operating rules</w:t>
            </w:r>
          </w:p>
        </w:tc>
        <w:tc>
          <w:tcPr>
            <w:tcW w:w="5163" w:type="dxa"/>
            <w:shd w:val="clear" w:color="auto" w:fill="auto"/>
          </w:tcPr>
          <w:p w14:paraId="1B2B4B15" w14:textId="1EA6B67B"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Initial work continued from the previous period with some suggestions included in the Committee’s report on its 50</w:t>
            </w:r>
            <w:r w:rsidRPr="00B35DBE">
              <w:rPr>
                <w:rFonts w:ascii="Times New Roman" w:hAnsi="Times New Roman" w:cs="Times New Roman"/>
                <w:sz w:val="20"/>
                <w:vertAlign w:val="superscript"/>
                <w:lang w:val="en-US"/>
              </w:rPr>
              <w:t>th</w:t>
            </w:r>
            <w:r w:rsidRPr="00B35DBE">
              <w:rPr>
                <w:rFonts w:ascii="Times New Roman" w:hAnsi="Times New Roman" w:cs="Times New Roman"/>
                <w:sz w:val="20"/>
                <w:lang w:val="en-US"/>
              </w:rPr>
              <w:t xml:space="preserve"> session. At its 53</w:t>
            </w:r>
            <w:r w:rsidRPr="00B35DBE">
              <w:rPr>
                <w:rFonts w:ascii="Times New Roman" w:hAnsi="Times New Roman" w:cs="Times New Roman"/>
                <w:sz w:val="20"/>
                <w:vertAlign w:val="superscript"/>
                <w:lang w:val="en-US"/>
              </w:rPr>
              <w:t>rd</w:t>
            </w:r>
            <w:r w:rsidRPr="00B35DBE">
              <w:rPr>
                <w:rFonts w:ascii="Times New Roman" w:hAnsi="Times New Roman" w:cs="Times New Roman"/>
                <w:sz w:val="20"/>
                <w:lang w:val="en-US"/>
              </w:rPr>
              <w:t xml:space="preserve"> session, the Committee established a small working group to prepare the amendments to its structure and functions and its operating rules. </w:t>
            </w:r>
            <w:r w:rsidR="004B7B5D">
              <w:rPr>
                <w:rFonts w:ascii="Times New Roman" w:hAnsi="Times New Roman" w:cs="Times New Roman"/>
                <w:sz w:val="20"/>
                <w:lang w:val="en-US"/>
              </w:rPr>
              <w:t>At its 56</w:t>
            </w:r>
            <w:r w:rsidR="004B7B5D" w:rsidRPr="00D86135">
              <w:rPr>
                <w:rFonts w:ascii="Times New Roman" w:hAnsi="Times New Roman" w:cs="Times New Roman"/>
                <w:sz w:val="20"/>
                <w:vertAlign w:val="superscript"/>
                <w:lang w:val="en-US"/>
              </w:rPr>
              <w:t>th</w:t>
            </w:r>
            <w:r w:rsidR="004B7B5D">
              <w:rPr>
                <w:rFonts w:ascii="Times New Roman" w:hAnsi="Times New Roman" w:cs="Times New Roman"/>
                <w:sz w:val="20"/>
                <w:lang w:val="en-US"/>
              </w:rPr>
              <w:t xml:space="preserve"> session, t</w:t>
            </w:r>
            <w:r w:rsidRPr="00B35DBE">
              <w:rPr>
                <w:rFonts w:ascii="Times New Roman" w:hAnsi="Times New Roman" w:cs="Times New Roman"/>
                <w:sz w:val="20"/>
                <w:lang w:val="en-US"/>
              </w:rPr>
              <w:t xml:space="preserve">he </w:t>
            </w:r>
            <w:r w:rsidR="00C47F35">
              <w:rPr>
                <w:rFonts w:ascii="Times New Roman" w:hAnsi="Times New Roman" w:cs="Times New Roman"/>
                <w:sz w:val="20"/>
                <w:lang w:val="en-US"/>
              </w:rPr>
              <w:t>agreed on a preliminary</w:t>
            </w:r>
            <w:r w:rsidR="0003419F">
              <w:rPr>
                <w:rFonts w:ascii="Times New Roman" w:hAnsi="Times New Roman" w:cs="Times New Roman"/>
                <w:sz w:val="20"/>
                <w:lang w:val="en-US"/>
              </w:rPr>
              <w:t xml:space="preserve"> draft</w:t>
            </w:r>
            <w:r w:rsidR="00C31347">
              <w:rPr>
                <w:rFonts w:ascii="Times New Roman" w:hAnsi="Times New Roman" w:cs="Times New Roman"/>
                <w:sz w:val="20"/>
                <w:lang w:val="en-US"/>
              </w:rPr>
              <w:t xml:space="preserve"> </w:t>
            </w:r>
            <w:r w:rsidR="00A82092">
              <w:rPr>
                <w:rFonts w:ascii="Times New Roman" w:hAnsi="Times New Roman" w:cs="Times New Roman"/>
                <w:sz w:val="20"/>
                <w:lang w:val="en-US"/>
              </w:rPr>
              <w:t>version of the amendment proposals</w:t>
            </w:r>
            <w:r w:rsidR="00F26DA1">
              <w:rPr>
                <w:rFonts w:ascii="Times New Roman" w:hAnsi="Times New Roman" w:cs="Times New Roman"/>
                <w:sz w:val="20"/>
                <w:lang w:val="en-US"/>
              </w:rPr>
              <w:t xml:space="preserve"> </w:t>
            </w:r>
            <w:r w:rsidRPr="00B35DBE">
              <w:rPr>
                <w:rFonts w:ascii="Times New Roman" w:hAnsi="Times New Roman" w:cs="Times New Roman"/>
                <w:sz w:val="20"/>
                <w:lang w:val="en-US"/>
              </w:rPr>
              <w:t xml:space="preserve">, with a view to presenting </w:t>
            </w:r>
            <w:r w:rsidR="003540F3">
              <w:rPr>
                <w:rFonts w:ascii="Times New Roman" w:hAnsi="Times New Roman" w:cs="Times New Roman"/>
                <w:sz w:val="20"/>
                <w:lang w:val="en-US"/>
              </w:rPr>
              <w:t xml:space="preserve">them </w:t>
            </w:r>
            <w:r w:rsidRPr="00B35DBE">
              <w:rPr>
                <w:rFonts w:ascii="Times New Roman" w:hAnsi="Times New Roman" w:cs="Times New Roman"/>
                <w:sz w:val="20"/>
                <w:lang w:val="en-US"/>
              </w:rPr>
              <w:t xml:space="preserve">for </w:t>
            </w:r>
            <w:r w:rsidR="00D64C7E">
              <w:rPr>
                <w:rFonts w:ascii="Times New Roman" w:hAnsi="Times New Roman" w:cs="Times New Roman"/>
                <w:sz w:val="20"/>
                <w:lang w:val="en-US"/>
              </w:rPr>
              <w:t xml:space="preserve"> possible comments</w:t>
            </w:r>
            <w:r w:rsidRPr="00B35DBE">
              <w:rPr>
                <w:rFonts w:ascii="Times New Roman" w:hAnsi="Times New Roman" w:cs="Times New Roman"/>
                <w:sz w:val="20"/>
                <w:lang w:val="en-US"/>
              </w:rPr>
              <w:t xml:space="preserve"> of the Working Group</w:t>
            </w:r>
            <w:r w:rsidR="00D64C7E">
              <w:rPr>
                <w:rFonts w:ascii="Times New Roman" w:hAnsi="Times New Roman" w:cs="Times New Roman"/>
                <w:sz w:val="20"/>
                <w:lang w:val="en-US"/>
              </w:rPr>
              <w:t xml:space="preserve"> in June 2023</w:t>
            </w:r>
            <w:r w:rsidRPr="00B35DBE">
              <w:rPr>
                <w:rFonts w:ascii="Times New Roman" w:hAnsi="Times New Roman" w:cs="Times New Roman"/>
                <w:sz w:val="20"/>
                <w:lang w:val="en-US"/>
              </w:rPr>
              <w:t xml:space="preserve"> and</w:t>
            </w:r>
            <w:r w:rsidR="00521B46">
              <w:rPr>
                <w:rFonts w:ascii="Times New Roman" w:hAnsi="Times New Roman" w:cs="Times New Roman"/>
                <w:sz w:val="20"/>
                <w:lang w:val="en-US"/>
              </w:rPr>
              <w:t xml:space="preserve"> will finalize then at its </w:t>
            </w:r>
            <w:r w:rsidR="00D86135">
              <w:rPr>
                <w:rFonts w:ascii="Times New Roman" w:hAnsi="Times New Roman" w:cs="Times New Roman"/>
                <w:sz w:val="20"/>
                <w:lang w:val="en-US"/>
              </w:rPr>
              <w:t>57</w:t>
            </w:r>
            <w:r w:rsidR="00D86135" w:rsidRPr="00D86135">
              <w:rPr>
                <w:rFonts w:ascii="Times New Roman" w:hAnsi="Times New Roman" w:cs="Times New Roman"/>
                <w:sz w:val="20"/>
                <w:vertAlign w:val="superscript"/>
                <w:lang w:val="en-US"/>
              </w:rPr>
              <w:t>th</w:t>
            </w:r>
            <w:r w:rsidR="00D86135">
              <w:rPr>
                <w:rFonts w:ascii="Times New Roman" w:hAnsi="Times New Roman" w:cs="Times New Roman"/>
                <w:sz w:val="20"/>
                <w:lang w:val="en-US"/>
              </w:rPr>
              <w:t xml:space="preserve"> session </w:t>
            </w:r>
            <w:r w:rsidR="00521B46">
              <w:rPr>
                <w:rFonts w:ascii="Times New Roman" w:hAnsi="Times New Roman" w:cs="Times New Roman"/>
                <w:sz w:val="20"/>
                <w:lang w:val="en-US"/>
              </w:rPr>
              <w:t>for consideration of</w:t>
            </w:r>
            <w:r w:rsidRPr="00B35DBE">
              <w:rPr>
                <w:rFonts w:ascii="Times New Roman" w:hAnsi="Times New Roman" w:cs="Times New Roman"/>
                <w:sz w:val="20"/>
                <w:lang w:val="en-US"/>
              </w:rPr>
              <w:t xml:space="preserve"> the MOPs in 2023.</w:t>
            </w:r>
          </w:p>
        </w:tc>
      </w:tr>
      <w:tr w:rsidR="00B35DBE" w:rsidRPr="00B35DBE" w14:paraId="23E53F31" w14:textId="77777777" w:rsidTr="2A3FC294">
        <w:tc>
          <w:tcPr>
            <w:tcW w:w="3341" w:type="dxa"/>
            <w:shd w:val="clear" w:color="auto" w:fill="auto"/>
          </w:tcPr>
          <w:p w14:paraId="0B73C954"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A.4. Report on the Committee’s activities</w:t>
            </w:r>
          </w:p>
        </w:tc>
        <w:tc>
          <w:tcPr>
            <w:tcW w:w="5163" w:type="dxa"/>
            <w:shd w:val="clear" w:color="auto" w:fill="auto"/>
          </w:tcPr>
          <w:p w14:paraId="73FF4ACB" w14:textId="1A5C945B"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To be finalized at the end of the intersessional period at the Committee’s 57</w:t>
            </w:r>
            <w:r w:rsidRPr="00B35DBE">
              <w:rPr>
                <w:rFonts w:ascii="Times New Roman" w:hAnsi="Times New Roman" w:cs="Times New Roman"/>
                <w:sz w:val="20"/>
                <w:vertAlign w:val="superscript"/>
                <w:lang w:val="en-US"/>
              </w:rPr>
              <w:t>th</w:t>
            </w:r>
            <w:r w:rsidRPr="00B35DBE">
              <w:rPr>
                <w:rFonts w:ascii="Times New Roman" w:hAnsi="Times New Roman" w:cs="Times New Roman"/>
                <w:sz w:val="20"/>
                <w:lang w:val="en-US"/>
              </w:rPr>
              <w:t xml:space="preserve"> session (</w:t>
            </w:r>
            <w:r w:rsidR="0077407C">
              <w:rPr>
                <w:rFonts w:ascii="Times New Roman" w:hAnsi="Times New Roman" w:cs="Times New Roman"/>
                <w:sz w:val="20"/>
                <w:lang w:val="en-US"/>
              </w:rPr>
              <w:t xml:space="preserve">29 August – 1 </w:t>
            </w:r>
            <w:r w:rsidRPr="00B35DBE">
              <w:rPr>
                <w:rFonts w:ascii="Times New Roman" w:hAnsi="Times New Roman" w:cs="Times New Roman"/>
                <w:sz w:val="20"/>
                <w:lang w:val="en-US"/>
              </w:rPr>
              <w:t xml:space="preserve"> September 2023) for submission to the 2023 sessions of the Meetings of the Parties. </w:t>
            </w:r>
          </w:p>
        </w:tc>
      </w:tr>
      <w:tr w:rsidR="00B35DBE" w:rsidRPr="00B35DBE" w14:paraId="24A9B52F" w14:textId="77777777" w:rsidTr="2A3FC294">
        <w:tc>
          <w:tcPr>
            <w:tcW w:w="3341" w:type="dxa"/>
            <w:shd w:val="clear" w:color="auto" w:fill="auto"/>
          </w:tcPr>
          <w:p w14:paraId="2CB5EE94"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A.5. Collection of findings and opinions from the Committee regarding the Convention and the Protocol</w:t>
            </w:r>
          </w:p>
        </w:tc>
        <w:tc>
          <w:tcPr>
            <w:tcW w:w="5163" w:type="dxa"/>
            <w:shd w:val="clear" w:color="auto" w:fill="auto"/>
          </w:tcPr>
          <w:p w14:paraId="5A8E6AF2" w14:textId="7CB3463A"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 xml:space="preserve">Updated by the secretariat until the end of 2020. Available at: </w:t>
            </w:r>
            <w:hyperlink r:id="rId26" w:history="1">
              <w:r w:rsidRPr="00B35DBE">
                <w:rPr>
                  <w:rFonts w:ascii="Times New Roman" w:hAnsi="Times New Roman" w:cs="Times New Roman"/>
                  <w:sz w:val="20"/>
                  <w:szCs w:val="18"/>
                  <w:u w:val="single"/>
                  <w:lang w:val="en-US"/>
                </w:rPr>
                <w:t>https://unece.org/sites/default/files/2021-02/Implementation%20Committee%20opinions%20to%202020_MOP-8_2020.pdf</w:t>
              </w:r>
            </w:hyperlink>
            <w:r w:rsidRPr="00B35DBE">
              <w:rPr>
                <w:rFonts w:ascii="Times New Roman" w:hAnsi="Times New Roman" w:cs="Times New Roman"/>
                <w:sz w:val="20"/>
                <w:lang w:val="en-US"/>
              </w:rPr>
              <w:t xml:space="preserve">. </w:t>
            </w:r>
            <w:r w:rsidRPr="00372821">
              <w:rPr>
                <w:rFonts w:asciiTheme="majorBidi" w:hAnsiTheme="majorBidi" w:cstheme="majorBidi"/>
                <w:sz w:val="20"/>
                <w:szCs w:val="20"/>
                <w:lang w:val="en-US"/>
              </w:rPr>
              <w:t xml:space="preserve">The update until the end of 2022 to be issued by </w:t>
            </w:r>
            <w:r w:rsidR="00372821" w:rsidRPr="00372821">
              <w:rPr>
                <w:rFonts w:asciiTheme="majorBidi" w:hAnsiTheme="majorBidi" w:cstheme="majorBidi"/>
                <w:sz w:val="20"/>
                <w:szCs w:val="20"/>
                <w:lang w:val="en-US"/>
              </w:rPr>
              <w:t xml:space="preserve">June </w:t>
            </w:r>
            <w:r w:rsidRPr="002C369B">
              <w:rPr>
                <w:rFonts w:asciiTheme="majorBidi" w:hAnsiTheme="majorBidi" w:cstheme="majorBidi"/>
                <w:lang w:val="en-US"/>
              </w:rPr>
              <w:t xml:space="preserve"> 2023.</w:t>
            </w:r>
            <w:r w:rsidRPr="00B35DBE">
              <w:rPr>
                <w:rFonts w:ascii="Times New Roman" w:hAnsi="Times New Roman" w:cs="Times New Roman"/>
                <w:sz w:val="20"/>
                <w:lang w:val="en-US"/>
              </w:rPr>
              <w:t xml:space="preserve"> </w:t>
            </w:r>
          </w:p>
        </w:tc>
      </w:tr>
      <w:tr w:rsidR="00B35DBE" w:rsidRPr="00B35DBE" w14:paraId="2666FDCD" w14:textId="77777777" w:rsidTr="2A3FC294">
        <w:tc>
          <w:tcPr>
            <w:tcW w:w="3341" w:type="dxa"/>
            <w:shd w:val="clear" w:color="auto" w:fill="auto"/>
          </w:tcPr>
          <w:p w14:paraId="1D989BCD" w14:textId="77777777" w:rsidR="00B35DBE" w:rsidRPr="00B35DBE" w:rsidRDefault="00B35DBE" w:rsidP="00B35DBE">
            <w:pPr>
              <w:spacing w:before="40" w:after="120" w:line="240" w:lineRule="atLeast"/>
              <w:ind w:right="113"/>
              <w:rPr>
                <w:rFonts w:ascii="Times New Roman" w:hAnsi="Times New Roman" w:cs="Times New Roman"/>
                <w:b/>
                <w:bCs/>
                <w:sz w:val="20"/>
              </w:rPr>
            </w:pPr>
            <w:r w:rsidRPr="00B35DBE">
              <w:rPr>
                <w:rFonts w:ascii="Times New Roman" w:hAnsi="Times New Roman" w:cs="Times New Roman"/>
                <w:b/>
                <w:bCs/>
                <w:sz w:val="20"/>
              </w:rPr>
              <w:t>A.6. Exploring possible synergies with other relevant forums</w:t>
            </w:r>
          </w:p>
        </w:tc>
        <w:tc>
          <w:tcPr>
            <w:tcW w:w="5163" w:type="dxa"/>
            <w:shd w:val="clear" w:color="auto" w:fill="auto"/>
          </w:tcPr>
          <w:p w14:paraId="029DC525" w14:textId="6228E108"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 xml:space="preserve">Cooperation with the Implementation Committee of the ECE Water Convention, </w:t>
            </w:r>
            <w:proofErr w:type="gramStart"/>
            <w:r w:rsidRPr="00B35DBE">
              <w:rPr>
                <w:rFonts w:ascii="Times New Roman" w:hAnsi="Times New Roman" w:cs="Times New Roman"/>
                <w:sz w:val="20"/>
                <w:lang w:val="en-US"/>
              </w:rPr>
              <w:t>in particular concerning</w:t>
            </w:r>
            <w:proofErr w:type="gramEnd"/>
            <w:r w:rsidRPr="00B35DBE">
              <w:rPr>
                <w:rFonts w:ascii="Times New Roman" w:hAnsi="Times New Roman" w:cs="Times New Roman"/>
                <w:sz w:val="20"/>
                <w:lang w:val="en-US"/>
              </w:rPr>
              <w:t xml:space="preserve"> the submissions of Montenegro under both Conventions regarding the compliance of Albania with the respective Conventions with respect to several small hydropower plants in the Cijevna River</w:t>
            </w:r>
            <w:r w:rsidR="005F1D8D">
              <w:rPr>
                <w:rFonts w:ascii="Times New Roman" w:hAnsi="Times New Roman" w:cs="Times New Roman"/>
                <w:sz w:val="20"/>
                <w:lang w:val="en-US"/>
              </w:rPr>
              <w:t>,</w:t>
            </w:r>
          </w:p>
          <w:p w14:paraId="79A0BC5C" w14:textId="77777777"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Cooperation with OSCE on raising awareness about the efficient application of the transboundary procedures under the Convention and the Protocol by Balkan countries, (online seminar, 15 December 2022)</w:t>
            </w:r>
          </w:p>
        </w:tc>
      </w:tr>
      <w:tr w:rsidR="00B35DBE" w:rsidRPr="00B35DBE" w14:paraId="179B03AF" w14:textId="77777777" w:rsidTr="2A3FC294">
        <w:tc>
          <w:tcPr>
            <w:tcW w:w="8504" w:type="dxa"/>
            <w:gridSpan w:val="2"/>
            <w:shd w:val="clear" w:color="auto" w:fill="auto"/>
          </w:tcPr>
          <w:p w14:paraId="58236CED" w14:textId="77777777" w:rsidR="00B35DBE" w:rsidRPr="00B35DBE" w:rsidRDefault="00B35DBE" w:rsidP="00B35DBE">
            <w:pPr>
              <w:spacing w:before="40" w:after="120" w:line="240" w:lineRule="atLeast"/>
              <w:ind w:right="113"/>
              <w:rPr>
                <w:rFonts w:ascii="Times New Roman" w:hAnsi="Times New Roman" w:cs="Times New Roman"/>
                <w:b/>
                <w:bCs/>
                <w:sz w:val="20"/>
                <w:szCs w:val="24"/>
              </w:rPr>
            </w:pPr>
            <w:r w:rsidRPr="00B35DBE">
              <w:rPr>
                <w:rFonts w:ascii="Times New Roman" w:hAnsi="Times New Roman" w:cs="Times New Roman"/>
                <w:b/>
                <w:bCs/>
                <w:sz w:val="20"/>
              </w:rPr>
              <w:t>B. Reporting and review of implementation</w:t>
            </w:r>
          </w:p>
          <w:p w14:paraId="62169690"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Entity(</w:t>
            </w:r>
            <w:proofErr w:type="spellStart"/>
            <w:r w:rsidRPr="00B35DBE">
              <w:rPr>
                <w:rFonts w:ascii="Times New Roman" w:hAnsi="Times New Roman" w:cs="Times New Roman"/>
                <w:i/>
                <w:iCs/>
                <w:sz w:val="20"/>
              </w:rPr>
              <w:t>ies</w:t>
            </w:r>
            <w:proofErr w:type="spellEnd"/>
            <w:r w:rsidRPr="00B35DBE">
              <w:rPr>
                <w:rFonts w:ascii="Times New Roman" w:hAnsi="Times New Roman" w:cs="Times New Roman"/>
                <w:i/>
                <w:iCs/>
                <w:sz w:val="20"/>
              </w:rPr>
              <w:t>) responsible:</w:t>
            </w:r>
            <w:r w:rsidRPr="00B35DBE">
              <w:rPr>
                <w:rFonts w:ascii="Times New Roman" w:hAnsi="Times New Roman" w:cs="Times New Roman"/>
                <w:sz w:val="20"/>
              </w:rPr>
              <w:t xml:space="preserve"> Parties, the Implementation </w:t>
            </w:r>
            <w:proofErr w:type="gramStart"/>
            <w:r w:rsidRPr="00B35DBE">
              <w:rPr>
                <w:rFonts w:ascii="Times New Roman" w:hAnsi="Times New Roman" w:cs="Times New Roman"/>
                <w:sz w:val="20"/>
              </w:rPr>
              <w:t>Committee</w:t>
            </w:r>
            <w:proofErr w:type="gramEnd"/>
            <w:r w:rsidRPr="00B35DBE">
              <w:rPr>
                <w:rFonts w:ascii="Times New Roman" w:hAnsi="Times New Roman" w:cs="Times New Roman"/>
                <w:sz w:val="20"/>
              </w:rPr>
              <w:t xml:space="preserve"> and the secretariat.</w:t>
            </w:r>
          </w:p>
        </w:tc>
      </w:tr>
      <w:tr w:rsidR="00B35DBE" w:rsidRPr="00B35DBE" w14:paraId="1C7AF58E" w14:textId="77777777" w:rsidTr="2A3FC294">
        <w:tc>
          <w:tcPr>
            <w:tcW w:w="3341" w:type="dxa"/>
            <w:shd w:val="clear" w:color="auto" w:fill="auto"/>
          </w:tcPr>
          <w:p w14:paraId="30E8FD3C" w14:textId="77777777" w:rsidR="00B35DBE" w:rsidRPr="00DA3EA2" w:rsidRDefault="00B35DBE" w:rsidP="00B35DBE">
            <w:pPr>
              <w:spacing w:before="40" w:after="120" w:line="240" w:lineRule="atLeast"/>
              <w:ind w:right="113"/>
              <w:rPr>
                <w:rFonts w:ascii="Times New Roman" w:hAnsi="Times New Roman" w:cs="Times New Roman"/>
                <w:b/>
                <w:bCs/>
                <w:sz w:val="20"/>
              </w:rPr>
            </w:pPr>
            <w:r w:rsidRPr="00DA3EA2">
              <w:rPr>
                <w:rFonts w:ascii="Times New Roman" w:hAnsi="Times New Roman" w:cs="Times New Roman"/>
                <w:b/>
                <w:bCs/>
                <w:sz w:val="20"/>
              </w:rPr>
              <w:t>B.1. Modification of the questionnaires for the report on implementation of the Convention and the Protocol in 2019–2021</w:t>
            </w:r>
          </w:p>
        </w:tc>
        <w:tc>
          <w:tcPr>
            <w:tcW w:w="5163" w:type="dxa"/>
            <w:shd w:val="clear" w:color="auto" w:fill="auto"/>
          </w:tcPr>
          <w:p w14:paraId="7547A429" w14:textId="77777777" w:rsidR="00B35DBE" w:rsidRPr="00B35DBE" w:rsidRDefault="00B35DBE" w:rsidP="00B35DBE">
            <w:pPr>
              <w:spacing w:before="40" w:after="120" w:line="240" w:lineRule="atLeast"/>
              <w:ind w:right="113"/>
              <w:rPr>
                <w:rFonts w:ascii="Times New Roman" w:hAnsi="Times New Roman" w:cs="Times New Roman"/>
                <w:sz w:val="20"/>
                <w:lang w:val="en-US"/>
              </w:rPr>
            </w:pPr>
            <w:r w:rsidRPr="00B35DBE">
              <w:rPr>
                <w:rFonts w:ascii="Times New Roman" w:hAnsi="Times New Roman" w:cs="Times New Roman"/>
                <w:sz w:val="20"/>
                <w:lang w:val="en-US"/>
              </w:rPr>
              <w:t>Prepared by the Committee at its 50</w:t>
            </w:r>
            <w:r w:rsidRPr="00B35DBE">
              <w:rPr>
                <w:rFonts w:ascii="Times New Roman" w:hAnsi="Times New Roman" w:cs="Times New Roman"/>
                <w:sz w:val="20"/>
                <w:vertAlign w:val="superscript"/>
                <w:lang w:val="en-US"/>
              </w:rPr>
              <w:t>th</w:t>
            </w:r>
            <w:r w:rsidRPr="00B35DBE">
              <w:rPr>
                <w:rFonts w:ascii="Times New Roman" w:hAnsi="Times New Roman" w:cs="Times New Roman"/>
                <w:sz w:val="20"/>
                <w:lang w:val="en-US"/>
              </w:rPr>
              <w:t xml:space="preserve"> session in May 2021; revised in September 2021 based on the Bureau’s comments in June 2021; finalized in January 2022 based on the Working Group’s comments in December 2021. </w:t>
            </w:r>
          </w:p>
          <w:p w14:paraId="5871B008" w14:textId="77777777" w:rsidR="00B35DBE" w:rsidRPr="00B35DBE" w:rsidRDefault="00B35DBE" w:rsidP="00B35DBE">
            <w:pPr>
              <w:spacing w:before="40" w:after="120" w:line="240" w:lineRule="atLeast"/>
              <w:ind w:right="113"/>
              <w:rPr>
                <w:rFonts w:ascii="Times New Roman" w:hAnsi="Times New Roman" w:cs="Times New Roman"/>
                <w:sz w:val="20"/>
                <w:lang w:val="en-US"/>
              </w:rPr>
            </w:pPr>
          </w:p>
        </w:tc>
      </w:tr>
      <w:tr w:rsidR="00B35DBE" w:rsidRPr="00B35DBE" w14:paraId="781779C0" w14:textId="77777777" w:rsidTr="2A3FC294">
        <w:tc>
          <w:tcPr>
            <w:tcW w:w="3341" w:type="dxa"/>
            <w:shd w:val="clear" w:color="auto" w:fill="auto"/>
          </w:tcPr>
          <w:p w14:paraId="342B097A" w14:textId="77777777" w:rsidR="00B35DBE" w:rsidRPr="00DA3EA2" w:rsidRDefault="00B35DBE" w:rsidP="00B35DBE">
            <w:pPr>
              <w:spacing w:before="40" w:after="120" w:line="240" w:lineRule="atLeast"/>
              <w:ind w:right="113"/>
              <w:rPr>
                <w:rFonts w:ascii="Times New Roman" w:hAnsi="Times New Roman" w:cs="Times New Roman"/>
                <w:b/>
                <w:bCs/>
                <w:sz w:val="20"/>
              </w:rPr>
            </w:pPr>
            <w:r w:rsidRPr="00DA3EA2">
              <w:rPr>
                <w:rFonts w:ascii="Times New Roman" w:hAnsi="Times New Roman" w:cs="Times New Roman"/>
                <w:b/>
                <w:bCs/>
                <w:sz w:val="20"/>
              </w:rPr>
              <w:t>B.2. Distribution of the questionnaires for reporting on implementation of the Convention and the Protocol in 2019–2021</w:t>
            </w:r>
          </w:p>
          <w:p w14:paraId="72174C55" w14:textId="77777777" w:rsidR="00B35DBE" w:rsidRPr="00B35DBE" w:rsidRDefault="00B35DBE" w:rsidP="00B35DBE">
            <w:pPr>
              <w:spacing w:before="40" w:after="120" w:line="240" w:lineRule="atLeast"/>
              <w:ind w:right="113"/>
              <w:rPr>
                <w:rFonts w:ascii="Times New Roman" w:hAnsi="Times New Roman" w:cs="Times New Roman"/>
                <w:sz w:val="20"/>
              </w:rPr>
            </w:pPr>
            <w:r w:rsidRPr="00DA3EA2">
              <w:rPr>
                <w:rFonts w:ascii="Times New Roman" w:hAnsi="Times New Roman" w:cs="Times New Roman"/>
                <w:b/>
                <w:bCs/>
                <w:sz w:val="20"/>
              </w:rPr>
              <w:t>The secretariat to distribute by the end of December 2021 for Parties to fill in and return by the end of April 2022.</w:t>
            </w:r>
          </w:p>
        </w:tc>
        <w:tc>
          <w:tcPr>
            <w:tcW w:w="5163" w:type="dxa"/>
            <w:shd w:val="clear" w:color="auto" w:fill="auto"/>
          </w:tcPr>
          <w:p w14:paraId="02D84FDE"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Distributed on 18 January 2022.</w:t>
            </w:r>
          </w:p>
          <w:p w14:paraId="3F7CBC35" w14:textId="62F1F296" w:rsidR="00B35DBE" w:rsidRPr="00B35DBE" w:rsidRDefault="00B35DBE" w:rsidP="00B35DBE">
            <w:pPr>
              <w:spacing w:before="40" w:after="120" w:line="240" w:lineRule="atLeast"/>
              <w:ind w:right="113"/>
              <w:rPr>
                <w:rFonts w:ascii="Times New Roman" w:hAnsi="Times New Roman" w:cs="Times New Roman"/>
                <w:sz w:val="20"/>
              </w:rPr>
            </w:pPr>
            <w:bookmarkStart w:id="3" w:name="_Hlk105062637"/>
            <w:r w:rsidRPr="00B35DBE">
              <w:rPr>
                <w:rFonts w:ascii="Times New Roman" w:hAnsi="Times New Roman" w:cs="Times New Roman"/>
                <w:sz w:val="20"/>
              </w:rPr>
              <w:t xml:space="preserve">21 Parties to the Convention (47%) reported on-time </w:t>
            </w:r>
            <w:r w:rsidR="00DE19DD">
              <w:rPr>
                <w:rFonts w:ascii="Times New Roman" w:hAnsi="Times New Roman" w:cs="Times New Roman"/>
                <w:sz w:val="20"/>
              </w:rPr>
              <w:t>by</w:t>
            </w:r>
            <w:r w:rsidR="00201EA3">
              <w:rPr>
                <w:rFonts w:ascii="Times New Roman" w:hAnsi="Times New Roman" w:cs="Times New Roman"/>
                <w:sz w:val="20"/>
              </w:rPr>
              <w:t xml:space="preserve"> 30 April 2022 </w:t>
            </w:r>
            <w:r w:rsidRPr="00B35DBE">
              <w:rPr>
                <w:rFonts w:ascii="Times New Roman" w:hAnsi="Times New Roman" w:cs="Times New Roman"/>
                <w:sz w:val="20"/>
              </w:rPr>
              <w:t xml:space="preserve">by returning filled-in questionnaires for reporting. By 30 June 2022, in total 34 (75%) Parties and 1 non-Party (Georgia) had reported. In addition, one Party, (the EU) returned a blank questionnaire and provided separately information on its legislation and CJEU judgements of relevance. As </w:t>
            </w:r>
            <w:proofErr w:type="gramStart"/>
            <w:r w:rsidRPr="00B35DBE">
              <w:rPr>
                <w:rFonts w:ascii="Times New Roman" w:hAnsi="Times New Roman" w:cs="Times New Roman"/>
                <w:sz w:val="20"/>
              </w:rPr>
              <w:t>at</w:t>
            </w:r>
            <w:proofErr w:type="gramEnd"/>
            <w:r w:rsidRPr="00B35DBE">
              <w:rPr>
                <w:rFonts w:ascii="Times New Roman" w:hAnsi="Times New Roman" w:cs="Times New Roman"/>
                <w:sz w:val="20"/>
              </w:rPr>
              <w:t xml:space="preserve"> </w:t>
            </w:r>
            <w:r w:rsidR="0090046D">
              <w:rPr>
                <w:rFonts w:ascii="Times New Roman" w:hAnsi="Times New Roman" w:cs="Times New Roman"/>
                <w:sz w:val="20"/>
              </w:rPr>
              <w:t>17 May</w:t>
            </w:r>
            <w:r w:rsidR="00044295">
              <w:rPr>
                <w:rFonts w:ascii="Times New Roman" w:hAnsi="Times New Roman" w:cs="Times New Roman"/>
                <w:sz w:val="20"/>
              </w:rPr>
              <w:t xml:space="preserve"> 2023</w:t>
            </w:r>
            <w:r w:rsidRPr="00B35DBE">
              <w:rPr>
                <w:rFonts w:ascii="Times New Roman" w:hAnsi="Times New Roman" w:cs="Times New Roman"/>
                <w:sz w:val="20"/>
              </w:rPr>
              <w:t xml:space="preserve">, </w:t>
            </w:r>
            <w:r w:rsidR="005E67B8">
              <w:rPr>
                <w:rFonts w:ascii="Times New Roman" w:hAnsi="Times New Roman" w:cs="Times New Roman"/>
                <w:sz w:val="20"/>
              </w:rPr>
              <w:t>1</w:t>
            </w:r>
            <w:r w:rsidR="0090046D">
              <w:rPr>
                <w:rFonts w:ascii="Times New Roman" w:hAnsi="Times New Roman" w:cs="Times New Roman"/>
                <w:sz w:val="20"/>
              </w:rPr>
              <w:t>3</w:t>
            </w:r>
            <w:r w:rsidRPr="00B35DBE">
              <w:rPr>
                <w:rFonts w:ascii="Times New Roman" w:hAnsi="Times New Roman" w:cs="Times New Roman"/>
                <w:sz w:val="20"/>
              </w:rPr>
              <w:t xml:space="preserve"> months after the reporting deadline, </w:t>
            </w:r>
            <w:r w:rsidR="004034E3">
              <w:rPr>
                <w:rFonts w:ascii="Times New Roman" w:hAnsi="Times New Roman" w:cs="Times New Roman"/>
                <w:sz w:val="20"/>
              </w:rPr>
              <w:t>6</w:t>
            </w:r>
            <w:r w:rsidRPr="00B35DBE">
              <w:rPr>
                <w:rFonts w:ascii="Times New Roman" w:hAnsi="Times New Roman" w:cs="Times New Roman"/>
                <w:sz w:val="20"/>
              </w:rPr>
              <w:t xml:space="preserve"> State Parties have also not yet </w:t>
            </w:r>
            <w:r w:rsidRPr="00B35DBE">
              <w:rPr>
                <w:rFonts w:ascii="Times New Roman" w:hAnsi="Times New Roman" w:cs="Times New Roman"/>
                <w:sz w:val="20"/>
                <w:shd w:val="clear" w:color="auto" w:fill="FFFFFF"/>
              </w:rPr>
              <w:t>reported (Bulgaria, Kyrgyzstan, Liechtenstein, North Macedonia, Serbia and Ukraine).</w:t>
            </w:r>
          </w:p>
          <w:p w14:paraId="2F4D1ED0" w14:textId="1E34FBDC"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lastRenderedPageBreak/>
              <w:t xml:space="preserve">18 Parties to the Protocol (55%) reported on-time by </w:t>
            </w:r>
            <w:r w:rsidR="008E00B2">
              <w:rPr>
                <w:rFonts w:ascii="Times New Roman" w:hAnsi="Times New Roman" w:cs="Times New Roman"/>
                <w:sz w:val="20"/>
              </w:rPr>
              <w:t xml:space="preserve">30 April 2022 </w:t>
            </w:r>
            <w:r w:rsidRPr="00B35DBE">
              <w:rPr>
                <w:rFonts w:ascii="Times New Roman" w:hAnsi="Times New Roman" w:cs="Times New Roman"/>
                <w:sz w:val="20"/>
              </w:rPr>
              <w:t xml:space="preserve">returning filled-in questionnaires for reporting. By 30 June 2022, in total 22 (67%) Parties and 2 non-Parties (Georgia and Kazakhstan) have reported. In addition, one Party, (the EU) returned a blank questionnaire, providing separately explanations and information on the SEA Directive, its enforcement and interpretation. As </w:t>
            </w:r>
            <w:proofErr w:type="gramStart"/>
            <w:r w:rsidRPr="00B35DBE">
              <w:rPr>
                <w:rFonts w:ascii="Times New Roman" w:hAnsi="Times New Roman" w:cs="Times New Roman"/>
                <w:sz w:val="20"/>
              </w:rPr>
              <w:t>at</w:t>
            </w:r>
            <w:proofErr w:type="gramEnd"/>
            <w:r w:rsidRPr="00B35DBE">
              <w:rPr>
                <w:rFonts w:ascii="Times New Roman" w:hAnsi="Times New Roman" w:cs="Times New Roman"/>
                <w:sz w:val="20"/>
              </w:rPr>
              <w:t xml:space="preserve"> </w:t>
            </w:r>
            <w:r w:rsidR="00904E36">
              <w:rPr>
                <w:rFonts w:ascii="Times New Roman" w:hAnsi="Times New Roman" w:cs="Times New Roman"/>
                <w:sz w:val="20"/>
              </w:rPr>
              <w:t>17 May</w:t>
            </w:r>
            <w:r w:rsidR="00A71980">
              <w:rPr>
                <w:rFonts w:ascii="Times New Roman" w:hAnsi="Times New Roman" w:cs="Times New Roman"/>
                <w:sz w:val="20"/>
              </w:rPr>
              <w:t xml:space="preserve"> 2023</w:t>
            </w:r>
            <w:r w:rsidRPr="00B35DBE">
              <w:rPr>
                <w:rFonts w:ascii="Times New Roman" w:hAnsi="Times New Roman" w:cs="Times New Roman"/>
                <w:sz w:val="20"/>
              </w:rPr>
              <w:t xml:space="preserve">, </w:t>
            </w:r>
            <w:r w:rsidR="001F4B53">
              <w:rPr>
                <w:rFonts w:ascii="Times New Roman" w:hAnsi="Times New Roman" w:cs="Times New Roman"/>
                <w:sz w:val="20"/>
              </w:rPr>
              <w:t>1</w:t>
            </w:r>
            <w:r w:rsidR="00904E36">
              <w:rPr>
                <w:rFonts w:ascii="Times New Roman" w:hAnsi="Times New Roman" w:cs="Times New Roman"/>
                <w:sz w:val="20"/>
              </w:rPr>
              <w:t>3</w:t>
            </w:r>
            <w:r w:rsidRPr="00B35DBE">
              <w:rPr>
                <w:rFonts w:ascii="Times New Roman" w:hAnsi="Times New Roman" w:cs="Times New Roman"/>
                <w:sz w:val="20"/>
              </w:rPr>
              <w:t xml:space="preserve"> months after the reporting deadline, </w:t>
            </w:r>
            <w:r w:rsidR="00E71E32">
              <w:rPr>
                <w:rFonts w:ascii="Times New Roman" w:hAnsi="Times New Roman" w:cs="Times New Roman"/>
                <w:sz w:val="20"/>
              </w:rPr>
              <w:t>3</w:t>
            </w:r>
            <w:r w:rsidRPr="00B35DBE">
              <w:rPr>
                <w:rFonts w:ascii="Times New Roman" w:hAnsi="Times New Roman" w:cs="Times New Roman"/>
                <w:sz w:val="20"/>
              </w:rPr>
              <w:t xml:space="preserve"> State Parties have not yet reported (Bulgaria, North Macedonia</w:t>
            </w:r>
            <w:r w:rsidR="00E71E32">
              <w:rPr>
                <w:rFonts w:ascii="Times New Roman" w:hAnsi="Times New Roman" w:cs="Times New Roman"/>
                <w:sz w:val="20"/>
              </w:rPr>
              <w:t xml:space="preserve"> and</w:t>
            </w:r>
            <w:r w:rsidRPr="00B35DBE">
              <w:rPr>
                <w:rFonts w:ascii="Times New Roman" w:hAnsi="Times New Roman" w:cs="Times New Roman"/>
                <w:sz w:val="20"/>
              </w:rPr>
              <w:t xml:space="preserve"> Serbia). </w:t>
            </w:r>
            <w:bookmarkEnd w:id="3"/>
          </w:p>
          <w:p w14:paraId="3CA3EF13"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Examples presented as good practice were provided </w:t>
            </w:r>
            <w:proofErr w:type="gramStart"/>
            <w:r w:rsidRPr="00B35DBE">
              <w:rPr>
                <w:rFonts w:ascii="Times New Roman" w:hAnsi="Times New Roman" w:cs="Times New Roman"/>
                <w:sz w:val="20"/>
              </w:rPr>
              <w:t>by:</w:t>
            </w:r>
            <w:proofErr w:type="gramEnd"/>
            <w:r w:rsidRPr="00B35DBE">
              <w:rPr>
                <w:rFonts w:ascii="Times New Roman" w:hAnsi="Times New Roman" w:cs="Times New Roman"/>
                <w:sz w:val="20"/>
              </w:rPr>
              <w:t xml:space="preserve"> 15 Parties to the Convention (Albania, Belarus, Belgium, Czechia, Estonia, Hungary, Lithuania, Malta, Moldova, Montenegro, Poland, Romania, Slovenia, Spain, Switzerland) and 10 Parties to the Protocol (Albania, Armenia, Croatia, Denmark, Estonia, Malta, Montenegro, Poland, Romania, Spain).</w:t>
            </w:r>
          </w:p>
        </w:tc>
      </w:tr>
      <w:tr w:rsidR="00B35DBE" w:rsidRPr="00B35DBE" w14:paraId="230CE79D" w14:textId="77777777" w:rsidTr="2A3FC294">
        <w:tc>
          <w:tcPr>
            <w:tcW w:w="3341" w:type="dxa"/>
            <w:shd w:val="clear" w:color="auto" w:fill="auto"/>
          </w:tcPr>
          <w:p w14:paraId="37A6B063" w14:textId="77777777" w:rsidR="00B35DBE" w:rsidRPr="00DA3EA2" w:rsidRDefault="00B35DBE" w:rsidP="00B35DBE">
            <w:pPr>
              <w:spacing w:before="40" w:after="120" w:line="240" w:lineRule="atLeast"/>
              <w:ind w:right="113"/>
              <w:rPr>
                <w:rFonts w:ascii="Times New Roman" w:hAnsi="Times New Roman" w:cs="Times New Roman"/>
                <w:b/>
                <w:bCs/>
                <w:sz w:val="20"/>
              </w:rPr>
            </w:pPr>
            <w:r w:rsidRPr="00DA3EA2">
              <w:rPr>
                <w:rFonts w:ascii="Times New Roman" w:hAnsi="Times New Roman" w:cs="Times New Roman"/>
                <w:b/>
                <w:bCs/>
                <w:sz w:val="20"/>
              </w:rPr>
              <w:lastRenderedPageBreak/>
              <w:t>B.3. Preparation of draft reviews of implementation of the Convention and the Protocol</w:t>
            </w:r>
          </w:p>
        </w:tc>
        <w:tc>
          <w:tcPr>
            <w:tcW w:w="5163" w:type="dxa"/>
            <w:shd w:val="clear" w:color="auto" w:fill="auto"/>
          </w:tcPr>
          <w:p w14:paraId="10C9A6B3" w14:textId="674F3126"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The secretariat hired consultants in early June 2022 to support its preparation of the draft reviews in summer 2022; the draft review reports </w:t>
            </w:r>
            <w:r w:rsidR="00041796">
              <w:rPr>
                <w:rFonts w:ascii="Times New Roman" w:hAnsi="Times New Roman" w:cs="Times New Roman"/>
                <w:sz w:val="20"/>
              </w:rPr>
              <w:t>were</w:t>
            </w:r>
            <w:r w:rsidRPr="00B35DBE">
              <w:rPr>
                <w:rFonts w:ascii="Times New Roman" w:hAnsi="Times New Roman" w:cs="Times New Roman"/>
                <w:sz w:val="20"/>
              </w:rPr>
              <w:t xml:space="preserve"> presented as official documents to the Working Group in December 2022, prior to their finalization for submission to the Meetings of the Parties at their sessions in 2023, for adoption (and subsequent publication by the secretariat).</w:t>
            </w:r>
          </w:p>
        </w:tc>
      </w:tr>
      <w:tr w:rsidR="00B35DBE" w:rsidRPr="00B35DBE" w14:paraId="06C90DD4" w14:textId="77777777" w:rsidTr="2A3FC294">
        <w:tc>
          <w:tcPr>
            <w:tcW w:w="8504" w:type="dxa"/>
            <w:gridSpan w:val="2"/>
            <w:shd w:val="clear" w:color="auto" w:fill="auto"/>
          </w:tcPr>
          <w:p w14:paraId="411E298F" w14:textId="5259FF21"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 xml:space="preserve">C. </w:t>
            </w:r>
            <w:r w:rsidR="002E3FCB">
              <w:rPr>
                <w:rFonts w:ascii="Times New Roman" w:hAnsi="Times New Roman" w:cs="Times New Roman"/>
                <w:b/>
                <w:bCs/>
                <w:sz w:val="20"/>
              </w:rPr>
              <w:t xml:space="preserve">  </w:t>
            </w:r>
            <w:r w:rsidRPr="002E3FCB">
              <w:rPr>
                <w:rFonts w:ascii="Times New Roman" w:hAnsi="Times New Roman" w:cs="Times New Roman"/>
                <w:b/>
                <w:bCs/>
                <w:sz w:val="20"/>
              </w:rPr>
              <w:t xml:space="preserve">Legislative assistance </w:t>
            </w:r>
          </w:p>
          <w:p w14:paraId="3D2D1D47"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i/>
                <w:iCs/>
                <w:sz w:val="20"/>
              </w:rPr>
              <w:t>Entity(</w:t>
            </w:r>
            <w:proofErr w:type="spellStart"/>
            <w:r w:rsidRPr="00B35DBE">
              <w:rPr>
                <w:rFonts w:ascii="Times New Roman" w:hAnsi="Times New Roman" w:cs="Times New Roman"/>
                <w:i/>
                <w:iCs/>
                <w:sz w:val="20"/>
              </w:rPr>
              <w:t>ies</w:t>
            </w:r>
            <w:proofErr w:type="spellEnd"/>
            <w:r w:rsidRPr="00B35DBE">
              <w:rPr>
                <w:rFonts w:ascii="Times New Roman" w:hAnsi="Times New Roman" w:cs="Times New Roman"/>
                <w:i/>
                <w:iCs/>
                <w:sz w:val="20"/>
              </w:rPr>
              <w:t xml:space="preserve">) responsible:  </w:t>
            </w:r>
            <w:r w:rsidRPr="00B35DBE">
              <w:rPr>
                <w:rFonts w:ascii="Times New Roman" w:hAnsi="Times New Roman" w:cs="Times New Roman"/>
                <w:sz w:val="20"/>
              </w:rPr>
              <w:t>The secretariat, with support from consultants, to provide legislative assistance to beneficiary countries at their request and/or as recommended by the Implementation Committee, and in cooperation with those countries, and, as needed, in consultation with the Implementation Committee, the Bureau and/or the Working Group. The related activities will be implemented within the limits of the available project funding.</w:t>
            </w:r>
          </w:p>
        </w:tc>
      </w:tr>
      <w:tr w:rsidR="00B35DBE" w:rsidRPr="00B35DBE" w14:paraId="50AB75FB" w14:textId="77777777" w:rsidTr="2A3FC294">
        <w:tc>
          <w:tcPr>
            <w:tcW w:w="3341" w:type="dxa"/>
            <w:shd w:val="clear" w:color="auto" w:fill="auto"/>
          </w:tcPr>
          <w:p w14:paraId="6A243A1B"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C.1. Assistance in legal drafting</w:t>
            </w:r>
          </w:p>
          <w:p w14:paraId="0AD61194"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(a)</w:t>
            </w:r>
            <w:r w:rsidRPr="002E3FCB">
              <w:rPr>
                <w:rFonts w:ascii="Times New Roman" w:hAnsi="Times New Roman" w:cs="Times New Roman"/>
                <w:b/>
                <w:bCs/>
                <w:sz w:val="20"/>
              </w:rPr>
              <w:tab/>
              <w:t>Belarus (amendment of primary and secondary legislation</w:t>
            </w:r>
            <w:proofErr w:type="gramStart"/>
            <w:r w:rsidRPr="002E3FCB">
              <w:rPr>
                <w:rFonts w:ascii="Times New Roman" w:hAnsi="Times New Roman" w:cs="Times New Roman"/>
                <w:b/>
                <w:bCs/>
                <w:sz w:val="20"/>
              </w:rPr>
              <w:t>);</w:t>
            </w:r>
            <w:proofErr w:type="gramEnd"/>
          </w:p>
          <w:p w14:paraId="516D003B"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(b)</w:t>
            </w:r>
            <w:r w:rsidRPr="002E3FCB">
              <w:rPr>
                <w:rFonts w:ascii="Times New Roman" w:hAnsi="Times New Roman" w:cs="Times New Roman"/>
                <w:b/>
                <w:bCs/>
                <w:sz w:val="20"/>
              </w:rPr>
              <w:tab/>
              <w:t>Republic of Moldova (amendment of primary legislation and drafting of secondary legislation</w:t>
            </w:r>
            <w:proofErr w:type="gramStart"/>
            <w:r w:rsidRPr="002E3FCB">
              <w:rPr>
                <w:rFonts w:ascii="Times New Roman" w:hAnsi="Times New Roman" w:cs="Times New Roman"/>
                <w:b/>
                <w:bCs/>
                <w:sz w:val="20"/>
              </w:rPr>
              <w:t>);</w:t>
            </w:r>
            <w:proofErr w:type="gramEnd"/>
          </w:p>
          <w:p w14:paraId="5DAEAA61" w14:textId="77777777" w:rsidR="00B35DBE" w:rsidRPr="002E3FCB" w:rsidRDefault="00B35DBE" w:rsidP="00B35DBE">
            <w:pPr>
              <w:spacing w:before="40" w:after="120" w:line="240" w:lineRule="atLeast"/>
              <w:ind w:right="113"/>
              <w:rPr>
                <w:rFonts w:ascii="Times New Roman" w:hAnsi="Times New Roman" w:cs="Times New Roman"/>
                <w:b/>
                <w:bCs/>
                <w:sz w:val="20"/>
              </w:rPr>
            </w:pPr>
            <w:r w:rsidRPr="002E3FCB">
              <w:rPr>
                <w:rFonts w:ascii="Times New Roman" w:hAnsi="Times New Roman" w:cs="Times New Roman"/>
                <w:b/>
                <w:bCs/>
                <w:sz w:val="20"/>
              </w:rPr>
              <w:t>(c)</w:t>
            </w:r>
            <w:r w:rsidRPr="002E3FCB">
              <w:rPr>
                <w:rFonts w:ascii="Times New Roman" w:hAnsi="Times New Roman" w:cs="Times New Roman"/>
                <w:b/>
                <w:bCs/>
                <w:sz w:val="20"/>
              </w:rPr>
              <w:tab/>
              <w:t>Ukraine (support in finalizing a draft bilateral agreement with Romania to implement the Convention) (to be confirmed</w:t>
            </w:r>
            <w:proofErr w:type="gramStart"/>
            <w:r w:rsidRPr="002E3FCB">
              <w:rPr>
                <w:rFonts w:ascii="Times New Roman" w:hAnsi="Times New Roman" w:cs="Times New Roman"/>
                <w:b/>
                <w:bCs/>
                <w:sz w:val="20"/>
              </w:rPr>
              <w:t>);</w:t>
            </w:r>
            <w:proofErr w:type="gramEnd"/>
            <w:r w:rsidRPr="002E3FCB">
              <w:rPr>
                <w:rFonts w:ascii="Times New Roman" w:hAnsi="Times New Roman" w:cs="Times New Roman"/>
                <w:b/>
                <w:bCs/>
                <w:sz w:val="20"/>
              </w:rPr>
              <w:t xml:space="preserve"> </w:t>
            </w:r>
          </w:p>
          <w:p w14:paraId="10CB2801" w14:textId="77777777" w:rsidR="00B35DBE" w:rsidRPr="00B35DBE" w:rsidRDefault="00B35DBE" w:rsidP="00B35DBE">
            <w:pPr>
              <w:spacing w:before="40" w:after="120" w:line="240" w:lineRule="atLeast"/>
              <w:ind w:right="113"/>
              <w:rPr>
                <w:rFonts w:ascii="Times New Roman" w:hAnsi="Times New Roman" w:cs="Times New Roman"/>
                <w:sz w:val="20"/>
              </w:rPr>
            </w:pPr>
            <w:r w:rsidRPr="002E3FCB">
              <w:rPr>
                <w:rFonts w:ascii="Times New Roman" w:hAnsi="Times New Roman" w:cs="Times New Roman"/>
                <w:b/>
                <w:bCs/>
                <w:sz w:val="20"/>
              </w:rPr>
              <w:t>(d)</w:t>
            </w:r>
            <w:r w:rsidRPr="002E3FCB">
              <w:rPr>
                <w:rFonts w:ascii="Times New Roman" w:hAnsi="Times New Roman" w:cs="Times New Roman"/>
                <w:b/>
                <w:bCs/>
                <w:sz w:val="20"/>
              </w:rPr>
              <w:tab/>
              <w:t xml:space="preserve">Kazakhstan, </w:t>
            </w:r>
            <w:proofErr w:type="gramStart"/>
            <w:r w:rsidRPr="002E3FCB">
              <w:rPr>
                <w:rFonts w:ascii="Times New Roman" w:hAnsi="Times New Roman" w:cs="Times New Roman"/>
                <w:b/>
                <w:bCs/>
                <w:sz w:val="20"/>
              </w:rPr>
              <w:t>Tajikistan</w:t>
            </w:r>
            <w:proofErr w:type="gramEnd"/>
            <w:r w:rsidRPr="002E3FCB">
              <w:rPr>
                <w:rFonts w:ascii="Times New Roman" w:hAnsi="Times New Roman" w:cs="Times New Roman"/>
                <w:b/>
                <w:bCs/>
                <w:sz w:val="20"/>
              </w:rPr>
              <w:t xml:space="preserve"> and Uzbekistan (support in finalizing the primary legislation and in drafting the secondary legislation for the implementation of the Convention, tbc by the beneficiary Governments and Switzerland).</w:t>
            </w:r>
          </w:p>
        </w:tc>
        <w:tc>
          <w:tcPr>
            <w:tcW w:w="5163" w:type="dxa"/>
            <w:shd w:val="clear" w:color="auto" w:fill="auto"/>
          </w:tcPr>
          <w:p w14:paraId="5CCA5CE4"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Ongoing in the Eastern Europe and the Caucasus sub-regions (with funding from EU4Environment) and in Central Asia:</w:t>
            </w:r>
          </w:p>
          <w:p w14:paraId="5F38CCE6" w14:textId="093F2899" w:rsidR="00B35DBE" w:rsidRPr="00B35DBE" w:rsidRDefault="00B35DBE" w:rsidP="00DE7F2C">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(a)  Belarus: Completed - A review of primary and secondary legislation, including recommendations for amendments, finalized in September 2021, inter alia, based on two online meetings with the </w:t>
            </w:r>
            <w:proofErr w:type="spellStart"/>
            <w:r w:rsidRPr="00B35DBE">
              <w:rPr>
                <w:rFonts w:ascii="Times New Roman" w:hAnsi="Times New Roman" w:cs="Times New Roman"/>
                <w:sz w:val="20"/>
              </w:rPr>
              <w:t>MoE</w:t>
            </w:r>
            <w:proofErr w:type="spellEnd"/>
            <w:r w:rsidRPr="00B35DBE">
              <w:rPr>
                <w:rFonts w:ascii="Times New Roman" w:hAnsi="Times New Roman" w:cs="Times New Roman"/>
                <w:sz w:val="20"/>
              </w:rPr>
              <w:t xml:space="preserve"> in April and September. Drafting of amendments, based on the above review, is no longer</w:t>
            </w:r>
            <w:r w:rsidR="00DE7F2C">
              <w:rPr>
                <w:rFonts w:ascii="Times New Roman" w:hAnsi="Times New Roman" w:cs="Times New Roman"/>
                <w:sz w:val="20"/>
              </w:rPr>
              <w:t xml:space="preserve"> </w:t>
            </w:r>
            <w:r w:rsidRPr="00B35DBE">
              <w:rPr>
                <w:rFonts w:ascii="Times New Roman" w:hAnsi="Times New Roman" w:cs="Times New Roman"/>
                <w:sz w:val="20"/>
              </w:rPr>
              <w:t>planned as authorization by the EU for using the EU4Environment funding is not available.</w:t>
            </w:r>
          </w:p>
          <w:p w14:paraId="21196F6B" w14:textId="46546280" w:rsidR="00B35DBE" w:rsidRPr="00B35DBE" w:rsidRDefault="00B35DBE" w:rsidP="12FA3B9A">
            <w:pPr>
              <w:spacing w:before="40" w:after="120" w:line="240" w:lineRule="atLeast"/>
              <w:ind w:right="113"/>
              <w:rPr>
                <w:rFonts w:ascii="Times New Roman" w:hAnsi="Times New Roman" w:cs="Times New Roman"/>
                <w:sz w:val="20"/>
                <w:szCs w:val="20"/>
              </w:rPr>
            </w:pPr>
            <w:r w:rsidRPr="2A3FC294">
              <w:rPr>
                <w:rFonts w:ascii="Times New Roman" w:hAnsi="Times New Roman" w:cs="Times New Roman"/>
                <w:sz w:val="20"/>
                <w:szCs w:val="20"/>
              </w:rPr>
              <w:t xml:space="preserve">(b) Republic of Moldova: Completed - amendment of primary legislation (finalized amendments to the Law on EIA and the Law on SEA adopted by Parliament in July 2022). </w:t>
            </w:r>
            <w:r w:rsidR="3B456283" w:rsidRPr="2A3FC294">
              <w:rPr>
                <w:rFonts w:ascii="Times New Roman" w:hAnsi="Times New Roman" w:cs="Times New Roman"/>
                <w:sz w:val="20"/>
                <w:szCs w:val="20"/>
              </w:rPr>
              <w:t>In progress</w:t>
            </w:r>
            <w:r w:rsidRPr="2A3FC294">
              <w:rPr>
                <w:rFonts w:ascii="Times New Roman" w:hAnsi="Times New Roman" w:cs="Times New Roman"/>
                <w:sz w:val="20"/>
                <w:szCs w:val="20"/>
              </w:rPr>
              <w:t xml:space="preserve"> in Q</w:t>
            </w:r>
            <w:r w:rsidR="7BF4E26C" w:rsidRPr="2A3FC294">
              <w:rPr>
                <w:rFonts w:ascii="Times New Roman" w:hAnsi="Times New Roman" w:cs="Times New Roman"/>
                <w:sz w:val="20"/>
                <w:szCs w:val="20"/>
              </w:rPr>
              <w:t>2</w:t>
            </w:r>
            <w:r w:rsidRPr="2A3FC294">
              <w:rPr>
                <w:rFonts w:ascii="Times New Roman" w:hAnsi="Times New Roman" w:cs="Times New Roman"/>
                <w:sz w:val="20"/>
                <w:szCs w:val="20"/>
              </w:rPr>
              <w:t xml:space="preserve"> 202</w:t>
            </w:r>
            <w:r w:rsidR="325E378B" w:rsidRPr="2A3FC294">
              <w:rPr>
                <w:rFonts w:ascii="Times New Roman" w:hAnsi="Times New Roman" w:cs="Times New Roman"/>
                <w:sz w:val="20"/>
                <w:szCs w:val="20"/>
              </w:rPr>
              <w:t>3</w:t>
            </w:r>
            <w:r w:rsidRPr="2A3FC294">
              <w:rPr>
                <w:rFonts w:ascii="Times New Roman" w:hAnsi="Times New Roman" w:cs="Times New Roman"/>
                <w:sz w:val="20"/>
                <w:szCs w:val="20"/>
              </w:rPr>
              <w:t xml:space="preserve"> </w:t>
            </w:r>
            <w:proofErr w:type="gramStart"/>
            <w:r w:rsidRPr="2A3FC294">
              <w:rPr>
                <w:rFonts w:ascii="Times New Roman" w:hAnsi="Times New Roman" w:cs="Times New Roman"/>
                <w:sz w:val="20"/>
                <w:szCs w:val="20"/>
              </w:rPr>
              <w:t>–  assistance</w:t>
            </w:r>
            <w:proofErr w:type="gramEnd"/>
            <w:r w:rsidRPr="2A3FC294">
              <w:rPr>
                <w:rFonts w:ascii="Times New Roman" w:hAnsi="Times New Roman" w:cs="Times New Roman"/>
                <w:sz w:val="20"/>
                <w:szCs w:val="20"/>
              </w:rPr>
              <w:t xml:space="preserve"> in the drafting of secondary legislation. </w:t>
            </w:r>
          </w:p>
          <w:p w14:paraId="67D429DF" w14:textId="60A26B14" w:rsidR="00B35DBE" w:rsidRPr="00B35DBE" w:rsidRDefault="00B35DBE" w:rsidP="12FA3B9A">
            <w:pPr>
              <w:spacing w:before="40" w:after="120" w:line="240" w:lineRule="atLeast"/>
              <w:ind w:right="113"/>
              <w:rPr>
                <w:rFonts w:ascii="Times New Roman" w:hAnsi="Times New Roman" w:cs="Times New Roman"/>
                <w:sz w:val="20"/>
                <w:szCs w:val="20"/>
              </w:rPr>
            </w:pPr>
            <w:r w:rsidRPr="12FA3B9A">
              <w:rPr>
                <w:rFonts w:ascii="Times New Roman" w:hAnsi="Times New Roman" w:cs="Times New Roman"/>
                <w:sz w:val="20"/>
                <w:szCs w:val="20"/>
              </w:rPr>
              <w:t xml:space="preserve">(c) Ukraine: Completed – a final draft of the bilateral agreement with Romania prepared by legal experts to UNECE (in October 2022). </w:t>
            </w:r>
            <w:r w:rsidR="1F0938A7" w:rsidRPr="12FA3B9A">
              <w:rPr>
                <w:rFonts w:ascii="Times New Roman" w:hAnsi="Times New Roman" w:cs="Times New Roman"/>
                <w:sz w:val="20"/>
                <w:szCs w:val="20"/>
              </w:rPr>
              <w:t>Ukraine and Romania signed the bilateral agreement on 18 November 2022</w:t>
            </w:r>
            <w:r w:rsidRPr="12FA3B9A">
              <w:rPr>
                <w:rFonts w:ascii="Times New Roman" w:hAnsi="Times New Roman" w:cs="Times New Roman"/>
                <w:sz w:val="20"/>
                <w:szCs w:val="20"/>
              </w:rPr>
              <w:t xml:space="preserve">. </w:t>
            </w:r>
          </w:p>
          <w:p w14:paraId="51572D39" w14:textId="2E539CCC"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(d) Kazakhstan: review of a draft implementing regulation on environmental assessment and development of recommendations for its alignment with the Convention; Initiated in March 2021 with Swiss funding and in cooperation with Partnership for Action on Green Economy and completed June 2021 building on feedback from training workshops on SEA and EIA (see also items in annex to the present document)</w:t>
            </w:r>
          </w:p>
          <w:p w14:paraId="186EBC0D"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 xml:space="preserve">Kyrgyzstan, Tajikistan, </w:t>
            </w:r>
            <w:proofErr w:type="gramStart"/>
            <w:r w:rsidRPr="00B35DBE">
              <w:rPr>
                <w:rFonts w:ascii="Times New Roman" w:hAnsi="Times New Roman" w:cs="Times New Roman"/>
                <w:sz w:val="20"/>
              </w:rPr>
              <w:t>Turkmenistan</w:t>
            </w:r>
            <w:proofErr w:type="gramEnd"/>
            <w:r w:rsidRPr="00B35DBE">
              <w:rPr>
                <w:rFonts w:ascii="Times New Roman" w:hAnsi="Times New Roman" w:cs="Times New Roman"/>
                <w:sz w:val="20"/>
              </w:rPr>
              <w:t xml:space="preserve"> and Uzbekistan requested for legislative reviews; and Tajikistan and Turkmenistan also for legal drafting (No funding nor secretariat staff resources available) </w:t>
            </w:r>
          </w:p>
          <w:p w14:paraId="6B30F81E" w14:textId="6C89FC0F" w:rsidR="00B35DBE" w:rsidRPr="00B35DBE" w:rsidRDefault="00B35DBE" w:rsidP="12FA3B9A">
            <w:pPr>
              <w:spacing w:before="40" w:after="120" w:line="240" w:lineRule="atLeast"/>
              <w:ind w:right="113"/>
              <w:rPr>
                <w:rFonts w:ascii="Times New Roman" w:hAnsi="Times New Roman" w:cs="Times New Roman"/>
                <w:sz w:val="20"/>
                <w:szCs w:val="20"/>
              </w:rPr>
            </w:pPr>
            <w:r w:rsidRPr="12FA3B9A">
              <w:rPr>
                <w:rFonts w:ascii="Times New Roman" w:hAnsi="Times New Roman" w:cs="Times New Roman"/>
                <w:sz w:val="20"/>
                <w:szCs w:val="20"/>
              </w:rPr>
              <w:lastRenderedPageBreak/>
              <w:t xml:space="preserve">Secretariat assisted OSCE </w:t>
            </w:r>
            <w:r w:rsidR="6F95A180" w:rsidRPr="12FA3B9A">
              <w:rPr>
                <w:rFonts w:ascii="Times New Roman" w:hAnsi="Times New Roman" w:cs="Times New Roman"/>
                <w:sz w:val="20"/>
                <w:szCs w:val="20"/>
              </w:rPr>
              <w:t>in</w:t>
            </w:r>
            <w:r w:rsidRPr="12FA3B9A">
              <w:rPr>
                <w:rFonts w:ascii="Times New Roman" w:hAnsi="Times New Roman" w:cs="Times New Roman"/>
                <w:sz w:val="20"/>
                <w:szCs w:val="20"/>
              </w:rPr>
              <w:t xml:space="preserve"> prepar</w:t>
            </w:r>
            <w:r w:rsidR="512D6A02" w:rsidRPr="12FA3B9A">
              <w:rPr>
                <w:rFonts w:ascii="Times New Roman" w:hAnsi="Times New Roman" w:cs="Times New Roman"/>
                <w:sz w:val="20"/>
                <w:szCs w:val="20"/>
              </w:rPr>
              <w:t>ing</w:t>
            </w:r>
            <w:r w:rsidRPr="12FA3B9A">
              <w:rPr>
                <w:rFonts w:ascii="Times New Roman" w:hAnsi="Times New Roman" w:cs="Times New Roman"/>
                <w:sz w:val="20"/>
                <w:szCs w:val="20"/>
              </w:rPr>
              <w:t xml:space="preserve"> a project proposal for further development of the EIA and SEA legislation in Central Asian countries </w:t>
            </w:r>
          </w:p>
        </w:tc>
      </w:tr>
      <w:tr w:rsidR="00B35DBE" w:rsidRPr="00B35DBE" w14:paraId="61387C55" w14:textId="77777777" w:rsidTr="2A3FC294">
        <w:tc>
          <w:tcPr>
            <w:tcW w:w="3341" w:type="dxa"/>
            <w:tcBorders>
              <w:bottom w:val="single" w:sz="12" w:space="0" w:color="auto"/>
            </w:tcBorders>
            <w:shd w:val="clear" w:color="auto" w:fill="auto"/>
          </w:tcPr>
          <w:p w14:paraId="5CDA0B5A" w14:textId="77777777" w:rsidR="00B35DBE" w:rsidRPr="00396A4C" w:rsidRDefault="00B35DBE" w:rsidP="00B35DBE">
            <w:pPr>
              <w:spacing w:before="40" w:after="120" w:line="240" w:lineRule="atLeast"/>
              <w:ind w:right="113"/>
              <w:rPr>
                <w:rFonts w:ascii="Times New Roman" w:hAnsi="Times New Roman" w:cs="Times New Roman"/>
                <w:b/>
                <w:bCs/>
                <w:sz w:val="20"/>
              </w:rPr>
            </w:pPr>
            <w:r w:rsidRPr="00396A4C">
              <w:rPr>
                <w:rFonts w:ascii="Times New Roman" w:hAnsi="Times New Roman" w:cs="Times New Roman"/>
                <w:b/>
                <w:bCs/>
                <w:sz w:val="20"/>
              </w:rPr>
              <w:lastRenderedPageBreak/>
              <w:t xml:space="preserve">C.2. Awareness-raising events to support the adoption of the legislation </w:t>
            </w:r>
          </w:p>
          <w:p w14:paraId="33F26E7D" w14:textId="77777777" w:rsidR="00B35DBE" w:rsidRPr="00B35DBE" w:rsidRDefault="00B35DBE" w:rsidP="00B35DBE">
            <w:pPr>
              <w:spacing w:before="40" w:after="120" w:line="240" w:lineRule="atLeast"/>
              <w:ind w:right="113"/>
              <w:rPr>
                <w:rFonts w:ascii="Times New Roman" w:hAnsi="Times New Roman" w:cs="Times New Roman"/>
                <w:sz w:val="20"/>
              </w:rPr>
            </w:pPr>
            <w:r w:rsidRPr="00B35DBE">
              <w:rPr>
                <w:rFonts w:ascii="Times New Roman" w:hAnsi="Times New Roman" w:cs="Times New Roman"/>
                <w:sz w:val="20"/>
              </w:rPr>
              <w:t>Planned for 2021 and/or 2022 (to be confirmed) in Belarus.</w:t>
            </w:r>
            <w:r w:rsidRPr="00B35DBE">
              <w:rPr>
                <w:rFonts w:ascii="Times New Roman" w:hAnsi="Times New Roman" w:cs="Times New Roman"/>
                <w:sz w:val="20"/>
              </w:rPr>
              <w:tab/>
            </w:r>
          </w:p>
        </w:tc>
        <w:tc>
          <w:tcPr>
            <w:tcW w:w="5163" w:type="dxa"/>
            <w:tcBorders>
              <w:bottom w:val="single" w:sz="12" w:space="0" w:color="auto"/>
            </w:tcBorders>
            <w:shd w:val="clear" w:color="auto" w:fill="auto"/>
          </w:tcPr>
          <w:p w14:paraId="76856F5F" w14:textId="77777777" w:rsidR="00B35DBE" w:rsidRPr="00B35DBE" w:rsidRDefault="00B35DBE" w:rsidP="00B35DBE">
            <w:pPr>
              <w:spacing w:before="40" w:after="120" w:line="240" w:lineRule="atLeast"/>
              <w:ind w:right="113"/>
              <w:rPr>
                <w:rFonts w:ascii="Times New Roman" w:hAnsi="Times New Roman" w:cs="Times New Roman"/>
                <w:sz w:val="20"/>
              </w:rPr>
            </w:pPr>
          </w:p>
          <w:p w14:paraId="7471D23C" w14:textId="77777777" w:rsidR="008B7238" w:rsidRDefault="008B7238" w:rsidP="00B35DBE">
            <w:pPr>
              <w:spacing w:before="40" w:after="120" w:line="240" w:lineRule="atLeast"/>
              <w:ind w:right="113"/>
              <w:rPr>
                <w:rFonts w:ascii="Times New Roman" w:hAnsi="Times New Roman" w:cs="Times New Roman"/>
                <w:sz w:val="20"/>
              </w:rPr>
            </w:pPr>
          </w:p>
          <w:p w14:paraId="7674283C" w14:textId="27453A2C" w:rsidR="00B35DBE" w:rsidRPr="00B35DBE" w:rsidRDefault="00B35DBE" w:rsidP="008B7238">
            <w:pPr>
              <w:spacing w:before="120" w:after="120" w:line="240" w:lineRule="atLeast"/>
              <w:ind w:right="113"/>
              <w:rPr>
                <w:rFonts w:ascii="Times New Roman" w:hAnsi="Times New Roman" w:cs="Times New Roman"/>
                <w:sz w:val="20"/>
              </w:rPr>
            </w:pPr>
            <w:r w:rsidRPr="00B35DBE">
              <w:rPr>
                <w:rFonts w:ascii="Times New Roman" w:hAnsi="Times New Roman" w:cs="Times New Roman"/>
                <w:sz w:val="20"/>
              </w:rPr>
              <w:t>Belarus: no event planned in absence of an authorisation by the EU for using the EU4Envir</w:t>
            </w:r>
            <w:r w:rsidR="00BB1BD5">
              <w:rPr>
                <w:rFonts w:ascii="Times New Roman" w:hAnsi="Times New Roman" w:cs="Times New Roman"/>
                <w:sz w:val="20"/>
              </w:rPr>
              <w:t>o</w:t>
            </w:r>
            <w:r w:rsidRPr="00B35DBE">
              <w:rPr>
                <w:rFonts w:ascii="Times New Roman" w:hAnsi="Times New Roman" w:cs="Times New Roman"/>
                <w:sz w:val="20"/>
              </w:rPr>
              <w:t>nment funding</w:t>
            </w:r>
          </w:p>
        </w:tc>
      </w:tr>
    </w:tbl>
    <w:p w14:paraId="4F06B081" w14:textId="71AEE0FD" w:rsidR="00B35DBE" w:rsidRPr="00B35DBE" w:rsidRDefault="00B35DBE" w:rsidP="00396A4C">
      <w:pPr>
        <w:pStyle w:val="HChG"/>
      </w:pPr>
      <w:r w:rsidRPr="00B35DBE">
        <w:t>III.</w:t>
      </w:r>
      <w:r w:rsidRPr="00B35DBE">
        <w:tab/>
        <w:t xml:space="preserve">Promoting practical application of the Convention and the Protocol </w:t>
      </w:r>
    </w:p>
    <w:tbl>
      <w:tblPr>
        <w:tblStyle w:val="TableGrid5"/>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90"/>
        <w:gridCol w:w="4947"/>
      </w:tblGrid>
      <w:tr w:rsidR="00F15E87" w:rsidRPr="00F15E87" w14:paraId="382F4FF8" w14:textId="77777777" w:rsidTr="00F15E87">
        <w:trPr>
          <w:tblHeader/>
        </w:trPr>
        <w:tc>
          <w:tcPr>
            <w:tcW w:w="7370" w:type="dxa"/>
            <w:gridSpan w:val="2"/>
            <w:tcBorders>
              <w:top w:val="single" w:sz="4" w:space="0" w:color="auto"/>
              <w:bottom w:val="single" w:sz="12" w:space="0" w:color="auto"/>
            </w:tcBorders>
            <w:shd w:val="clear" w:color="auto" w:fill="auto"/>
            <w:vAlign w:val="bottom"/>
          </w:tcPr>
          <w:p w14:paraId="183B5B6E" w14:textId="77777777" w:rsidR="00046D4F" w:rsidRPr="00F15E87" w:rsidRDefault="00046D4F" w:rsidP="00F15E87">
            <w:pPr>
              <w:spacing w:before="80" w:after="80" w:line="200" w:lineRule="exact"/>
              <w:ind w:right="113"/>
              <w:rPr>
                <w:rFonts w:ascii="Times New Roman" w:hAnsi="Times New Roman" w:cs="Times New Roman"/>
                <w:i/>
                <w:sz w:val="16"/>
              </w:rPr>
            </w:pPr>
            <w:r w:rsidRPr="00F15E87">
              <w:rPr>
                <w:rFonts w:ascii="Times New Roman" w:hAnsi="Times New Roman" w:cs="Times New Roman"/>
                <w:i/>
                <w:sz w:val="16"/>
              </w:rPr>
              <w:t>A carried over activity from the 2017–2020 workplan</w:t>
            </w:r>
          </w:p>
        </w:tc>
      </w:tr>
      <w:tr w:rsidR="00F15E87" w:rsidRPr="00F15E87" w14:paraId="1273E0B4" w14:textId="77777777" w:rsidTr="00F15E87">
        <w:trPr>
          <w:trHeight w:hRule="exact" w:val="113"/>
          <w:tblHeader/>
        </w:trPr>
        <w:tc>
          <w:tcPr>
            <w:tcW w:w="7370" w:type="dxa"/>
            <w:gridSpan w:val="2"/>
            <w:tcBorders>
              <w:top w:val="single" w:sz="12" w:space="0" w:color="auto"/>
            </w:tcBorders>
            <w:shd w:val="clear" w:color="auto" w:fill="auto"/>
          </w:tcPr>
          <w:p w14:paraId="4A1B4005" w14:textId="77777777" w:rsidR="00F15E87" w:rsidRPr="00F15E87" w:rsidRDefault="00F15E87" w:rsidP="00F15E87">
            <w:pPr>
              <w:spacing w:before="40" w:after="120" w:line="240" w:lineRule="atLeast"/>
              <w:ind w:right="113"/>
              <w:rPr>
                <w:rFonts w:ascii="Times New Roman" w:hAnsi="Times New Roman" w:cs="Times New Roman"/>
                <w:sz w:val="20"/>
              </w:rPr>
            </w:pPr>
          </w:p>
        </w:tc>
      </w:tr>
      <w:tr w:rsidR="00F15E87" w:rsidRPr="00F15E87" w14:paraId="3882432C" w14:textId="77777777" w:rsidTr="00F15E87">
        <w:trPr>
          <w:tblHeader/>
        </w:trPr>
        <w:tc>
          <w:tcPr>
            <w:tcW w:w="3587" w:type="dxa"/>
            <w:tcBorders>
              <w:bottom w:val="single" w:sz="12" w:space="0" w:color="auto"/>
            </w:tcBorders>
            <w:shd w:val="clear" w:color="auto" w:fill="auto"/>
          </w:tcPr>
          <w:p w14:paraId="0A1BC21A" w14:textId="77777777" w:rsidR="00046D4F" w:rsidRPr="00AA2B0D" w:rsidRDefault="00046D4F" w:rsidP="00F15E87">
            <w:pPr>
              <w:spacing w:before="40" w:after="120" w:line="240" w:lineRule="atLeast"/>
              <w:ind w:right="113"/>
              <w:rPr>
                <w:rFonts w:ascii="Times New Roman" w:hAnsi="Times New Roman" w:cs="Times New Roman"/>
                <w:b/>
                <w:bCs/>
                <w:sz w:val="20"/>
              </w:rPr>
            </w:pPr>
            <w:r w:rsidRPr="00AA2B0D">
              <w:rPr>
                <w:rFonts w:ascii="Times New Roman" w:hAnsi="Times New Roman" w:cs="Times New Roman"/>
                <w:b/>
                <w:bCs/>
                <w:sz w:val="20"/>
              </w:rPr>
              <w:t xml:space="preserve">Development of guidance for the assessment of potential health impacts of plans and programmes and for the involvement of health authorities, building on the chapter on health in the SEA Resource Manual. </w:t>
            </w:r>
          </w:p>
          <w:p w14:paraId="65F20D39"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Based on </w:t>
            </w:r>
            <w:proofErr w:type="spellStart"/>
            <w:r w:rsidRPr="00F15E87">
              <w:rPr>
                <w:rFonts w:ascii="Times New Roman" w:hAnsi="Times New Roman" w:cs="Times New Roman"/>
                <w:sz w:val="20"/>
                <w:lang w:eastAsia="en-US"/>
              </w:rPr>
              <w:t>ToR</w:t>
            </w:r>
            <w:proofErr w:type="spellEnd"/>
            <w:r w:rsidRPr="00F15E87">
              <w:rPr>
                <w:rFonts w:ascii="Times New Roman" w:hAnsi="Times New Roman" w:cs="Times New Roman"/>
                <w:sz w:val="20"/>
                <w:lang w:eastAsia="en-US"/>
              </w:rPr>
              <w:t xml:space="preserve"> agreed by the Working Group at its 8</w:t>
            </w:r>
            <w:r w:rsidRPr="00F15E87">
              <w:rPr>
                <w:rFonts w:ascii="Times New Roman" w:hAnsi="Times New Roman" w:cs="Times New Roman"/>
                <w:sz w:val="20"/>
                <w:vertAlign w:val="superscript"/>
                <w:lang w:eastAsia="en-US"/>
              </w:rPr>
              <w:t>th</w:t>
            </w:r>
            <w:r w:rsidRPr="00F15E87">
              <w:rPr>
                <w:rFonts w:ascii="Times New Roman" w:hAnsi="Times New Roman" w:cs="Times New Roman"/>
                <w:sz w:val="20"/>
                <w:lang w:eastAsia="en-US"/>
              </w:rPr>
              <w:t xml:space="preserve"> meeting (in May 2018) and funding from EIB, draft guidance prepared by two consultants in consultation with the secretariat, WHO and EIB. </w:t>
            </w:r>
          </w:p>
          <w:p w14:paraId="11F2433D"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Draft presented and discussed at a workshop co-organized by the secretariat, WHO and EIB during WG8 (November 2019). </w:t>
            </w:r>
          </w:p>
          <w:p w14:paraId="160A347C"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Draft revised based on comments by WG8 and inputs from a task force (Austria, Finland, Ireland, Slovenia) and agreed by the Bureau in February 2020. Draft supplemented by selected case studies from Czechia, </w:t>
            </w:r>
            <w:proofErr w:type="gramStart"/>
            <w:r w:rsidRPr="00F15E87">
              <w:rPr>
                <w:rFonts w:ascii="Times New Roman" w:hAnsi="Times New Roman" w:cs="Times New Roman"/>
                <w:sz w:val="20"/>
                <w:lang w:eastAsia="en-US"/>
              </w:rPr>
              <w:t>Estonia</w:t>
            </w:r>
            <w:proofErr w:type="gramEnd"/>
            <w:r w:rsidRPr="00F15E87">
              <w:rPr>
                <w:rFonts w:ascii="Times New Roman" w:hAnsi="Times New Roman" w:cs="Times New Roman"/>
                <w:sz w:val="20"/>
                <w:lang w:eastAsia="en-US"/>
              </w:rPr>
              <w:t xml:space="preserve"> and the Netherlands </w:t>
            </w:r>
          </w:p>
          <w:p w14:paraId="208C2ACD"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Revised draft submitted in March 2020 for agreement by the WG9 prior to its submission to MOP/MOP4. </w:t>
            </w:r>
          </w:p>
          <w:p w14:paraId="3C52C554"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WG9 (August 2020) decided not to forward the draft to MOP/MOP, as EU delegation considered that further work still needed. Aside from Slovenia, task force members no longer available for the further work. </w:t>
            </w:r>
          </w:p>
          <w:p w14:paraId="4E68EC99" w14:textId="77777777" w:rsidR="00046D4F" w:rsidRPr="00F15E87" w:rsidRDefault="00046D4F" w:rsidP="00AA2B0D">
            <w:pPr>
              <w:numPr>
                <w:ilvl w:val="0"/>
                <w:numId w:val="35"/>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In December 2020, MOP/MOP4 urged Parties and stakeholders to finalize the work during the intersessional period 2021–2023, subject to availability of resources, and invited Parties to contribute in-kind expertise for that purpose. The Bureau was invited to consider the way forward.</w:t>
            </w:r>
          </w:p>
          <w:p w14:paraId="2A49958E" w14:textId="77777777" w:rsidR="00046D4F" w:rsidRPr="00F15E87" w:rsidRDefault="00046D4F" w:rsidP="00F15E87">
            <w:pPr>
              <w:spacing w:before="40" w:after="120" w:line="240" w:lineRule="atLeast"/>
              <w:ind w:right="113"/>
              <w:rPr>
                <w:rFonts w:ascii="Times New Roman" w:hAnsi="Times New Roman" w:cs="Times New Roman"/>
                <w:sz w:val="20"/>
              </w:rPr>
            </w:pPr>
          </w:p>
        </w:tc>
        <w:tc>
          <w:tcPr>
            <w:tcW w:w="3783" w:type="dxa"/>
            <w:tcBorders>
              <w:bottom w:val="single" w:sz="12" w:space="0" w:color="auto"/>
            </w:tcBorders>
            <w:shd w:val="clear" w:color="auto" w:fill="auto"/>
          </w:tcPr>
          <w:p w14:paraId="63FB389C"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rPr>
            </w:pPr>
            <w:r w:rsidRPr="00AA2B0D">
              <w:rPr>
                <w:rFonts w:ascii="Times New Roman" w:hAnsi="Times New Roman" w:cs="Times New Roman"/>
                <w:b/>
                <w:bCs/>
                <w:sz w:val="20"/>
                <w:lang w:eastAsia="en-US"/>
              </w:rPr>
              <w:t>Progress in 2021–2023</w:t>
            </w:r>
            <w:r w:rsidRPr="00F15E87">
              <w:rPr>
                <w:rFonts w:ascii="Times New Roman" w:hAnsi="Times New Roman" w:cs="Times New Roman"/>
                <w:sz w:val="20"/>
                <w:lang w:eastAsia="en-US"/>
              </w:rPr>
              <w:t xml:space="preserve"> In June 2021, the Bureau invited textual revision proposals and volunteers for an editorial group ahead of the Working Group’s 10</w:t>
            </w:r>
            <w:r w:rsidRPr="00F15E87">
              <w:rPr>
                <w:rFonts w:ascii="Times New Roman" w:hAnsi="Times New Roman" w:cs="Times New Roman"/>
                <w:sz w:val="20"/>
                <w:vertAlign w:val="superscript"/>
                <w:lang w:eastAsia="en-US"/>
              </w:rPr>
              <w:t>th</w:t>
            </w:r>
            <w:r w:rsidRPr="00F15E87">
              <w:rPr>
                <w:rFonts w:ascii="Times New Roman" w:hAnsi="Times New Roman" w:cs="Times New Roman"/>
                <w:sz w:val="20"/>
                <w:lang w:eastAsia="en-US"/>
              </w:rPr>
              <w:t xml:space="preserve"> meeting (December 2021) for finalization of the draft. </w:t>
            </w:r>
          </w:p>
          <w:p w14:paraId="37B79236"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lang w:eastAsia="en-US"/>
              </w:rPr>
            </w:pPr>
            <w:r w:rsidRPr="00F15E87">
              <w:rPr>
                <w:rFonts w:ascii="Times New Roman" w:hAnsi="Times New Roman" w:cs="Times New Roman"/>
                <w:sz w:val="20"/>
                <w:lang w:eastAsia="en-US"/>
              </w:rPr>
              <w:t xml:space="preserve">In December 2021, EU commented on the draft’s revision needs but no Party volunteered for the revision. </w:t>
            </w:r>
          </w:p>
          <w:p w14:paraId="1870FDC8"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WHO commented the draft and offered its support. In 2022, it issued a publication “</w:t>
            </w:r>
            <w:hyperlink r:id="rId27" w:history="1">
              <w:r w:rsidRPr="00F15E87">
                <w:rPr>
                  <w:rFonts w:ascii="Times New Roman" w:hAnsi="Times New Roman" w:cs="Times New Roman"/>
                  <w:i/>
                  <w:iCs/>
                  <w:sz w:val="20"/>
                  <w:u w:val="single"/>
                  <w:lang w:eastAsia="en-US"/>
                </w:rPr>
                <w:t>Learning from practice - Case studies of health in EIA and SEA across the WHO European Region</w:t>
              </w:r>
            </w:hyperlink>
            <w:r w:rsidRPr="00F15E87">
              <w:rPr>
                <w:rFonts w:ascii="Times New Roman" w:hAnsi="Times New Roman" w:cs="Times New Roman"/>
                <w:sz w:val="20"/>
                <w:lang w:eastAsia="en-US"/>
              </w:rPr>
              <w:t xml:space="preserve">” available also in Russian. The executive summary available in English, German and Russian, and in the future also in Czech, Estonian, French and Georgian) The secretariat participated at the launch event of </w:t>
            </w:r>
            <w:proofErr w:type="gramStart"/>
            <w:r w:rsidRPr="00F15E87">
              <w:rPr>
                <w:rFonts w:ascii="Times New Roman" w:hAnsi="Times New Roman" w:cs="Times New Roman"/>
                <w:sz w:val="20"/>
                <w:lang w:eastAsia="en-US"/>
              </w:rPr>
              <w:t>February 2022, and</w:t>
            </w:r>
            <w:proofErr w:type="gramEnd"/>
            <w:r w:rsidRPr="00F15E87">
              <w:rPr>
                <w:rFonts w:ascii="Times New Roman" w:hAnsi="Times New Roman" w:cs="Times New Roman"/>
                <w:sz w:val="20"/>
                <w:lang w:eastAsia="en-US"/>
              </w:rPr>
              <w:t xml:space="preserve"> forwarded the invitation to all Parties. </w:t>
            </w:r>
          </w:p>
          <w:p w14:paraId="41C4A52B" w14:textId="77777777" w:rsidR="00046D4F" w:rsidRPr="00F15E87" w:rsidRDefault="00046D4F" w:rsidP="00AA2B0D">
            <w:pPr>
              <w:numPr>
                <w:ilvl w:val="0"/>
                <w:numId w:val="36"/>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During and after the Working Group some countries in Eastern Europe and the Caucasus have reiterated their common need for guidance.</w:t>
            </w:r>
          </w:p>
          <w:p w14:paraId="33FDCF92" w14:textId="77777777" w:rsidR="00046D4F" w:rsidRDefault="00046D4F" w:rsidP="00AA2B0D">
            <w:pPr>
              <w:numPr>
                <w:ilvl w:val="0"/>
                <w:numId w:val="36"/>
              </w:numPr>
              <w:spacing w:before="40" w:after="120" w:line="240" w:lineRule="atLeast"/>
              <w:ind w:right="113"/>
              <w:rPr>
                <w:rFonts w:ascii="Times New Roman" w:hAnsi="Times New Roman" w:cs="Times New Roman"/>
                <w:sz w:val="20"/>
              </w:rPr>
            </w:pPr>
            <w:r w:rsidRPr="00F15E87">
              <w:rPr>
                <w:rFonts w:ascii="Times New Roman" w:hAnsi="Times New Roman" w:cs="Times New Roman"/>
                <w:sz w:val="20"/>
                <w:lang w:eastAsia="en-US"/>
              </w:rPr>
              <w:t xml:space="preserve">As decided by the Bureau in June 2022, the Bureau Chair for the Protocol matters and volunteering members of the Bureau prepared a revised draft, </w:t>
            </w:r>
            <w:proofErr w:type="gramStart"/>
            <w:r w:rsidRPr="00F15E87">
              <w:rPr>
                <w:rFonts w:ascii="Times New Roman" w:hAnsi="Times New Roman" w:cs="Times New Roman"/>
                <w:sz w:val="20"/>
                <w:lang w:eastAsia="en-US"/>
              </w:rPr>
              <w:t>taking into account</w:t>
            </w:r>
            <w:proofErr w:type="gramEnd"/>
            <w:r w:rsidRPr="00F15E87">
              <w:rPr>
                <w:rFonts w:ascii="Times New Roman" w:hAnsi="Times New Roman" w:cs="Times New Roman"/>
                <w:sz w:val="20"/>
                <w:lang w:eastAsia="en-US"/>
              </w:rPr>
              <w:t xml:space="preserve"> the 2021 comments from the EU and its member States from December 2021. The draft was made available ((ECE/MP.EIA/WG.2/2022/INF.13 of 26 October) for WG11 to agree on a revised draft document and on the steps ahead for its finalization ahead of the next session of the Protocol MOP (12–15 December 2023).</w:t>
            </w:r>
          </w:p>
          <w:p w14:paraId="30012F59" w14:textId="57B5423E" w:rsidR="00427402" w:rsidRPr="00F15E87" w:rsidRDefault="00C21F29" w:rsidP="00AA2B0D">
            <w:pPr>
              <w:numPr>
                <w:ilvl w:val="0"/>
                <w:numId w:val="36"/>
              </w:numPr>
              <w:spacing w:before="40" w:after="120" w:line="240" w:lineRule="atLeast"/>
              <w:ind w:right="113"/>
              <w:rPr>
                <w:rFonts w:ascii="Times New Roman" w:hAnsi="Times New Roman" w:cs="Times New Roman"/>
                <w:sz w:val="20"/>
              </w:rPr>
            </w:pPr>
            <w:r>
              <w:rPr>
                <w:rFonts w:ascii="Times New Roman" w:hAnsi="Times New Roman" w:cs="Times New Roman"/>
                <w:sz w:val="20"/>
                <w:lang w:eastAsia="en-US"/>
              </w:rPr>
              <w:t>WG</w:t>
            </w:r>
            <w:r w:rsidR="00891FEB">
              <w:rPr>
                <w:rFonts w:ascii="Times New Roman" w:hAnsi="Times New Roman" w:cs="Times New Roman"/>
                <w:sz w:val="20"/>
                <w:lang w:eastAsia="en-US"/>
              </w:rPr>
              <w:t>11</w:t>
            </w:r>
            <w:r w:rsidR="00F144EA">
              <w:rPr>
                <w:rFonts w:ascii="Times New Roman" w:hAnsi="Times New Roman" w:cs="Times New Roman"/>
                <w:sz w:val="20"/>
                <w:lang w:eastAsia="en-US"/>
              </w:rPr>
              <w:t xml:space="preserve"> decided to continue its deliberations in June 2023 based on c</w:t>
            </w:r>
            <w:r w:rsidR="00891FEB">
              <w:rPr>
                <w:rFonts w:ascii="Times New Roman" w:hAnsi="Times New Roman" w:cs="Times New Roman"/>
                <w:sz w:val="20"/>
                <w:lang w:eastAsia="en-US"/>
              </w:rPr>
              <w:t xml:space="preserve">omments </w:t>
            </w:r>
            <w:r w:rsidR="00E87956">
              <w:rPr>
                <w:rFonts w:ascii="Times New Roman" w:hAnsi="Times New Roman" w:cs="Times New Roman"/>
                <w:sz w:val="20"/>
                <w:lang w:eastAsia="en-US"/>
              </w:rPr>
              <w:t xml:space="preserve">provided by </w:t>
            </w:r>
            <w:r w:rsidR="009F0BD8">
              <w:rPr>
                <w:rFonts w:ascii="Times New Roman" w:hAnsi="Times New Roman" w:cs="Times New Roman"/>
                <w:sz w:val="20"/>
                <w:lang w:eastAsia="en-US"/>
              </w:rPr>
              <w:t xml:space="preserve">delegations </w:t>
            </w:r>
            <w:r w:rsidR="007C2E6A">
              <w:rPr>
                <w:rFonts w:ascii="Times New Roman" w:hAnsi="Times New Roman" w:cs="Times New Roman"/>
                <w:sz w:val="20"/>
                <w:lang w:eastAsia="en-US"/>
              </w:rPr>
              <w:t>end January/early February, and the Bureau’s consideration of them</w:t>
            </w:r>
            <w:r w:rsidR="008D6E49">
              <w:rPr>
                <w:rFonts w:ascii="Times New Roman" w:hAnsi="Times New Roman" w:cs="Times New Roman"/>
                <w:sz w:val="20"/>
                <w:lang w:eastAsia="en-US"/>
              </w:rPr>
              <w:t>.</w:t>
            </w:r>
            <w:r w:rsidR="007C2E6A">
              <w:rPr>
                <w:rFonts w:ascii="Times New Roman" w:hAnsi="Times New Roman" w:cs="Times New Roman"/>
                <w:sz w:val="20"/>
                <w:lang w:eastAsia="en-US"/>
              </w:rPr>
              <w:t xml:space="preserve"> </w:t>
            </w:r>
          </w:p>
        </w:tc>
      </w:tr>
    </w:tbl>
    <w:p w14:paraId="36269CA8" w14:textId="77777777" w:rsidR="00B35DBE" w:rsidRDefault="00B35DBE" w:rsidP="00B35DBE">
      <w:pPr>
        <w:suppressAutoHyphens/>
      </w:pPr>
    </w:p>
    <w:p w14:paraId="76CF5B61" w14:textId="6BD21116" w:rsidR="0096293B" w:rsidRDefault="0096293B" w:rsidP="00B35DBE">
      <w:pPr>
        <w:suppressAutoHyphens/>
      </w:pPr>
      <w:r>
        <w:br w:type="page"/>
      </w:r>
    </w:p>
    <w:tbl>
      <w:tblPr>
        <w:tblStyle w:val="TableGrid6"/>
        <w:tblW w:w="977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868"/>
      </w:tblGrid>
      <w:tr w:rsidR="00AA2B0D" w:rsidRPr="00AA2B0D" w14:paraId="4F9F6009" w14:textId="77777777" w:rsidTr="2A3FC294">
        <w:trPr>
          <w:trHeight w:val="300"/>
        </w:trPr>
        <w:tc>
          <w:tcPr>
            <w:tcW w:w="4911" w:type="dxa"/>
            <w:tcBorders>
              <w:top w:val="single" w:sz="4" w:space="0" w:color="auto"/>
              <w:bottom w:val="single" w:sz="12" w:space="0" w:color="auto"/>
            </w:tcBorders>
            <w:shd w:val="clear" w:color="auto" w:fill="auto"/>
            <w:vAlign w:val="bottom"/>
          </w:tcPr>
          <w:bookmarkEnd w:id="2"/>
          <w:p w14:paraId="444E0CEB" w14:textId="77777777" w:rsidR="004035BB" w:rsidRPr="00AA2B0D" w:rsidRDefault="004035BB" w:rsidP="00AA2B0D">
            <w:pPr>
              <w:spacing w:before="80" w:after="80" w:line="200" w:lineRule="exact"/>
              <w:ind w:right="113"/>
              <w:rPr>
                <w:rFonts w:ascii="Times New Roman" w:hAnsi="Times New Roman" w:cs="Times New Roman"/>
                <w:i/>
                <w:sz w:val="16"/>
              </w:rPr>
            </w:pPr>
            <w:r w:rsidRPr="00AA2B0D">
              <w:rPr>
                <w:rFonts w:ascii="Times New Roman" w:hAnsi="Times New Roman" w:cs="Times New Roman"/>
                <w:i/>
                <w:sz w:val="16"/>
              </w:rPr>
              <w:lastRenderedPageBreak/>
              <w:t>Activities</w:t>
            </w:r>
          </w:p>
        </w:tc>
        <w:tc>
          <w:tcPr>
            <w:tcW w:w="4868" w:type="dxa"/>
            <w:tcBorders>
              <w:top w:val="single" w:sz="4" w:space="0" w:color="auto"/>
              <w:bottom w:val="single" w:sz="12" w:space="0" w:color="auto"/>
            </w:tcBorders>
            <w:shd w:val="clear" w:color="auto" w:fill="auto"/>
            <w:vAlign w:val="bottom"/>
          </w:tcPr>
          <w:p w14:paraId="01525BFB" w14:textId="77777777" w:rsidR="004035BB" w:rsidRPr="00AA2B0D" w:rsidRDefault="004035BB" w:rsidP="00AA2B0D">
            <w:pPr>
              <w:spacing w:before="80" w:after="80" w:line="200" w:lineRule="exact"/>
              <w:ind w:right="113"/>
              <w:rPr>
                <w:rFonts w:ascii="Times New Roman" w:hAnsi="Times New Roman" w:cs="Times New Roman"/>
                <w:i/>
                <w:sz w:val="16"/>
              </w:rPr>
            </w:pPr>
            <w:r w:rsidRPr="00AA2B0D">
              <w:rPr>
                <w:rFonts w:ascii="Times New Roman" w:hAnsi="Times New Roman" w:cs="Times New Roman"/>
                <w:i/>
                <w:sz w:val="16"/>
              </w:rPr>
              <w:t>Implementation status</w:t>
            </w:r>
          </w:p>
        </w:tc>
      </w:tr>
      <w:tr w:rsidR="00AA2B0D" w:rsidRPr="00AA2B0D" w14:paraId="6B62C5CC" w14:textId="77777777" w:rsidTr="2A3FC294">
        <w:trPr>
          <w:trHeight w:val="113"/>
        </w:trPr>
        <w:tc>
          <w:tcPr>
            <w:tcW w:w="4911" w:type="dxa"/>
            <w:tcBorders>
              <w:top w:val="single" w:sz="12" w:space="0" w:color="auto"/>
            </w:tcBorders>
            <w:shd w:val="clear" w:color="auto" w:fill="auto"/>
          </w:tcPr>
          <w:p w14:paraId="3E31D87C" w14:textId="77777777" w:rsidR="00AA2B0D" w:rsidRPr="00AA2B0D" w:rsidRDefault="00AA2B0D" w:rsidP="00AA2B0D">
            <w:pPr>
              <w:spacing w:before="40" w:after="120" w:line="240" w:lineRule="atLeast"/>
              <w:ind w:right="113"/>
              <w:rPr>
                <w:rFonts w:ascii="Times New Roman" w:hAnsi="Times New Roman" w:cs="Times New Roman"/>
                <w:sz w:val="20"/>
              </w:rPr>
            </w:pPr>
          </w:p>
        </w:tc>
        <w:tc>
          <w:tcPr>
            <w:tcW w:w="4868" w:type="dxa"/>
            <w:tcBorders>
              <w:top w:val="single" w:sz="12" w:space="0" w:color="auto"/>
            </w:tcBorders>
            <w:shd w:val="clear" w:color="auto" w:fill="auto"/>
          </w:tcPr>
          <w:p w14:paraId="194AF341" w14:textId="77777777" w:rsidR="00AA2B0D" w:rsidRPr="00AA2B0D" w:rsidRDefault="00AA2B0D" w:rsidP="00AA2B0D">
            <w:pPr>
              <w:spacing w:before="40" w:after="120" w:line="240" w:lineRule="atLeast"/>
              <w:ind w:right="113"/>
              <w:rPr>
                <w:rFonts w:ascii="Times New Roman" w:hAnsi="Times New Roman" w:cs="Times New Roman"/>
                <w:sz w:val="20"/>
              </w:rPr>
            </w:pPr>
          </w:p>
        </w:tc>
      </w:tr>
      <w:tr w:rsidR="00317F10" w:rsidRPr="00AA2B0D" w14:paraId="570D8A7B" w14:textId="77777777" w:rsidTr="2A3FC294">
        <w:trPr>
          <w:trHeight w:val="300"/>
        </w:trPr>
        <w:tc>
          <w:tcPr>
            <w:tcW w:w="9779" w:type="dxa"/>
            <w:gridSpan w:val="2"/>
            <w:shd w:val="clear" w:color="auto" w:fill="auto"/>
          </w:tcPr>
          <w:p w14:paraId="3034076C" w14:textId="77777777" w:rsidR="004035BB" w:rsidRPr="00317F10" w:rsidRDefault="004035BB" w:rsidP="00AA2B0D">
            <w:pPr>
              <w:spacing w:before="40" w:after="120" w:line="240" w:lineRule="atLeast"/>
              <w:ind w:right="113"/>
              <w:rPr>
                <w:rFonts w:ascii="Times New Roman" w:hAnsi="Times New Roman" w:cs="Times New Roman"/>
                <w:b/>
                <w:bCs/>
                <w:sz w:val="20"/>
              </w:rPr>
            </w:pPr>
            <w:r w:rsidRPr="00317F10">
              <w:rPr>
                <w:rFonts w:ascii="Times New Roman" w:hAnsi="Times New Roman" w:cs="Times New Roman"/>
                <w:b/>
                <w:bCs/>
                <w:sz w:val="20"/>
                <w:szCs w:val="24"/>
              </w:rPr>
              <w:t xml:space="preserve">III.A. Subregional cooperation and capacity-building </w:t>
            </w:r>
          </w:p>
        </w:tc>
      </w:tr>
      <w:tr w:rsidR="004035BB" w:rsidRPr="00AA2B0D" w14:paraId="6EA0DE04" w14:textId="77777777" w:rsidTr="2A3FC294">
        <w:trPr>
          <w:trHeight w:val="300"/>
        </w:trPr>
        <w:tc>
          <w:tcPr>
            <w:tcW w:w="9779" w:type="dxa"/>
            <w:gridSpan w:val="2"/>
            <w:shd w:val="clear" w:color="auto" w:fill="auto"/>
          </w:tcPr>
          <w:p w14:paraId="3D867F21" w14:textId="77777777" w:rsidR="004035BB" w:rsidRPr="00317F10" w:rsidRDefault="004035BB" w:rsidP="00AA2B0D">
            <w:pPr>
              <w:spacing w:before="40" w:after="120" w:line="240" w:lineRule="atLeast"/>
              <w:ind w:right="113"/>
              <w:rPr>
                <w:rFonts w:ascii="Times New Roman" w:hAnsi="Times New Roman" w:cs="Times New Roman"/>
                <w:b/>
                <w:bCs/>
                <w:sz w:val="20"/>
              </w:rPr>
            </w:pPr>
            <w:r w:rsidRPr="00317F10">
              <w:rPr>
                <w:rFonts w:ascii="Times New Roman" w:hAnsi="Times New Roman" w:cs="Times New Roman"/>
                <w:b/>
                <w:bCs/>
                <w:sz w:val="20"/>
              </w:rPr>
              <w:t xml:space="preserve">III.A.1. Baltic sea subregion </w:t>
            </w:r>
          </w:p>
          <w:p w14:paraId="6BC7E4C9" w14:textId="77777777" w:rsidR="004035BB" w:rsidRPr="00AA2B0D" w:rsidRDefault="004035BB" w:rsidP="00AA2B0D">
            <w:pPr>
              <w:spacing w:before="40" w:after="120" w:line="240" w:lineRule="atLeast"/>
              <w:ind w:right="113"/>
              <w:rPr>
                <w:rFonts w:ascii="Times New Roman" w:hAnsi="Times New Roman" w:cs="Times New Roman"/>
                <w:sz w:val="20"/>
              </w:rPr>
            </w:pPr>
            <w:bookmarkStart w:id="4" w:name="_Hlk51744963"/>
            <w:r w:rsidRPr="00AA2B0D">
              <w:rPr>
                <w:rFonts w:ascii="Times New Roman" w:hAnsi="Times New Roman" w:cs="Times New Roman"/>
                <w:i/>
                <w:iCs/>
                <w:sz w:val="20"/>
                <w:lang w:eastAsia="en-US"/>
              </w:rPr>
              <w:t>Entity(</w:t>
            </w:r>
            <w:proofErr w:type="spellStart"/>
            <w:r w:rsidRPr="00AA2B0D">
              <w:rPr>
                <w:rFonts w:ascii="Times New Roman" w:hAnsi="Times New Roman" w:cs="Times New Roman"/>
                <w:i/>
                <w:iCs/>
                <w:sz w:val="20"/>
                <w:lang w:eastAsia="en-US"/>
              </w:rPr>
              <w:t>ies</w:t>
            </w:r>
            <w:proofErr w:type="spellEnd"/>
            <w:r w:rsidRPr="00AA2B0D">
              <w:rPr>
                <w:rFonts w:ascii="Times New Roman" w:hAnsi="Times New Roman" w:cs="Times New Roman"/>
                <w:i/>
                <w:iCs/>
                <w:sz w:val="20"/>
                <w:lang w:eastAsia="en-US"/>
              </w:rPr>
              <w:t>) responsible</w:t>
            </w:r>
            <w:r w:rsidRPr="00AA2B0D">
              <w:rPr>
                <w:rFonts w:ascii="Times New Roman" w:hAnsi="Times New Roman" w:cs="Times New Roman"/>
                <w:sz w:val="20"/>
                <w:lang w:eastAsia="en-US"/>
              </w:rPr>
              <w:t>:</w:t>
            </w:r>
            <w:r w:rsidRPr="00AA2B0D">
              <w:rPr>
                <w:rFonts w:ascii="Times New Roman" w:hAnsi="Times New Roman" w:cs="Times New Roman"/>
                <w:sz w:val="20"/>
                <w:lang w:eastAsia="en-US"/>
              </w:rPr>
              <w:tab/>
              <w:t>Lead countries – Estonia (virtual meeting) and Poland, as needed, with support from the secretariat.</w:t>
            </w:r>
            <w:bookmarkEnd w:id="4"/>
            <w:r w:rsidRPr="00AA2B0D">
              <w:rPr>
                <w:rFonts w:ascii="Times New Roman" w:hAnsi="Times New Roman" w:cs="Times New Roman"/>
                <w:sz w:val="20"/>
              </w:rPr>
              <w:tab/>
              <w:t xml:space="preserve"> </w:t>
            </w:r>
          </w:p>
        </w:tc>
      </w:tr>
      <w:tr w:rsidR="008C2231" w:rsidRPr="00AA2B0D" w14:paraId="29AF23B3" w14:textId="77777777" w:rsidTr="2A3FC294">
        <w:trPr>
          <w:trHeight w:val="300"/>
        </w:trPr>
        <w:tc>
          <w:tcPr>
            <w:tcW w:w="4911" w:type="dxa"/>
            <w:shd w:val="clear" w:color="auto" w:fill="auto"/>
          </w:tcPr>
          <w:p w14:paraId="2C7227FB" w14:textId="77777777" w:rsidR="004035BB" w:rsidRPr="00AA2B0D" w:rsidRDefault="004035BB" w:rsidP="00AA2B0D">
            <w:pPr>
              <w:spacing w:before="40" w:after="120" w:line="240" w:lineRule="atLeast"/>
              <w:ind w:right="113"/>
              <w:rPr>
                <w:rFonts w:ascii="Times New Roman" w:hAnsi="Times New Roman" w:cs="Times New Roman"/>
                <w:sz w:val="20"/>
              </w:rPr>
            </w:pPr>
            <w:r w:rsidRPr="00317F10">
              <w:rPr>
                <w:rFonts w:ascii="Times New Roman" w:hAnsi="Times New Roman" w:cs="Times New Roman"/>
                <w:b/>
                <w:bCs/>
                <w:sz w:val="20"/>
              </w:rPr>
              <w:t>Organize subregional meetings (preferably two) on cooperation on the Convention and the Protocol</w:t>
            </w:r>
            <w:r w:rsidRPr="00AA2B0D">
              <w:rPr>
                <w:rFonts w:ascii="Times New Roman" w:hAnsi="Times New Roman" w:cs="Times New Roman"/>
                <w:sz w:val="20"/>
              </w:rPr>
              <w:t>, on topics of interest for the subregion that the lead countries concerned are to identify in advance of the meeting in consultation with the other countries, and prepare the minutes of the meeting on the outcomes for the secretariat to make available on the website</w:t>
            </w:r>
          </w:p>
        </w:tc>
        <w:tc>
          <w:tcPr>
            <w:tcW w:w="4868" w:type="dxa"/>
            <w:shd w:val="clear" w:color="auto" w:fill="auto"/>
          </w:tcPr>
          <w:p w14:paraId="32748AA5" w14:textId="77777777" w:rsidR="004035BB" w:rsidRPr="00AA2B0D" w:rsidRDefault="002C369B" w:rsidP="00AA2B0D">
            <w:pPr>
              <w:spacing w:before="40" w:after="120" w:line="240" w:lineRule="atLeast"/>
              <w:ind w:right="113"/>
              <w:rPr>
                <w:rFonts w:ascii="Times New Roman" w:hAnsi="Times New Roman" w:cs="Times New Roman"/>
                <w:sz w:val="20"/>
              </w:rPr>
            </w:pPr>
            <w:hyperlink r:id="rId28" w:history="1">
              <w:r w:rsidR="004035BB" w:rsidRPr="00AA2B0D">
                <w:rPr>
                  <w:rFonts w:ascii="Times New Roman" w:hAnsi="Times New Roman" w:cs="Times New Roman"/>
                  <w:sz w:val="20"/>
                  <w:u w:val="single"/>
                </w:rPr>
                <w:t>(11</w:t>
              </w:r>
              <w:r w:rsidR="004035BB" w:rsidRPr="00AA2B0D">
                <w:rPr>
                  <w:rFonts w:ascii="Times New Roman" w:hAnsi="Times New Roman" w:cs="Times New Roman"/>
                  <w:sz w:val="20"/>
                  <w:u w:val="single"/>
                  <w:vertAlign w:val="superscript"/>
                </w:rPr>
                <w:t>th</w:t>
              </w:r>
              <w:r w:rsidR="004035BB" w:rsidRPr="00AA2B0D">
                <w:rPr>
                  <w:rFonts w:ascii="Times New Roman" w:hAnsi="Times New Roman" w:cs="Times New Roman"/>
                  <w:sz w:val="20"/>
                  <w:u w:val="single"/>
                </w:rPr>
                <w:t>) Subregional meeting organized by Estonia (Online, 3 November 2021)</w:t>
              </w:r>
            </w:hyperlink>
            <w:r w:rsidR="004035BB" w:rsidRPr="00AA2B0D">
              <w:rPr>
                <w:rFonts w:ascii="Times New Roman" w:hAnsi="Times New Roman" w:cs="Times New Roman"/>
                <w:sz w:val="20"/>
              </w:rPr>
              <w:t xml:space="preserve"> </w:t>
            </w:r>
          </w:p>
          <w:p w14:paraId="3BF7BA34" w14:textId="77777777" w:rsidR="004035BB" w:rsidRPr="00AA2B0D" w:rsidRDefault="002C369B" w:rsidP="00AA2B0D">
            <w:pPr>
              <w:spacing w:before="40" w:after="120" w:line="240" w:lineRule="atLeast"/>
              <w:ind w:right="113"/>
              <w:rPr>
                <w:rFonts w:ascii="Times New Roman" w:hAnsi="Times New Roman" w:cs="Times New Roman"/>
                <w:sz w:val="20"/>
              </w:rPr>
            </w:pPr>
            <w:hyperlink r:id="rId29" w:history="1">
              <w:r w:rsidR="004035BB" w:rsidRPr="00AA2B0D">
                <w:rPr>
                  <w:rFonts w:ascii="Times New Roman" w:hAnsi="Times New Roman" w:cs="Times New Roman"/>
                  <w:sz w:val="20"/>
                  <w:u w:val="single"/>
                </w:rPr>
                <w:t>(12</w:t>
              </w:r>
              <w:r w:rsidR="004035BB" w:rsidRPr="00AA2B0D">
                <w:rPr>
                  <w:rFonts w:ascii="Times New Roman" w:hAnsi="Times New Roman" w:cs="Times New Roman"/>
                  <w:sz w:val="20"/>
                  <w:u w:val="single"/>
                  <w:vertAlign w:val="superscript"/>
                </w:rPr>
                <w:t>th</w:t>
              </w:r>
              <w:r w:rsidR="004035BB" w:rsidRPr="00AA2B0D">
                <w:rPr>
                  <w:rFonts w:ascii="Times New Roman" w:hAnsi="Times New Roman" w:cs="Times New Roman"/>
                  <w:sz w:val="20"/>
                  <w:u w:val="single"/>
                </w:rPr>
                <w:t>) Subregional meeting organized by Poland (Warsaw/online, on 14–15 June 2022)</w:t>
              </w:r>
            </w:hyperlink>
            <w:r w:rsidR="004035BB" w:rsidRPr="00AA2B0D">
              <w:rPr>
                <w:rFonts w:ascii="Times New Roman" w:hAnsi="Times New Roman" w:cs="Times New Roman"/>
                <w:sz w:val="20"/>
              </w:rPr>
              <w:t xml:space="preserve"> </w:t>
            </w:r>
          </w:p>
        </w:tc>
      </w:tr>
      <w:tr w:rsidR="004035BB" w:rsidRPr="00AA2B0D" w14:paraId="23C4D1C0" w14:textId="77777777" w:rsidTr="2A3FC294">
        <w:trPr>
          <w:trHeight w:val="300"/>
        </w:trPr>
        <w:tc>
          <w:tcPr>
            <w:tcW w:w="9779" w:type="dxa"/>
            <w:gridSpan w:val="2"/>
            <w:shd w:val="clear" w:color="auto" w:fill="auto"/>
          </w:tcPr>
          <w:p w14:paraId="3EF95674" w14:textId="77777777" w:rsidR="004035BB" w:rsidRPr="00317F10" w:rsidRDefault="004035BB" w:rsidP="00AA2B0D">
            <w:pPr>
              <w:spacing w:before="40" w:after="120" w:line="240" w:lineRule="atLeast"/>
              <w:ind w:right="113"/>
              <w:rPr>
                <w:rFonts w:ascii="Times New Roman" w:hAnsi="Times New Roman" w:cs="Times New Roman"/>
                <w:b/>
                <w:bCs/>
                <w:sz w:val="20"/>
              </w:rPr>
            </w:pPr>
            <w:r w:rsidRPr="00317F10">
              <w:rPr>
                <w:rFonts w:ascii="Times New Roman" w:hAnsi="Times New Roman" w:cs="Times New Roman"/>
                <w:b/>
                <w:bCs/>
                <w:sz w:val="20"/>
              </w:rPr>
              <w:t xml:space="preserve">III.A.2. Eastern Europe </w:t>
            </w:r>
          </w:p>
          <w:p w14:paraId="7E768477"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responsible</w:t>
            </w:r>
            <w:r w:rsidRPr="00AA2B0D">
              <w:rPr>
                <w:rFonts w:ascii="Times New Roman" w:hAnsi="Times New Roman" w:cs="Times New Roman"/>
                <w:sz w:val="20"/>
              </w:rPr>
              <w:t>:  The secretariat in consultation with the countries concerned.</w:t>
            </w:r>
          </w:p>
        </w:tc>
      </w:tr>
      <w:tr w:rsidR="008C2231" w:rsidRPr="00AA2B0D" w14:paraId="4B847D0E" w14:textId="77777777" w:rsidTr="2A3FC294">
        <w:trPr>
          <w:trHeight w:val="300"/>
        </w:trPr>
        <w:tc>
          <w:tcPr>
            <w:tcW w:w="4911" w:type="dxa"/>
            <w:shd w:val="clear" w:color="auto" w:fill="auto"/>
          </w:tcPr>
          <w:p w14:paraId="50AF8ACA" w14:textId="77777777" w:rsidR="004035BB" w:rsidRPr="00AA2B0D" w:rsidRDefault="004035BB" w:rsidP="00AA2B0D">
            <w:pPr>
              <w:spacing w:before="40" w:after="120" w:line="240" w:lineRule="atLeast"/>
              <w:ind w:right="113"/>
              <w:rPr>
                <w:rFonts w:ascii="Times New Roman" w:hAnsi="Times New Roman" w:cs="Times New Roman"/>
                <w:sz w:val="20"/>
              </w:rPr>
            </w:pPr>
            <w:r w:rsidRPr="00207DEB">
              <w:rPr>
                <w:rFonts w:ascii="Times New Roman" w:hAnsi="Times New Roman" w:cs="Times New Roman"/>
                <w:b/>
                <w:bCs/>
                <w:sz w:val="20"/>
              </w:rPr>
              <w:t>Organize a subregional event</w:t>
            </w:r>
            <w:r w:rsidRPr="00AA2B0D">
              <w:rPr>
                <w:rFonts w:ascii="Times New Roman" w:hAnsi="Times New Roman" w:cs="Times New Roman"/>
                <w:sz w:val="20"/>
              </w:rPr>
              <w:t xml:space="preserve"> (a training workshop or study tour) </w:t>
            </w:r>
            <w:r w:rsidRPr="00207DEB">
              <w:rPr>
                <w:rFonts w:ascii="Times New Roman" w:hAnsi="Times New Roman" w:cs="Times New Roman"/>
                <w:b/>
                <w:bCs/>
                <w:sz w:val="20"/>
              </w:rPr>
              <w:t xml:space="preserve">for Armenia, Azerbaijan, Belarus, Georgia, the Republic of </w:t>
            </w:r>
            <w:proofErr w:type="gramStart"/>
            <w:r w:rsidRPr="00207DEB">
              <w:rPr>
                <w:rFonts w:ascii="Times New Roman" w:hAnsi="Times New Roman" w:cs="Times New Roman"/>
                <w:b/>
                <w:bCs/>
                <w:sz w:val="20"/>
              </w:rPr>
              <w:t>Moldova</w:t>
            </w:r>
            <w:proofErr w:type="gramEnd"/>
            <w:r w:rsidRPr="00207DEB">
              <w:rPr>
                <w:rFonts w:ascii="Times New Roman" w:hAnsi="Times New Roman" w:cs="Times New Roman"/>
                <w:b/>
                <w:bCs/>
                <w:sz w:val="20"/>
              </w:rPr>
              <w:t xml:space="preserve"> and Ukraine</w:t>
            </w:r>
            <w:r w:rsidRPr="00AA2B0D">
              <w:rPr>
                <w:rFonts w:ascii="Times New Roman" w:hAnsi="Times New Roman" w:cs="Times New Roman"/>
                <w:sz w:val="20"/>
              </w:rPr>
              <w:t xml:space="preserve">, to facilitate information exchange and experience sharing among the countries.  </w:t>
            </w:r>
          </w:p>
        </w:tc>
        <w:tc>
          <w:tcPr>
            <w:tcW w:w="4868" w:type="dxa"/>
            <w:shd w:val="clear" w:color="auto" w:fill="auto"/>
          </w:tcPr>
          <w:p w14:paraId="796C51A1"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 </w:t>
            </w:r>
            <w:hyperlink r:id="rId30" w:history="1">
              <w:r w:rsidRPr="00AA2B0D">
                <w:rPr>
                  <w:rFonts w:ascii="Times New Roman" w:hAnsi="Times New Roman" w:cs="Times New Roman"/>
                  <w:sz w:val="20"/>
                  <w:u w:val="single"/>
                </w:rPr>
                <w:t>A second subregional workshop on the practical application of SEA and transboundary EIA in Eastern Europe and the Caucasus Held online on 29 June 2022</w:t>
              </w:r>
            </w:hyperlink>
            <w:r w:rsidRPr="00AA2B0D">
              <w:rPr>
                <w:rFonts w:ascii="Times New Roman" w:hAnsi="Times New Roman" w:cs="Times New Roman"/>
                <w:sz w:val="20"/>
              </w:rPr>
              <w:t xml:space="preserve">. </w:t>
            </w:r>
          </w:p>
        </w:tc>
      </w:tr>
      <w:tr w:rsidR="004035BB" w:rsidRPr="00AA2B0D" w14:paraId="057224F0" w14:textId="77777777" w:rsidTr="2A3FC294">
        <w:trPr>
          <w:trHeight w:val="300"/>
        </w:trPr>
        <w:tc>
          <w:tcPr>
            <w:tcW w:w="9779" w:type="dxa"/>
            <w:gridSpan w:val="2"/>
            <w:shd w:val="clear" w:color="auto" w:fill="auto"/>
          </w:tcPr>
          <w:p w14:paraId="34BE6DC2" w14:textId="77777777" w:rsidR="004035BB" w:rsidRPr="00207DEB" w:rsidRDefault="004035BB" w:rsidP="00AA2B0D">
            <w:pPr>
              <w:spacing w:before="40" w:after="120" w:line="240" w:lineRule="atLeast"/>
              <w:ind w:right="113"/>
              <w:rPr>
                <w:rFonts w:ascii="Times New Roman" w:hAnsi="Times New Roman" w:cs="Times New Roman"/>
                <w:b/>
                <w:bCs/>
                <w:sz w:val="20"/>
              </w:rPr>
            </w:pPr>
            <w:bookmarkStart w:id="5" w:name="_Hlk118367209"/>
            <w:r w:rsidRPr="00207DEB">
              <w:rPr>
                <w:rFonts w:ascii="Times New Roman" w:hAnsi="Times New Roman" w:cs="Times New Roman"/>
                <w:b/>
                <w:bCs/>
                <w:sz w:val="20"/>
              </w:rPr>
              <w:t>III.A.3. Central Asia</w:t>
            </w:r>
          </w:p>
          <w:p w14:paraId="088585F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responsible</w:t>
            </w:r>
            <w:r w:rsidRPr="00AA2B0D">
              <w:rPr>
                <w:rFonts w:ascii="Times New Roman" w:hAnsi="Times New Roman" w:cs="Times New Roman"/>
                <w:sz w:val="20"/>
              </w:rPr>
              <w:t>:  Lead partner, Organization for Security and Cooperation in Europe (OSCE) with support from the secretariat and in consultation with the concerned countries.</w:t>
            </w:r>
          </w:p>
        </w:tc>
      </w:tr>
      <w:tr w:rsidR="008C2231" w:rsidRPr="00AA2B0D" w14:paraId="6433726F" w14:textId="77777777" w:rsidTr="2A3FC294">
        <w:trPr>
          <w:trHeight w:val="300"/>
        </w:trPr>
        <w:tc>
          <w:tcPr>
            <w:tcW w:w="4911" w:type="dxa"/>
            <w:shd w:val="clear" w:color="auto" w:fill="auto"/>
          </w:tcPr>
          <w:p w14:paraId="06FFBF7E" w14:textId="77777777" w:rsidR="004035BB" w:rsidRPr="00207DEB" w:rsidRDefault="004035BB" w:rsidP="00AA2B0D">
            <w:pPr>
              <w:spacing w:before="40" w:after="120" w:line="240" w:lineRule="atLeast"/>
              <w:ind w:right="113"/>
              <w:rPr>
                <w:rFonts w:ascii="Times New Roman" w:hAnsi="Times New Roman" w:cs="Times New Roman"/>
                <w:b/>
                <w:bCs/>
                <w:i/>
                <w:iCs/>
                <w:sz w:val="20"/>
              </w:rPr>
            </w:pPr>
            <w:r w:rsidRPr="00207DEB">
              <w:rPr>
                <w:rFonts w:ascii="Times New Roman" w:hAnsi="Times New Roman" w:cs="Times New Roman"/>
                <w:b/>
                <w:bCs/>
                <w:sz w:val="20"/>
              </w:rPr>
              <w:t>III.A.3.1</w:t>
            </w:r>
            <w:r w:rsidRPr="00207DEB">
              <w:rPr>
                <w:rFonts w:ascii="Times New Roman" w:hAnsi="Times New Roman" w:cs="Times New Roman"/>
                <w:b/>
                <w:bCs/>
                <w:i/>
                <w:iCs/>
                <w:sz w:val="20"/>
              </w:rPr>
              <w:t> </w:t>
            </w:r>
            <w:r w:rsidRPr="00207DEB">
              <w:rPr>
                <w:rFonts w:ascii="Times New Roman" w:hAnsi="Times New Roman" w:cs="Times New Roman"/>
                <w:b/>
                <w:bCs/>
                <w:sz w:val="20"/>
              </w:rPr>
              <w:t xml:space="preserve">Finalize needs assessment exercises/feasibility studies and draft capacity-building strategies/action plans for introducing strategic environmental assessment systems in Kazakhstan, Kyrgyzstan, Tajikistan, </w:t>
            </w:r>
            <w:proofErr w:type="gramStart"/>
            <w:r w:rsidRPr="00207DEB">
              <w:rPr>
                <w:rFonts w:ascii="Times New Roman" w:hAnsi="Times New Roman" w:cs="Times New Roman"/>
                <w:b/>
                <w:bCs/>
                <w:sz w:val="20"/>
              </w:rPr>
              <w:t>Turkmenistan</w:t>
            </w:r>
            <w:proofErr w:type="gramEnd"/>
            <w:r w:rsidRPr="00207DEB">
              <w:rPr>
                <w:rFonts w:ascii="Times New Roman" w:hAnsi="Times New Roman" w:cs="Times New Roman"/>
                <w:b/>
                <w:bCs/>
                <w:sz w:val="20"/>
              </w:rPr>
              <w:t xml:space="preserve"> and Uzbekistan</w:t>
            </w:r>
          </w:p>
        </w:tc>
        <w:tc>
          <w:tcPr>
            <w:tcW w:w="4868" w:type="dxa"/>
            <w:shd w:val="clear" w:color="auto" w:fill="auto"/>
          </w:tcPr>
          <w:p w14:paraId="1C61F002"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Kazakhstan: Needs assessment finalized and presented to the national stakeholders at a workshop on 14 December 2020 and the action plan finalised and presented to the stakeholders on 29 April </w:t>
            </w:r>
            <w:proofErr w:type="gramStart"/>
            <w:r w:rsidRPr="00AA2B0D">
              <w:rPr>
                <w:rFonts w:ascii="Times New Roman" w:hAnsi="Times New Roman" w:cs="Times New Roman"/>
                <w:sz w:val="20"/>
              </w:rPr>
              <w:t>2021;</w:t>
            </w:r>
            <w:proofErr w:type="gramEnd"/>
          </w:p>
          <w:p w14:paraId="74414F25"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Kyrgyzstan: Questionnaires collected in March 2021; Draft needs assessment and the action plan prepared and presented to the stakeholders on 11 October </w:t>
            </w:r>
            <w:proofErr w:type="gramStart"/>
            <w:r w:rsidRPr="00AA2B0D">
              <w:rPr>
                <w:rFonts w:ascii="Times New Roman" w:hAnsi="Times New Roman" w:cs="Times New Roman"/>
                <w:sz w:val="20"/>
              </w:rPr>
              <w:t>2021;</w:t>
            </w:r>
            <w:proofErr w:type="gramEnd"/>
            <w:r w:rsidRPr="00AA2B0D">
              <w:rPr>
                <w:rFonts w:ascii="Times New Roman" w:hAnsi="Times New Roman" w:cs="Times New Roman"/>
                <w:sz w:val="20"/>
              </w:rPr>
              <w:t xml:space="preserve"> </w:t>
            </w:r>
          </w:p>
          <w:p w14:paraId="08863728"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Tajikistan: Questionnaires collected in April 2021; Draft needs assessment and the action plan finalized in July </w:t>
            </w:r>
            <w:proofErr w:type="gramStart"/>
            <w:r w:rsidRPr="00AA2B0D">
              <w:rPr>
                <w:rFonts w:ascii="Times New Roman" w:hAnsi="Times New Roman" w:cs="Times New Roman"/>
                <w:sz w:val="20"/>
              </w:rPr>
              <w:t>2021;</w:t>
            </w:r>
            <w:proofErr w:type="gramEnd"/>
          </w:p>
          <w:p w14:paraId="1FFE9E9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Uzbekistan: Questionnaires </w:t>
            </w:r>
            <w:proofErr w:type="gramStart"/>
            <w:r w:rsidRPr="00AA2B0D">
              <w:rPr>
                <w:rFonts w:ascii="Times New Roman" w:hAnsi="Times New Roman" w:cs="Times New Roman"/>
                <w:sz w:val="20"/>
              </w:rPr>
              <w:t>collected</w:t>
            </w:r>
            <w:proofErr w:type="gramEnd"/>
            <w:r w:rsidRPr="00AA2B0D">
              <w:rPr>
                <w:rFonts w:ascii="Times New Roman" w:hAnsi="Times New Roman" w:cs="Times New Roman"/>
                <w:sz w:val="20"/>
              </w:rPr>
              <w:t xml:space="preserve"> and interviews conducted in March 2021; Draft needs assessment and the elements of the action plan prepared for presentation to the Government on 8 June 2021;</w:t>
            </w:r>
          </w:p>
          <w:p w14:paraId="0618103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Turkmenistan: Low commitment by the government. Draft needs assessment and the action plan prepared in July 2021 based on desk research and limited number of questionnaires received in April/May 2021; and presented to the stakeholders on 14 October 2021.</w:t>
            </w:r>
          </w:p>
        </w:tc>
      </w:tr>
      <w:tr w:rsidR="008C2231" w:rsidRPr="00AA2B0D" w14:paraId="41EEA360" w14:textId="77777777" w:rsidTr="2A3FC294">
        <w:trPr>
          <w:trHeight w:val="300"/>
        </w:trPr>
        <w:tc>
          <w:tcPr>
            <w:tcW w:w="4911" w:type="dxa"/>
            <w:shd w:val="clear" w:color="auto" w:fill="auto"/>
          </w:tcPr>
          <w:p w14:paraId="24BA05B6" w14:textId="77777777" w:rsidR="004035BB" w:rsidRPr="00AA2B0D" w:rsidRDefault="004035BB" w:rsidP="00AA2B0D">
            <w:pPr>
              <w:spacing w:before="40" w:after="120" w:line="240" w:lineRule="atLeast"/>
              <w:ind w:right="113"/>
              <w:rPr>
                <w:rFonts w:ascii="Times New Roman" w:hAnsi="Times New Roman" w:cs="Times New Roman"/>
                <w:sz w:val="20"/>
              </w:rPr>
            </w:pPr>
            <w:r w:rsidRPr="00207DEB">
              <w:rPr>
                <w:rFonts w:ascii="Times New Roman" w:hAnsi="Times New Roman" w:cs="Times New Roman"/>
                <w:b/>
                <w:bCs/>
                <w:sz w:val="20"/>
              </w:rPr>
              <w:t>III.A.3.2. Organize national awareness raising workshops in some Central Asian countries to present and discuss them</w:t>
            </w:r>
            <w:r w:rsidRPr="00AA2B0D">
              <w:rPr>
                <w:rFonts w:ascii="Times New Roman" w:hAnsi="Times New Roman" w:cs="Times New Roman"/>
                <w:sz w:val="20"/>
              </w:rPr>
              <w:t xml:space="preserve">. </w:t>
            </w:r>
          </w:p>
        </w:tc>
        <w:tc>
          <w:tcPr>
            <w:tcW w:w="4868" w:type="dxa"/>
            <w:shd w:val="clear" w:color="auto" w:fill="auto"/>
          </w:tcPr>
          <w:p w14:paraId="0F79D47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Kazakhstan: carried out on 14 December 2020 </w:t>
            </w:r>
            <w:proofErr w:type="gramStart"/>
            <w:r w:rsidRPr="00AA2B0D">
              <w:rPr>
                <w:rFonts w:ascii="Times New Roman" w:hAnsi="Times New Roman" w:cs="Times New Roman"/>
                <w:sz w:val="20"/>
              </w:rPr>
              <w:t>online;</w:t>
            </w:r>
            <w:proofErr w:type="gramEnd"/>
          </w:p>
          <w:p w14:paraId="4FD969D2"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Kyrgyzstan: carried out on 11 October 2021online.</w:t>
            </w:r>
          </w:p>
          <w:p w14:paraId="62BD6FC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Tajikistan: carried out on 17 March 2021 </w:t>
            </w:r>
            <w:proofErr w:type="gramStart"/>
            <w:r w:rsidRPr="00AA2B0D">
              <w:rPr>
                <w:rFonts w:ascii="Times New Roman" w:hAnsi="Times New Roman" w:cs="Times New Roman"/>
                <w:sz w:val="20"/>
              </w:rPr>
              <w:t>online;</w:t>
            </w:r>
            <w:proofErr w:type="gramEnd"/>
          </w:p>
          <w:p w14:paraId="18764B56"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Uzbekistan: carried out on 8 June 2021 </w:t>
            </w:r>
            <w:proofErr w:type="gramStart"/>
            <w:r w:rsidRPr="00AA2B0D">
              <w:rPr>
                <w:rFonts w:ascii="Times New Roman" w:hAnsi="Times New Roman" w:cs="Times New Roman"/>
                <w:sz w:val="20"/>
              </w:rPr>
              <w:t>online;</w:t>
            </w:r>
            <w:proofErr w:type="gramEnd"/>
          </w:p>
          <w:p w14:paraId="0D34E981"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Turkmenistan: carried out on 14 October 2021 online. </w:t>
            </w:r>
          </w:p>
        </w:tc>
      </w:tr>
      <w:tr w:rsidR="008C2231" w:rsidRPr="00AA2B0D" w14:paraId="6B62CD1A" w14:textId="77777777" w:rsidTr="2A3FC294">
        <w:trPr>
          <w:trHeight w:val="300"/>
        </w:trPr>
        <w:tc>
          <w:tcPr>
            <w:tcW w:w="4911" w:type="dxa"/>
            <w:shd w:val="clear" w:color="auto" w:fill="auto"/>
          </w:tcPr>
          <w:p w14:paraId="7AFE657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lastRenderedPageBreak/>
              <w:t>III.A.3.2. Organize a final sub-regional event in one of the Central Asian countries to share experience and discuss lessons learned</w:t>
            </w:r>
          </w:p>
        </w:tc>
        <w:tc>
          <w:tcPr>
            <w:tcW w:w="4868" w:type="dxa"/>
            <w:shd w:val="clear" w:color="auto" w:fill="auto"/>
          </w:tcPr>
          <w:p w14:paraId="0C87DDBA"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Organized on 10 November 2021 in a video-bridge format (Ashkhabad, Bishkek, Dushanbe, Nur-Sultan, Tashkent, Vienna) to finalize the joint UNECE/OSCE project “"Strengthening national and regional capacities and cooperation on Strategic Environmental Assessment (SEA) in Central Asia, including as a response to climate change" funding by Germany, OSCE and UNECE </w:t>
            </w:r>
          </w:p>
          <w:p w14:paraId="5351EB55" w14:textId="77777777" w:rsidR="004035BB" w:rsidRPr="00AA2B0D" w:rsidRDefault="004035BB" w:rsidP="00AA2B0D">
            <w:pPr>
              <w:spacing w:before="40" w:after="120" w:line="240" w:lineRule="atLeast"/>
              <w:ind w:right="113"/>
              <w:rPr>
                <w:rFonts w:ascii="Times New Roman" w:hAnsi="Times New Roman" w:cs="Times New Roman"/>
                <w:sz w:val="20"/>
                <w:lang w:val="en-US"/>
              </w:rPr>
            </w:pPr>
            <w:r w:rsidRPr="00AA2B0D">
              <w:rPr>
                <w:rFonts w:ascii="Times New Roman" w:hAnsi="Times New Roman" w:cs="Times New Roman"/>
                <w:sz w:val="20"/>
                <w:lang w:val="en-US"/>
              </w:rPr>
              <w:t xml:space="preserve">The (meeting format-related) savings from the project used to translate the following materials available in English and in Russian also into the national languages of the five </w:t>
            </w:r>
            <w:proofErr w:type="spellStart"/>
            <w:r w:rsidRPr="00AA2B0D">
              <w:rPr>
                <w:rFonts w:ascii="Times New Roman" w:hAnsi="Times New Roman" w:cs="Times New Roman"/>
                <w:sz w:val="20"/>
                <w:lang w:val="en-US"/>
              </w:rPr>
              <w:t>Cental</w:t>
            </w:r>
            <w:proofErr w:type="spellEnd"/>
            <w:r w:rsidRPr="00AA2B0D">
              <w:rPr>
                <w:rFonts w:ascii="Times New Roman" w:hAnsi="Times New Roman" w:cs="Times New Roman"/>
                <w:sz w:val="20"/>
                <w:lang w:val="en-US"/>
              </w:rPr>
              <w:t xml:space="preserve"> Asian countries: </w:t>
            </w:r>
          </w:p>
          <w:p w14:paraId="08BDEFA7" w14:textId="77777777" w:rsidR="004035BB" w:rsidRPr="00AA2B0D" w:rsidRDefault="004035BB" w:rsidP="00E5600A">
            <w:pPr>
              <w:numPr>
                <w:ilvl w:val="0"/>
                <w:numId w:val="37"/>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lang w:val="en-US"/>
              </w:rPr>
              <w:t>UNECE publication "</w:t>
            </w:r>
            <w:r w:rsidRPr="00AA2B0D">
              <w:rPr>
                <w:rFonts w:ascii="Times New Roman" w:hAnsi="Times New Roman" w:cs="Times New Roman"/>
                <w:i/>
                <w:iCs/>
                <w:sz w:val="20"/>
                <w:lang w:val="en-US"/>
              </w:rPr>
              <w:t>Protocol on Strategic Environmental Assessment: Facts and Benefits</w:t>
            </w:r>
            <w:r w:rsidRPr="00AA2B0D">
              <w:rPr>
                <w:rFonts w:ascii="Times New Roman" w:hAnsi="Times New Roman" w:cs="Times New Roman"/>
                <w:sz w:val="20"/>
                <w:lang w:val="en-US"/>
              </w:rPr>
              <w:t xml:space="preserve">” </w:t>
            </w:r>
          </w:p>
          <w:p w14:paraId="799F8FFD" w14:textId="77777777" w:rsidR="004035BB" w:rsidRPr="00AA2B0D" w:rsidRDefault="004035BB" w:rsidP="00E5600A">
            <w:pPr>
              <w:numPr>
                <w:ilvl w:val="0"/>
                <w:numId w:val="37"/>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UNECE video on the Protocol </w:t>
            </w:r>
          </w:p>
          <w:p w14:paraId="7963D132" w14:textId="77777777" w:rsidR="004035BB" w:rsidRPr="00AA2B0D" w:rsidRDefault="004035BB" w:rsidP="00E5600A">
            <w:pPr>
              <w:numPr>
                <w:ilvl w:val="0"/>
                <w:numId w:val="37"/>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lang w:val="en-US"/>
              </w:rPr>
              <w:t>OSCE publication</w:t>
            </w:r>
            <w:r w:rsidRPr="00AA2B0D">
              <w:rPr>
                <w:rFonts w:ascii="Times New Roman" w:hAnsi="Times New Roman" w:cs="Times New Roman"/>
                <w:sz w:val="20"/>
              </w:rPr>
              <w:t xml:space="preserve"> </w:t>
            </w:r>
            <w:hyperlink r:id="rId31" w:history="1">
              <w:r w:rsidRPr="00AA2B0D">
                <w:rPr>
                  <w:rFonts w:ascii="Times New Roman" w:hAnsi="Times New Roman" w:cs="Times New Roman"/>
                  <w:sz w:val="20"/>
                  <w:u w:val="single"/>
                </w:rPr>
                <w:t>“</w:t>
              </w:r>
              <w:r w:rsidRPr="00AA2B0D">
                <w:rPr>
                  <w:rFonts w:ascii="Times New Roman" w:hAnsi="Times New Roman" w:cs="Times New Roman"/>
                  <w:sz w:val="20"/>
                  <w:u w:val="single"/>
                  <w:lang w:val="en-US"/>
                </w:rPr>
                <w:t>An illustrated guide of the Espoo Convention and its Protocol</w:t>
              </w:r>
            </w:hyperlink>
            <w:r w:rsidRPr="00AA2B0D">
              <w:rPr>
                <w:rFonts w:ascii="Times New Roman" w:hAnsi="Times New Roman" w:cs="Times New Roman"/>
                <w:sz w:val="20"/>
                <w:lang w:val="en-US"/>
              </w:rPr>
              <w:t>” (completed in all five languages).</w:t>
            </w:r>
          </w:p>
          <w:p w14:paraId="055D67C6" w14:textId="77777777" w:rsidR="004035BB" w:rsidRPr="00AA2B0D" w:rsidRDefault="004035BB" w:rsidP="00AA2B0D">
            <w:pPr>
              <w:spacing w:before="40" w:after="120" w:line="240" w:lineRule="atLeast"/>
              <w:ind w:right="113"/>
              <w:rPr>
                <w:rFonts w:ascii="Times New Roman" w:hAnsi="Times New Roman" w:cs="Times New Roman"/>
                <w:sz w:val="20"/>
              </w:rPr>
            </w:pPr>
          </w:p>
        </w:tc>
      </w:tr>
      <w:tr w:rsidR="004035BB" w:rsidRPr="00AA2B0D" w14:paraId="179682AC" w14:textId="77777777" w:rsidTr="2A3FC294">
        <w:trPr>
          <w:trHeight w:val="300"/>
        </w:trPr>
        <w:tc>
          <w:tcPr>
            <w:tcW w:w="9779" w:type="dxa"/>
            <w:gridSpan w:val="2"/>
            <w:shd w:val="clear" w:color="auto" w:fill="auto"/>
          </w:tcPr>
          <w:p w14:paraId="486344CC" w14:textId="77777777" w:rsidR="004035BB" w:rsidRPr="00E5600A" w:rsidRDefault="004035BB" w:rsidP="00AA2B0D">
            <w:pPr>
              <w:spacing w:before="40" w:after="120" w:line="240" w:lineRule="atLeast"/>
              <w:ind w:right="113"/>
              <w:rPr>
                <w:rFonts w:ascii="Times New Roman" w:hAnsi="Times New Roman" w:cs="Times New Roman"/>
                <w:b/>
                <w:bCs/>
                <w:sz w:val="20"/>
              </w:rPr>
            </w:pPr>
            <w:r w:rsidRPr="00E5600A">
              <w:rPr>
                <w:rFonts w:ascii="Times New Roman" w:hAnsi="Times New Roman" w:cs="Times New Roman"/>
                <w:b/>
                <w:bCs/>
                <w:sz w:val="20"/>
              </w:rPr>
              <w:t>III.A.4. Marine regions</w:t>
            </w:r>
          </w:p>
          <w:p w14:paraId="235324B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xml:space="preserve">) responsible: </w:t>
            </w:r>
            <w:r w:rsidRPr="00AA2B0D">
              <w:rPr>
                <w:rFonts w:ascii="Times New Roman" w:hAnsi="Times New Roman" w:cs="Times New Roman"/>
                <w:sz w:val="20"/>
              </w:rPr>
              <w:t>Italy, as the lead country, together with other interested Parties to the Espoo Convention and its Protocol and to the other regional seas conventions, supported by the treaty secretariats, within the limits of the available resources. The Bureau, assisted by the secretariat, would be responsible for the initial planning of the activity, to be implemented with the support of consultants.</w:t>
            </w:r>
          </w:p>
          <w:p w14:paraId="47B576A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Resource requirements: </w:t>
            </w:r>
            <w:r w:rsidRPr="00AA2B0D">
              <w:rPr>
                <w:rFonts w:ascii="Times New Roman" w:hAnsi="Times New Roman" w:cs="Times New Roman"/>
                <w:sz w:val="20"/>
              </w:rPr>
              <w:t xml:space="preserve">€120,000 (or €40,000 per year), earmarked and to be provided by Italy during </w:t>
            </w:r>
            <w:proofErr w:type="gramStart"/>
            <w:r w:rsidRPr="00AA2B0D">
              <w:rPr>
                <w:rFonts w:ascii="Times New Roman" w:hAnsi="Times New Roman" w:cs="Times New Roman"/>
                <w:sz w:val="20"/>
              </w:rPr>
              <w:t>the  period</w:t>
            </w:r>
            <w:proofErr w:type="gramEnd"/>
            <w:r w:rsidRPr="00AA2B0D">
              <w:rPr>
                <w:rFonts w:ascii="Times New Roman" w:hAnsi="Times New Roman" w:cs="Times New Roman"/>
                <w:sz w:val="20"/>
              </w:rPr>
              <w:t xml:space="preserve"> 2021–2023 to cover all the costs, including those of the consultants and other organizational costs; possible contributions by other interested Parties.</w:t>
            </w:r>
          </w:p>
        </w:tc>
      </w:tr>
      <w:tr w:rsidR="008C2231" w:rsidRPr="00AA2B0D" w14:paraId="04C052A4" w14:textId="77777777" w:rsidTr="2A3FC294">
        <w:trPr>
          <w:trHeight w:val="300"/>
        </w:trPr>
        <w:tc>
          <w:tcPr>
            <w:tcW w:w="4911" w:type="dxa"/>
            <w:shd w:val="clear" w:color="auto" w:fill="auto"/>
          </w:tcPr>
          <w:p w14:paraId="041FC054" w14:textId="77777777" w:rsidR="004035BB" w:rsidRPr="00AA2B0D" w:rsidRDefault="004035BB" w:rsidP="00AA2B0D">
            <w:pPr>
              <w:spacing w:before="40" w:after="120" w:line="240" w:lineRule="atLeast"/>
              <w:ind w:right="113"/>
              <w:rPr>
                <w:rFonts w:ascii="Times New Roman" w:hAnsi="Times New Roman" w:cs="Times New Roman"/>
                <w:sz w:val="20"/>
              </w:rPr>
            </w:pPr>
            <w:r w:rsidRPr="00E5600A">
              <w:rPr>
                <w:rFonts w:ascii="Times New Roman" w:hAnsi="Times New Roman" w:cs="Times New Roman"/>
                <w:b/>
                <w:bCs/>
                <w:sz w:val="20"/>
              </w:rPr>
              <w:t>A.4.1. Carry out a feasibility study to map out synergies and benefits for possible future cooperation activities to improve the coherence and the links between the Espoo Convention, its Protocol and the (Barcelona Convention) and other regional seas conventions</w:t>
            </w:r>
            <w:r w:rsidRPr="00AA2B0D">
              <w:rPr>
                <w:rFonts w:ascii="Times New Roman" w:hAnsi="Times New Roman" w:cs="Times New Roman"/>
                <w:sz w:val="20"/>
              </w:rPr>
              <w:t xml:space="preserve">. </w:t>
            </w:r>
          </w:p>
          <w:p w14:paraId="512200B3" w14:textId="77777777" w:rsidR="004035BB" w:rsidRPr="00AA2B0D" w:rsidRDefault="004035BB" w:rsidP="00AA2B0D">
            <w:pPr>
              <w:spacing w:before="40" w:after="120" w:line="240" w:lineRule="atLeast"/>
              <w:ind w:right="113"/>
              <w:rPr>
                <w:rFonts w:ascii="Times New Roman" w:hAnsi="Times New Roman" w:cs="Times New Roman"/>
                <w:sz w:val="20"/>
              </w:rPr>
            </w:pPr>
            <w:r w:rsidRPr="00E5600A">
              <w:rPr>
                <w:rFonts w:ascii="Times New Roman" w:hAnsi="Times New Roman" w:cs="Times New Roman"/>
                <w:b/>
                <w:bCs/>
                <w:sz w:val="20"/>
              </w:rPr>
              <w:t>A.4.2. Organize up to one joint technical (online) meeting per year</w:t>
            </w:r>
            <w:r w:rsidRPr="00AA2B0D">
              <w:rPr>
                <w:rFonts w:ascii="Times New Roman" w:hAnsi="Times New Roman" w:cs="Times New Roman"/>
                <w:sz w:val="20"/>
              </w:rPr>
              <w:t xml:space="preserve">, with interested Parties and the secretariats of </w:t>
            </w:r>
            <w:bookmarkStart w:id="6" w:name="_Hlk58140932"/>
            <w:bookmarkStart w:id="7" w:name="_Hlk58140469"/>
            <w:r w:rsidRPr="00AA2B0D">
              <w:rPr>
                <w:rFonts w:ascii="Times New Roman" w:hAnsi="Times New Roman" w:cs="Times New Roman"/>
                <w:sz w:val="20"/>
              </w:rPr>
              <w:t>regional seas conventions</w:t>
            </w:r>
            <w:bookmarkEnd w:id="6"/>
            <w:r w:rsidRPr="00AA2B0D">
              <w:rPr>
                <w:rFonts w:ascii="Times New Roman" w:hAnsi="Times New Roman" w:cs="Times New Roman"/>
                <w:sz w:val="20"/>
              </w:rPr>
              <w:t xml:space="preserve">, to discuss and further develop the outcomes of the feasibility study, with a view to identifying synergies and possible cooperation opportunities between the respective treaties </w:t>
            </w:r>
            <w:proofErr w:type="gramStart"/>
            <w:r w:rsidRPr="00AA2B0D">
              <w:rPr>
                <w:rFonts w:ascii="Times New Roman" w:hAnsi="Times New Roman" w:cs="Times New Roman"/>
                <w:sz w:val="20"/>
              </w:rPr>
              <w:t>As</w:t>
            </w:r>
            <w:proofErr w:type="gramEnd"/>
            <w:r w:rsidRPr="00AA2B0D">
              <w:rPr>
                <w:rFonts w:ascii="Times New Roman" w:hAnsi="Times New Roman" w:cs="Times New Roman"/>
                <w:sz w:val="20"/>
              </w:rPr>
              <w:t xml:space="preserve"> needed, for the Mediterranean subregion, the possibility of online French interpretation should be explored. Prepare reports on the outcomes of the joint technical meetings and make them available for information and consideration of the Parties to the respective treaties.</w:t>
            </w:r>
            <w:bookmarkEnd w:id="7"/>
          </w:p>
          <w:p w14:paraId="2081B6FC" w14:textId="77777777" w:rsidR="004035BB" w:rsidRPr="00AA2B0D" w:rsidRDefault="004035BB" w:rsidP="00AA2B0D">
            <w:pPr>
              <w:spacing w:before="40" w:after="120" w:line="240" w:lineRule="atLeast"/>
              <w:ind w:right="113"/>
              <w:rPr>
                <w:rFonts w:ascii="Times New Roman" w:hAnsi="Times New Roman" w:cs="Times New Roman"/>
                <w:sz w:val="20"/>
              </w:rPr>
            </w:pPr>
            <w:r w:rsidRPr="00E5600A">
              <w:rPr>
                <w:rFonts w:ascii="Times New Roman" w:hAnsi="Times New Roman" w:cs="Times New Roman"/>
                <w:b/>
                <w:bCs/>
                <w:sz w:val="20"/>
              </w:rPr>
              <w:t>A.4.3. Prepare a final report</w:t>
            </w:r>
            <w:r w:rsidRPr="00AA2B0D">
              <w:rPr>
                <w:rFonts w:ascii="Times New Roman" w:hAnsi="Times New Roman" w:cs="Times New Roman"/>
                <w:sz w:val="20"/>
              </w:rPr>
              <w:t xml:space="preserve"> presenting the identified synergies and a vision for the “way forward” and its benefits, and proposing possible joint activities for the subsequent workplans, starting with the workplan for 2024</w:t>
            </w:r>
            <w:bookmarkStart w:id="8" w:name="_Hlk60414885"/>
            <w:r w:rsidRPr="00AA2B0D">
              <w:rPr>
                <w:rFonts w:ascii="Times New Roman" w:hAnsi="Times New Roman" w:cs="Times New Roman"/>
                <w:sz w:val="20"/>
              </w:rPr>
              <w:t>–</w:t>
            </w:r>
            <w:bookmarkEnd w:id="8"/>
            <w:r w:rsidRPr="00AA2B0D">
              <w:rPr>
                <w:rFonts w:ascii="Times New Roman" w:hAnsi="Times New Roman" w:cs="Times New Roman"/>
                <w:sz w:val="20"/>
              </w:rPr>
              <w:t>2026 to be considered by the Meetings of the Parties.</w:t>
            </w:r>
          </w:p>
        </w:tc>
        <w:tc>
          <w:tcPr>
            <w:tcW w:w="4868" w:type="dxa"/>
            <w:shd w:val="clear" w:color="auto" w:fill="auto"/>
          </w:tcPr>
          <w:p w14:paraId="2B55A0DD" w14:textId="77777777" w:rsidR="004035BB" w:rsidRPr="00AA2B0D" w:rsidRDefault="004035BB" w:rsidP="00E5600A">
            <w:pPr>
              <w:numPr>
                <w:ilvl w:val="0"/>
                <w:numId w:val="38"/>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In June 2021, the Bureau agreed on: scope, contents, initial </w:t>
            </w:r>
            <w:proofErr w:type="gramStart"/>
            <w:r w:rsidRPr="00AA2B0D">
              <w:rPr>
                <w:rFonts w:ascii="Times New Roman" w:hAnsi="Times New Roman" w:cs="Times New Roman"/>
                <w:sz w:val="20"/>
              </w:rPr>
              <w:t>planning</w:t>
            </w:r>
            <w:proofErr w:type="gramEnd"/>
            <w:r w:rsidRPr="00AA2B0D">
              <w:rPr>
                <w:rFonts w:ascii="Times New Roman" w:hAnsi="Times New Roman" w:cs="Times New Roman"/>
                <w:sz w:val="20"/>
              </w:rPr>
              <w:t xml:space="preserve"> and next steps based on a note prepared by the secretariat in consultation with Italy. </w:t>
            </w:r>
          </w:p>
          <w:p w14:paraId="0F09046C" w14:textId="77777777" w:rsidR="004035BB" w:rsidRPr="00AA2B0D" w:rsidRDefault="004035BB" w:rsidP="00E5600A">
            <w:pPr>
              <w:numPr>
                <w:ilvl w:val="0"/>
                <w:numId w:val="38"/>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With the donor funding (from late September 2021) and based on the </w:t>
            </w:r>
            <w:proofErr w:type="spellStart"/>
            <w:r w:rsidRPr="00AA2B0D">
              <w:rPr>
                <w:rFonts w:ascii="Times New Roman" w:hAnsi="Times New Roman" w:cs="Times New Roman"/>
                <w:sz w:val="20"/>
              </w:rPr>
              <w:t>ToRs</w:t>
            </w:r>
            <w:proofErr w:type="spellEnd"/>
            <w:r w:rsidRPr="00AA2B0D">
              <w:rPr>
                <w:rFonts w:ascii="Times New Roman" w:hAnsi="Times New Roman" w:cs="Times New Roman"/>
                <w:sz w:val="20"/>
              </w:rPr>
              <w:t xml:space="preserve"> agreed with Italy, two consultants recruited (on EIA and SEA and on marine issues): </w:t>
            </w:r>
          </w:p>
          <w:p w14:paraId="67FB574F" w14:textId="77777777" w:rsidR="004035BB" w:rsidRPr="00AA2B0D" w:rsidRDefault="004035BB" w:rsidP="00E5600A">
            <w:pPr>
              <w:numPr>
                <w:ilvl w:val="0"/>
                <w:numId w:val="38"/>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August 2021, the secretariat contacted 6 regional sea convention/commission secretariats collecting expressions of interest and information (by now, all 6 are involved</w:t>
            </w:r>
            <w:proofErr w:type="gramStart"/>
            <w:r w:rsidRPr="00AA2B0D">
              <w:rPr>
                <w:rFonts w:ascii="Times New Roman" w:hAnsi="Times New Roman" w:cs="Times New Roman"/>
                <w:sz w:val="20"/>
              </w:rPr>
              <w:t>);</w:t>
            </w:r>
            <w:proofErr w:type="gramEnd"/>
            <w:r w:rsidRPr="00AA2B0D">
              <w:rPr>
                <w:rFonts w:ascii="Times New Roman" w:hAnsi="Times New Roman" w:cs="Times New Roman"/>
                <w:sz w:val="20"/>
              </w:rPr>
              <w:t xml:space="preserve"> </w:t>
            </w:r>
          </w:p>
          <w:p w14:paraId="305154C1" w14:textId="77777777" w:rsidR="004035BB" w:rsidRPr="00AA2B0D" w:rsidRDefault="004035BB" w:rsidP="00E5600A">
            <w:pPr>
              <w:numPr>
                <w:ilvl w:val="0"/>
                <w:numId w:val="39"/>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13 interested Parties nominated contact points for commenting work in progress and attending technical meetings (this far: AZ, FI, FR, DE, GR, IT, NO, POL, RO, SI, ES, SE, EU</w:t>
            </w:r>
            <w:proofErr w:type="gramStart"/>
            <w:r w:rsidRPr="00AA2B0D">
              <w:rPr>
                <w:rFonts w:ascii="Times New Roman" w:hAnsi="Times New Roman" w:cs="Times New Roman"/>
                <w:sz w:val="20"/>
              </w:rPr>
              <w:t>);</w:t>
            </w:r>
            <w:proofErr w:type="gramEnd"/>
            <w:r w:rsidRPr="00AA2B0D">
              <w:rPr>
                <w:rFonts w:ascii="Times New Roman" w:hAnsi="Times New Roman" w:cs="Times New Roman"/>
                <w:sz w:val="20"/>
              </w:rPr>
              <w:t xml:space="preserve">  </w:t>
            </w:r>
          </w:p>
          <w:p w14:paraId="3B2D4EE6" w14:textId="1625C6AD" w:rsidR="004035BB" w:rsidRPr="00AA2B0D" w:rsidRDefault="00666D70" w:rsidP="00AA2B0D">
            <w:pPr>
              <w:spacing w:before="40" w:after="120" w:line="240" w:lineRule="atLeast"/>
              <w:ind w:right="113"/>
              <w:rPr>
                <w:rFonts w:ascii="Times New Roman" w:hAnsi="Times New Roman" w:cs="Times New Roman"/>
                <w:sz w:val="20"/>
              </w:rPr>
            </w:pPr>
            <w:r>
              <w:rPr>
                <w:rFonts w:ascii="Times New Roman" w:hAnsi="Times New Roman" w:cs="Times New Roman"/>
                <w:sz w:val="20"/>
              </w:rPr>
              <w:t>Three</w:t>
            </w:r>
            <w:r w:rsidR="004035BB" w:rsidRPr="00AA2B0D">
              <w:rPr>
                <w:rFonts w:ascii="Times New Roman" w:hAnsi="Times New Roman" w:cs="Times New Roman"/>
                <w:sz w:val="20"/>
              </w:rPr>
              <w:t xml:space="preserve"> technical joint meetings organized by the secretariat, with support from consultants and in consultation with Italy to discuss draft assessment reports. In between the technical meetings, representatives of the regional sea conventions and volunteering focal points could comment the draft documents </w:t>
            </w:r>
            <w:proofErr w:type="gramStart"/>
            <w:r w:rsidR="004035BB" w:rsidRPr="00AA2B0D">
              <w:rPr>
                <w:rFonts w:ascii="Times New Roman" w:hAnsi="Times New Roman" w:cs="Times New Roman"/>
                <w:sz w:val="20"/>
              </w:rPr>
              <w:t>electronically :</w:t>
            </w:r>
            <w:proofErr w:type="gramEnd"/>
            <w:r w:rsidR="004035BB" w:rsidRPr="00AA2B0D">
              <w:rPr>
                <w:rFonts w:ascii="Times New Roman" w:hAnsi="Times New Roman" w:cs="Times New Roman"/>
                <w:sz w:val="20"/>
              </w:rPr>
              <w:t xml:space="preserve"> </w:t>
            </w:r>
          </w:p>
          <w:p w14:paraId="54389EC7" w14:textId="77777777" w:rsidR="004035BB" w:rsidRPr="00AA2B0D" w:rsidRDefault="004035BB" w:rsidP="000E457B">
            <w:pPr>
              <w:numPr>
                <w:ilvl w:val="0"/>
                <w:numId w:val="40"/>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lastRenderedPageBreak/>
              <w:t>(Online) 19 November 2021: An initial/ kick-off technical meeting with secretariats of 5 regional seas conventions/commissions and representatives of Espoo Convention &amp; Protocol Parties, to discuss an initial draft assessment report.</w:t>
            </w:r>
          </w:p>
          <w:p w14:paraId="1B300E3D" w14:textId="77777777" w:rsidR="004035BB" w:rsidRDefault="004035BB" w:rsidP="000E457B">
            <w:pPr>
              <w:numPr>
                <w:ilvl w:val="0"/>
                <w:numId w:val="40"/>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(Online) 16 June 2022:  a second technical joint meeting with representatives of Parties and secretariats of the participating regional seas conventions/commissions discussed and agreed on a draft assessment report. Poland presented good practice on the application of the </w:t>
            </w:r>
            <w:proofErr w:type="gramStart"/>
            <w:r w:rsidRPr="00AA2B0D">
              <w:rPr>
                <w:rFonts w:ascii="Times New Roman" w:hAnsi="Times New Roman" w:cs="Times New Roman"/>
                <w:sz w:val="20"/>
              </w:rPr>
              <w:t>Convention;</w:t>
            </w:r>
            <w:proofErr w:type="gramEnd"/>
            <w:r w:rsidRPr="00AA2B0D">
              <w:rPr>
                <w:rFonts w:ascii="Times New Roman" w:hAnsi="Times New Roman" w:cs="Times New Roman"/>
                <w:sz w:val="20"/>
              </w:rPr>
              <w:t xml:space="preserve"> Slovenia and Italy of the Protocol. </w:t>
            </w:r>
          </w:p>
          <w:p w14:paraId="198E87AB" w14:textId="26E0FDC4" w:rsidR="003F2060" w:rsidRPr="00AA2B0D" w:rsidRDefault="6C30D790" w:rsidP="000E457B">
            <w:pPr>
              <w:numPr>
                <w:ilvl w:val="0"/>
                <w:numId w:val="40"/>
              </w:numPr>
              <w:spacing w:before="40" w:after="120" w:line="240" w:lineRule="atLeast"/>
              <w:ind w:right="113"/>
              <w:rPr>
                <w:rFonts w:ascii="Times New Roman" w:hAnsi="Times New Roman" w:cs="Times New Roman"/>
                <w:sz w:val="20"/>
              </w:rPr>
            </w:pPr>
            <w:r w:rsidRPr="2A3FC294">
              <w:rPr>
                <w:rFonts w:ascii="Times New Roman" w:hAnsi="Times New Roman" w:cs="Times New Roman"/>
                <w:sz w:val="20"/>
                <w:szCs w:val="20"/>
              </w:rPr>
              <w:t xml:space="preserve">(Online) 16 May 2023: </w:t>
            </w:r>
            <w:r w:rsidR="0B1DF9E1" w:rsidRPr="2A3FC294">
              <w:rPr>
                <w:rFonts w:ascii="Times New Roman" w:hAnsi="Times New Roman" w:cs="Times New Roman"/>
                <w:sz w:val="20"/>
                <w:szCs w:val="20"/>
              </w:rPr>
              <w:t>a third joint technical meeting on synergies and possible cooperation activities in marine regions</w:t>
            </w:r>
            <w:r w:rsidR="0EB197CD" w:rsidRPr="2A3FC294">
              <w:rPr>
                <w:rFonts w:ascii="Times New Roman" w:hAnsi="Times New Roman" w:cs="Times New Roman"/>
                <w:sz w:val="20"/>
                <w:szCs w:val="20"/>
              </w:rPr>
              <w:t>.</w:t>
            </w:r>
          </w:p>
          <w:p w14:paraId="1D9EFAC0"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On 17 June 2022 an inter-secretariat meeting was held in Geneva/online to discuss the next steps. The Working Group has been informed and consulted on progress </w:t>
            </w:r>
          </w:p>
          <w:p w14:paraId="77066140" w14:textId="45B2AD9B" w:rsidR="004035BB" w:rsidRPr="00AA2B0D" w:rsidRDefault="004035BB" w:rsidP="000E457B">
            <w:pPr>
              <w:numPr>
                <w:ilvl w:val="0"/>
                <w:numId w:val="41"/>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December 2021, at its 10</w:t>
            </w:r>
            <w:r w:rsidRPr="00AA2B0D">
              <w:rPr>
                <w:rFonts w:ascii="Times New Roman" w:hAnsi="Times New Roman" w:cs="Times New Roman"/>
                <w:sz w:val="20"/>
                <w:vertAlign w:val="superscript"/>
              </w:rPr>
              <w:t>th</w:t>
            </w:r>
            <w:r w:rsidRPr="00AA2B0D">
              <w:rPr>
                <w:rFonts w:ascii="Times New Roman" w:hAnsi="Times New Roman" w:cs="Times New Roman"/>
                <w:sz w:val="20"/>
              </w:rPr>
              <w:t xml:space="preserve"> meeting, it considered presentations by consultants, </w:t>
            </w:r>
            <w:proofErr w:type="gramStart"/>
            <w:r w:rsidRPr="00AA2B0D">
              <w:rPr>
                <w:rFonts w:ascii="Times New Roman" w:hAnsi="Times New Roman" w:cs="Times New Roman"/>
                <w:sz w:val="20"/>
              </w:rPr>
              <w:t>Italy</w:t>
            </w:r>
            <w:proofErr w:type="gramEnd"/>
            <w:r w:rsidRPr="00AA2B0D">
              <w:rPr>
                <w:rFonts w:ascii="Times New Roman" w:hAnsi="Times New Roman" w:cs="Times New Roman"/>
                <w:sz w:val="20"/>
              </w:rPr>
              <w:t xml:space="preserve"> and the secretariat; and documents ECE.MP.EIA/WG.2.2021/5 and ECE.MP.EIA/WG.2/2021/INF.6. It welcomed the progress made and invited Parties to share relevant good practice. </w:t>
            </w:r>
          </w:p>
          <w:p w14:paraId="4ACDDBB8" w14:textId="4BB5BB8C" w:rsidR="004035BB" w:rsidRDefault="00B77050" w:rsidP="000E457B">
            <w:pPr>
              <w:numPr>
                <w:ilvl w:val="0"/>
                <w:numId w:val="41"/>
              </w:numPr>
              <w:spacing w:before="40" w:after="120" w:line="240" w:lineRule="atLeast"/>
              <w:ind w:right="113"/>
              <w:rPr>
                <w:rFonts w:ascii="Times New Roman" w:hAnsi="Times New Roman" w:cs="Times New Roman"/>
                <w:sz w:val="20"/>
              </w:rPr>
            </w:pPr>
            <w:r>
              <w:rPr>
                <w:rFonts w:ascii="Times New Roman" w:hAnsi="Times New Roman" w:cs="Times New Roman"/>
                <w:sz w:val="20"/>
              </w:rPr>
              <w:t xml:space="preserve">In </w:t>
            </w:r>
            <w:r w:rsidR="004035BB" w:rsidRPr="00AA2B0D">
              <w:rPr>
                <w:rFonts w:ascii="Times New Roman" w:hAnsi="Times New Roman" w:cs="Times New Roman"/>
                <w:sz w:val="20"/>
              </w:rPr>
              <w:t>December 2022 (11</w:t>
            </w:r>
            <w:r w:rsidR="004035BB" w:rsidRPr="00AA2B0D">
              <w:rPr>
                <w:rFonts w:ascii="Times New Roman" w:hAnsi="Times New Roman" w:cs="Times New Roman"/>
                <w:sz w:val="20"/>
                <w:vertAlign w:val="superscript"/>
              </w:rPr>
              <w:t>th</w:t>
            </w:r>
            <w:r w:rsidR="004035BB" w:rsidRPr="00AA2B0D">
              <w:rPr>
                <w:rFonts w:ascii="Times New Roman" w:hAnsi="Times New Roman" w:cs="Times New Roman"/>
                <w:sz w:val="20"/>
              </w:rPr>
              <w:t xml:space="preserve"> meeting), the Working Group </w:t>
            </w:r>
            <w:r w:rsidR="00E40205">
              <w:rPr>
                <w:rFonts w:ascii="Times New Roman" w:hAnsi="Times New Roman" w:cs="Times New Roman"/>
                <w:sz w:val="20"/>
              </w:rPr>
              <w:t xml:space="preserve">welcomed </w:t>
            </w:r>
            <w:r w:rsidR="004035BB" w:rsidRPr="00AA2B0D">
              <w:rPr>
                <w:rFonts w:ascii="Times New Roman" w:hAnsi="Times New Roman" w:cs="Times New Roman"/>
                <w:sz w:val="20"/>
              </w:rPr>
              <w:t xml:space="preserve">the draft assessment report, </w:t>
            </w:r>
            <w:r w:rsidR="00E40205">
              <w:rPr>
                <w:rFonts w:ascii="Times New Roman" w:hAnsi="Times New Roman" w:cs="Times New Roman"/>
                <w:sz w:val="20"/>
              </w:rPr>
              <w:t xml:space="preserve">that proposed </w:t>
            </w:r>
            <w:r w:rsidR="004035BB" w:rsidRPr="00AA2B0D">
              <w:rPr>
                <w:rFonts w:ascii="Times New Roman" w:hAnsi="Times New Roman" w:cs="Times New Roman"/>
                <w:sz w:val="20"/>
              </w:rPr>
              <w:t>possible cooperation activities (ECE/MP.EIA/WG.2/2022/INF.10</w:t>
            </w:r>
            <w:proofErr w:type="gramStart"/>
            <w:r w:rsidR="004035BB" w:rsidRPr="00AA2B0D">
              <w:rPr>
                <w:rFonts w:ascii="Times New Roman" w:hAnsi="Times New Roman" w:cs="Times New Roman"/>
                <w:sz w:val="20"/>
              </w:rPr>
              <w:t>)</w:t>
            </w:r>
            <w:r w:rsidR="00DF6DE4">
              <w:rPr>
                <w:rFonts w:ascii="Times New Roman" w:hAnsi="Times New Roman" w:cs="Times New Roman"/>
                <w:sz w:val="20"/>
              </w:rPr>
              <w:t>, and</w:t>
            </w:r>
            <w:proofErr w:type="gramEnd"/>
            <w:r w:rsidR="00DF6DE4">
              <w:rPr>
                <w:rFonts w:ascii="Times New Roman" w:hAnsi="Times New Roman" w:cs="Times New Roman"/>
                <w:sz w:val="20"/>
              </w:rPr>
              <w:t xml:space="preserve"> invited the Bureau to prioritize and select activities for the workplan</w:t>
            </w:r>
            <w:r w:rsidR="00427645">
              <w:rPr>
                <w:rFonts w:ascii="Times New Roman" w:hAnsi="Times New Roman" w:cs="Times New Roman"/>
                <w:sz w:val="20"/>
              </w:rPr>
              <w:t xml:space="preserve"> 2024–202</w:t>
            </w:r>
            <w:r w:rsidR="00E8385C">
              <w:rPr>
                <w:rFonts w:ascii="Times New Roman" w:hAnsi="Times New Roman" w:cs="Times New Roman"/>
                <w:sz w:val="20"/>
              </w:rPr>
              <w:t>6</w:t>
            </w:r>
            <w:r w:rsidR="000D1948">
              <w:rPr>
                <w:rFonts w:ascii="Times New Roman" w:hAnsi="Times New Roman" w:cs="Times New Roman"/>
                <w:sz w:val="20"/>
              </w:rPr>
              <w:t>.</w:t>
            </w:r>
          </w:p>
          <w:p w14:paraId="0238BAF9" w14:textId="4DA5386C" w:rsidR="009129DB" w:rsidRPr="00AA2B0D" w:rsidRDefault="009129DB" w:rsidP="000E457B">
            <w:pPr>
              <w:numPr>
                <w:ilvl w:val="0"/>
                <w:numId w:val="41"/>
              </w:numPr>
              <w:spacing w:before="40" w:after="120" w:line="240" w:lineRule="atLeast"/>
              <w:ind w:right="113"/>
              <w:rPr>
                <w:rFonts w:ascii="Times New Roman" w:hAnsi="Times New Roman" w:cs="Times New Roman"/>
                <w:sz w:val="20"/>
              </w:rPr>
            </w:pPr>
            <w:r>
              <w:rPr>
                <w:rFonts w:ascii="Times New Roman" w:hAnsi="Times New Roman" w:cs="Times New Roman"/>
                <w:sz w:val="20"/>
              </w:rPr>
              <w:t xml:space="preserve">In June 2023, the Working Group is invited to </w:t>
            </w:r>
            <w:r w:rsidR="00223796">
              <w:rPr>
                <w:rFonts w:ascii="Times New Roman" w:hAnsi="Times New Roman" w:cs="Times New Roman"/>
                <w:sz w:val="20"/>
              </w:rPr>
              <w:t xml:space="preserve">comment the </w:t>
            </w:r>
            <w:r w:rsidR="004521E8">
              <w:rPr>
                <w:rFonts w:ascii="Times New Roman" w:hAnsi="Times New Roman" w:cs="Times New Roman"/>
                <w:sz w:val="20"/>
              </w:rPr>
              <w:t>draft</w:t>
            </w:r>
            <w:r w:rsidR="00E8385C">
              <w:rPr>
                <w:rFonts w:ascii="Times New Roman" w:hAnsi="Times New Roman" w:cs="Times New Roman"/>
                <w:sz w:val="20"/>
              </w:rPr>
              <w:t xml:space="preserve"> report, agree on the priority activities to be implemented in 2024-26</w:t>
            </w:r>
            <w:r w:rsidR="009517CE">
              <w:rPr>
                <w:rFonts w:ascii="Times New Roman" w:hAnsi="Times New Roman" w:cs="Times New Roman"/>
                <w:sz w:val="20"/>
              </w:rPr>
              <w:t xml:space="preserve">; agree on the text of </w:t>
            </w:r>
            <w:proofErr w:type="gramStart"/>
            <w:r w:rsidR="009517CE">
              <w:rPr>
                <w:rFonts w:ascii="Times New Roman" w:hAnsi="Times New Roman" w:cs="Times New Roman"/>
                <w:sz w:val="20"/>
              </w:rPr>
              <w:t>decision  IX</w:t>
            </w:r>
            <w:proofErr w:type="gramEnd"/>
            <w:r w:rsidR="009517CE">
              <w:rPr>
                <w:rFonts w:ascii="Times New Roman" w:hAnsi="Times New Roman" w:cs="Times New Roman"/>
                <w:sz w:val="20"/>
              </w:rPr>
              <w:t>/3-V-3 on cooperation in marine regions</w:t>
            </w:r>
          </w:p>
          <w:p w14:paraId="16841F5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The Bureau has guided the implementation of the activity: agreeing, in June 2021, on its scope and next steps. In June 2022, the Bureau provided feedback on the draft assessment report and its proposed possible cooperation activities. </w:t>
            </w:r>
          </w:p>
          <w:p w14:paraId="2E4B0832"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4 good practice examples of implementation of the Convention and the Protocol in marine regions prepared/being finalized. </w:t>
            </w:r>
          </w:p>
          <w:p w14:paraId="0F862E53" w14:textId="77777777" w:rsidR="004035BB" w:rsidRPr="00AA2B0D" w:rsidRDefault="004035BB" w:rsidP="000E457B">
            <w:pPr>
              <w:numPr>
                <w:ilvl w:val="0"/>
                <w:numId w:val="42"/>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Poland: Baltic Pipe</w:t>
            </w:r>
          </w:p>
          <w:p w14:paraId="29ABD68F" w14:textId="77777777" w:rsidR="004035BB" w:rsidRPr="00AA2B0D" w:rsidRDefault="004035BB" w:rsidP="000E457B">
            <w:pPr>
              <w:numPr>
                <w:ilvl w:val="0"/>
                <w:numId w:val="42"/>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Estonia: </w:t>
            </w:r>
            <w:proofErr w:type="spellStart"/>
            <w:r w:rsidRPr="00AA2B0D">
              <w:rPr>
                <w:rFonts w:ascii="Times New Roman" w:hAnsi="Times New Roman" w:cs="Times New Roman"/>
                <w:sz w:val="20"/>
              </w:rPr>
              <w:t>Saare</w:t>
            </w:r>
            <w:proofErr w:type="spellEnd"/>
            <w:r w:rsidRPr="00AA2B0D">
              <w:rPr>
                <w:rFonts w:ascii="Times New Roman" w:hAnsi="Times New Roman" w:cs="Times New Roman"/>
                <w:sz w:val="20"/>
              </w:rPr>
              <w:t xml:space="preserve"> Offshore wind farm  </w:t>
            </w:r>
          </w:p>
          <w:p w14:paraId="4052EC76" w14:textId="23812640" w:rsidR="004035BB" w:rsidRPr="00AA2B0D" w:rsidRDefault="004035BB" w:rsidP="000E457B">
            <w:pPr>
              <w:numPr>
                <w:ilvl w:val="0"/>
                <w:numId w:val="42"/>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Poland: Marine Spatial Development Plan</w:t>
            </w:r>
            <w:r w:rsidR="00196188">
              <w:rPr>
                <w:rFonts w:ascii="Times New Roman" w:hAnsi="Times New Roman" w:cs="Times New Roman"/>
                <w:sz w:val="20"/>
              </w:rPr>
              <w:t xml:space="preserve"> in the Baltic Sea</w:t>
            </w:r>
          </w:p>
          <w:p w14:paraId="62D17614" w14:textId="09DD88D3" w:rsidR="00196188" w:rsidRPr="00AA2B0D" w:rsidRDefault="004035BB" w:rsidP="00E1169F">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Slovenia: Maritime Spatial Development Plan</w:t>
            </w:r>
            <w:r w:rsidR="00196188">
              <w:rPr>
                <w:rFonts w:ascii="Times New Roman" w:hAnsi="Times New Roman" w:cs="Times New Roman"/>
                <w:sz w:val="20"/>
              </w:rPr>
              <w:t xml:space="preserve"> in the Adriatic </w:t>
            </w:r>
            <w:proofErr w:type="spellStart"/>
            <w:r w:rsidR="00196188">
              <w:rPr>
                <w:rFonts w:ascii="Times New Roman" w:hAnsi="Times New Roman" w:cs="Times New Roman"/>
                <w:sz w:val="20"/>
              </w:rPr>
              <w:t>Sea</w:t>
            </w:r>
            <w:r w:rsidR="00823BAE">
              <w:rPr>
                <w:rFonts w:ascii="Times New Roman" w:hAnsi="Times New Roman" w:cs="Times New Roman"/>
                <w:sz w:val="20"/>
              </w:rPr>
              <w:t>O</w:t>
            </w:r>
            <w:r w:rsidR="005C261B">
              <w:rPr>
                <w:rFonts w:ascii="Times New Roman" w:hAnsi="Times New Roman" w:cs="Times New Roman"/>
                <w:sz w:val="20"/>
              </w:rPr>
              <w:t>ne</w:t>
            </w:r>
            <w:proofErr w:type="spellEnd"/>
            <w:r w:rsidR="005C261B">
              <w:rPr>
                <w:rFonts w:ascii="Times New Roman" w:hAnsi="Times New Roman" w:cs="Times New Roman"/>
                <w:sz w:val="20"/>
              </w:rPr>
              <w:t xml:space="preserve"> fact sheet </w:t>
            </w:r>
            <w:r w:rsidR="000A2408">
              <w:rPr>
                <w:rFonts w:ascii="Times New Roman" w:hAnsi="Times New Roman" w:cs="Times New Roman"/>
                <w:sz w:val="20"/>
              </w:rPr>
              <w:t xml:space="preserve">to be prepared on good practice from Italy: </w:t>
            </w:r>
            <w:r w:rsidR="003575D3">
              <w:rPr>
                <w:rFonts w:ascii="Times New Roman" w:hAnsi="Times New Roman" w:cs="Times New Roman"/>
                <w:sz w:val="20"/>
              </w:rPr>
              <w:t>Maritime Spatial Plans</w:t>
            </w:r>
          </w:p>
          <w:p w14:paraId="5953F3E4" w14:textId="77777777" w:rsidR="004035BB" w:rsidRPr="00AA2B0D" w:rsidRDefault="004035BB" w:rsidP="00E1169F">
            <w:pPr>
              <w:spacing w:before="40" w:after="120"/>
              <w:ind w:right="113"/>
              <w:rPr>
                <w:rFonts w:ascii="Times New Roman" w:hAnsi="Times New Roman" w:cs="Times New Roman"/>
                <w:sz w:val="20"/>
              </w:rPr>
            </w:pPr>
          </w:p>
        </w:tc>
      </w:tr>
      <w:tr w:rsidR="004035BB" w:rsidRPr="00AA2B0D" w14:paraId="63D6ACF7" w14:textId="77777777" w:rsidTr="2A3FC294">
        <w:trPr>
          <w:trHeight w:val="300"/>
        </w:trPr>
        <w:tc>
          <w:tcPr>
            <w:tcW w:w="9779" w:type="dxa"/>
            <w:gridSpan w:val="2"/>
            <w:shd w:val="clear" w:color="auto" w:fill="auto"/>
          </w:tcPr>
          <w:p w14:paraId="612F04C4" w14:textId="77777777" w:rsidR="004035BB" w:rsidRPr="000E457B" w:rsidRDefault="004035BB" w:rsidP="00AA2B0D">
            <w:pPr>
              <w:spacing w:before="40" w:after="120" w:line="240" w:lineRule="atLeast"/>
              <w:ind w:right="113"/>
              <w:rPr>
                <w:rFonts w:ascii="Times New Roman" w:hAnsi="Times New Roman" w:cs="Times New Roman"/>
                <w:b/>
                <w:bCs/>
                <w:sz w:val="20"/>
              </w:rPr>
            </w:pPr>
            <w:r w:rsidRPr="000E457B">
              <w:rPr>
                <w:rFonts w:ascii="Times New Roman" w:hAnsi="Times New Roman" w:cs="Times New Roman"/>
                <w:b/>
                <w:bCs/>
                <w:sz w:val="20"/>
              </w:rPr>
              <w:lastRenderedPageBreak/>
              <w:t>III.B.</w:t>
            </w:r>
            <w:r w:rsidRPr="000E457B">
              <w:rPr>
                <w:rFonts w:ascii="Times New Roman" w:hAnsi="Times New Roman" w:cs="Times New Roman"/>
                <w:b/>
                <w:bCs/>
                <w:sz w:val="20"/>
              </w:rPr>
              <w:tab/>
              <w:t xml:space="preserve"> Exchange of good practices</w:t>
            </w:r>
          </w:p>
        </w:tc>
      </w:tr>
      <w:tr w:rsidR="008C2231" w:rsidRPr="00AA2B0D" w14:paraId="1241F949" w14:textId="77777777" w:rsidTr="2A3FC294">
        <w:trPr>
          <w:trHeight w:val="300"/>
        </w:trPr>
        <w:tc>
          <w:tcPr>
            <w:tcW w:w="4911" w:type="dxa"/>
            <w:shd w:val="clear" w:color="auto" w:fill="auto"/>
          </w:tcPr>
          <w:p w14:paraId="3DB670CC" w14:textId="77777777" w:rsidR="004035BB" w:rsidRPr="00AA2B0D" w:rsidRDefault="004035BB" w:rsidP="00AA2B0D">
            <w:pPr>
              <w:spacing w:before="40" w:after="120" w:line="240" w:lineRule="atLeast"/>
              <w:ind w:right="113"/>
              <w:rPr>
                <w:rFonts w:ascii="Times New Roman" w:hAnsi="Times New Roman" w:cs="Times New Roman"/>
                <w:sz w:val="20"/>
              </w:rPr>
            </w:pPr>
            <w:r w:rsidRPr="004751F6">
              <w:rPr>
                <w:rFonts w:ascii="Times New Roman" w:hAnsi="Times New Roman" w:cs="Times New Roman"/>
                <w:b/>
                <w:bCs/>
                <w:sz w:val="20"/>
              </w:rPr>
              <w:t>III.B.1.  Organize half- or full-day workshops or seminars during the meetings of the Working Group in 2021–2023 and/or the sessions of the Meetings of the Parties in 2023 on specific themes/topics</w:t>
            </w:r>
            <w:r w:rsidRPr="00AA2B0D">
              <w:rPr>
                <w:rFonts w:ascii="Times New Roman" w:hAnsi="Times New Roman" w:cs="Times New Roman"/>
                <w:sz w:val="20"/>
              </w:rPr>
              <w:t xml:space="preserve">, </w:t>
            </w:r>
            <w:proofErr w:type="gramStart"/>
            <w:r w:rsidRPr="00AA2B0D">
              <w:rPr>
                <w:rFonts w:ascii="Times New Roman" w:hAnsi="Times New Roman" w:cs="Times New Roman"/>
                <w:sz w:val="20"/>
              </w:rPr>
              <w:t>in order to</w:t>
            </w:r>
            <w:proofErr w:type="gramEnd"/>
            <w:r w:rsidRPr="00AA2B0D">
              <w:rPr>
                <w:rFonts w:ascii="Times New Roman" w:hAnsi="Times New Roman" w:cs="Times New Roman"/>
                <w:sz w:val="20"/>
              </w:rPr>
              <w:t xml:space="preserve"> produce a clear and concise document presenting advice on the most important problems identified for the theme in question, also referring to the contribution of the topics to the application of Sustainable Development Goals.</w:t>
            </w:r>
          </w:p>
          <w:p w14:paraId="1B121F9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responsible</w:t>
            </w:r>
            <w:r w:rsidRPr="00AA2B0D">
              <w:rPr>
                <w:rFonts w:ascii="Times New Roman" w:hAnsi="Times New Roman" w:cs="Times New Roman"/>
                <w:sz w:val="20"/>
              </w:rPr>
              <w:t>:</w:t>
            </w:r>
            <w:r w:rsidRPr="00AA2B0D">
              <w:rPr>
                <w:rFonts w:ascii="Times New Roman" w:hAnsi="Times New Roman" w:cs="Times New Roman"/>
                <w:sz w:val="20"/>
              </w:rPr>
              <w:tab/>
              <w:t>Lead-country(</w:t>
            </w:r>
            <w:proofErr w:type="spellStart"/>
            <w:r w:rsidRPr="00AA2B0D">
              <w:rPr>
                <w:rFonts w:ascii="Times New Roman" w:hAnsi="Times New Roman" w:cs="Times New Roman"/>
                <w:sz w:val="20"/>
              </w:rPr>
              <w:t>ies</w:t>
            </w:r>
            <w:proofErr w:type="spellEnd"/>
            <w:r w:rsidRPr="00AA2B0D">
              <w:rPr>
                <w:rFonts w:ascii="Times New Roman" w:hAnsi="Times New Roman" w:cs="Times New Roman"/>
                <w:sz w:val="20"/>
              </w:rPr>
              <w:t>) or organizations, with support from the secretariat, within the limits of its resources</w:t>
            </w:r>
          </w:p>
          <w:p w14:paraId="2153E49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Costs for speakers, </w:t>
            </w:r>
            <w:proofErr w:type="gramStart"/>
            <w:r w:rsidRPr="00AA2B0D">
              <w:rPr>
                <w:rFonts w:ascii="Times New Roman" w:hAnsi="Times New Roman" w:cs="Times New Roman"/>
                <w:sz w:val="20"/>
              </w:rPr>
              <w:t>provision</w:t>
            </w:r>
            <w:proofErr w:type="gramEnd"/>
            <w:r w:rsidRPr="00AA2B0D">
              <w:rPr>
                <w:rFonts w:ascii="Times New Roman" w:hAnsi="Times New Roman" w:cs="Times New Roman"/>
                <w:sz w:val="20"/>
              </w:rPr>
              <w:t xml:space="preserve"> and translation of materials to be covered in kind by lead countries, to the extent possible</w:t>
            </w:r>
          </w:p>
        </w:tc>
        <w:tc>
          <w:tcPr>
            <w:tcW w:w="4868" w:type="dxa"/>
            <w:shd w:val="clear" w:color="auto" w:fill="auto"/>
          </w:tcPr>
          <w:p w14:paraId="2A762A50" w14:textId="77777777" w:rsidR="004035BB" w:rsidRPr="00AA2B0D" w:rsidRDefault="004035BB" w:rsidP="00AA2B0D">
            <w:pPr>
              <w:spacing w:before="40" w:after="120" w:line="240" w:lineRule="atLeast"/>
              <w:ind w:right="113"/>
              <w:rPr>
                <w:rFonts w:ascii="Times New Roman" w:hAnsi="Times New Roman" w:cs="Times New Roman"/>
                <w:sz w:val="20"/>
              </w:rPr>
            </w:pPr>
          </w:p>
        </w:tc>
      </w:tr>
      <w:tr w:rsidR="008C2231" w:rsidRPr="00AA2B0D" w14:paraId="6B8C8E92" w14:textId="77777777" w:rsidTr="2A3FC294">
        <w:trPr>
          <w:trHeight w:val="300"/>
        </w:trPr>
        <w:tc>
          <w:tcPr>
            <w:tcW w:w="4911" w:type="dxa"/>
            <w:shd w:val="clear" w:color="auto" w:fill="auto"/>
          </w:tcPr>
          <w:p w14:paraId="08051E2B" w14:textId="77777777" w:rsidR="004035BB" w:rsidRPr="004751F6" w:rsidRDefault="004035BB" w:rsidP="00AA2B0D">
            <w:pPr>
              <w:spacing w:before="40" w:after="120" w:line="240" w:lineRule="atLeast"/>
              <w:ind w:right="113"/>
              <w:rPr>
                <w:rFonts w:ascii="Times New Roman" w:hAnsi="Times New Roman" w:cs="Times New Roman"/>
                <w:b/>
                <w:bCs/>
                <w:sz w:val="20"/>
              </w:rPr>
            </w:pPr>
            <w:r w:rsidRPr="004751F6">
              <w:rPr>
                <w:rFonts w:ascii="Times New Roman" w:hAnsi="Times New Roman" w:cs="Times New Roman"/>
                <w:b/>
                <w:bCs/>
                <w:sz w:val="20"/>
              </w:rPr>
              <w:t>III.B.1(a) Smart and sustainable cities</w:t>
            </w:r>
          </w:p>
          <w:p w14:paraId="47631763"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xml:space="preserve">) responsible: </w:t>
            </w:r>
            <w:r w:rsidRPr="00AA2B0D">
              <w:rPr>
                <w:rFonts w:ascii="Times New Roman" w:hAnsi="Times New Roman" w:cs="Times New Roman"/>
                <w:sz w:val="20"/>
                <w:lang w:eastAsia="en-US"/>
              </w:rPr>
              <w:t>WHO, together with interested Parties and partner organizations</w:t>
            </w:r>
          </w:p>
        </w:tc>
        <w:tc>
          <w:tcPr>
            <w:tcW w:w="4868" w:type="dxa"/>
            <w:shd w:val="clear" w:color="auto" w:fill="auto"/>
          </w:tcPr>
          <w:p w14:paraId="3F84FA8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Parties or stakeholders have submitted related proposals this far. </w:t>
            </w:r>
          </w:p>
        </w:tc>
      </w:tr>
      <w:tr w:rsidR="008C2231" w:rsidRPr="00AA2B0D" w14:paraId="690794EB" w14:textId="77777777" w:rsidTr="2A3FC294">
        <w:trPr>
          <w:trHeight w:val="300"/>
        </w:trPr>
        <w:tc>
          <w:tcPr>
            <w:tcW w:w="4911" w:type="dxa"/>
            <w:shd w:val="clear" w:color="auto" w:fill="auto"/>
          </w:tcPr>
          <w:p w14:paraId="0A465C59" w14:textId="77777777" w:rsidR="004035BB" w:rsidRPr="000D4052" w:rsidRDefault="004035BB" w:rsidP="00AA2B0D">
            <w:pPr>
              <w:spacing w:before="40" w:after="120" w:line="240" w:lineRule="atLeast"/>
              <w:ind w:right="113"/>
              <w:rPr>
                <w:rFonts w:ascii="Times New Roman" w:hAnsi="Times New Roman" w:cs="Times New Roman"/>
                <w:b/>
                <w:bCs/>
                <w:sz w:val="20"/>
              </w:rPr>
            </w:pPr>
            <w:r w:rsidRPr="000D4052">
              <w:rPr>
                <w:rFonts w:ascii="Times New Roman" w:hAnsi="Times New Roman" w:cs="Times New Roman"/>
                <w:b/>
                <w:bCs/>
                <w:sz w:val="20"/>
              </w:rPr>
              <w:t xml:space="preserve">III.B.1(b) Circular economy </w:t>
            </w:r>
          </w:p>
          <w:p w14:paraId="485165A0"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xml:space="preserve">) responsible: </w:t>
            </w:r>
            <w:r w:rsidRPr="00AA2B0D">
              <w:rPr>
                <w:rFonts w:ascii="Times New Roman" w:hAnsi="Times New Roman" w:cs="Times New Roman"/>
                <w:sz w:val="20"/>
                <w:lang w:eastAsia="en-US"/>
              </w:rPr>
              <w:t>WHO, together with interested Parties and partner organizations</w:t>
            </w:r>
          </w:p>
        </w:tc>
        <w:tc>
          <w:tcPr>
            <w:tcW w:w="4868" w:type="dxa"/>
            <w:shd w:val="clear" w:color="auto" w:fill="auto"/>
          </w:tcPr>
          <w:p w14:paraId="75B473C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No Party or stakeholder has submitted related proposals this far - (the topic was identified by UNECE management as a key priority topic for action in 2021–2022.)</w:t>
            </w:r>
          </w:p>
          <w:p w14:paraId="26CB8705" w14:textId="77777777" w:rsidR="004035BB" w:rsidRPr="00AA2B0D" w:rsidRDefault="004035BB" w:rsidP="000D4052">
            <w:pPr>
              <w:numPr>
                <w:ilvl w:val="0"/>
                <w:numId w:val="43"/>
              </w:num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June 2022, the Bureau recommended that the topic - combined with the topic 1(e) below on energy transition, be discussed at the 2023 MOP sessions.</w:t>
            </w:r>
          </w:p>
        </w:tc>
      </w:tr>
      <w:tr w:rsidR="008C2231" w:rsidRPr="00AA2B0D" w14:paraId="179CFC38" w14:textId="77777777" w:rsidTr="2A3FC294">
        <w:trPr>
          <w:trHeight w:val="300"/>
        </w:trPr>
        <w:tc>
          <w:tcPr>
            <w:tcW w:w="4911" w:type="dxa"/>
            <w:shd w:val="clear" w:color="auto" w:fill="auto"/>
          </w:tcPr>
          <w:p w14:paraId="62E8EDDC" w14:textId="77777777" w:rsidR="004035BB" w:rsidRPr="000D4052" w:rsidRDefault="004035BB" w:rsidP="00AA2B0D">
            <w:pPr>
              <w:spacing w:before="40" w:after="120" w:line="240" w:lineRule="atLeast"/>
              <w:ind w:right="113"/>
              <w:rPr>
                <w:rFonts w:ascii="Times New Roman" w:hAnsi="Times New Roman" w:cs="Times New Roman"/>
                <w:b/>
                <w:bCs/>
                <w:sz w:val="20"/>
              </w:rPr>
            </w:pPr>
            <w:r w:rsidRPr="000D4052">
              <w:rPr>
                <w:rFonts w:ascii="Times New Roman" w:hAnsi="Times New Roman" w:cs="Times New Roman"/>
                <w:b/>
                <w:bCs/>
                <w:sz w:val="20"/>
              </w:rPr>
              <w:t>III.B.1(c) Sustainable infrastructure and greening the Belt and Road Initiative (related to the 2022 “Environment for Europe” Ministerial Conference)</w:t>
            </w:r>
          </w:p>
          <w:p w14:paraId="1CF9FFB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responsible</w:t>
            </w:r>
            <w:r w:rsidRPr="00AA2B0D">
              <w:rPr>
                <w:rFonts w:ascii="Times New Roman" w:hAnsi="Times New Roman" w:cs="Times New Roman"/>
                <w:sz w:val="20"/>
              </w:rPr>
              <w:t>: Switzerland, IAIA and other interested Parties and partner organizations</w:t>
            </w:r>
          </w:p>
        </w:tc>
        <w:tc>
          <w:tcPr>
            <w:tcW w:w="4868" w:type="dxa"/>
            <w:shd w:val="clear" w:color="auto" w:fill="auto"/>
          </w:tcPr>
          <w:p w14:paraId="3DD4E84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December 2021, at the Working Group’s 10</w:t>
            </w:r>
            <w:r w:rsidRPr="00AA2B0D">
              <w:rPr>
                <w:rFonts w:ascii="Times New Roman" w:hAnsi="Times New Roman" w:cs="Times New Roman"/>
                <w:sz w:val="20"/>
                <w:vertAlign w:val="superscript"/>
              </w:rPr>
              <w:t>th</w:t>
            </w:r>
            <w:r w:rsidRPr="00AA2B0D">
              <w:rPr>
                <w:rFonts w:ascii="Times New Roman" w:hAnsi="Times New Roman" w:cs="Times New Roman"/>
                <w:sz w:val="20"/>
              </w:rPr>
              <w:t xml:space="preserve"> meeting, a full day seminar was co-organized and moderated by Switzerland (see annex to the WG report). </w:t>
            </w:r>
          </w:p>
          <w:p w14:paraId="2BE0A85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In addition, Parties (</w:t>
            </w:r>
            <w:proofErr w:type="gramStart"/>
            <w:r w:rsidRPr="00AA2B0D">
              <w:rPr>
                <w:rFonts w:ascii="Times New Roman" w:hAnsi="Times New Roman" w:cs="Times New Roman"/>
                <w:sz w:val="20"/>
              </w:rPr>
              <w:t>e.g.</w:t>
            </w:r>
            <w:proofErr w:type="gramEnd"/>
            <w:r w:rsidRPr="00AA2B0D">
              <w:rPr>
                <w:rFonts w:ascii="Times New Roman" w:hAnsi="Times New Roman" w:cs="Times New Roman"/>
                <w:sz w:val="20"/>
              </w:rPr>
              <w:t xml:space="preserve"> Cyprus, Greece, Estonia, Switzerland and Ukraine) highlighted relevant work under the treaties at the </w:t>
            </w:r>
            <w:proofErr w:type="spellStart"/>
            <w:r w:rsidRPr="00AA2B0D">
              <w:rPr>
                <w:rFonts w:ascii="Times New Roman" w:hAnsi="Times New Roman" w:cs="Times New Roman"/>
                <w:sz w:val="20"/>
              </w:rPr>
              <w:t>EfE</w:t>
            </w:r>
            <w:proofErr w:type="spellEnd"/>
            <w:r w:rsidRPr="00AA2B0D">
              <w:rPr>
                <w:rFonts w:ascii="Times New Roman" w:hAnsi="Times New Roman" w:cs="Times New Roman"/>
                <w:sz w:val="20"/>
              </w:rPr>
              <w:t xml:space="preserve"> Ministerial Conference (Nicosia, 5–7 October 2022).</w:t>
            </w:r>
          </w:p>
          <w:p w14:paraId="64A7E22E" w14:textId="77777777" w:rsidR="004035BB" w:rsidRPr="00AA2B0D" w:rsidRDefault="004035BB" w:rsidP="00AA2B0D">
            <w:pPr>
              <w:spacing w:before="40" w:after="120" w:line="240" w:lineRule="atLeast"/>
              <w:ind w:right="113"/>
              <w:rPr>
                <w:rFonts w:ascii="Times New Roman" w:hAnsi="Times New Roman" w:cs="Times New Roman"/>
                <w:sz w:val="20"/>
              </w:rPr>
            </w:pPr>
          </w:p>
        </w:tc>
      </w:tr>
      <w:tr w:rsidR="008C2231" w:rsidRPr="00AA2B0D" w14:paraId="0F87BEF3" w14:textId="77777777" w:rsidTr="2A3FC294">
        <w:trPr>
          <w:trHeight w:val="300"/>
        </w:trPr>
        <w:tc>
          <w:tcPr>
            <w:tcW w:w="4911" w:type="dxa"/>
            <w:shd w:val="clear" w:color="auto" w:fill="auto"/>
          </w:tcPr>
          <w:p w14:paraId="7C84AD55" w14:textId="77777777" w:rsidR="004035BB" w:rsidRPr="00AA2B0D" w:rsidRDefault="004035BB" w:rsidP="00AA2B0D">
            <w:pPr>
              <w:spacing w:before="40" w:after="120" w:line="240" w:lineRule="atLeast"/>
              <w:ind w:right="113"/>
              <w:rPr>
                <w:rFonts w:ascii="Times New Roman" w:hAnsi="Times New Roman" w:cs="Times New Roman"/>
                <w:sz w:val="20"/>
              </w:rPr>
            </w:pPr>
            <w:r w:rsidRPr="00965FA9">
              <w:rPr>
                <w:rFonts w:ascii="Times New Roman" w:hAnsi="Times New Roman" w:cs="Times New Roman"/>
                <w:b/>
                <w:bCs/>
                <w:sz w:val="20"/>
              </w:rPr>
              <w:t>III.B.1(d) Biodiversity</w:t>
            </w:r>
            <w:r w:rsidRPr="00AA2B0D">
              <w:rPr>
                <w:rFonts w:ascii="Times New Roman" w:hAnsi="Times New Roman" w:cs="Times New Roman"/>
                <w:sz w:val="20"/>
              </w:rPr>
              <w:br/>
            </w:r>
            <w:r w:rsidRPr="00AA2B0D">
              <w:rPr>
                <w:rFonts w:ascii="Times New Roman" w:hAnsi="Times New Roman" w:cs="Times New Roman"/>
                <w:sz w:val="20"/>
              </w:rPr>
              <w:br/>
            </w: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xml:space="preserve">) responsible: </w:t>
            </w:r>
            <w:r w:rsidRPr="00AA2B0D">
              <w:rPr>
                <w:rFonts w:ascii="Times New Roman" w:hAnsi="Times New Roman" w:cs="Times New Roman"/>
                <w:sz w:val="20"/>
                <w:lang w:eastAsia="en-US"/>
              </w:rPr>
              <w:t>WHO, together with interested Parties and partner organizations</w:t>
            </w:r>
          </w:p>
        </w:tc>
        <w:tc>
          <w:tcPr>
            <w:tcW w:w="4868" w:type="dxa"/>
            <w:shd w:val="clear" w:color="auto" w:fill="auto"/>
          </w:tcPr>
          <w:p w14:paraId="7729E645" w14:textId="77777777" w:rsidR="004035BB"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Party or stakeholder has submitted related proposals this far. </w:t>
            </w:r>
          </w:p>
          <w:p w14:paraId="08FA908A" w14:textId="52E6AABB" w:rsidR="0057049D" w:rsidRPr="00AA2B0D" w:rsidRDefault="0057049D" w:rsidP="00AA2B0D">
            <w:pPr>
              <w:spacing w:before="40" w:after="120" w:line="240" w:lineRule="atLeast"/>
              <w:ind w:right="113"/>
              <w:rPr>
                <w:rFonts w:ascii="Times New Roman" w:hAnsi="Times New Roman" w:cs="Times New Roman"/>
                <w:sz w:val="20"/>
              </w:rPr>
            </w:pPr>
            <w:r>
              <w:rPr>
                <w:rFonts w:ascii="Times New Roman" w:hAnsi="Times New Roman" w:cs="Times New Roman"/>
                <w:sz w:val="20"/>
              </w:rPr>
              <w:t>WG11 suggested the organization of a side-event</w:t>
            </w:r>
            <w:r w:rsidR="003A74BA">
              <w:rPr>
                <w:rFonts w:ascii="Times New Roman" w:hAnsi="Times New Roman" w:cs="Times New Roman"/>
                <w:sz w:val="20"/>
              </w:rPr>
              <w:t xml:space="preserve"> on the topic</w:t>
            </w:r>
            <w:r w:rsidR="00B66790">
              <w:rPr>
                <w:rFonts w:ascii="Times New Roman" w:hAnsi="Times New Roman" w:cs="Times New Roman"/>
                <w:sz w:val="20"/>
              </w:rPr>
              <w:t xml:space="preserve"> </w:t>
            </w:r>
            <w:r w:rsidR="00FF3BD3">
              <w:rPr>
                <w:rFonts w:ascii="Times New Roman" w:hAnsi="Times New Roman" w:cs="Times New Roman"/>
                <w:sz w:val="20"/>
              </w:rPr>
              <w:t xml:space="preserve">in the margins of </w:t>
            </w:r>
            <w:r w:rsidR="00B66790">
              <w:rPr>
                <w:rFonts w:ascii="Times New Roman" w:hAnsi="Times New Roman" w:cs="Times New Roman"/>
                <w:sz w:val="20"/>
              </w:rPr>
              <w:t xml:space="preserve">WG12, but </w:t>
            </w:r>
            <w:r w:rsidR="00C869AF">
              <w:rPr>
                <w:rFonts w:ascii="Times New Roman" w:hAnsi="Times New Roman" w:cs="Times New Roman"/>
                <w:sz w:val="20"/>
              </w:rPr>
              <w:t>no</w:t>
            </w:r>
            <w:r w:rsidR="00FF3BD3">
              <w:rPr>
                <w:rFonts w:ascii="Times New Roman" w:hAnsi="Times New Roman" w:cs="Times New Roman"/>
                <w:sz w:val="20"/>
              </w:rPr>
              <w:t xml:space="preserve"> country or organization volun</w:t>
            </w:r>
            <w:r w:rsidR="0059651E">
              <w:rPr>
                <w:rFonts w:ascii="Times New Roman" w:hAnsi="Times New Roman" w:cs="Times New Roman"/>
                <w:sz w:val="20"/>
              </w:rPr>
              <w:t>teered</w:t>
            </w:r>
            <w:r w:rsidR="003A74BA">
              <w:rPr>
                <w:rFonts w:ascii="Times New Roman" w:hAnsi="Times New Roman" w:cs="Times New Roman"/>
                <w:sz w:val="20"/>
              </w:rPr>
              <w:t xml:space="preserve"> to organize it.</w:t>
            </w:r>
          </w:p>
        </w:tc>
      </w:tr>
      <w:tr w:rsidR="008C2231" w:rsidRPr="00AA2B0D" w14:paraId="0F923785" w14:textId="77777777" w:rsidTr="2A3FC294">
        <w:trPr>
          <w:trHeight w:val="300"/>
        </w:trPr>
        <w:tc>
          <w:tcPr>
            <w:tcW w:w="4911" w:type="dxa"/>
            <w:shd w:val="clear" w:color="auto" w:fill="auto"/>
          </w:tcPr>
          <w:p w14:paraId="65B52852" w14:textId="77777777" w:rsidR="004035BB" w:rsidRPr="00C82D57" w:rsidRDefault="004035BB" w:rsidP="00AA2B0D">
            <w:pPr>
              <w:spacing w:before="40" w:after="120" w:line="240" w:lineRule="atLeast"/>
              <w:ind w:right="113"/>
              <w:rPr>
                <w:rFonts w:ascii="Times New Roman" w:hAnsi="Times New Roman" w:cs="Times New Roman"/>
                <w:b/>
                <w:bCs/>
                <w:sz w:val="20"/>
              </w:rPr>
            </w:pPr>
            <w:r w:rsidRPr="00C82D57">
              <w:rPr>
                <w:rFonts w:ascii="Times New Roman" w:hAnsi="Times New Roman" w:cs="Times New Roman"/>
                <w:b/>
                <w:bCs/>
                <w:sz w:val="20"/>
              </w:rPr>
              <w:t>III.B.1(e) Energy transition</w:t>
            </w:r>
          </w:p>
          <w:p w14:paraId="71D8CCE5"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xml:space="preserve">) responsible: </w:t>
            </w:r>
            <w:r w:rsidRPr="00AA2B0D">
              <w:rPr>
                <w:rFonts w:ascii="Times New Roman" w:hAnsi="Times New Roman" w:cs="Times New Roman"/>
                <w:sz w:val="20"/>
              </w:rPr>
              <w:t>Lead-country(</w:t>
            </w:r>
            <w:proofErr w:type="spellStart"/>
            <w:r w:rsidRPr="00AA2B0D">
              <w:rPr>
                <w:rFonts w:ascii="Times New Roman" w:hAnsi="Times New Roman" w:cs="Times New Roman"/>
                <w:sz w:val="20"/>
              </w:rPr>
              <w:t>ies</w:t>
            </w:r>
            <w:proofErr w:type="spellEnd"/>
            <w:r w:rsidRPr="00AA2B0D">
              <w:rPr>
                <w:rFonts w:ascii="Times New Roman" w:hAnsi="Times New Roman" w:cs="Times New Roman"/>
                <w:sz w:val="20"/>
              </w:rPr>
              <w:t>) or organizations to be identified;</w:t>
            </w:r>
          </w:p>
        </w:tc>
        <w:tc>
          <w:tcPr>
            <w:tcW w:w="4868" w:type="dxa"/>
            <w:shd w:val="clear" w:color="auto" w:fill="auto"/>
          </w:tcPr>
          <w:p w14:paraId="253957BE" w14:textId="50C0EBE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Party or stakeholder has submitted related proposals this far. However, the sustainable infrastructure seminar in December 2021 </w:t>
            </w:r>
            <w:r w:rsidR="008C79A3">
              <w:rPr>
                <w:rFonts w:ascii="Times New Roman" w:hAnsi="Times New Roman" w:cs="Times New Roman"/>
                <w:sz w:val="20"/>
              </w:rPr>
              <w:t xml:space="preserve">considered </w:t>
            </w:r>
            <w:r w:rsidRPr="00AA2B0D">
              <w:rPr>
                <w:rFonts w:ascii="Times New Roman" w:hAnsi="Times New Roman" w:cs="Times New Roman"/>
                <w:sz w:val="20"/>
              </w:rPr>
              <w:t xml:space="preserve">some related experience: </w:t>
            </w:r>
            <w:proofErr w:type="gramStart"/>
            <w:r w:rsidRPr="00AA2B0D">
              <w:rPr>
                <w:rFonts w:ascii="Times New Roman" w:hAnsi="Times New Roman" w:cs="Times New Roman"/>
                <w:sz w:val="20"/>
              </w:rPr>
              <w:t>e.g.</w:t>
            </w:r>
            <w:proofErr w:type="gramEnd"/>
            <w:r w:rsidRPr="00AA2B0D">
              <w:rPr>
                <w:rFonts w:ascii="Times New Roman" w:hAnsi="Times New Roman" w:cs="Times New Roman"/>
                <w:sz w:val="20"/>
              </w:rPr>
              <w:t xml:space="preserve"> by Norway </w:t>
            </w:r>
            <w:r w:rsidR="00CC0C4A">
              <w:rPr>
                <w:rFonts w:ascii="Times New Roman" w:hAnsi="Times New Roman" w:cs="Times New Roman"/>
                <w:sz w:val="20"/>
              </w:rPr>
              <w:t xml:space="preserve">regarding </w:t>
            </w:r>
            <w:r w:rsidR="008A2160">
              <w:rPr>
                <w:rFonts w:ascii="Times New Roman" w:hAnsi="Times New Roman" w:cs="Times New Roman"/>
                <w:sz w:val="20"/>
              </w:rPr>
              <w:t>the</w:t>
            </w:r>
            <w:r w:rsidR="00CC0C4A">
              <w:rPr>
                <w:rFonts w:ascii="Times New Roman" w:hAnsi="Times New Roman" w:cs="Times New Roman"/>
                <w:sz w:val="20"/>
              </w:rPr>
              <w:t xml:space="preserve"> Convention’s</w:t>
            </w:r>
            <w:r w:rsidR="008A2160">
              <w:rPr>
                <w:rFonts w:ascii="Times New Roman" w:hAnsi="Times New Roman" w:cs="Times New Roman"/>
                <w:sz w:val="20"/>
              </w:rPr>
              <w:t xml:space="preserve"> application </w:t>
            </w:r>
            <w:r w:rsidR="00CC0C4A">
              <w:rPr>
                <w:rFonts w:ascii="Times New Roman" w:hAnsi="Times New Roman" w:cs="Times New Roman"/>
                <w:sz w:val="20"/>
              </w:rPr>
              <w:t>to</w:t>
            </w:r>
            <w:r w:rsidR="008A2160">
              <w:rPr>
                <w:rFonts w:ascii="Times New Roman" w:hAnsi="Times New Roman" w:cs="Times New Roman"/>
                <w:sz w:val="20"/>
              </w:rPr>
              <w:t xml:space="preserve"> </w:t>
            </w:r>
            <w:r w:rsidRPr="00AA2B0D">
              <w:rPr>
                <w:rFonts w:ascii="Times New Roman" w:hAnsi="Times New Roman" w:cs="Times New Roman"/>
                <w:sz w:val="20"/>
              </w:rPr>
              <w:t>a wind farm project or by Ukraine</w:t>
            </w:r>
            <w:r w:rsidR="0015402A">
              <w:rPr>
                <w:rFonts w:ascii="Times New Roman" w:hAnsi="Times New Roman" w:cs="Times New Roman"/>
                <w:sz w:val="20"/>
              </w:rPr>
              <w:t xml:space="preserve"> regarding the Protocol’s application to</w:t>
            </w:r>
            <w:r w:rsidRPr="00AA2B0D">
              <w:rPr>
                <w:rFonts w:ascii="Times New Roman" w:hAnsi="Times New Roman" w:cs="Times New Roman"/>
                <w:sz w:val="20"/>
              </w:rPr>
              <w:t xml:space="preserve"> a draft hydrogen strategy; </w:t>
            </w:r>
          </w:p>
          <w:p w14:paraId="2DFDB4EF" w14:textId="2B35A4F1" w:rsidR="00F8344E" w:rsidRDefault="004035BB" w:rsidP="001D7AEB">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In </w:t>
            </w:r>
            <w:r w:rsidR="00691ACD">
              <w:rPr>
                <w:rFonts w:ascii="Times New Roman" w:hAnsi="Times New Roman" w:cs="Times New Roman"/>
                <w:sz w:val="20"/>
              </w:rPr>
              <w:t xml:space="preserve">December </w:t>
            </w:r>
            <w:r w:rsidRPr="00AA2B0D">
              <w:rPr>
                <w:rFonts w:ascii="Times New Roman" w:hAnsi="Times New Roman" w:cs="Times New Roman"/>
                <w:sz w:val="20"/>
              </w:rPr>
              <w:t xml:space="preserve">2022, </w:t>
            </w:r>
            <w:r w:rsidR="00691ACD">
              <w:rPr>
                <w:rFonts w:ascii="Times New Roman" w:hAnsi="Times New Roman" w:cs="Times New Roman"/>
                <w:sz w:val="20"/>
              </w:rPr>
              <w:t>a</w:t>
            </w:r>
            <w:r w:rsidR="00824788">
              <w:rPr>
                <w:rFonts w:ascii="Times New Roman" w:hAnsi="Times New Roman" w:cs="Times New Roman"/>
                <w:sz w:val="20"/>
              </w:rPr>
              <w:t>s recommended by</w:t>
            </w:r>
            <w:r w:rsidR="00691ACD">
              <w:rPr>
                <w:rFonts w:ascii="Times New Roman" w:hAnsi="Times New Roman" w:cs="Times New Roman"/>
                <w:sz w:val="20"/>
              </w:rPr>
              <w:t xml:space="preserve"> </w:t>
            </w:r>
            <w:r w:rsidRPr="00AA2B0D">
              <w:rPr>
                <w:rFonts w:ascii="Times New Roman" w:hAnsi="Times New Roman" w:cs="Times New Roman"/>
                <w:sz w:val="20"/>
              </w:rPr>
              <w:t>the Bureau</w:t>
            </w:r>
            <w:r w:rsidR="00691ACD">
              <w:rPr>
                <w:rFonts w:ascii="Times New Roman" w:hAnsi="Times New Roman" w:cs="Times New Roman"/>
                <w:sz w:val="20"/>
              </w:rPr>
              <w:t xml:space="preserve">, </w:t>
            </w:r>
            <w:r w:rsidR="00824788">
              <w:rPr>
                <w:rFonts w:ascii="Times New Roman" w:hAnsi="Times New Roman" w:cs="Times New Roman"/>
                <w:sz w:val="20"/>
              </w:rPr>
              <w:t>the Working Group decid</w:t>
            </w:r>
            <w:r w:rsidRPr="00AA2B0D">
              <w:rPr>
                <w:rFonts w:ascii="Times New Roman" w:hAnsi="Times New Roman" w:cs="Times New Roman"/>
                <w:sz w:val="20"/>
              </w:rPr>
              <w:t xml:space="preserve">ed that the theme be discussed at the </w:t>
            </w:r>
            <w:r w:rsidR="00F8344E">
              <w:rPr>
                <w:rFonts w:ascii="Times New Roman" w:hAnsi="Times New Roman" w:cs="Times New Roman"/>
                <w:sz w:val="20"/>
              </w:rPr>
              <w:t xml:space="preserve">high-level segment of the </w:t>
            </w:r>
            <w:r w:rsidRPr="00AA2B0D">
              <w:rPr>
                <w:rFonts w:ascii="Times New Roman" w:hAnsi="Times New Roman" w:cs="Times New Roman"/>
                <w:sz w:val="20"/>
              </w:rPr>
              <w:t xml:space="preserve">2023 MOP sessions, </w:t>
            </w:r>
            <w:r w:rsidRPr="00AA2B0D">
              <w:rPr>
                <w:rFonts w:ascii="Times New Roman" w:hAnsi="Times New Roman" w:cs="Times New Roman"/>
                <w:sz w:val="20"/>
              </w:rPr>
              <w:lastRenderedPageBreak/>
              <w:t xml:space="preserve">combined with circular economy, covering elements such as renewable energy, transboundary cooperation, small modular </w:t>
            </w:r>
            <w:proofErr w:type="gramStart"/>
            <w:r w:rsidRPr="00AA2B0D">
              <w:rPr>
                <w:rFonts w:ascii="Times New Roman" w:hAnsi="Times New Roman" w:cs="Times New Roman"/>
                <w:sz w:val="20"/>
              </w:rPr>
              <w:t>reactors</w:t>
            </w:r>
            <w:proofErr w:type="gramEnd"/>
            <w:r w:rsidRPr="00AA2B0D">
              <w:rPr>
                <w:rFonts w:ascii="Times New Roman" w:hAnsi="Times New Roman" w:cs="Times New Roman"/>
                <w:sz w:val="20"/>
              </w:rPr>
              <w:t xml:space="preserve"> and mineral resource extraction.</w:t>
            </w:r>
            <w:r w:rsidR="003D2CED">
              <w:rPr>
                <w:rFonts w:ascii="Times New Roman" w:hAnsi="Times New Roman" w:cs="Times New Roman"/>
                <w:sz w:val="20"/>
              </w:rPr>
              <w:t xml:space="preserve"> </w:t>
            </w:r>
            <w:r w:rsidR="00E914F4">
              <w:rPr>
                <w:rFonts w:ascii="Times New Roman" w:hAnsi="Times New Roman" w:cs="Times New Roman"/>
                <w:sz w:val="20"/>
              </w:rPr>
              <w:t xml:space="preserve">Funding </w:t>
            </w:r>
            <w:r w:rsidR="00BE191B">
              <w:rPr>
                <w:rFonts w:ascii="Times New Roman" w:hAnsi="Times New Roman" w:cs="Times New Roman"/>
                <w:sz w:val="20"/>
              </w:rPr>
              <w:t xml:space="preserve">provided by Italy </w:t>
            </w:r>
            <w:r w:rsidR="00D7797A">
              <w:rPr>
                <w:rFonts w:ascii="Times New Roman" w:hAnsi="Times New Roman" w:cs="Times New Roman"/>
                <w:sz w:val="20"/>
              </w:rPr>
              <w:t xml:space="preserve">(organization of the event and background </w:t>
            </w:r>
            <w:proofErr w:type="gramStart"/>
            <w:r w:rsidR="00D7797A">
              <w:rPr>
                <w:rFonts w:ascii="Times New Roman" w:hAnsi="Times New Roman" w:cs="Times New Roman"/>
                <w:sz w:val="20"/>
              </w:rPr>
              <w:t xml:space="preserve">paper  </w:t>
            </w:r>
            <w:r w:rsidR="001D7AEB">
              <w:rPr>
                <w:rFonts w:ascii="Times New Roman" w:hAnsi="Times New Roman" w:cs="Times New Roman"/>
                <w:sz w:val="20"/>
              </w:rPr>
              <w:t>with</w:t>
            </w:r>
            <w:proofErr w:type="gramEnd"/>
            <w:r w:rsidR="001D7AEB">
              <w:rPr>
                <w:rFonts w:ascii="Times New Roman" w:hAnsi="Times New Roman" w:cs="Times New Roman"/>
                <w:sz w:val="20"/>
              </w:rPr>
              <w:t xml:space="preserve"> support from </w:t>
            </w:r>
            <w:r w:rsidR="00D7797A">
              <w:rPr>
                <w:rFonts w:ascii="Times New Roman" w:hAnsi="Times New Roman" w:cs="Times New Roman"/>
                <w:sz w:val="20"/>
              </w:rPr>
              <w:t>consultant</w:t>
            </w:r>
            <w:r w:rsidR="001D7AEB">
              <w:rPr>
                <w:rFonts w:ascii="Times New Roman" w:hAnsi="Times New Roman" w:cs="Times New Roman"/>
                <w:sz w:val="20"/>
              </w:rPr>
              <w:t>s</w:t>
            </w:r>
            <w:r w:rsidR="00BE191B">
              <w:rPr>
                <w:rFonts w:ascii="Times New Roman" w:hAnsi="Times New Roman" w:cs="Times New Roman"/>
                <w:sz w:val="20"/>
              </w:rPr>
              <w:t xml:space="preserve"> to the secretariat</w:t>
            </w:r>
            <w:r w:rsidR="00D7797A">
              <w:rPr>
                <w:rFonts w:ascii="Times New Roman" w:hAnsi="Times New Roman" w:cs="Times New Roman"/>
                <w:sz w:val="20"/>
              </w:rPr>
              <w:t xml:space="preserve">) </w:t>
            </w:r>
          </w:p>
          <w:p w14:paraId="1012BEB5" w14:textId="389F5A47" w:rsidR="00BD1F47" w:rsidRDefault="00BD1F47" w:rsidP="00BD1F47">
            <w:pPr>
              <w:spacing w:before="40" w:after="120" w:line="240" w:lineRule="atLeast"/>
              <w:ind w:right="113"/>
              <w:rPr>
                <w:rFonts w:ascii="Times New Roman" w:hAnsi="Times New Roman" w:cs="Times New Roman"/>
                <w:sz w:val="20"/>
              </w:rPr>
            </w:pPr>
            <w:r>
              <w:rPr>
                <w:rFonts w:ascii="Times New Roman" w:hAnsi="Times New Roman" w:cs="Times New Roman"/>
                <w:sz w:val="20"/>
              </w:rPr>
              <w:t xml:space="preserve">In June 2022, the Bureau recommended organizing one thematic event at the high-level segment focusing on energy transition, circular </w:t>
            </w:r>
            <w:proofErr w:type="gramStart"/>
            <w:r>
              <w:rPr>
                <w:rFonts w:ascii="Times New Roman" w:hAnsi="Times New Roman" w:cs="Times New Roman"/>
                <w:sz w:val="20"/>
              </w:rPr>
              <w:t>economy</w:t>
            </w:r>
            <w:proofErr w:type="gramEnd"/>
            <w:r>
              <w:rPr>
                <w:rFonts w:ascii="Times New Roman" w:hAnsi="Times New Roman" w:cs="Times New Roman"/>
                <w:sz w:val="20"/>
              </w:rPr>
              <w:t xml:space="preserve"> and</w:t>
            </w:r>
            <w:r w:rsidR="00F82BEA">
              <w:rPr>
                <w:rFonts w:ascii="Times New Roman" w:hAnsi="Times New Roman" w:cs="Times New Roman"/>
                <w:sz w:val="20"/>
              </w:rPr>
              <w:t xml:space="preserve"> green financing.</w:t>
            </w:r>
          </w:p>
          <w:p w14:paraId="23E7D2E4" w14:textId="5A6DF76B" w:rsidR="00BD1F47" w:rsidRPr="00AA2B0D" w:rsidRDefault="00F82BEA" w:rsidP="00BE191B">
            <w:pPr>
              <w:spacing w:before="40" w:after="120" w:line="240" w:lineRule="atLeast"/>
              <w:ind w:right="113"/>
              <w:rPr>
                <w:rFonts w:ascii="Times New Roman" w:hAnsi="Times New Roman" w:cs="Times New Roman"/>
                <w:sz w:val="20"/>
              </w:rPr>
            </w:pPr>
            <w:r>
              <w:rPr>
                <w:rFonts w:ascii="Times New Roman" w:hAnsi="Times New Roman" w:cs="Times New Roman"/>
                <w:sz w:val="20"/>
              </w:rPr>
              <w:t>Outlines of the background paper and the programme of the event</w:t>
            </w:r>
            <w:r w:rsidR="004D19C5">
              <w:rPr>
                <w:rFonts w:ascii="Times New Roman" w:hAnsi="Times New Roman" w:cs="Times New Roman"/>
                <w:sz w:val="20"/>
              </w:rPr>
              <w:t xml:space="preserve"> provided for feedback by the Working Group at its </w:t>
            </w:r>
            <w:r w:rsidR="00BE191B">
              <w:rPr>
                <w:rFonts w:ascii="Times New Roman" w:hAnsi="Times New Roman" w:cs="Times New Roman"/>
                <w:sz w:val="20"/>
              </w:rPr>
              <w:t>12</w:t>
            </w:r>
            <w:r w:rsidR="00BE191B" w:rsidRPr="00BE191B">
              <w:rPr>
                <w:rFonts w:ascii="Times New Roman" w:hAnsi="Times New Roman" w:cs="Times New Roman"/>
                <w:sz w:val="20"/>
                <w:vertAlign w:val="superscript"/>
              </w:rPr>
              <w:t>th</w:t>
            </w:r>
            <w:r w:rsidR="00BE191B">
              <w:rPr>
                <w:rFonts w:ascii="Times New Roman" w:hAnsi="Times New Roman" w:cs="Times New Roman"/>
                <w:sz w:val="20"/>
              </w:rPr>
              <w:t xml:space="preserve"> meeting – prior to their finalization ahead of the MOPs. </w:t>
            </w:r>
          </w:p>
        </w:tc>
      </w:tr>
      <w:tr w:rsidR="008C2231" w:rsidRPr="00AA2B0D" w14:paraId="4DE0F677" w14:textId="77777777" w:rsidTr="2A3FC294">
        <w:trPr>
          <w:trHeight w:val="300"/>
        </w:trPr>
        <w:tc>
          <w:tcPr>
            <w:tcW w:w="4911" w:type="dxa"/>
            <w:shd w:val="clear" w:color="auto" w:fill="auto"/>
          </w:tcPr>
          <w:p w14:paraId="77688FC0"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lastRenderedPageBreak/>
              <w:t>III.B.1 (f) Promoting the application of strategic environmental assessment in development cooperation</w:t>
            </w:r>
          </w:p>
          <w:p w14:paraId="015FBFE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xml:space="preserve">) responsible: </w:t>
            </w:r>
            <w:r w:rsidRPr="00AA2B0D">
              <w:rPr>
                <w:rFonts w:ascii="Times New Roman" w:hAnsi="Times New Roman" w:cs="Times New Roman"/>
                <w:sz w:val="20"/>
              </w:rPr>
              <w:t xml:space="preserve">Italy and other interested Parties and partner organizations with support from the </w:t>
            </w:r>
            <w:proofErr w:type="gramStart"/>
            <w:r w:rsidRPr="00AA2B0D">
              <w:rPr>
                <w:rFonts w:ascii="Times New Roman" w:hAnsi="Times New Roman" w:cs="Times New Roman"/>
                <w:sz w:val="20"/>
              </w:rPr>
              <w:t>secretariat;</w:t>
            </w:r>
            <w:proofErr w:type="gramEnd"/>
          </w:p>
          <w:p w14:paraId="51528E4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Resource requirements: </w:t>
            </w:r>
            <w:r w:rsidRPr="00AA2B0D">
              <w:rPr>
                <w:rFonts w:ascii="Times New Roman" w:hAnsi="Times New Roman" w:cs="Times New Roman"/>
                <w:sz w:val="20"/>
              </w:rPr>
              <w:t>€20,000 per year pledged by Italy for 2021–2023 to cover the costs of two consultants for preparing documentation in consultation with treaty bodies and Parties’ authorities responsible for development cooperation</w:t>
            </w:r>
          </w:p>
        </w:tc>
        <w:tc>
          <w:tcPr>
            <w:tcW w:w="4868" w:type="dxa"/>
            <w:shd w:val="clear" w:color="auto" w:fill="auto"/>
          </w:tcPr>
          <w:p w14:paraId="67296048"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Party or stakeholder has submitted related proposals this far. </w:t>
            </w:r>
          </w:p>
          <w:p w14:paraId="395FA6B0" w14:textId="1426E898"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Italy </w:t>
            </w:r>
            <w:r w:rsidR="00EF0A91">
              <w:rPr>
                <w:rFonts w:ascii="Times New Roman" w:hAnsi="Times New Roman" w:cs="Times New Roman"/>
                <w:sz w:val="20"/>
              </w:rPr>
              <w:t xml:space="preserve">that initially proposed </w:t>
            </w:r>
            <w:r w:rsidR="00986FF5">
              <w:rPr>
                <w:rFonts w:ascii="Times New Roman" w:hAnsi="Times New Roman" w:cs="Times New Roman"/>
                <w:sz w:val="20"/>
              </w:rPr>
              <w:t xml:space="preserve">to </w:t>
            </w:r>
            <w:r w:rsidR="00EF0A91">
              <w:rPr>
                <w:rFonts w:ascii="Times New Roman" w:hAnsi="Times New Roman" w:cs="Times New Roman"/>
                <w:sz w:val="20"/>
              </w:rPr>
              <w:t xml:space="preserve">fund </w:t>
            </w:r>
            <w:r w:rsidRPr="00AA2B0D">
              <w:rPr>
                <w:rFonts w:ascii="Times New Roman" w:hAnsi="Times New Roman" w:cs="Times New Roman"/>
                <w:sz w:val="20"/>
              </w:rPr>
              <w:t>work on this topic (consultancy support for the preparation of a background document and the organization of an event in 2023)</w:t>
            </w:r>
            <w:r w:rsidR="00BB1B58">
              <w:rPr>
                <w:rFonts w:ascii="Times New Roman" w:hAnsi="Times New Roman" w:cs="Times New Roman"/>
                <w:sz w:val="20"/>
              </w:rPr>
              <w:t xml:space="preserve"> decided to reallocate its funding </w:t>
            </w:r>
            <w:r w:rsidR="00D778A4">
              <w:rPr>
                <w:rFonts w:ascii="Times New Roman" w:hAnsi="Times New Roman" w:cs="Times New Roman"/>
                <w:sz w:val="20"/>
              </w:rPr>
              <w:t xml:space="preserve">for </w:t>
            </w:r>
            <w:r w:rsidR="00691ACD">
              <w:rPr>
                <w:rFonts w:ascii="Times New Roman" w:hAnsi="Times New Roman" w:cs="Times New Roman"/>
                <w:sz w:val="20"/>
              </w:rPr>
              <w:t>the</w:t>
            </w:r>
            <w:r w:rsidR="00CD3F4F">
              <w:rPr>
                <w:rFonts w:ascii="Times New Roman" w:hAnsi="Times New Roman" w:cs="Times New Roman"/>
                <w:sz w:val="20"/>
              </w:rPr>
              <w:t xml:space="preserve"> </w:t>
            </w:r>
            <w:r w:rsidR="00D778A4">
              <w:rPr>
                <w:rFonts w:ascii="Times New Roman" w:hAnsi="Times New Roman" w:cs="Times New Roman"/>
                <w:sz w:val="20"/>
              </w:rPr>
              <w:t xml:space="preserve">high-level </w:t>
            </w:r>
            <w:r w:rsidR="00CD3F4F">
              <w:rPr>
                <w:rFonts w:ascii="Times New Roman" w:hAnsi="Times New Roman" w:cs="Times New Roman"/>
                <w:sz w:val="20"/>
              </w:rPr>
              <w:t>event on</w:t>
            </w:r>
            <w:r w:rsidR="00E914F4">
              <w:rPr>
                <w:rFonts w:ascii="Times New Roman" w:hAnsi="Times New Roman" w:cs="Times New Roman"/>
                <w:sz w:val="20"/>
              </w:rPr>
              <w:t xml:space="preserve"> energy transition</w:t>
            </w:r>
            <w:r w:rsidR="00870F6A">
              <w:rPr>
                <w:rFonts w:ascii="Times New Roman" w:hAnsi="Times New Roman" w:cs="Times New Roman"/>
                <w:sz w:val="20"/>
              </w:rPr>
              <w:t xml:space="preserve"> etc.</w:t>
            </w:r>
            <w:r w:rsidR="00691ACD">
              <w:rPr>
                <w:rFonts w:ascii="Times New Roman" w:hAnsi="Times New Roman" w:cs="Times New Roman"/>
                <w:sz w:val="20"/>
              </w:rPr>
              <w:t xml:space="preserve"> </w:t>
            </w:r>
            <w:r w:rsidRPr="00AA2B0D">
              <w:rPr>
                <w:rFonts w:ascii="Times New Roman" w:hAnsi="Times New Roman" w:cs="Times New Roman"/>
                <w:sz w:val="20"/>
              </w:rPr>
              <w:t xml:space="preserve">during the Meetings of the Parties’ sessions in </w:t>
            </w:r>
            <w:proofErr w:type="gramStart"/>
            <w:r w:rsidRPr="00AA2B0D">
              <w:rPr>
                <w:rFonts w:ascii="Times New Roman" w:hAnsi="Times New Roman" w:cs="Times New Roman"/>
                <w:sz w:val="20"/>
              </w:rPr>
              <w:t>December</w:t>
            </w:r>
            <w:r w:rsidR="00D365B8">
              <w:rPr>
                <w:rFonts w:ascii="Times New Roman" w:hAnsi="Times New Roman" w:cs="Times New Roman"/>
                <w:sz w:val="20"/>
              </w:rPr>
              <w:t xml:space="preserve"> </w:t>
            </w:r>
            <w:r w:rsidRPr="00AA2B0D">
              <w:rPr>
                <w:rFonts w:ascii="Times New Roman" w:hAnsi="Times New Roman" w:cs="Times New Roman"/>
                <w:sz w:val="20"/>
              </w:rPr>
              <w:t>.</w:t>
            </w:r>
            <w:proofErr w:type="gramEnd"/>
          </w:p>
          <w:p w14:paraId="258A836F" w14:textId="33B5C35F"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(See </w:t>
            </w:r>
            <w:r w:rsidR="00870F6A">
              <w:rPr>
                <w:rFonts w:ascii="Times New Roman" w:hAnsi="Times New Roman" w:cs="Times New Roman"/>
                <w:sz w:val="20"/>
              </w:rPr>
              <w:t xml:space="preserve">item </w:t>
            </w:r>
            <w:proofErr w:type="gramStart"/>
            <w:r w:rsidR="00870F6A">
              <w:rPr>
                <w:rFonts w:ascii="Times New Roman" w:hAnsi="Times New Roman" w:cs="Times New Roman"/>
                <w:sz w:val="20"/>
              </w:rPr>
              <w:t>III,B.</w:t>
            </w:r>
            <w:proofErr w:type="gramEnd"/>
            <w:r w:rsidR="00870F6A">
              <w:rPr>
                <w:rFonts w:ascii="Times New Roman" w:hAnsi="Times New Roman" w:cs="Times New Roman"/>
                <w:sz w:val="20"/>
              </w:rPr>
              <w:t xml:space="preserve">1 </w:t>
            </w:r>
            <w:r w:rsidRPr="00AA2B0D">
              <w:rPr>
                <w:rFonts w:ascii="Times New Roman" w:hAnsi="Times New Roman" w:cs="Times New Roman"/>
                <w:sz w:val="20"/>
              </w:rPr>
              <w:t xml:space="preserve">above)  </w:t>
            </w:r>
          </w:p>
        </w:tc>
      </w:tr>
      <w:tr w:rsidR="008C2231" w:rsidRPr="00AA2B0D" w14:paraId="205B71B9" w14:textId="77777777" w:rsidTr="2A3FC294">
        <w:trPr>
          <w:trHeight w:val="300"/>
        </w:trPr>
        <w:tc>
          <w:tcPr>
            <w:tcW w:w="4911" w:type="dxa"/>
            <w:shd w:val="clear" w:color="auto" w:fill="auto"/>
          </w:tcPr>
          <w:p w14:paraId="4A5C1576" w14:textId="77777777" w:rsidR="004035BB" w:rsidRPr="00AA2B0D" w:rsidRDefault="004035BB" w:rsidP="00AA2B0D">
            <w:pPr>
              <w:spacing w:before="40" w:after="120" w:line="240" w:lineRule="atLeast"/>
              <w:ind w:right="113"/>
              <w:rPr>
                <w:rFonts w:ascii="Times New Roman" w:hAnsi="Times New Roman" w:cs="Times New Roman"/>
                <w:sz w:val="20"/>
              </w:rPr>
            </w:pPr>
            <w:r w:rsidRPr="0051398F">
              <w:rPr>
                <w:rFonts w:ascii="Times New Roman" w:hAnsi="Times New Roman" w:cs="Times New Roman"/>
                <w:b/>
                <w:bCs/>
                <w:sz w:val="20"/>
              </w:rPr>
              <w:t>III.B.1(g) Consideration of alternatives to and the rationale for selected options of the proposed activities in the environmental impact assessment documentation</w:t>
            </w:r>
            <w:r w:rsidRPr="00AA2B0D">
              <w:rPr>
                <w:rFonts w:ascii="Times New Roman" w:hAnsi="Times New Roman" w:cs="Times New Roman"/>
                <w:sz w:val="20"/>
              </w:rPr>
              <w:t>.</w:t>
            </w:r>
          </w:p>
          <w:p w14:paraId="49B02EBA"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xml:space="preserve">) responsible: </w:t>
            </w:r>
            <w:r w:rsidRPr="00AA2B0D">
              <w:rPr>
                <w:rFonts w:ascii="Times New Roman" w:hAnsi="Times New Roman" w:cs="Times New Roman"/>
                <w:sz w:val="20"/>
              </w:rPr>
              <w:t>Belarus, the secretariat and interested Parties</w:t>
            </w:r>
          </w:p>
          <w:p w14:paraId="06FD6DC4"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Funds from the EU4Environment programme (to be confirmed).</w:t>
            </w:r>
          </w:p>
        </w:tc>
        <w:tc>
          <w:tcPr>
            <w:tcW w:w="4868" w:type="dxa"/>
            <w:shd w:val="clear" w:color="auto" w:fill="auto"/>
          </w:tcPr>
          <w:p w14:paraId="4368A3A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No Party or stakeholder has submitted related proposals this far. No authorization by the EU for using the EU4Environment funding.</w:t>
            </w:r>
          </w:p>
        </w:tc>
      </w:tr>
      <w:tr w:rsidR="008C2231" w:rsidRPr="00AA2B0D" w14:paraId="47766BB3" w14:textId="77777777" w:rsidTr="2A3FC294">
        <w:trPr>
          <w:trHeight w:val="300"/>
        </w:trPr>
        <w:tc>
          <w:tcPr>
            <w:tcW w:w="4911" w:type="dxa"/>
            <w:shd w:val="clear" w:color="auto" w:fill="auto"/>
          </w:tcPr>
          <w:p w14:paraId="6F268C30"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t>III.B.2.  Fact sheets</w:t>
            </w:r>
          </w:p>
          <w:p w14:paraId="34DD004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on the practical application of the Convention and the Protocol, to be presented during the meetings of the Working Group and posted on the website.</w:t>
            </w:r>
          </w:p>
          <w:p w14:paraId="1D61755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responsible</w:t>
            </w:r>
            <w:r w:rsidRPr="00AA2B0D">
              <w:rPr>
                <w:rFonts w:ascii="Times New Roman" w:hAnsi="Times New Roman" w:cs="Times New Roman"/>
                <w:sz w:val="20"/>
              </w:rPr>
              <w:t>: All Parties, with support from the secretariat.</w:t>
            </w:r>
          </w:p>
        </w:tc>
        <w:tc>
          <w:tcPr>
            <w:tcW w:w="4868" w:type="dxa"/>
            <w:shd w:val="clear" w:color="auto" w:fill="auto"/>
          </w:tcPr>
          <w:p w14:paraId="3EDF95F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No Party has this far volunteered to present fact sheets. </w:t>
            </w:r>
          </w:p>
          <w:p w14:paraId="2289459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As part of the reporting on the implementation of the Convention and the Protocol the Parties provided examples of the treaties’ application in 2019–2021, which they consider to be good practice, as follows: </w:t>
            </w:r>
          </w:p>
          <w:p w14:paraId="073FFE1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Examples of the Convention’s application – 15 out of 34 Parties that reported. Examples of the Protocol’s application – 10 out of 22 Parties that reported</w:t>
            </w:r>
          </w:p>
          <w:p w14:paraId="3D0457D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See item III.B.3 for more details</w:t>
            </w:r>
          </w:p>
          <w:p w14:paraId="6AAB44A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The Working Group is invited to comment the information presented in documents ECE/MP.EIA/WG.2/2022/INF.7 and INF.8, identify most relevant examples, and propose ways to further substantiate them and to present them in the form of fact sheets. </w:t>
            </w:r>
          </w:p>
        </w:tc>
      </w:tr>
      <w:tr w:rsidR="008C2231" w:rsidRPr="00AA2B0D" w14:paraId="18511756" w14:textId="77777777" w:rsidTr="2A3FC294">
        <w:trPr>
          <w:trHeight w:val="300"/>
        </w:trPr>
        <w:tc>
          <w:tcPr>
            <w:tcW w:w="4911" w:type="dxa"/>
            <w:shd w:val="clear" w:color="auto" w:fill="auto"/>
          </w:tcPr>
          <w:p w14:paraId="250E9D7A"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t>III.B.3.  Online database of Parties’ good practice, or collection and compilation of good practice</w:t>
            </w:r>
          </w:p>
          <w:p w14:paraId="3CBC16EE"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Responsible:  </w:t>
            </w:r>
            <w:r w:rsidRPr="00AA2B0D">
              <w:rPr>
                <w:rFonts w:ascii="Times New Roman" w:hAnsi="Times New Roman" w:cs="Times New Roman"/>
                <w:sz w:val="20"/>
              </w:rPr>
              <w:t xml:space="preserve">Parties to provide good practice; the secretariat, with support from a consultant, to collect, </w:t>
            </w:r>
            <w:r w:rsidRPr="00AA2B0D">
              <w:rPr>
                <w:rFonts w:ascii="Times New Roman" w:hAnsi="Times New Roman" w:cs="Times New Roman"/>
                <w:sz w:val="20"/>
              </w:rPr>
              <w:lastRenderedPageBreak/>
              <w:t>(analyse and summarize), compile and upload good practice.</w:t>
            </w:r>
          </w:p>
          <w:p w14:paraId="16C8787D"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i/>
                <w:iCs/>
                <w:sz w:val="20"/>
              </w:rPr>
              <w:t xml:space="preserve">Resource requirements: </w:t>
            </w:r>
            <w:r w:rsidRPr="00AA2B0D">
              <w:rPr>
                <w:rFonts w:ascii="Times New Roman" w:hAnsi="Times New Roman" w:cs="Times New Roman"/>
                <w:sz w:val="20"/>
              </w:rPr>
              <w:t xml:space="preserve">Will require secretariat resources and funding for consultants of </w:t>
            </w:r>
            <w:bookmarkStart w:id="9" w:name="_Hlk23265100"/>
            <w:bookmarkStart w:id="10" w:name="_Hlk23264532"/>
            <w:r w:rsidRPr="00AA2B0D">
              <w:rPr>
                <w:rFonts w:ascii="Times New Roman" w:hAnsi="Times New Roman" w:cs="Times New Roman"/>
                <w:sz w:val="20"/>
              </w:rPr>
              <w:t>$15,000–$25,000</w:t>
            </w:r>
            <w:bookmarkEnd w:id="9"/>
            <w:r w:rsidRPr="00AA2B0D">
              <w:rPr>
                <w:rFonts w:ascii="Times New Roman" w:hAnsi="Times New Roman" w:cs="Times New Roman"/>
                <w:sz w:val="20"/>
              </w:rPr>
              <w:t>. Implementation will depend on the availability of funding from Parties or partner organizations.</w:t>
            </w:r>
            <w:bookmarkEnd w:id="10"/>
          </w:p>
        </w:tc>
        <w:tc>
          <w:tcPr>
            <w:tcW w:w="4868" w:type="dxa"/>
            <w:shd w:val="clear" w:color="auto" w:fill="auto"/>
          </w:tcPr>
          <w:p w14:paraId="23C30697"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lastRenderedPageBreak/>
              <w:t xml:space="preserve">Funding for consultants not identified this far. </w:t>
            </w:r>
          </w:p>
          <w:p w14:paraId="0BE084A8"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As part of the reporting on their implementation of the Convention and the Protocol in 2019–2021 the following Parties provided good practice examples of </w:t>
            </w:r>
            <w:r w:rsidRPr="00AA2B0D">
              <w:rPr>
                <w:rFonts w:ascii="Times New Roman" w:hAnsi="Times New Roman" w:cs="Times New Roman"/>
                <w:sz w:val="20"/>
              </w:rPr>
              <w:lastRenderedPageBreak/>
              <w:t xml:space="preserve">their treaty application. However, </w:t>
            </w:r>
            <w:proofErr w:type="gramStart"/>
            <w:r w:rsidRPr="00AA2B0D">
              <w:rPr>
                <w:rFonts w:ascii="Times New Roman" w:hAnsi="Times New Roman" w:cs="Times New Roman"/>
                <w:sz w:val="20"/>
              </w:rPr>
              <w:t>the majority of</w:t>
            </w:r>
            <w:proofErr w:type="gramEnd"/>
            <w:r w:rsidRPr="00AA2B0D">
              <w:rPr>
                <w:rFonts w:ascii="Times New Roman" w:hAnsi="Times New Roman" w:cs="Times New Roman"/>
                <w:sz w:val="20"/>
              </w:rPr>
              <w:t xml:space="preserve"> them contained insufficient information/evidence for good practice: </w:t>
            </w:r>
          </w:p>
          <w:p w14:paraId="3F4DE48B"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Convention: AL (pipeline); BY (electrical power lines); BE (wind farm and inland ports and docks); CZ (new nuclear power unit); EE (wind farm); HU (motorway); LT (decommissioning nuclear power plant); MT (gas pipeline); ME (hydropower plant); PL (lignite deposit); MD (</w:t>
            </w:r>
            <w:r w:rsidRPr="00AA2B0D">
              <w:rPr>
                <w:rFonts w:ascii="Times New Roman" w:hAnsi="Times New Roman" w:cs="Times New Roman"/>
                <w:sz w:val="20"/>
                <w:lang w:val="en-US"/>
              </w:rPr>
              <w:t>water</w:t>
            </w:r>
            <w:r w:rsidRPr="00AA2B0D">
              <w:rPr>
                <w:rFonts w:ascii="Times New Roman" w:hAnsi="Times New Roman" w:cs="Times New Roman"/>
                <w:sz w:val="20"/>
              </w:rPr>
              <w:t xml:space="preserve"> d</w:t>
            </w:r>
            <w:proofErr w:type="spellStart"/>
            <w:r w:rsidRPr="00AA2B0D">
              <w:rPr>
                <w:rFonts w:ascii="Times New Roman" w:hAnsi="Times New Roman" w:cs="Times New Roman"/>
                <w:sz w:val="20"/>
                <w:lang w:val="en-US"/>
              </w:rPr>
              <w:t>etritiation</w:t>
            </w:r>
            <w:proofErr w:type="spellEnd"/>
            <w:r w:rsidRPr="00AA2B0D">
              <w:rPr>
                <w:rFonts w:ascii="Times New Roman" w:hAnsi="Times New Roman" w:cs="Times New Roman"/>
                <w:sz w:val="20"/>
                <w:lang w:val="en-US"/>
              </w:rPr>
              <w:t xml:space="preserve"> plant</w:t>
            </w:r>
            <w:r w:rsidRPr="00AA2B0D">
              <w:rPr>
                <w:rFonts w:ascii="Times New Roman" w:hAnsi="Times New Roman" w:cs="Times New Roman"/>
                <w:sz w:val="20"/>
              </w:rPr>
              <w:t>); RO (Waste oil recycling plant); SI (radioactive waste storage); ES (Extension of the Mina do Barroso mine); CH (railway line);</w:t>
            </w:r>
          </w:p>
          <w:p w14:paraId="2A457539"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Protocol: AL (tourism); AR (spatial planning); HR (development planning, spatial planning); DK (maritime spatial plan); EE (maritime spatial plan); MT (waste management plan); ME (spatial plan); PL (water management/flood protection); RO (Gas transmission development plan); ES (hydrological plans and flood protection plans). </w:t>
            </w:r>
          </w:p>
          <w:p w14:paraId="45AEE58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Some Parties provided additional examples of good practices in different parts of the questionnaire. For more details see ECE/MP.EIA/WG.2/2022/INF.7 and INF.8.</w:t>
            </w:r>
          </w:p>
          <w:p w14:paraId="61A8FD88" w14:textId="30A7377A" w:rsidR="004035BB" w:rsidRPr="00AA2B0D" w:rsidRDefault="00D55E02" w:rsidP="00AA2B0D">
            <w:pPr>
              <w:spacing w:before="40" w:after="120" w:line="240" w:lineRule="atLeast"/>
              <w:ind w:right="113"/>
              <w:rPr>
                <w:rFonts w:ascii="Times New Roman" w:hAnsi="Times New Roman" w:cs="Times New Roman"/>
                <w:sz w:val="20"/>
              </w:rPr>
            </w:pPr>
            <w:r>
              <w:rPr>
                <w:rFonts w:ascii="Times New Roman" w:hAnsi="Times New Roman" w:cs="Times New Roman"/>
                <w:sz w:val="20"/>
              </w:rPr>
              <w:t>In December 2021, t</w:t>
            </w:r>
            <w:r w:rsidR="004035BB" w:rsidRPr="00AA2B0D">
              <w:rPr>
                <w:rFonts w:ascii="Times New Roman" w:hAnsi="Times New Roman" w:cs="Times New Roman"/>
                <w:sz w:val="20"/>
              </w:rPr>
              <w:t xml:space="preserve">he Working Group </w:t>
            </w:r>
            <w:r w:rsidR="002526E2">
              <w:rPr>
                <w:rFonts w:ascii="Times New Roman" w:hAnsi="Times New Roman" w:cs="Times New Roman"/>
                <w:sz w:val="20"/>
              </w:rPr>
              <w:t xml:space="preserve">was </w:t>
            </w:r>
            <w:r w:rsidR="004035BB" w:rsidRPr="00AA2B0D">
              <w:rPr>
                <w:rFonts w:ascii="Times New Roman" w:hAnsi="Times New Roman" w:cs="Times New Roman"/>
                <w:sz w:val="20"/>
              </w:rPr>
              <w:t>invited to comment the information presented in documents ECE/MP.EIA/WG.2/2022/INF.7 and INF.8, identify most relevant examples, and propose funding and ways to further substantiate and present them</w:t>
            </w:r>
            <w:r w:rsidR="009E61F9">
              <w:rPr>
                <w:rFonts w:ascii="Times New Roman" w:hAnsi="Times New Roman" w:cs="Times New Roman"/>
                <w:sz w:val="20"/>
              </w:rPr>
              <w:t>.</w:t>
            </w:r>
            <w:r>
              <w:rPr>
                <w:rFonts w:ascii="Times New Roman" w:hAnsi="Times New Roman" w:cs="Times New Roman"/>
                <w:sz w:val="20"/>
              </w:rPr>
              <w:t xml:space="preserve"> No comments were provided.</w:t>
            </w:r>
          </w:p>
          <w:p w14:paraId="2B1323CC"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Collection and compilation of good practice in the application of SEA and transboundary EIA in the marine regions is proceeding through the activity funded by Italy (see activity III.A.4 above). </w:t>
            </w:r>
          </w:p>
        </w:tc>
      </w:tr>
      <w:tr w:rsidR="004035BB" w:rsidRPr="00AA2B0D" w14:paraId="6201479D" w14:textId="77777777" w:rsidTr="2A3FC294">
        <w:trPr>
          <w:trHeight w:val="300"/>
        </w:trPr>
        <w:tc>
          <w:tcPr>
            <w:tcW w:w="9779" w:type="dxa"/>
            <w:gridSpan w:val="2"/>
            <w:shd w:val="clear" w:color="auto" w:fill="auto"/>
          </w:tcPr>
          <w:p w14:paraId="79F909FE" w14:textId="77777777" w:rsidR="004035BB" w:rsidRPr="0051398F" w:rsidRDefault="004035BB" w:rsidP="00AA2B0D">
            <w:pPr>
              <w:spacing w:before="40" w:after="120" w:line="240" w:lineRule="atLeast"/>
              <w:ind w:right="113"/>
              <w:rPr>
                <w:rFonts w:ascii="Times New Roman" w:hAnsi="Times New Roman" w:cs="Times New Roman"/>
                <w:b/>
                <w:bCs/>
                <w:sz w:val="20"/>
              </w:rPr>
            </w:pPr>
            <w:r w:rsidRPr="0051398F">
              <w:rPr>
                <w:rFonts w:ascii="Times New Roman" w:hAnsi="Times New Roman" w:cs="Times New Roman"/>
                <w:b/>
                <w:bCs/>
                <w:sz w:val="20"/>
              </w:rPr>
              <w:lastRenderedPageBreak/>
              <w:t>III. C.</w:t>
            </w:r>
            <w:r w:rsidRPr="0051398F">
              <w:rPr>
                <w:rFonts w:ascii="Times New Roman" w:hAnsi="Times New Roman" w:cs="Times New Roman"/>
                <w:b/>
                <w:bCs/>
                <w:sz w:val="20"/>
              </w:rPr>
              <w:tab/>
              <w:t xml:space="preserve"> Capacity-building</w:t>
            </w:r>
          </w:p>
        </w:tc>
      </w:tr>
      <w:tr w:rsidR="008C2231" w:rsidRPr="00AA2B0D" w14:paraId="6F9731C9" w14:textId="77777777" w:rsidTr="2A3FC294">
        <w:trPr>
          <w:trHeight w:val="300"/>
        </w:trPr>
        <w:tc>
          <w:tcPr>
            <w:tcW w:w="4911" w:type="dxa"/>
            <w:shd w:val="clear" w:color="auto" w:fill="auto"/>
          </w:tcPr>
          <w:p w14:paraId="66253311" w14:textId="77777777" w:rsidR="004035BB" w:rsidRPr="00AA2B0D" w:rsidRDefault="004035BB" w:rsidP="00AA2B0D">
            <w:pPr>
              <w:spacing w:before="40" w:after="120" w:line="240" w:lineRule="atLeast"/>
              <w:ind w:right="113"/>
              <w:rPr>
                <w:rFonts w:ascii="Times New Roman" w:hAnsi="Times New Roman" w:cs="Times New Roman"/>
                <w:sz w:val="20"/>
              </w:rPr>
            </w:pPr>
            <w:r w:rsidRPr="0051398F">
              <w:rPr>
                <w:rFonts w:ascii="Times New Roman" w:hAnsi="Times New Roman" w:cs="Times New Roman"/>
                <w:b/>
                <w:bCs/>
                <w:sz w:val="20"/>
                <w:lang w:eastAsia="en-US"/>
              </w:rPr>
              <w:t>III. C</w:t>
            </w:r>
            <w:r w:rsidRPr="0051398F">
              <w:rPr>
                <w:rFonts w:ascii="Times New Roman" w:hAnsi="Times New Roman" w:cs="Times New Roman"/>
                <w:b/>
                <w:bCs/>
                <w:sz w:val="20"/>
              </w:rPr>
              <w:t>.1 Implementation of pilot projects (on SEA</w:t>
            </w:r>
            <w:r w:rsidRPr="00AA2B0D">
              <w:rPr>
                <w:rFonts w:ascii="Times New Roman" w:hAnsi="Times New Roman" w:cs="Times New Roman"/>
                <w:sz w:val="20"/>
              </w:rPr>
              <w:t>):</w:t>
            </w:r>
          </w:p>
          <w:p w14:paraId="3C24F5A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 Pilot project in Armenia (2021)</w:t>
            </w:r>
          </w:p>
          <w:p w14:paraId="70F0154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(ii) Pilot project in Azerbaijan (2021) </w:t>
            </w:r>
          </w:p>
          <w:p w14:paraId="456C2A71"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(iii) Pilot project in Belarus (2021–2022)</w:t>
            </w:r>
          </w:p>
          <w:p w14:paraId="61A503FF"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(iv) Pilot project in Georgia (2021</w:t>
            </w:r>
            <w:bookmarkStart w:id="11" w:name="_Hlk51692256"/>
            <w:r w:rsidRPr="00AA2B0D">
              <w:rPr>
                <w:rFonts w:ascii="Times New Roman" w:hAnsi="Times New Roman" w:cs="Times New Roman"/>
                <w:sz w:val="20"/>
                <w:lang w:eastAsia="en-US"/>
              </w:rPr>
              <w:t>–2022</w:t>
            </w:r>
            <w:bookmarkEnd w:id="11"/>
            <w:r w:rsidRPr="00AA2B0D">
              <w:rPr>
                <w:rFonts w:ascii="Times New Roman" w:hAnsi="Times New Roman" w:cs="Times New Roman"/>
                <w:sz w:val="20"/>
                <w:lang w:eastAsia="en-US"/>
              </w:rPr>
              <w:t>)</w:t>
            </w:r>
          </w:p>
          <w:p w14:paraId="12972A67"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(v) Pilot project in the Republic of Moldova (2021–2022</w:t>
            </w:r>
            <w:proofErr w:type="gramStart"/>
            <w:r w:rsidRPr="00AA2B0D">
              <w:rPr>
                <w:rFonts w:ascii="Times New Roman" w:hAnsi="Times New Roman" w:cs="Times New Roman"/>
                <w:sz w:val="20"/>
                <w:lang w:eastAsia="en-US"/>
              </w:rPr>
              <w:t>);</w:t>
            </w:r>
            <w:proofErr w:type="gramEnd"/>
          </w:p>
          <w:p w14:paraId="4C425FF3"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(vi) Pilot project in Ukraine (2021–2022)</w:t>
            </w:r>
          </w:p>
          <w:p w14:paraId="2967BF67"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rPr>
              <w:t>Entity(</w:t>
            </w:r>
            <w:proofErr w:type="spellStart"/>
            <w:r w:rsidRPr="00AA2B0D">
              <w:rPr>
                <w:rFonts w:ascii="Times New Roman" w:hAnsi="Times New Roman" w:cs="Times New Roman"/>
                <w:i/>
                <w:iCs/>
                <w:sz w:val="20"/>
              </w:rPr>
              <w:t>ies</w:t>
            </w:r>
            <w:proofErr w:type="spellEnd"/>
            <w:r w:rsidRPr="00AA2B0D">
              <w:rPr>
                <w:rFonts w:ascii="Times New Roman" w:hAnsi="Times New Roman" w:cs="Times New Roman"/>
                <w:i/>
                <w:iCs/>
                <w:sz w:val="20"/>
              </w:rPr>
              <w:t>) responsible:</w:t>
            </w:r>
            <w:r w:rsidRPr="00AA2B0D">
              <w:rPr>
                <w:rFonts w:ascii="Times New Roman" w:hAnsi="Times New Roman" w:cs="Times New Roman"/>
                <w:sz w:val="20"/>
              </w:rPr>
              <w:t xml:space="preserve"> </w:t>
            </w:r>
            <w:proofErr w:type="spellStart"/>
            <w:r w:rsidRPr="00AA2B0D">
              <w:rPr>
                <w:rFonts w:ascii="Times New Roman" w:hAnsi="Times New Roman" w:cs="Times New Roman"/>
                <w:sz w:val="20"/>
              </w:rPr>
              <w:t>Subactivities</w:t>
            </w:r>
            <w:proofErr w:type="spellEnd"/>
            <w:r w:rsidRPr="00AA2B0D">
              <w:rPr>
                <w:rFonts w:ascii="Times New Roman" w:hAnsi="Times New Roman" w:cs="Times New Roman"/>
                <w:sz w:val="20"/>
              </w:rPr>
              <w:t xml:space="preserve"> 1 (i)–(vi) to be facilitated by the secretariat, with support from consultants, and implemented with the active participation of the beneficiary countries, and, as relevant, partner organizations. The European Union delegations to the beneficiary countries and the European Commission are to be consulted regarding selection of pilot projects.</w:t>
            </w:r>
          </w:p>
        </w:tc>
        <w:tc>
          <w:tcPr>
            <w:tcW w:w="4868" w:type="dxa"/>
            <w:shd w:val="clear" w:color="auto" w:fill="auto"/>
          </w:tcPr>
          <w:p w14:paraId="0C2688E5" w14:textId="1A260336" w:rsidR="004035BB" w:rsidRPr="00AA2B0D" w:rsidRDefault="676E471E" w:rsidP="12FA3B9A">
            <w:pPr>
              <w:spacing w:before="40" w:after="120" w:line="240" w:lineRule="atLeast"/>
              <w:ind w:right="113"/>
              <w:rPr>
                <w:rFonts w:ascii="Times New Roman" w:hAnsi="Times New Roman" w:cs="Times New Roman"/>
                <w:sz w:val="20"/>
                <w:szCs w:val="20"/>
              </w:rPr>
            </w:pPr>
            <w:r w:rsidRPr="2A3FC294">
              <w:rPr>
                <w:rFonts w:ascii="Times New Roman" w:hAnsi="Times New Roman" w:cs="Times New Roman"/>
                <w:sz w:val="20"/>
                <w:szCs w:val="20"/>
              </w:rPr>
              <w:t xml:space="preserve">Armenia: preparatory phase of the pilot SEA for a spatial plan of Gegharkunik region </w:t>
            </w:r>
            <w:r w:rsidR="55FCF94B" w:rsidRPr="2A3FC294">
              <w:rPr>
                <w:rFonts w:ascii="Times New Roman" w:hAnsi="Times New Roman" w:cs="Times New Roman"/>
                <w:sz w:val="20"/>
                <w:szCs w:val="20"/>
              </w:rPr>
              <w:t>incl.</w:t>
            </w:r>
            <w:r w:rsidRPr="2A3FC294">
              <w:rPr>
                <w:rFonts w:ascii="Times New Roman" w:hAnsi="Times New Roman" w:cs="Times New Roman"/>
                <w:sz w:val="20"/>
                <w:szCs w:val="20"/>
              </w:rPr>
              <w:t xml:space="preserve"> a kick-off event and, back-to-back, a training for national experts </w:t>
            </w:r>
            <w:r w:rsidR="36E5387E" w:rsidRPr="2A3FC294">
              <w:rPr>
                <w:rFonts w:ascii="Times New Roman" w:hAnsi="Times New Roman" w:cs="Times New Roman"/>
                <w:sz w:val="20"/>
                <w:szCs w:val="20"/>
              </w:rPr>
              <w:t>completed by</w:t>
            </w:r>
            <w:r w:rsidRPr="2A3FC294">
              <w:rPr>
                <w:rFonts w:ascii="Times New Roman" w:hAnsi="Times New Roman" w:cs="Times New Roman"/>
                <w:sz w:val="20"/>
                <w:szCs w:val="20"/>
              </w:rPr>
              <w:t xml:space="preserve"> 18.11.2022</w:t>
            </w:r>
            <w:r w:rsidR="4200E0BE" w:rsidRPr="2A3FC294">
              <w:rPr>
                <w:rFonts w:ascii="Times New Roman" w:hAnsi="Times New Roman" w:cs="Times New Roman"/>
                <w:sz w:val="20"/>
                <w:szCs w:val="20"/>
              </w:rPr>
              <w:t xml:space="preserve">. </w:t>
            </w:r>
            <w:r w:rsidR="061AAE3D" w:rsidRPr="2A3FC294">
              <w:rPr>
                <w:rFonts w:ascii="Times New Roman" w:hAnsi="Times New Roman" w:cs="Times New Roman"/>
                <w:sz w:val="20"/>
                <w:szCs w:val="20"/>
              </w:rPr>
              <w:t>O</w:t>
            </w:r>
            <w:r w:rsidR="4200E0BE" w:rsidRPr="2A3FC294">
              <w:rPr>
                <w:rFonts w:ascii="Times New Roman" w:hAnsi="Times New Roman" w:cs="Times New Roman"/>
                <w:sz w:val="20"/>
                <w:szCs w:val="20"/>
              </w:rPr>
              <w:t xml:space="preserve">n 11.01.2023 Armenia requested to discontinue the pilot and </w:t>
            </w:r>
            <w:r w:rsidR="059920B0" w:rsidRPr="2A3FC294">
              <w:rPr>
                <w:rFonts w:ascii="Times New Roman" w:hAnsi="Times New Roman" w:cs="Times New Roman"/>
                <w:sz w:val="20"/>
                <w:szCs w:val="20"/>
              </w:rPr>
              <w:t>replace it</w:t>
            </w:r>
            <w:r w:rsidR="4200E0BE" w:rsidRPr="2A3FC294">
              <w:rPr>
                <w:rFonts w:ascii="Times New Roman" w:hAnsi="Times New Roman" w:cs="Times New Roman"/>
                <w:sz w:val="20"/>
                <w:szCs w:val="20"/>
              </w:rPr>
              <w:t xml:space="preserve"> </w:t>
            </w:r>
            <w:r w:rsidR="663CD6BC" w:rsidRPr="2A3FC294">
              <w:rPr>
                <w:rFonts w:ascii="Times New Roman" w:hAnsi="Times New Roman" w:cs="Times New Roman"/>
                <w:sz w:val="20"/>
                <w:szCs w:val="20"/>
              </w:rPr>
              <w:t>with</w:t>
            </w:r>
            <w:r w:rsidR="4200E0BE" w:rsidRPr="2A3FC294">
              <w:rPr>
                <w:rFonts w:ascii="Times New Roman" w:hAnsi="Times New Roman" w:cs="Times New Roman"/>
                <w:sz w:val="20"/>
                <w:szCs w:val="20"/>
              </w:rPr>
              <w:t xml:space="preserve"> another</w:t>
            </w:r>
            <w:r w:rsidR="7A2DAB3F" w:rsidRPr="2A3FC294">
              <w:rPr>
                <w:rFonts w:ascii="Times New Roman" w:hAnsi="Times New Roman" w:cs="Times New Roman"/>
                <w:sz w:val="20"/>
                <w:szCs w:val="20"/>
              </w:rPr>
              <w:t xml:space="preserve"> </w:t>
            </w:r>
            <w:r w:rsidR="4200E0BE" w:rsidRPr="2A3FC294">
              <w:rPr>
                <w:rFonts w:ascii="Times New Roman" w:hAnsi="Times New Roman" w:cs="Times New Roman"/>
                <w:sz w:val="20"/>
                <w:szCs w:val="20"/>
              </w:rPr>
              <w:t xml:space="preserve">activity. The request </w:t>
            </w:r>
            <w:r w:rsidR="40595BB8" w:rsidRPr="2A3FC294">
              <w:rPr>
                <w:rFonts w:ascii="Times New Roman" w:hAnsi="Times New Roman" w:cs="Times New Roman"/>
                <w:sz w:val="20"/>
                <w:szCs w:val="20"/>
              </w:rPr>
              <w:t>was</w:t>
            </w:r>
            <w:r w:rsidR="57EABD99" w:rsidRPr="2A3FC294">
              <w:rPr>
                <w:rFonts w:ascii="Times New Roman" w:hAnsi="Times New Roman" w:cs="Times New Roman"/>
                <w:sz w:val="20"/>
                <w:szCs w:val="20"/>
              </w:rPr>
              <w:t xml:space="preserve"> granted after the donor’s </w:t>
            </w:r>
            <w:proofErr w:type="gramStart"/>
            <w:r w:rsidR="57EABD99" w:rsidRPr="2A3FC294">
              <w:rPr>
                <w:rFonts w:ascii="Times New Roman" w:hAnsi="Times New Roman" w:cs="Times New Roman"/>
                <w:sz w:val="20"/>
                <w:szCs w:val="20"/>
              </w:rPr>
              <w:t>consideration</w:t>
            </w:r>
            <w:r w:rsidR="4200E0BE" w:rsidRPr="2A3FC294">
              <w:rPr>
                <w:rFonts w:ascii="Times New Roman" w:hAnsi="Times New Roman" w:cs="Times New Roman"/>
                <w:sz w:val="20"/>
                <w:szCs w:val="20"/>
              </w:rPr>
              <w:t xml:space="preserve"> .</w:t>
            </w:r>
            <w:proofErr w:type="gramEnd"/>
            <w:r w:rsidRPr="2A3FC294">
              <w:rPr>
                <w:rFonts w:ascii="Times New Roman" w:hAnsi="Times New Roman" w:cs="Times New Roman"/>
                <w:sz w:val="20"/>
                <w:szCs w:val="20"/>
              </w:rPr>
              <w:t xml:space="preserve"> </w:t>
            </w:r>
          </w:p>
          <w:p w14:paraId="3D5E6EB1" w14:textId="34C8E8DE" w:rsidR="004035BB" w:rsidRPr="00AA2B0D" w:rsidRDefault="676E471E" w:rsidP="12FA3B9A">
            <w:pPr>
              <w:spacing w:before="40" w:after="120" w:line="240" w:lineRule="atLeast"/>
              <w:ind w:right="113"/>
              <w:rPr>
                <w:rFonts w:ascii="Times New Roman" w:hAnsi="Times New Roman" w:cs="Times New Roman"/>
                <w:sz w:val="20"/>
                <w:szCs w:val="20"/>
              </w:rPr>
            </w:pPr>
            <w:r w:rsidRPr="2A3FC294">
              <w:rPr>
                <w:rFonts w:ascii="Times New Roman" w:hAnsi="Times New Roman" w:cs="Times New Roman"/>
                <w:sz w:val="20"/>
                <w:szCs w:val="20"/>
              </w:rPr>
              <w:t xml:space="preserve">Azerbaijan: pilot SEA applies to a draft master plan of the city of </w:t>
            </w:r>
            <w:proofErr w:type="spellStart"/>
            <w:r w:rsidRPr="2A3FC294">
              <w:rPr>
                <w:rFonts w:ascii="Times New Roman" w:hAnsi="Times New Roman" w:cs="Times New Roman"/>
                <w:sz w:val="20"/>
                <w:szCs w:val="20"/>
              </w:rPr>
              <w:t>Ganja</w:t>
            </w:r>
            <w:proofErr w:type="spellEnd"/>
            <w:r w:rsidR="640F12E6" w:rsidRPr="2A3FC294">
              <w:rPr>
                <w:rFonts w:ascii="Times New Roman" w:hAnsi="Times New Roman" w:cs="Times New Roman"/>
                <w:sz w:val="20"/>
                <w:szCs w:val="20"/>
              </w:rPr>
              <w:t xml:space="preserve">, pilot actual implementation </w:t>
            </w:r>
            <w:r w:rsidR="0A9F0490" w:rsidRPr="2A3FC294">
              <w:rPr>
                <w:rFonts w:ascii="Times New Roman" w:hAnsi="Times New Roman" w:cs="Times New Roman"/>
                <w:sz w:val="20"/>
                <w:szCs w:val="20"/>
              </w:rPr>
              <w:t>started in</w:t>
            </w:r>
            <w:r w:rsidR="515F81DC" w:rsidRPr="2A3FC294">
              <w:rPr>
                <w:rFonts w:ascii="Times New Roman" w:hAnsi="Times New Roman" w:cs="Times New Roman"/>
                <w:sz w:val="20"/>
                <w:szCs w:val="20"/>
              </w:rPr>
              <w:t xml:space="preserve"> fall</w:t>
            </w:r>
            <w:r w:rsidR="0A9F0490" w:rsidRPr="2A3FC294">
              <w:rPr>
                <w:rFonts w:ascii="Times New Roman" w:hAnsi="Times New Roman" w:cs="Times New Roman"/>
                <w:sz w:val="20"/>
                <w:szCs w:val="20"/>
              </w:rPr>
              <w:t xml:space="preserve"> 2022</w:t>
            </w:r>
            <w:r w:rsidRPr="2A3FC294">
              <w:rPr>
                <w:rFonts w:ascii="Times New Roman" w:hAnsi="Times New Roman" w:cs="Times New Roman"/>
                <w:sz w:val="20"/>
                <w:szCs w:val="20"/>
              </w:rPr>
              <w:t xml:space="preserve">; </w:t>
            </w:r>
            <w:r w:rsidR="28965C5A" w:rsidRPr="2A3FC294">
              <w:rPr>
                <w:rFonts w:ascii="Times New Roman" w:hAnsi="Times New Roman" w:cs="Times New Roman"/>
                <w:sz w:val="20"/>
                <w:szCs w:val="20"/>
              </w:rPr>
              <w:t xml:space="preserve">in Q2 2023 </w:t>
            </w:r>
            <w:r w:rsidRPr="2A3FC294">
              <w:rPr>
                <w:rFonts w:ascii="Times New Roman" w:hAnsi="Times New Roman" w:cs="Times New Roman"/>
                <w:sz w:val="20"/>
                <w:szCs w:val="20"/>
              </w:rPr>
              <w:t xml:space="preserve">a draft SEA report </w:t>
            </w:r>
            <w:r w:rsidR="0BDF837F" w:rsidRPr="2A3FC294">
              <w:rPr>
                <w:rFonts w:ascii="Times New Roman" w:hAnsi="Times New Roman" w:cs="Times New Roman"/>
                <w:sz w:val="20"/>
                <w:szCs w:val="20"/>
              </w:rPr>
              <w:t>is being prepared</w:t>
            </w:r>
            <w:r w:rsidRPr="2A3FC294">
              <w:rPr>
                <w:rFonts w:ascii="Times New Roman" w:hAnsi="Times New Roman" w:cs="Times New Roman"/>
                <w:sz w:val="20"/>
                <w:szCs w:val="20"/>
              </w:rPr>
              <w:t xml:space="preserve">. </w:t>
            </w:r>
          </w:p>
          <w:p w14:paraId="6AC94A4D" w14:textId="23829D46"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Belarus: authorisation by the EU for using the EU4Enviornment funding is not provided</w:t>
            </w:r>
            <w:r w:rsidR="00EA06C7">
              <w:rPr>
                <w:rFonts w:ascii="Times New Roman" w:hAnsi="Times New Roman" w:cs="Times New Roman"/>
                <w:sz w:val="20"/>
              </w:rPr>
              <w:t>.</w:t>
            </w:r>
          </w:p>
          <w:p w14:paraId="4734492F"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rPr>
              <w:t xml:space="preserve">Georgia: pilot SEA of a municipal spatial plan replaced by another activity at the request of Georgia. </w:t>
            </w:r>
          </w:p>
          <w:p w14:paraId="3BE8686A" w14:textId="5F14D72C" w:rsidR="004035BB" w:rsidRPr="00AA2B0D" w:rsidRDefault="676E471E" w:rsidP="12FA3B9A">
            <w:pPr>
              <w:spacing w:before="40" w:after="120" w:line="240" w:lineRule="atLeast"/>
              <w:ind w:right="113"/>
              <w:rPr>
                <w:rFonts w:ascii="Times New Roman" w:hAnsi="Times New Roman" w:cs="Times New Roman"/>
                <w:sz w:val="20"/>
                <w:szCs w:val="20"/>
              </w:rPr>
            </w:pPr>
            <w:r w:rsidRPr="2A3FC294">
              <w:rPr>
                <w:rFonts w:ascii="Times New Roman" w:hAnsi="Times New Roman" w:cs="Times New Roman"/>
                <w:sz w:val="20"/>
                <w:szCs w:val="20"/>
              </w:rPr>
              <w:t xml:space="preserve">Republic of Moldova: pilot SEA applies to a draft industrial development </w:t>
            </w:r>
            <w:r w:rsidR="7B192D39" w:rsidRPr="2A3FC294">
              <w:rPr>
                <w:rFonts w:ascii="Times New Roman" w:hAnsi="Times New Roman" w:cs="Times New Roman"/>
                <w:sz w:val="20"/>
                <w:szCs w:val="20"/>
              </w:rPr>
              <w:t>programme</w:t>
            </w:r>
            <w:r w:rsidRPr="2A3FC294">
              <w:rPr>
                <w:rFonts w:ascii="Times New Roman" w:hAnsi="Times New Roman" w:cs="Times New Roman"/>
                <w:sz w:val="20"/>
                <w:szCs w:val="20"/>
              </w:rPr>
              <w:t xml:space="preserve"> under the Ministry of </w:t>
            </w:r>
            <w:r w:rsidR="7536C8F7" w:rsidRPr="2A3FC294">
              <w:rPr>
                <w:rFonts w:ascii="Times New Roman" w:hAnsi="Times New Roman" w:cs="Times New Roman"/>
                <w:sz w:val="20"/>
                <w:szCs w:val="20"/>
              </w:rPr>
              <w:t>Economic Development and Digitalization</w:t>
            </w:r>
            <w:r w:rsidRPr="2A3FC294">
              <w:rPr>
                <w:rFonts w:ascii="Times New Roman" w:hAnsi="Times New Roman" w:cs="Times New Roman"/>
                <w:sz w:val="20"/>
                <w:szCs w:val="20"/>
              </w:rPr>
              <w:t xml:space="preserve"> proposed</w:t>
            </w:r>
            <w:r w:rsidR="085C530A" w:rsidRPr="2A3FC294">
              <w:rPr>
                <w:rFonts w:ascii="Times New Roman" w:hAnsi="Times New Roman" w:cs="Times New Roman"/>
                <w:sz w:val="20"/>
                <w:szCs w:val="20"/>
              </w:rPr>
              <w:t xml:space="preserve"> by the country and approved by the donor in 2022.</w:t>
            </w:r>
            <w:r w:rsidRPr="2A3FC294">
              <w:rPr>
                <w:rFonts w:ascii="Times New Roman" w:hAnsi="Times New Roman" w:cs="Times New Roman"/>
                <w:sz w:val="20"/>
                <w:szCs w:val="20"/>
              </w:rPr>
              <w:t xml:space="preserve"> The pilot</w:t>
            </w:r>
            <w:r w:rsidR="46070D11" w:rsidRPr="2A3FC294">
              <w:rPr>
                <w:rFonts w:ascii="Times New Roman" w:hAnsi="Times New Roman" w:cs="Times New Roman"/>
                <w:sz w:val="20"/>
                <w:szCs w:val="20"/>
              </w:rPr>
              <w:t xml:space="preserve">’s </w:t>
            </w:r>
            <w:proofErr w:type="gramStart"/>
            <w:r w:rsidR="46070D11" w:rsidRPr="2A3FC294">
              <w:rPr>
                <w:rFonts w:ascii="Times New Roman" w:hAnsi="Times New Roman" w:cs="Times New Roman"/>
                <w:sz w:val="20"/>
                <w:szCs w:val="20"/>
              </w:rPr>
              <w:t>preparation</w:t>
            </w:r>
            <w:r w:rsidRPr="2A3FC294">
              <w:rPr>
                <w:rFonts w:ascii="Times New Roman" w:hAnsi="Times New Roman" w:cs="Times New Roman"/>
                <w:sz w:val="20"/>
                <w:szCs w:val="20"/>
              </w:rPr>
              <w:t xml:space="preserve">  proceed</w:t>
            </w:r>
            <w:r w:rsidR="28557BAF" w:rsidRPr="2A3FC294">
              <w:rPr>
                <w:rFonts w:ascii="Times New Roman" w:hAnsi="Times New Roman" w:cs="Times New Roman"/>
                <w:sz w:val="20"/>
                <w:szCs w:val="20"/>
              </w:rPr>
              <w:t>ed</w:t>
            </w:r>
            <w:proofErr w:type="gramEnd"/>
            <w:r w:rsidRPr="2A3FC294">
              <w:rPr>
                <w:rFonts w:ascii="Times New Roman" w:hAnsi="Times New Roman" w:cs="Times New Roman"/>
                <w:sz w:val="20"/>
                <w:szCs w:val="20"/>
              </w:rPr>
              <w:t xml:space="preserve"> further after </w:t>
            </w:r>
            <w:r w:rsidR="1CC0E5CB" w:rsidRPr="2A3FC294">
              <w:rPr>
                <w:rFonts w:ascii="Times New Roman" w:hAnsi="Times New Roman" w:cs="Times New Roman"/>
                <w:sz w:val="20"/>
                <w:szCs w:val="20"/>
              </w:rPr>
              <w:t xml:space="preserve">the </w:t>
            </w:r>
            <w:r w:rsidR="1CC0E5CB" w:rsidRPr="2A3FC294">
              <w:rPr>
                <w:rFonts w:ascii="Times New Roman" w:hAnsi="Times New Roman" w:cs="Times New Roman"/>
                <w:sz w:val="20"/>
                <w:szCs w:val="20"/>
              </w:rPr>
              <w:lastRenderedPageBreak/>
              <w:t xml:space="preserve">Ministry’s </w:t>
            </w:r>
            <w:r w:rsidRPr="2A3FC294">
              <w:rPr>
                <w:rFonts w:ascii="Times New Roman" w:hAnsi="Times New Roman" w:cs="Times New Roman"/>
                <w:sz w:val="20"/>
                <w:szCs w:val="20"/>
              </w:rPr>
              <w:t xml:space="preserve"> programme concept </w:t>
            </w:r>
            <w:r w:rsidR="5AEFD1F4" w:rsidRPr="2A3FC294">
              <w:rPr>
                <w:rFonts w:ascii="Times New Roman" w:hAnsi="Times New Roman" w:cs="Times New Roman"/>
                <w:sz w:val="20"/>
                <w:szCs w:val="20"/>
              </w:rPr>
              <w:t>was</w:t>
            </w:r>
            <w:r w:rsidR="4A4A25CA" w:rsidRPr="2A3FC294">
              <w:rPr>
                <w:rFonts w:ascii="Times New Roman" w:hAnsi="Times New Roman" w:cs="Times New Roman"/>
                <w:sz w:val="20"/>
                <w:szCs w:val="20"/>
              </w:rPr>
              <w:t xml:space="preserve"> finally</w:t>
            </w:r>
            <w:r w:rsidR="5AEFD1F4" w:rsidRPr="2A3FC294">
              <w:rPr>
                <w:rFonts w:ascii="Times New Roman" w:hAnsi="Times New Roman" w:cs="Times New Roman"/>
                <w:sz w:val="20"/>
                <w:szCs w:val="20"/>
              </w:rPr>
              <w:t xml:space="preserve"> </w:t>
            </w:r>
            <w:r w:rsidR="165A4F67" w:rsidRPr="2A3FC294">
              <w:rPr>
                <w:rFonts w:ascii="Times New Roman" w:hAnsi="Times New Roman" w:cs="Times New Roman"/>
                <w:sz w:val="20"/>
                <w:szCs w:val="20"/>
              </w:rPr>
              <w:t>released</w:t>
            </w:r>
            <w:r w:rsidR="5AEFD1F4" w:rsidRPr="2A3FC294">
              <w:rPr>
                <w:rFonts w:ascii="Times New Roman" w:hAnsi="Times New Roman" w:cs="Times New Roman"/>
                <w:sz w:val="20"/>
                <w:szCs w:val="20"/>
              </w:rPr>
              <w:t xml:space="preserve"> in February 2023</w:t>
            </w:r>
            <w:r w:rsidRPr="2A3FC294">
              <w:rPr>
                <w:rFonts w:ascii="Times New Roman" w:hAnsi="Times New Roman" w:cs="Times New Roman"/>
                <w:sz w:val="20"/>
                <w:szCs w:val="20"/>
              </w:rPr>
              <w:t>.</w:t>
            </w:r>
            <w:r w:rsidR="550D6DB2" w:rsidRPr="2A3FC294">
              <w:rPr>
                <w:rFonts w:ascii="Times New Roman" w:hAnsi="Times New Roman" w:cs="Times New Roman"/>
                <w:sz w:val="20"/>
                <w:szCs w:val="20"/>
              </w:rPr>
              <w:t xml:space="preserve"> The SEA scoping will st</w:t>
            </w:r>
            <w:r w:rsidR="5E1C0099" w:rsidRPr="2A3FC294">
              <w:rPr>
                <w:rFonts w:ascii="Times New Roman" w:hAnsi="Times New Roman" w:cs="Times New Roman"/>
                <w:sz w:val="20"/>
                <w:szCs w:val="20"/>
              </w:rPr>
              <w:t>art when</w:t>
            </w:r>
            <w:r w:rsidR="550D6DB2" w:rsidRPr="2A3FC294">
              <w:rPr>
                <w:rFonts w:ascii="Times New Roman" w:hAnsi="Times New Roman" w:cs="Times New Roman"/>
                <w:sz w:val="20"/>
                <w:szCs w:val="20"/>
              </w:rPr>
              <w:t xml:space="preserve"> a first draft programme </w:t>
            </w:r>
            <w:r w:rsidR="454463DB" w:rsidRPr="2A3FC294">
              <w:rPr>
                <w:rFonts w:ascii="Times New Roman" w:hAnsi="Times New Roman" w:cs="Times New Roman"/>
                <w:sz w:val="20"/>
                <w:szCs w:val="20"/>
              </w:rPr>
              <w:t xml:space="preserve">is finalized </w:t>
            </w:r>
            <w:r w:rsidR="7C978A85" w:rsidRPr="2A3FC294">
              <w:rPr>
                <w:rFonts w:ascii="Times New Roman" w:hAnsi="Times New Roman" w:cs="Times New Roman"/>
                <w:sz w:val="20"/>
                <w:szCs w:val="20"/>
              </w:rPr>
              <w:t xml:space="preserve">and shared </w:t>
            </w:r>
            <w:r w:rsidR="454463DB" w:rsidRPr="2A3FC294">
              <w:rPr>
                <w:rFonts w:ascii="Times New Roman" w:hAnsi="Times New Roman" w:cs="Times New Roman"/>
                <w:sz w:val="20"/>
                <w:szCs w:val="20"/>
              </w:rPr>
              <w:t>by the Ministry</w:t>
            </w:r>
            <w:r w:rsidR="550D6DB2" w:rsidRPr="2A3FC294">
              <w:rPr>
                <w:rFonts w:ascii="Times New Roman" w:hAnsi="Times New Roman" w:cs="Times New Roman"/>
                <w:sz w:val="20"/>
                <w:szCs w:val="20"/>
              </w:rPr>
              <w:t xml:space="preserve"> (estimated late June 2023).</w:t>
            </w:r>
          </w:p>
          <w:p w14:paraId="5DFA8A44" w14:textId="218AC73A" w:rsidR="004035BB" w:rsidRPr="00AA2B0D" w:rsidRDefault="676E471E"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rPr>
              <w:t xml:space="preserve">Ukraine: a draft hydrogen strategy proposed for the pilot by Ukraine in October 2021 was withdrawn by </w:t>
            </w:r>
            <w:proofErr w:type="gramStart"/>
            <w:r w:rsidRPr="2A3FC294">
              <w:rPr>
                <w:rFonts w:ascii="Times New Roman" w:hAnsi="Times New Roman" w:cs="Times New Roman"/>
                <w:sz w:val="20"/>
                <w:szCs w:val="20"/>
              </w:rPr>
              <w:t>Ukraine  in</w:t>
            </w:r>
            <w:proofErr w:type="gramEnd"/>
            <w:r w:rsidRPr="2A3FC294">
              <w:rPr>
                <w:rFonts w:ascii="Times New Roman" w:hAnsi="Times New Roman" w:cs="Times New Roman"/>
                <w:sz w:val="20"/>
                <w:szCs w:val="20"/>
              </w:rPr>
              <w:t xml:space="preserve"> August-September 2022. Consultations with Ukraine on an alternative re the pilot </w:t>
            </w:r>
            <w:r w:rsidR="2E9F7D7A" w:rsidRPr="2A3FC294">
              <w:rPr>
                <w:rFonts w:ascii="Times New Roman" w:hAnsi="Times New Roman" w:cs="Times New Roman"/>
                <w:sz w:val="20"/>
                <w:szCs w:val="20"/>
              </w:rPr>
              <w:t>took place until early 2023</w:t>
            </w:r>
            <w:r w:rsidRPr="2A3FC294">
              <w:rPr>
                <w:rFonts w:ascii="Times New Roman" w:hAnsi="Times New Roman" w:cs="Times New Roman"/>
                <w:sz w:val="20"/>
                <w:szCs w:val="20"/>
              </w:rPr>
              <w:t>.</w:t>
            </w:r>
            <w:r w:rsidR="7945B50A" w:rsidRPr="2A3FC294">
              <w:rPr>
                <w:rFonts w:ascii="Times New Roman" w:hAnsi="Times New Roman" w:cs="Times New Roman"/>
                <w:sz w:val="20"/>
                <w:szCs w:val="20"/>
              </w:rPr>
              <w:t xml:space="preserve"> </w:t>
            </w:r>
            <w:r w:rsidR="75454B4F" w:rsidRPr="2A3FC294">
              <w:rPr>
                <w:rFonts w:ascii="Times New Roman" w:hAnsi="Times New Roman" w:cs="Times New Roman"/>
                <w:sz w:val="20"/>
                <w:szCs w:val="20"/>
              </w:rPr>
              <w:t xml:space="preserve">In February </w:t>
            </w:r>
            <w:r w:rsidR="7945B50A" w:rsidRPr="2A3FC294">
              <w:rPr>
                <w:rFonts w:ascii="Times New Roman" w:hAnsi="Times New Roman" w:cs="Times New Roman"/>
                <w:sz w:val="20"/>
                <w:szCs w:val="20"/>
              </w:rPr>
              <w:t>2023</w:t>
            </w:r>
            <w:r w:rsidR="139AED82" w:rsidRPr="2A3FC294">
              <w:rPr>
                <w:rFonts w:ascii="Times New Roman" w:hAnsi="Times New Roman" w:cs="Times New Roman"/>
                <w:sz w:val="20"/>
                <w:szCs w:val="20"/>
              </w:rPr>
              <w:t>,</w:t>
            </w:r>
            <w:r w:rsidR="7945B50A" w:rsidRPr="2A3FC294">
              <w:rPr>
                <w:rFonts w:ascii="Times New Roman" w:hAnsi="Times New Roman" w:cs="Times New Roman"/>
                <w:sz w:val="20"/>
                <w:szCs w:val="20"/>
              </w:rPr>
              <w:t xml:space="preserve"> the Ministry </w:t>
            </w:r>
            <w:r w:rsidR="25EC41AC" w:rsidRPr="2A3FC294">
              <w:rPr>
                <w:rFonts w:ascii="Times New Roman" w:hAnsi="Times New Roman" w:cs="Times New Roman"/>
                <w:sz w:val="20"/>
                <w:szCs w:val="20"/>
              </w:rPr>
              <w:t>decided</w:t>
            </w:r>
            <w:r w:rsidR="7945B50A" w:rsidRPr="2A3FC294">
              <w:rPr>
                <w:rFonts w:ascii="Times New Roman" w:hAnsi="Times New Roman" w:cs="Times New Roman"/>
                <w:sz w:val="20"/>
                <w:szCs w:val="20"/>
              </w:rPr>
              <w:t xml:space="preserve"> </w:t>
            </w:r>
            <w:r w:rsidR="2C6E33CE" w:rsidRPr="2A3FC294">
              <w:rPr>
                <w:rFonts w:ascii="Times New Roman" w:hAnsi="Times New Roman" w:cs="Times New Roman"/>
                <w:sz w:val="20"/>
                <w:szCs w:val="20"/>
              </w:rPr>
              <w:t>any</w:t>
            </w:r>
            <w:r w:rsidR="7945B50A" w:rsidRPr="2A3FC294">
              <w:rPr>
                <w:rFonts w:ascii="Times New Roman" w:hAnsi="Times New Roman" w:cs="Times New Roman"/>
                <w:sz w:val="20"/>
                <w:szCs w:val="20"/>
              </w:rPr>
              <w:t xml:space="preserve"> pilot project</w:t>
            </w:r>
            <w:r w:rsidR="0F171083" w:rsidRPr="2A3FC294">
              <w:rPr>
                <w:rFonts w:ascii="Times New Roman" w:hAnsi="Times New Roman" w:cs="Times New Roman"/>
                <w:sz w:val="20"/>
                <w:szCs w:val="20"/>
              </w:rPr>
              <w:t xml:space="preserve"> cannot be implemented due to the force majeure of the war</w:t>
            </w:r>
            <w:r w:rsidR="7945B50A" w:rsidRPr="2A3FC294">
              <w:rPr>
                <w:rFonts w:ascii="Times New Roman" w:hAnsi="Times New Roman" w:cs="Times New Roman"/>
                <w:sz w:val="20"/>
                <w:szCs w:val="20"/>
              </w:rPr>
              <w:t xml:space="preserve"> and request</w:t>
            </w:r>
            <w:r w:rsidR="1D556DC2" w:rsidRPr="2A3FC294">
              <w:rPr>
                <w:rFonts w:ascii="Times New Roman" w:hAnsi="Times New Roman" w:cs="Times New Roman"/>
                <w:sz w:val="20"/>
                <w:szCs w:val="20"/>
              </w:rPr>
              <w:t>ed</w:t>
            </w:r>
            <w:r w:rsidR="57A7523F" w:rsidRPr="2A3FC294">
              <w:rPr>
                <w:rFonts w:ascii="Times New Roman" w:hAnsi="Times New Roman" w:cs="Times New Roman"/>
                <w:sz w:val="20"/>
                <w:szCs w:val="20"/>
              </w:rPr>
              <w:t xml:space="preserve"> </w:t>
            </w:r>
            <w:r w:rsidR="0F885D3E" w:rsidRPr="2A3FC294">
              <w:rPr>
                <w:rFonts w:ascii="Times New Roman" w:hAnsi="Times New Roman" w:cs="Times New Roman"/>
                <w:sz w:val="20"/>
                <w:szCs w:val="20"/>
              </w:rPr>
              <w:t>another activity</w:t>
            </w:r>
            <w:r w:rsidR="5BCB8514" w:rsidRPr="2A3FC294">
              <w:rPr>
                <w:rFonts w:ascii="Times New Roman" w:hAnsi="Times New Roman" w:cs="Times New Roman"/>
                <w:sz w:val="20"/>
                <w:szCs w:val="20"/>
              </w:rPr>
              <w:t xml:space="preserve"> instead. </w:t>
            </w:r>
            <w:r w:rsidR="565ADF2B" w:rsidRPr="2A3FC294">
              <w:rPr>
                <w:rFonts w:ascii="Times New Roman" w:hAnsi="Times New Roman" w:cs="Times New Roman"/>
                <w:sz w:val="20"/>
                <w:szCs w:val="20"/>
              </w:rPr>
              <w:t xml:space="preserve">The request was approved by the donor. </w:t>
            </w:r>
            <w:r w:rsidRPr="2A3FC294">
              <w:rPr>
                <w:rFonts w:ascii="Times New Roman" w:hAnsi="Times New Roman" w:cs="Times New Roman"/>
                <w:sz w:val="20"/>
                <w:szCs w:val="20"/>
              </w:rPr>
              <w:t xml:space="preserve"> </w:t>
            </w:r>
            <w:r w:rsidR="0F885D3E" w:rsidRPr="2A3FC294">
              <w:rPr>
                <w:rFonts w:ascii="Times New Roman" w:hAnsi="Times New Roman" w:cs="Times New Roman"/>
                <w:sz w:val="20"/>
                <w:szCs w:val="20"/>
              </w:rPr>
              <w:t xml:space="preserve"> </w:t>
            </w:r>
          </w:p>
        </w:tc>
      </w:tr>
      <w:tr w:rsidR="008C2231" w:rsidRPr="00AA2B0D" w14:paraId="43C05A5B" w14:textId="77777777" w:rsidTr="2A3FC294">
        <w:trPr>
          <w:trHeight w:val="300"/>
        </w:trPr>
        <w:tc>
          <w:tcPr>
            <w:tcW w:w="4911" w:type="dxa"/>
            <w:shd w:val="clear" w:color="auto" w:fill="auto"/>
          </w:tcPr>
          <w:p w14:paraId="165DD91E" w14:textId="77777777" w:rsidR="004035BB" w:rsidRPr="0051398F" w:rsidRDefault="004035BB" w:rsidP="00AA2B0D">
            <w:pPr>
              <w:spacing w:before="40" w:after="120" w:line="240" w:lineRule="atLeast"/>
              <w:ind w:right="113"/>
              <w:rPr>
                <w:rFonts w:ascii="Times New Roman" w:hAnsi="Times New Roman" w:cs="Times New Roman"/>
                <w:b/>
                <w:bCs/>
                <w:sz w:val="20"/>
                <w:lang w:eastAsia="en-US"/>
              </w:rPr>
            </w:pPr>
            <w:r w:rsidRPr="0051398F">
              <w:rPr>
                <w:rFonts w:ascii="Times New Roman" w:hAnsi="Times New Roman" w:cs="Times New Roman"/>
                <w:b/>
                <w:bCs/>
                <w:sz w:val="20"/>
                <w:lang w:eastAsia="en-US"/>
              </w:rPr>
              <w:lastRenderedPageBreak/>
              <w:t>III.C.2 Training workshops on treaty application</w:t>
            </w:r>
          </w:p>
          <w:p w14:paraId="295F195C"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2" w:name="_Hlk9278240"/>
            <w:r w:rsidRPr="00AA2B0D">
              <w:rPr>
                <w:rFonts w:ascii="Times New Roman" w:hAnsi="Times New Roman" w:cs="Times New Roman"/>
                <w:sz w:val="20"/>
                <w:lang w:eastAsia="en-US"/>
              </w:rPr>
              <w:t>Organization of the following training workshops to build capacities on the practical application of the Protocol:</w:t>
            </w:r>
          </w:p>
          <w:p w14:paraId="405CA08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 Training workshop in Azerbaijan (2021 or 2022</w:t>
            </w:r>
            <w:proofErr w:type="gramStart"/>
            <w:r w:rsidRPr="00AA2B0D">
              <w:rPr>
                <w:rFonts w:ascii="Times New Roman" w:hAnsi="Times New Roman" w:cs="Times New Roman"/>
                <w:sz w:val="20"/>
                <w:lang w:eastAsia="en-US"/>
              </w:rPr>
              <w:t>);</w:t>
            </w:r>
            <w:proofErr w:type="gramEnd"/>
          </w:p>
          <w:p w14:paraId="3C867D0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 Training workshop in Ukraine (2021 or 2022 (to be confirmed).</w:t>
            </w:r>
          </w:p>
          <w:p w14:paraId="0E76912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lang w:eastAsia="en-US"/>
              </w:rPr>
              <w:t>Entity(</w:t>
            </w:r>
            <w:proofErr w:type="spellStart"/>
            <w:r w:rsidRPr="00AA2B0D">
              <w:rPr>
                <w:rFonts w:ascii="Times New Roman" w:hAnsi="Times New Roman" w:cs="Times New Roman"/>
                <w:i/>
                <w:iCs/>
                <w:sz w:val="20"/>
                <w:lang w:eastAsia="en-US"/>
              </w:rPr>
              <w:t>ies</w:t>
            </w:r>
            <w:proofErr w:type="spellEnd"/>
            <w:r w:rsidRPr="00AA2B0D">
              <w:rPr>
                <w:rFonts w:ascii="Times New Roman" w:hAnsi="Times New Roman" w:cs="Times New Roman"/>
                <w:i/>
                <w:iCs/>
                <w:sz w:val="20"/>
                <w:lang w:eastAsia="en-US"/>
              </w:rPr>
              <w:t>) responsible:</w:t>
            </w:r>
            <w:r w:rsidRPr="00AA2B0D">
              <w:rPr>
                <w:rFonts w:ascii="Times New Roman" w:hAnsi="Times New Roman" w:cs="Times New Roman"/>
                <w:sz w:val="20"/>
                <w:lang w:eastAsia="en-US"/>
              </w:rPr>
              <w:t xml:space="preserve"> The secretariat, with support from consultants, in cooperation with the beneficiary countries.</w:t>
            </w:r>
            <w:bookmarkEnd w:id="12"/>
          </w:p>
        </w:tc>
        <w:tc>
          <w:tcPr>
            <w:tcW w:w="4868" w:type="dxa"/>
            <w:shd w:val="clear" w:color="auto" w:fill="auto"/>
          </w:tcPr>
          <w:p w14:paraId="00BA4592" w14:textId="77777777" w:rsidR="004035BB" w:rsidRPr="00AA2B0D" w:rsidRDefault="004035BB" w:rsidP="0051398F">
            <w:pPr>
              <w:ind w:right="113"/>
              <w:rPr>
                <w:rFonts w:ascii="Times New Roman" w:hAnsi="Times New Roman" w:cs="Times New Roman"/>
                <w:sz w:val="20"/>
              </w:rPr>
            </w:pPr>
          </w:p>
          <w:p w14:paraId="050BAB1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rPr>
              <w:t>Azerbaijan:</w:t>
            </w:r>
            <w:r w:rsidRPr="00AA2B0D">
              <w:rPr>
                <w:rFonts w:ascii="Times New Roman" w:hAnsi="Times New Roman" w:cs="Times New Roman"/>
                <w:sz w:val="20"/>
                <w:lang w:eastAsia="en-US"/>
              </w:rPr>
              <w:t xml:space="preserve"> Completed - two SEA training workshops on 26-27 April and on 15 October 2021</w:t>
            </w:r>
          </w:p>
          <w:p w14:paraId="2BAE410F"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1A4AD454" w14:textId="3D8F8DA6" w:rsidR="004035BB" w:rsidRPr="00AA2B0D" w:rsidRDefault="19FD306A"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 xml:space="preserve">Ukraine: Completed - transboundary EIA training (focus on bilateral agreements on transboundary EIA) for Ukraine and Romania completed on 16-17 March 2021; </w:t>
            </w:r>
            <w:r w:rsidR="081FC69D" w:rsidRPr="2A3FC294">
              <w:rPr>
                <w:rFonts w:ascii="Times New Roman" w:hAnsi="Times New Roman" w:cs="Times New Roman"/>
                <w:sz w:val="20"/>
                <w:szCs w:val="20"/>
                <w:lang w:eastAsia="en-US"/>
              </w:rPr>
              <w:t>Planned – first SEA training workshop (25 May 2023); second SEA training workshop (26 May 2023)</w:t>
            </w:r>
            <w:r w:rsidR="4010204F" w:rsidRPr="2A3FC294">
              <w:rPr>
                <w:rFonts w:ascii="Times New Roman" w:hAnsi="Times New Roman" w:cs="Times New Roman"/>
                <w:sz w:val="20"/>
                <w:szCs w:val="20"/>
                <w:lang w:eastAsia="en-US"/>
              </w:rPr>
              <w:t xml:space="preserve">, both workshops </w:t>
            </w:r>
            <w:r w:rsidR="7EB50580" w:rsidRPr="2A3FC294">
              <w:rPr>
                <w:rFonts w:ascii="Times New Roman" w:hAnsi="Times New Roman" w:cs="Times New Roman"/>
                <w:sz w:val="20"/>
                <w:szCs w:val="20"/>
                <w:lang w:eastAsia="en-US"/>
              </w:rPr>
              <w:t>are</w:t>
            </w:r>
            <w:r w:rsidR="4010204F" w:rsidRPr="2A3FC294">
              <w:rPr>
                <w:rFonts w:ascii="Times New Roman" w:hAnsi="Times New Roman" w:cs="Times New Roman"/>
                <w:sz w:val="20"/>
                <w:szCs w:val="20"/>
                <w:lang w:eastAsia="en-US"/>
              </w:rPr>
              <w:t xml:space="preserve"> a replacement for the cancelled SEA pilot.</w:t>
            </w:r>
          </w:p>
        </w:tc>
      </w:tr>
      <w:tr w:rsidR="008C2231" w:rsidRPr="00AA2B0D" w14:paraId="1091B268" w14:textId="77777777" w:rsidTr="2A3FC294">
        <w:trPr>
          <w:trHeight w:val="300"/>
        </w:trPr>
        <w:tc>
          <w:tcPr>
            <w:tcW w:w="4911" w:type="dxa"/>
            <w:shd w:val="clear" w:color="auto" w:fill="auto"/>
          </w:tcPr>
          <w:p w14:paraId="4557259B" w14:textId="77777777" w:rsidR="004035BB" w:rsidRPr="0051398F" w:rsidRDefault="004035BB" w:rsidP="00AA2B0D">
            <w:pPr>
              <w:spacing w:before="40" w:after="120" w:line="240" w:lineRule="atLeast"/>
              <w:ind w:right="113"/>
              <w:rPr>
                <w:rFonts w:ascii="Times New Roman" w:hAnsi="Times New Roman" w:cs="Times New Roman"/>
                <w:b/>
                <w:bCs/>
                <w:sz w:val="20"/>
                <w:lang w:eastAsia="en-US"/>
              </w:rPr>
            </w:pPr>
            <w:r w:rsidRPr="0051398F">
              <w:rPr>
                <w:rFonts w:ascii="Times New Roman" w:hAnsi="Times New Roman" w:cs="Times New Roman"/>
                <w:b/>
                <w:bCs/>
                <w:sz w:val="20"/>
                <w:lang w:eastAsia="en-US"/>
              </w:rPr>
              <w:t xml:space="preserve">III.C.3 National awareness-raising events </w:t>
            </w:r>
          </w:p>
          <w:p w14:paraId="3B4A8F43"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organization of the following events to raise the awareness of sectoral authorities and other relevant actors on the need for and the benefits of the effective implementation of strategic environmental assessment (or transboundary environmental impact assessment) legislation in accordance with the Convention and the Protocol:</w:t>
            </w:r>
          </w:p>
          <w:p w14:paraId="3666E305"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 Awareness-raising event in Azerbaijan (2021 or 2022</w:t>
            </w:r>
            <w:proofErr w:type="gramStart"/>
            <w:r w:rsidRPr="00AA2B0D">
              <w:rPr>
                <w:rFonts w:ascii="Times New Roman" w:hAnsi="Times New Roman" w:cs="Times New Roman"/>
                <w:sz w:val="20"/>
                <w:lang w:eastAsia="en-US"/>
              </w:rPr>
              <w:t>);</w:t>
            </w:r>
            <w:proofErr w:type="gramEnd"/>
          </w:p>
          <w:p w14:paraId="241FFCF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w:t>
            </w:r>
            <w:r w:rsidRPr="00AA2B0D">
              <w:rPr>
                <w:rFonts w:ascii="Times New Roman" w:hAnsi="Times New Roman" w:cs="Times New Roman"/>
                <w:sz w:val="20"/>
                <w:lang w:eastAsia="en-US"/>
              </w:rPr>
              <w:tab/>
              <w:t>Awareness-raising event in Belarus (2021 or 2022</w:t>
            </w:r>
            <w:proofErr w:type="gramStart"/>
            <w:r w:rsidRPr="00AA2B0D">
              <w:rPr>
                <w:rFonts w:ascii="Times New Roman" w:hAnsi="Times New Roman" w:cs="Times New Roman"/>
                <w:sz w:val="20"/>
                <w:lang w:eastAsia="en-US"/>
              </w:rPr>
              <w:t>);</w:t>
            </w:r>
            <w:proofErr w:type="gramEnd"/>
          </w:p>
          <w:p w14:paraId="7A37D0B6"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(iii)</w:t>
            </w:r>
            <w:r w:rsidRPr="00AA2B0D">
              <w:rPr>
                <w:rFonts w:ascii="Times New Roman" w:hAnsi="Times New Roman" w:cs="Times New Roman"/>
                <w:sz w:val="20"/>
                <w:lang w:eastAsia="en-US"/>
              </w:rPr>
              <w:tab/>
              <w:t>Awareness-raising event in the Republic of Moldova (2021 or 2022).</w:t>
            </w:r>
            <w:r w:rsidRPr="00AA2B0D">
              <w:rPr>
                <w:rFonts w:ascii="Times New Roman" w:hAnsi="Times New Roman" w:cs="Times New Roman"/>
                <w:sz w:val="20"/>
                <w:lang w:eastAsia="en-US"/>
              </w:rPr>
              <w:tab/>
            </w:r>
          </w:p>
          <w:p w14:paraId="4A4EDF8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3" w:name="_Hlk32160459"/>
            <w:r w:rsidRPr="00AA2B0D">
              <w:rPr>
                <w:rFonts w:ascii="Times New Roman" w:hAnsi="Times New Roman" w:cs="Times New Roman"/>
                <w:i/>
                <w:iCs/>
                <w:sz w:val="20"/>
                <w:lang w:eastAsia="en-US"/>
              </w:rPr>
              <w:t>Entity(</w:t>
            </w:r>
            <w:proofErr w:type="spellStart"/>
            <w:r w:rsidRPr="00AA2B0D">
              <w:rPr>
                <w:rFonts w:ascii="Times New Roman" w:hAnsi="Times New Roman" w:cs="Times New Roman"/>
                <w:i/>
                <w:iCs/>
                <w:sz w:val="20"/>
                <w:lang w:eastAsia="en-US"/>
              </w:rPr>
              <w:t>ies</w:t>
            </w:r>
            <w:proofErr w:type="spellEnd"/>
            <w:r w:rsidRPr="00AA2B0D">
              <w:rPr>
                <w:rFonts w:ascii="Times New Roman" w:hAnsi="Times New Roman" w:cs="Times New Roman"/>
                <w:i/>
                <w:iCs/>
                <w:sz w:val="20"/>
                <w:lang w:eastAsia="en-US"/>
              </w:rPr>
              <w:t>) responsible:</w:t>
            </w:r>
            <w:r w:rsidRPr="00AA2B0D">
              <w:rPr>
                <w:rFonts w:ascii="Times New Roman" w:hAnsi="Times New Roman" w:cs="Times New Roman"/>
                <w:sz w:val="20"/>
                <w:lang w:eastAsia="en-US"/>
              </w:rPr>
              <w:t xml:space="preserve">  Coordinated by the secretariat, with support from consultants, in cooperation with the beneficiary countries. </w:t>
            </w:r>
            <w:bookmarkEnd w:id="13"/>
          </w:p>
        </w:tc>
        <w:tc>
          <w:tcPr>
            <w:tcW w:w="4868" w:type="dxa"/>
            <w:shd w:val="clear" w:color="auto" w:fill="auto"/>
          </w:tcPr>
          <w:p w14:paraId="4EE269B4" w14:textId="77777777" w:rsidR="004035BB" w:rsidRPr="00AA2B0D" w:rsidRDefault="004035BB" w:rsidP="0051398F">
            <w:pPr>
              <w:ind w:right="113"/>
              <w:rPr>
                <w:rFonts w:ascii="Times New Roman" w:hAnsi="Times New Roman" w:cs="Times New Roman"/>
                <w:sz w:val="20"/>
                <w:lang w:eastAsia="en-US"/>
              </w:rPr>
            </w:pPr>
          </w:p>
          <w:p w14:paraId="5EFDFD8C" w14:textId="77777777" w:rsidR="004035BB" w:rsidRPr="00AA2B0D" w:rsidRDefault="004035BB" w:rsidP="0051398F">
            <w:pPr>
              <w:ind w:right="113"/>
              <w:rPr>
                <w:rFonts w:ascii="Times New Roman" w:hAnsi="Times New Roman" w:cs="Times New Roman"/>
                <w:sz w:val="20"/>
                <w:lang w:eastAsia="en-US"/>
              </w:rPr>
            </w:pPr>
          </w:p>
          <w:p w14:paraId="1C23E00D" w14:textId="77777777" w:rsidR="0051398F" w:rsidRPr="00AA2B0D" w:rsidRDefault="0051398F" w:rsidP="0051398F">
            <w:pPr>
              <w:ind w:right="113"/>
              <w:rPr>
                <w:rFonts w:ascii="Times New Roman" w:hAnsi="Times New Roman" w:cs="Times New Roman"/>
                <w:sz w:val="20"/>
                <w:lang w:eastAsia="en-US"/>
              </w:rPr>
            </w:pPr>
          </w:p>
          <w:p w14:paraId="6638B4C9" w14:textId="45C0F7E9" w:rsidR="004035BB" w:rsidRPr="00AA2B0D" w:rsidRDefault="19FD306A" w:rsidP="2A3FC294">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 xml:space="preserve">Azerbaijan: </w:t>
            </w:r>
            <w:r w:rsidR="761FE92C" w:rsidRPr="2A3FC294">
              <w:rPr>
                <w:rFonts w:ascii="Times New Roman" w:hAnsi="Times New Roman" w:cs="Times New Roman"/>
                <w:sz w:val="20"/>
                <w:szCs w:val="20"/>
                <w:lang w:eastAsia="en-US"/>
              </w:rPr>
              <w:t xml:space="preserve">the </w:t>
            </w:r>
            <w:r w:rsidRPr="2A3FC294">
              <w:rPr>
                <w:rFonts w:ascii="Times New Roman" w:hAnsi="Times New Roman" w:cs="Times New Roman"/>
                <w:sz w:val="20"/>
                <w:szCs w:val="20"/>
                <w:lang w:eastAsia="en-US"/>
              </w:rPr>
              <w:t>country requested the event to be held towards the conclusion of EU4Environment funded assistance (</w:t>
            </w:r>
            <w:r w:rsidR="01977FFA" w:rsidRPr="2A3FC294">
              <w:rPr>
                <w:rFonts w:ascii="Times New Roman" w:hAnsi="Times New Roman" w:cs="Times New Roman"/>
                <w:sz w:val="20"/>
                <w:szCs w:val="20"/>
                <w:lang w:eastAsia="en-US"/>
              </w:rPr>
              <w:t xml:space="preserve">fall </w:t>
            </w:r>
            <w:r w:rsidRPr="2A3FC294">
              <w:rPr>
                <w:rFonts w:ascii="Times New Roman" w:hAnsi="Times New Roman" w:cs="Times New Roman"/>
                <w:sz w:val="20"/>
                <w:szCs w:val="20"/>
                <w:lang w:eastAsia="en-US"/>
              </w:rPr>
              <w:t xml:space="preserve">2023 date tbc – in view of the extension of EU4Environment funding till the end of </w:t>
            </w:r>
            <w:r w:rsidR="5BCE4440" w:rsidRPr="2A3FC294">
              <w:rPr>
                <w:rFonts w:ascii="Times New Roman" w:hAnsi="Times New Roman" w:cs="Times New Roman"/>
                <w:sz w:val="20"/>
                <w:szCs w:val="20"/>
                <w:lang w:eastAsia="en-US"/>
              </w:rPr>
              <w:t>2023</w:t>
            </w:r>
            <w:r w:rsidRPr="2A3FC294">
              <w:rPr>
                <w:rFonts w:ascii="Times New Roman" w:hAnsi="Times New Roman" w:cs="Times New Roman"/>
                <w:sz w:val="20"/>
                <w:szCs w:val="20"/>
                <w:lang w:eastAsia="en-US"/>
              </w:rPr>
              <w:t>)</w:t>
            </w:r>
          </w:p>
          <w:p w14:paraId="287C652D" w14:textId="37DD9234"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Belarus: </w:t>
            </w:r>
            <w:r w:rsidRPr="00AA2B0D">
              <w:rPr>
                <w:rFonts w:ascii="Times New Roman" w:hAnsi="Times New Roman" w:cs="Times New Roman"/>
                <w:sz w:val="20"/>
              </w:rPr>
              <w:t>authorisation by the EU for using the EU4E</w:t>
            </w:r>
            <w:r w:rsidR="00E27039">
              <w:rPr>
                <w:rFonts w:ascii="Times New Roman" w:hAnsi="Times New Roman" w:cs="Times New Roman"/>
                <w:sz w:val="20"/>
              </w:rPr>
              <w:t xml:space="preserve">nvironment </w:t>
            </w:r>
            <w:r w:rsidRPr="00AA2B0D">
              <w:rPr>
                <w:rFonts w:ascii="Times New Roman" w:hAnsi="Times New Roman" w:cs="Times New Roman"/>
                <w:sz w:val="20"/>
              </w:rPr>
              <w:t>funding is not provided</w:t>
            </w:r>
          </w:p>
          <w:p w14:paraId="4742473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Republic of Moldova: completed on 23 April 2021</w:t>
            </w:r>
          </w:p>
          <w:p w14:paraId="54B3CB7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tc>
      </w:tr>
      <w:tr w:rsidR="008C2231" w:rsidRPr="00AA2B0D" w14:paraId="7ACFF95A" w14:textId="77777777" w:rsidTr="2A3FC294">
        <w:trPr>
          <w:trHeight w:val="300"/>
        </w:trPr>
        <w:tc>
          <w:tcPr>
            <w:tcW w:w="4911" w:type="dxa"/>
            <w:shd w:val="clear" w:color="auto" w:fill="auto"/>
          </w:tcPr>
          <w:p w14:paraId="40760444" w14:textId="77777777" w:rsidR="004035BB" w:rsidRPr="00615AFC" w:rsidRDefault="004035BB" w:rsidP="00AA2B0D">
            <w:pPr>
              <w:spacing w:before="40" w:after="120" w:line="240" w:lineRule="atLeast"/>
              <w:ind w:right="113"/>
              <w:rPr>
                <w:rFonts w:ascii="Times New Roman" w:hAnsi="Times New Roman" w:cs="Times New Roman"/>
                <w:b/>
                <w:bCs/>
                <w:sz w:val="20"/>
                <w:lang w:eastAsia="en-US"/>
              </w:rPr>
            </w:pPr>
            <w:r w:rsidRPr="00615AFC">
              <w:rPr>
                <w:rFonts w:ascii="Times New Roman" w:hAnsi="Times New Roman" w:cs="Times New Roman"/>
                <w:b/>
                <w:bCs/>
                <w:sz w:val="20"/>
                <w:lang w:eastAsia="en-US"/>
              </w:rPr>
              <w:t xml:space="preserve">III.C.4 National awareness-raising materials </w:t>
            </w:r>
          </w:p>
          <w:p w14:paraId="0A8E7F4C"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preparation of the following awareness-raising materials on strategic environmental assessment (or transboundary environmental impact assessment) requested by the beneficiary countries (for example, a leaflet presenting good practice or a brochure on the role of public participation):</w:t>
            </w:r>
          </w:p>
          <w:p w14:paraId="17B62AE1"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w:t>
            </w:r>
            <w:r w:rsidRPr="00AA2B0D">
              <w:rPr>
                <w:rFonts w:ascii="Times New Roman" w:hAnsi="Times New Roman" w:cs="Times New Roman"/>
                <w:sz w:val="20"/>
                <w:lang w:eastAsia="en-US"/>
              </w:rPr>
              <w:tab/>
              <w:t>Awareness-raising materials for Azerbaijan (in 2021 or 2022</w:t>
            </w:r>
            <w:proofErr w:type="gramStart"/>
            <w:r w:rsidRPr="00AA2B0D">
              <w:rPr>
                <w:rFonts w:ascii="Times New Roman" w:hAnsi="Times New Roman" w:cs="Times New Roman"/>
                <w:sz w:val="20"/>
                <w:lang w:eastAsia="en-US"/>
              </w:rPr>
              <w:t>);</w:t>
            </w:r>
            <w:proofErr w:type="gramEnd"/>
          </w:p>
          <w:p w14:paraId="4297A9EB"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w:t>
            </w:r>
            <w:r w:rsidRPr="00AA2B0D">
              <w:rPr>
                <w:rFonts w:ascii="Times New Roman" w:hAnsi="Times New Roman" w:cs="Times New Roman"/>
                <w:sz w:val="20"/>
                <w:lang w:eastAsia="en-US"/>
              </w:rPr>
              <w:tab/>
              <w:t>Awareness-raising materials for Belarus (in 2021 or 2022</w:t>
            </w:r>
            <w:proofErr w:type="gramStart"/>
            <w:r w:rsidRPr="00AA2B0D">
              <w:rPr>
                <w:rFonts w:ascii="Times New Roman" w:hAnsi="Times New Roman" w:cs="Times New Roman"/>
                <w:sz w:val="20"/>
                <w:lang w:eastAsia="en-US"/>
              </w:rPr>
              <w:t>);</w:t>
            </w:r>
            <w:proofErr w:type="gramEnd"/>
          </w:p>
          <w:p w14:paraId="4F5E6E58"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lastRenderedPageBreak/>
              <w:t>(iii)</w:t>
            </w:r>
            <w:r w:rsidRPr="00AA2B0D">
              <w:rPr>
                <w:rFonts w:ascii="Times New Roman" w:hAnsi="Times New Roman" w:cs="Times New Roman"/>
                <w:sz w:val="20"/>
                <w:lang w:eastAsia="en-US"/>
              </w:rPr>
              <w:tab/>
              <w:t>Awareness-raising materials for the Republic of Moldova (2021</w:t>
            </w:r>
            <w:proofErr w:type="gramStart"/>
            <w:r w:rsidRPr="00AA2B0D">
              <w:rPr>
                <w:rFonts w:ascii="Times New Roman" w:hAnsi="Times New Roman" w:cs="Times New Roman"/>
                <w:sz w:val="20"/>
                <w:lang w:eastAsia="en-US"/>
              </w:rPr>
              <w:t>);</w:t>
            </w:r>
            <w:proofErr w:type="gramEnd"/>
          </w:p>
          <w:p w14:paraId="74BBF4DE"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(iv)</w:t>
            </w:r>
            <w:r w:rsidRPr="00AA2B0D">
              <w:rPr>
                <w:rFonts w:ascii="Times New Roman" w:hAnsi="Times New Roman" w:cs="Times New Roman"/>
                <w:sz w:val="20"/>
                <w:lang w:eastAsia="en-US"/>
              </w:rPr>
              <w:tab/>
              <w:t>Awareness-raising materials for Ukraine (in 2021 or 2022).</w:t>
            </w:r>
          </w:p>
          <w:p w14:paraId="69ADCCC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4" w:name="_Hlk32160486"/>
            <w:r w:rsidRPr="00AA2B0D">
              <w:rPr>
                <w:rFonts w:ascii="Times New Roman" w:hAnsi="Times New Roman" w:cs="Times New Roman"/>
                <w:i/>
                <w:iCs/>
                <w:sz w:val="20"/>
                <w:lang w:eastAsia="en-US"/>
              </w:rPr>
              <w:t>Entity(</w:t>
            </w:r>
            <w:proofErr w:type="spellStart"/>
            <w:r w:rsidRPr="00AA2B0D">
              <w:rPr>
                <w:rFonts w:ascii="Times New Roman" w:hAnsi="Times New Roman" w:cs="Times New Roman"/>
                <w:i/>
                <w:iCs/>
                <w:sz w:val="20"/>
                <w:lang w:eastAsia="en-US"/>
              </w:rPr>
              <w:t>ies</w:t>
            </w:r>
            <w:proofErr w:type="spellEnd"/>
            <w:r w:rsidRPr="00AA2B0D">
              <w:rPr>
                <w:rFonts w:ascii="Times New Roman" w:hAnsi="Times New Roman" w:cs="Times New Roman"/>
                <w:i/>
                <w:iCs/>
                <w:sz w:val="20"/>
                <w:lang w:eastAsia="en-US"/>
              </w:rPr>
              <w:t>) responsible</w:t>
            </w:r>
            <w:r w:rsidRPr="00AA2B0D">
              <w:rPr>
                <w:rFonts w:ascii="Times New Roman" w:hAnsi="Times New Roman" w:cs="Times New Roman"/>
                <w:sz w:val="20"/>
                <w:lang w:eastAsia="en-US"/>
              </w:rPr>
              <w:t xml:space="preserve">:  Coordinated by the secretariat, with support from consultants, in cooperation with the beneficiary countries. </w:t>
            </w:r>
            <w:bookmarkEnd w:id="14"/>
          </w:p>
        </w:tc>
        <w:tc>
          <w:tcPr>
            <w:tcW w:w="4868" w:type="dxa"/>
            <w:shd w:val="clear" w:color="auto" w:fill="auto"/>
          </w:tcPr>
          <w:p w14:paraId="4B94D55D" w14:textId="77777777" w:rsidR="004035BB" w:rsidRPr="00AA2B0D" w:rsidRDefault="004035BB" w:rsidP="00615AFC">
            <w:pPr>
              <w:ind w:right="113"/>
              <w:rPr>
                <w:rFonts w:ascii="Times New Roman" w:hAnsi="Times New Roman" w:cs="Times New Roman"/>
                <w:sz w:val="20"/>
                <w:lang w:eastAsia="en-US"/>
              </w:rPr>
            </w:pPr>
          </w:p>
          <w:p w14:paraId="27CA350A" w14:textId="77777777" w:rsidR="004035BB" w:rsidRPr="00AA2B0D" w:rsidRDefault="004035BB" w:rsidP="00615AFC">
            <w:pPr>
              <w:ind w:right="113"/>
              <w:rPr>
                <w:rFonts w:ascii="Times New Roman" w:hAnsi="Times New Roman" w:cs="Times New Roman"/>
                <w:sz w:val="20"/>
                <w:lang w:eastAsia="en-US"/>
              </w:rPr>
            </w:pPr>
          </w:p>
          <w:p w14:paraId="13619BD3" w14:textId="77777777" w:rsidR="004035BB" w:rsidRPr="00AA2B0D" w:rsidRDefault="004035BB" w:rsidP="00615AFC">
            <w:pPr>
              <w:ind w:right="113"/>
              <w:rPr>
                <w:rFonts w:ascii="Times New Roman" w:hAnsi="Times New Roman" w:cs="Times New Roman"/>
                <w:sz w:val="20"/>
                <w:lang w:eastAsia="en-US"/>
              </w:rPr>
            </w:pPr>
          </w:p>
          <w:p w14:paraId="22A3A34E" w14:textId="77777777" w:rsidR="004035BB" w:rsidRPr="00AA2B0D" w:rsidRDefault="004035BB" w:rsidP="00615AFC">
            <w:pPr>
              <w:ind w:right="113"/>
              <w:rPr>
                <w:rFonts w:ascii="Times New Roman" w:hAnsi="Times New Roman" w:cs="Times New Roman"/>
                <w:sz w:val="20"/>
                <w:lang w:eastAsia="en-US"/>
              </w:rPr>
            </w:pPr>
          </w:p>
          <w:p w14:paraId="7ABC9CE8" w14:textId="77777777" w:rsidR="004035BB" w:rsidRDefault="004035BB" w:rsidP="00615AFC">
            <w:pPr>
              <w:ind w:right="113"/>
              <w:rPr>
                <w:rFonts w:ascii="Times New Roman" w:hAnsi="Times New Roman" w:cs="Times New Roman"/>
                <w:sz w:val="20"/>
                <w:lang w:eastAsia="en-US"/>
              </w:rPr>
            </w:pPr>
          </w:p>
          <w:p w14:paraId="6315AA78" w14:textId="77777777" w:rsidR="00615AFC" w:rsidRDefault="00615AFC" w:rsidP="00615AFC">
            <w:pPr>
              <w:ind w:right="113"/>
              <w:rPr>
                <w:rFonts w:ascii="Times New Roman" w:hAnsi="Times New Roman" w:cs="Times New Roman"/>
                <w:sz w:val="20"/>
                <w:lang w:eastAsia="en-US"/>
              </w:rPr>
            </w:pPr>
          </w:p>
          <w:p w14:paraId="2C338F50" w14:textId="77777777" w:rsidR="00615AFC" w:rsidRDefault="00615AFC" w:rsidP="00615AFC">
            <w:pPr>
              <w:ind w:right="113"/>
              <w:rPr>
                <w:rFonts w:ascii="Times New Roman" w:hAnsi="Times New Roman" w:cs="Times New Roman"/>
                <w:sz w:val="20"/>
                <w:lang w:eastAsia="en-US"/>
              </w:rPr>
            </w:pPr>
          </w:p>
          <w:p w14:paraId="1721AA73" w14:textId="77777777" w:rsidR="00615AFC" w:rsidRDefault="00615AFC" w:rsidP="00615AFC">
            <w:pPr>
              <w:ind w:right="113"/>
              <w:rPr>
                <w:rFonts w:ascii="Times New Roman" w:hAnsi="Times New Roman" w:cs="Times New Roman"/>
                <w:sz w:val="20"/>
                <w:lang w:eastAsia="en-US"/>
              </w:rPr>
            </w:pPr>
          </w:p>
          <w:p w14:paraId="4132B2D8" w14:textId="77777777" w:rsidR="00615AFC" w:rsidRPr="00AA2B0D" w:rsidRDefault="00615AFC" w:rsidP="00615AFC">
            <w:pPr>
              <w:ind w:right="113"/>
              <w:rPr>
                <w:rFonts w:ascii="Times New Roman" w:hAnsi="Times New Roman" w:cs="Times New Roman"/>
                <w:sz w:val="20"/>
                <w:lang w:eastAsia="en-US"/>
              </w:rPr>
            </w:pPr>
          </w:p>
          <w:p w14:paraId="30DC6B9D" w14:textId="77777777" w:rsidR="004035BB" w:rsidRPr="00AA2B0D" w:rsidRDefault="004035BB" w:rsidP="00615AFC">
            <w:pPr>
              <w:ind w:right="113"/>
              <w:rPr>
                <w:rFonts w:ascii="Times New Roman" w:hAnsi="Times New Roman" w:cs="Times New Roman"/>
                <w:sz w:val="20"/>
                <w:lang w:eastAsia="en-US"/>
              </w:rPr>
            </w:pPr>
          </w:p>
          <w:p w14:paraId="13193F47" w14:textId="77777777" w:rsidR="004035BB" w:rsidRPr="00AA2B0D" w:rsidRDefault="004035BB" w:rsidP="00615AFC">
            <w:pPr>
              <w:ind w:right="113"/>
              <w:rPr>
                <w:rFonts w:ascii="Times New Roman" w:hAnsi="Times New Roman" w:cs="Times New Roman"/>
                <w:sz w:val="20"/>
                <w:lang w:eastAsia="en-US"/>
              </w:rPr>
            </w:pPr>
          </w:p>
          <w:p w14:paraId="4A9D4715" w14:textId="631BC759" w:rsidR="004035BB" w:rsidRPr="00AA2B0D" w:rsidRDefault="2C250421"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In the Republic of Moldova,</w:t>
            </w:r>
            <w:r w:rsidR="676E471E" w:rsidRPr="2A3FC294">
              <w:rPr>
                <w:rFonts w:ascii="Times New Roman" w:hAnsi="Times New Roman" w:cs="Times New Roman"/>
                <w:sz w:val="20"/>
                <w:szCs w:val="20"/>
                <w:lang w:eastAsia="en-US"/>
              </w:rPr>
              <w:t xml:space="preserve"> materials preparation </w:t>
            </w:r>
            <w:r w:rsidR="73E9300B" w:rsidRPr="2A3FC294">
              <w:rPr>
                <w:rFonts w:ascii="Times New Roman" w:hAnsi="Times New Roman" w:cs="Times New Roman"/>
                <w:sz w:val="20"/>
                <w:szCs w:val="20"/>
                <w:lang w:eastAsia="en-US"/>
              </w:rPr>
              <w:t>in progress in Q2</w:t>
            </w:r>
            <w:r w:rsidR="676E471E" w:rsidRPr="2A3FC294">
              <w:rPr>
                <w:rFonts w:ascii="Times New Roman" w:hAnsi="Times New Roman" w:cs="Times New Roman"/>
                <w:sz w:val="20"/>
                <w:szCs w:val="20"/>
                <w:lang w:eastAsia="en-US"/>
              </w:rPr>
              <w:t xml:space="preserve"> 2023</w:t>
            </w:r>
          </w:p>
          <w:p w14:paraId="0EBCC4A0" w14:textId="230F318C" w:rsidR="004035BB" w:rsidRPr="00AA2B0D" w:rsidRDefault="676E471E"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lastRenderedPageBreak/>
              <w:t>Needs assessment for awareness-raising materials for other countries except Belarus in progress to be followed by materials preparation in</w:t>
            </w:r>
            <w:r w:rsidR="34C4CE5E" w:rsidRPr="2A3FC294">
              <w:rPr>
                <w:rFonts w:ascii="Times New Roman" w:hAnsi="Times New Roman" w:cs="Times New Roman"/>
                <w:sz w:val="20"/>
                <w:szCs w:val="20"/>
                <w:lang w:eastAsia="en-US"/>
              </w:rPr>
              <w:t xml:space="preserve"> the second half of</w:t>
            </w:r>
            <w:r w:rsidRPr="2A3FC294">
              <w:rPr>
                <w:rFonts w:ascii="Times New Roman" w:hAnsi="Times New Roman" w:cs="Times New Roman"/>
                <w:sz w:val="20"/>
                <w:szCs w:val="20"/>
                <w:lang w:eastAsia="en-US"/>
              </w:rPr>
              <w:t xml:space="preserve"> 2023</w:t>
            </w:r>
            <w:r w:rsidR="069D41E9" w:rsidRPr="2A3FC294">
              <w:rPr>
                <w:rFonts w:ascii="Times New Roman" w:hAnsi="Times New Roman" w:cs="Times New Roman"/>
                <w:sz w:val="20"/>
                <w:szCs w:val="20"/>
                <w:lang w:eastAsia="en-US"/>
              </w:rPr>
              <w:t>.</w:t>
            </w:r>
          </w:p>
        </w:tc>
      </w:tr>
      <w:tr w:rsidR="008C2231" w:rsidRPr="00AA2B0D" w14:paraId="23A5BD33" w14:textId="77777777" w:rsidTr="2A3FC294">
        <w:trPr>
          <w:trHeight w:val="300"/>
        </w:trPr>
        <w:tc>
          <w:tcPr>
            <w:tcW w:w="4911" w:type="dxa"/>
            <w:shd w:val="clear" w:color="auto" w:fill="auto"/>
          </w:tcPr>
          <w:p w14:paraId="179DD9A0" w14:textId="77777777" w:rsidR="004035BB" w:rsidRPr="00615AFC" w:rsidRDefault="004035BB" w:rsidP="00AA2B0D">
            <w:pPr>
              <w:spacing w:before="40" w:after="120" w:line="240" w:lineRule="atLeast"/>
              <w:ind w:right="113"/>
              <w:rPr>
                <w:rFonts w:ascii="Times New Roman" w:hAnsi="Times New Roman" w:cs="Times New Roman"/>
                <w:b/>
                <w:bCs/>
                <w:sz w:val="20"/>
                <w:lang w:eastAsia="en-US"/>
              </w:rPr>
            </w:pPr>
            <w:r w:rsidRPr="00615AFC">
              <w:rPr>
                <w:rFonts w:ascii="Times New Roman" w:hAnsi="Times New Roman" w:cs="Times New Roman"/>
                <w:b/>
                <w:bCs/>
                <w:sz w:val="20"/>
                <w:lang w:eastAsia="en-US"/>
              </w:rPr>
              <w:lastRenderedPageBreak/>
              <w:t xml:space="preserve">III.C.5 National issue- or sector-specific guidelines </w:t>
            </w:r>
          </w:p>
          <w:p w14:paraId="1DB28035"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The preparation of the following guidelines to complement existing general guidelines on strategic environmental assessment, on selected issues/sectors, as agreed with the beneficiary countries:</w:t>
            </w:r>
          </w:p>
          <w:p w14:paraId="63ED23C1"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(i) Guidelines for Azerbaijan in the field of regional development/transport/ agriculture (sector to be confirmed), in 2021 or </w:t>
            </w:r>
            <w:proofErr w:type="gramStart"/>
            <w:r w:rsidRPr="00AA2B0D">
              <w:rPr>
                <w:rFonts w:ascii="Times New Roman" w:hAnsi="Times New Roman" w:cs="Times New Roman"/>
                <w:sz w:val="20"/>
                <w:lang w:eastAsia="en-US"/>
              </w:rPr>
              <w:t>2022;</w:t>
            </w:r>
            <w:proofErr w:type="gramEnd"/>
            <w:r w:rsidRPr="00AA2B0D">
              <w:rPr>
                <w:rFonts w:ascii="Times New Roman" w:hAnsi="Times New Roman" w:cs="Times New Roman"/>
                <w:sz w:val="20"/>
                <w:lang w:eastAsia="en-US"/>
              </w:rPr>
              <w:t xml:space="preserve"> </w:t>
            </w:r>
          </w:p>
          <w:p w14:paraId="1B818D4A"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 Guidelines for Belarus in the field of urban planning, in 2121 (to be confirmed</w:t>
            </w:r>
            <w:proofErr w:type="gramStart"/>
            <w:r w:rsidRPr="00AA2B0D">
              <w:rPr>
                <w:rFonts w:ascii="Times New Roman" w:hAnsi="Times New Roman" w:cs="Times New Roman"/>
                <w:sz w:val="20"/>
                <w:lang w:eastAsia="en-US"/>
              </w:rPr>
              <w:t>);</w:t>
            </w:r>
            <w:proofErr w:type="gramEnd"/>
          </w:p>
          <w:p w14:paraId="5416121E"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(iii) Guidelines for the Republic of Moldova on transboundary procedures, in 2021–</w:t>
            </w:r>
            <w:proofErr w:type="gramStart"/>
            <w:r w:rsidRPr="00AA2B0D">
              <w:rPr>
                <w:rFonts w:ascii="Times New Roman" w:hAnsi="Times New Roman" w:cs="Times New Roman"/>
                <w:sz w:val="20"/>
                <w:lang w:eastAsia="en-US"/>
              </w:rPr>
              <w:t>2022;</w:t>
            </w:r>
            <w:proofErr w:type="gramEnd"/>
          </w:p>
          <w:p w14:paraId="6DC1F89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(iv) Guidelines for Ukraine in the field of urban planning, in 2021.</w:t>
            </w:r>
          </w:p>
          <w:p w14:paraId="456B9892"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bookmarkStart w:id="15" w:name="_Hlk31993495"/>
            <w:r w:rsidRPr="00AA2B0D">
              <w:rPr>
                <w:rFonts w:ascii="Times New Roman" w:hAnsi="Times New Roman" w:cs="Times New Roman"/>
                <w:i/>
                <w:iCs/>
                <w:sz w:val="20"/>
                <w:lang w:eastAsia="en-US"/>
              </w:rPr>
              <w:t>Entity(</w:t>
            </w:r>
            <w:proofErr w:type="spellStart"/>
            <w:r w:rsidRPr="00AA2B0D">
              <w:rPr>
                <w:rFonts w:ascii="Times New Roman" w:hAnsi="Times New Roman" w:cs="Times New Roman"/>
                <w:i/>
                <w:iCs/>
                <w:sz w:val="20"/>
                <w:lang w:eastAsia="en-US"/>
              </w:rPr>
              <w:t>ies</w:t>
            </w:r>
            <w:proofErr w:type="spellEnd"/>
            <w:r w:rsidRPr="00AA2B0D">
              <w:rPr>
                <w:rFonts w:ascii="Times New Roman" w:hAnsi="Times New Roman" w:cs="Times New Roman"/>
                <w:i/>
                <w:iCs/>
                <w:sz w:val="20"/>
                <w:lang w:eastAsia="en-US"/>
              </w:rPr>
              <w:t>) responsible</w:t>
            </w:r>
            <w:r w:rsidRPr="00AA2B0D">
              <w:rPr>
                <w:rFonts w:ascii="Times New Roman" w:hAnsi="Times New Roman" w:cs="Times New Roman"/>
                <w:sz w:val="20"/>
                <w:lang w:eastAsia="en-US"/>
              </w:rPr>
              <w:t>:  Coordinated by the secretariat, with support from consultants, in cooperation with the beneficiary countries.</w:t>
            </w:r>
            <w:bookmarkEnd w:id="15"/>
          </w:p>
        </w:tc>
        <w:tc>
          <w:tcPr>
            <w:tcW w:w="4868" w:type="dxa"/>
            <w:shd w:val="clear" w:color="auto" w:fill="auto"/>
          </w:tcPr>
          <w:p w14:paraId="4BC8E47E"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74F28C3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17FAF188"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11109B24"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451C786A"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p>
          <w:p w14:paraId="70444728" w14:textId="549BB338" w:rsidR="004035BB" w:rsidRPr="00AA2B0D" w:rsidRDefault="676E471E"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Azerbaijan: requested to postpone the start of guidelines development until the advanced stage of the implementation of the pilot SEA (i.e.    2023)</w:t>
            </w:r>
          </w:p>
          <w:p w14:paraId="066AC2C5" w14:textId="77777777" w:rsidR="004035BB" w:rsidRPr="00AA2B0D" w:rsidRDefault="004035BB" w:rsidP="00AA2B0D">
            <w:pPr>
              <w:spacing w:before="40" w:after="120" w:line="240" w:lineRule="atLeast"/>
              <w:ind w:right="113"/>
              <w:rPr>
                <w:rFonts w:ascii="Times New Roman" w:hAnsi="Times New Roman" w:cs="Times New Roman"/>
                <w:sz w:val="20"/>
              </w:rPr>
            </w:pPr>
            <w:r w:rsidRPr="00AA2B0D">
              <w:rPr>
                <w:rFonts w:ascii="Times New Roman" w:hAnsi="Times New Roman" w:cs="Times New Roman"/>
                <w:sz w:val="20"/>
                <w:lang w:eastAsia="en-US"/>
              </w:rPr>
              <w:t xml:space="preserve">Belarus: </w:t>
            </w:r>
            <w:r w:rsidRPr="00AA2B0D">
              <w:rPr>
                <w:rFonts w:ascii="Times New Roman" w:hAnsi="Times New Roman" w:cs="Times New Roman"/>
                <w:sz w:val="20"/>
              </w:rPr>
              <w:t>authorisation by the EU for using the EU4Enviornment funding is not provided</w:t>
            </w:r>
          </w:p>
          <w:p w14:paraId="48BEAF25" w14:textId="7DCB22C1" w:rsidR="004035BB" w:rsidRPr="00AA2B0D" w:rsidRDefault="676E471E"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 xml:space="preserve">Republic of Moldova: </w:t>
            </w:r>
            <w:r w:rsidR="1A7DD75B" w:rsidRPr="2A3FC294">
              <w:rPr>
                <w:rFonts w:ascii="Times New Roman" w:hAnsi="Times New Roman" w:cs="Times New Roman"/>
                <w:sz w:val="20"/>
                <w:szCs w:val="20"/>
                <w:lang w:eastAsia="en-US"/>
              </w:rPr>
              <w:t xml:space="preserve">Finalization of </w:t>
            </w:r>
            <w:r w:rsidR="320E98C1" w:rsidRPr="2A3FC294">
              <w:rPr>
                <w:rFonts w:ascii="Times New Roman" w:hAnsi="Times New Roman" w:cs="Times New Roman"/>
                <w:sz w:val="20"/>
                <w:szCs w:val="20"/>
                <w:lang w:eastAsia="en-US"/>
              </w:rPr>
              <w:t xml:space="preserve">draft </w:t>
            </w:r>
            <w:r w:rsidR="1A7DD75B" w:rsidRPr="2A3FC294">
              <w:rPr>
                <w:rFonts w:ascii="Times New Roman" w:hAnsi="Times New Roman" w:cs="Times New Roman"/>
                <w:sz w:val="20"/>
                <w:szCs w:val="20"/>
                <w:lang w:eastAsia="en-US"/>
              </w:rPr>
              <w:t xml:space="preserve">guidelines on quality control of SEA documentation and of EIA documentation is in </w:t>
            </w:r>
            <w:r w:rsidR="0F27D781" w:rsidRPr="2A3FC294">
              <w:rPr>
                <w:rFonts w:ascii="Times New Roman" w:hAnsi="Times New Roman" w:cs="Times New Roman"/>
                <w:sz w:val="20"/>
                <w:szCs w:val="20"/>
                <w:lang w:eastAsia="en-US"/>
              </w:rPr>
              <w:t>the final stage</w:t>
            </w:r>
            <w:r w:rsidR="1A7DD75B" w:rsidRPr="2A3FC294">
              <w:rPr>
                <w:rFonts w:ascii="Times New Roman" w:hAnsi="Times New Roman" w:cs="Times New Roman"/>
                <w:sz w:val="20"/>
                <w:szCs w:val="20"/>
                <w:lang w:eastAsia="en-US"/>
              </w:rPr>
              <w:t xml:space="preserve">. Both guidelines are expected to be </w:t>
            </w:r>
            <w:r w:rsidR="6B7371DD" w:rsidRPr="2A3FC294">
              <w:rPr>
                <w:rFonts w:ascii="Times New Roman" w:hAnsi="Times New Roman" w:cs="Times New Roman"/>
                <w:sz w:val="20"/>
                <w:szCs w:val="20"/>
                <w:lang w:eastAsia="en-US"/>
              </w:rPr>
              <w:t>finalized</w:t>
            </w:r>
            <w:r w:rsidR="1A7DD75B" w:rsidRPr="2A3FC294">
              <w:rPr>
                <w:rFonts w:ascii="Times New Roman" w:hAnsi="Times New Roman" w:cs="Times New Roman"/>
                <w:sz w:val="20"/>
                <w:szCs w:val="20"/>
                <w:lang w:eastAsia="en-US"/>
              </w:rPr>
              <w:t xml:space="preserve"> by mid</w:t>
            </w:r>
            <w:r w:rsidR="10A8C5C7" w:rsidRPr="2A3FC294">
              <w:rPr>
                <w:rFonts w:ascii="Times New Roman" w:hAnsi="Times New Roman" w:cs="Times New Roman"/>
                <w:sz w:val="20"/>
                <w:szCs w:val="20"/>
                <w:lang w:eastAsia="en-US"/>
              </w:rPr>
              <w:t xml:space="preserve">-2023. </w:t>
            </w:r>
          </w:p>
          <w:p w14:paraId="56520564" w14:textId="40154F1E" w:rsidR="004035BB" w:rsidRPr="00AA2B0D" w:rsidRDefault="676E471E" w:rsidP="12FA3B9A">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 xml:space="preserve">Ukraine: Completed -final draft </w:t>
            </w:r>
            <w:r w:rsidR="73DFAC97" w:rsidRPr="2A3FC294">
              <w:rPr>
                <w:rFonts w:ascii="Times New Roman" w:hAnsi="Times New Roman" w:cs="Times New Roman"/>
                <w:sz w:val="20"/>
                <w:szCs w:val="20"/>
                <w:lang w:eastAsia="en-US"/>
              </w:rPr>
              <w:t>g</w:t>
            </w:r>
            <w:r w:rsidRPr="2A3FC294">
              <w:rPr>
                <w:rFonts w:ascii="Times New Roman" w:hAnsi="Times New Roman" w:cs="Times New Roman"/>
                <w:sz w:val="20"/>
                <w:szCs w:val="20"/>
                <w:lang w:eastAsia="en-US"/>
              </w:rPr>
              <w:t xml:space="preserve">uidelines developed by February 2022. </w:t>
            </w:r>
            <w:r w:rsidR="5C4EEB31" w:rsidRPr="2A3FC294">
              <w:rPr>
                <w:rFonts w:ascii="Times New Roman" w:hAnsi="Times New Roman" w:cs="Times New Roman"/>
                <w:sz w:val="20"/>
                <w:szCs w:val="20"/>
                <w:lang w:eastAsia="en-US"/>
              </w:rPr>
              <w:t>D</w:t>
            </w:r>
            <w:r w:rsidRPr="2A3FC294">
              <w:rPr>
                <w:rFonts w:ascii="Times New Roman" w:hAnsi="Times New Roman" w:cs="Times New Roman"/>
                <w:sz w:val="20"/>
                <w:szCs w:val="20"/>
                <w:lang w:eastAsia="en-US"/>
              </w:rPr>
              <w:t xml:space="preserve">raft </w:t>
            </w:r>
            <w:r w:rsidR="2DC70064" w:rsidRPr="2A3FC294">
              <w:rPr>
                <w:rFonts w:ascii="Times New Roman" w:hAnsi="Times New Roman" w:cs="Times New Roman"/>
                <w:sz w:val="20"/>
                <w:szCs w:val="20"/>
                <w:lang w:eastAsia="en-US"/>
              </w:rPr>
              <w:t>is</w:t>
            </w:r>
            <w:r w:rsidRPr="2A3FC294">
              <w:rPr>
                <w:rFonts w:ascii="Times New Roman" w:hAnsi="Times New Roman" w:cs="Times New Roman"/>
                <w:sz w:val="20"/>
                <w:szCs w:val="20"/>
                <w:lang w:eastAsia="en-US"/>
              </w:rPr>
              <w:t xml:space="preserve"> </w:t>
            </w:r>
            <w:proofErr w:type="gramStart"/>
            <w:r w:rsidR="00885B57" w:rsidRPr="2A3FC294">
              <w:rPr>
                <w:rFonts w:ascii="Times New Roman" w:hAnsi="Times New Roman" w:cs="Times New Roman"/>
                <w:sz w:val="20"/>
                <w:szCs w:val="20"/>
                <w:lang w:eastAsia="en-US"/>
              </w:rPr>
              <w:t xml:space="preserve">being </w:t>
            </w:r>
            <w:r w:rsidRPr="2A3FC294">
              <w:rPr>
                <w:rFonts w:ascii="Times New Roman" w:hAnsi="Times New Roman" w:cs="Times New Roman"/>
                <w:sz w:val="20"/>
                <w:szCs w:val="20"/>
                <w:lang w:eastAsia="en-US"/>
              </w:rPr>
              <w:t xml:space="preserve"> revised</w:t>
            </w:r>
            <w:proofErr w:type="gramEnd"/>
            <w:r w:rsidRPr="2A3FC294">
              <w:rPr>
                <w:rFonts w:ascii="Times New Roman" w:hAnsi="Times New Roman" w:cs="Times New Roman"/>
                <w:sz w:val="20"/>
                <w:szCs w:val="20"/>
                <w:lang w:eastAsia="en-US"/>
              </w:rPr>
              <w:t xml:space="preserve"> in view of Ukraine’s significant force majeure amendments to its urban planning legislation since spring 2022</w:t>
            </w:r>
            <w:r w:rsidR="59FE0D7C" w:rsidRPr="2A3FC294">
              <w:rPr>
                <w:rFonts w:ascii="Times New Roman" w:hAnsi="Times New Roman" w:cs="Times New Roman"/>
                <w:sz w:val="20"/>
                <w:szCs w:val="20"/>
                <w:lang w:eastAsia="en-US"/>
              </w:rPr>
              <w:t xml:space="preserve">. </w:t>
            </w:r>
            <w:r w:rsidR="72154168" w:rsidRPr="2A3FC294">
              <w:rPr>
                <w:rFonts w:ascii="Times New Roman" w:hAnsi="Times New Roman" w:cs="Times New Roman"/>
                <w:sz w:val="20"/>
                <w:szCs w:val="20"/>
                <w:lang w:eastAsia="en-US"/>
              </w:rPr>
              <w:t>Planned: t</w:t>
            </w:r>
            <w:r w:rsidR="59FE0D7C" w:rsidRPr="2A3FC294">
              <w:rPr>
                <w:rFonts w:ascii="Times New Roman" w:hAnsi="Times New Roman" w:cs="Times New Roman"/>
                <w:sz w:val="20"/>
                <w:szCs w:val="20"/>
                <w:lang w:eastAsia="en-US"/>
              </w:rPr>
              <w:t xml:space="preserve">he </w:t>
            </w:r>
            <w:r w:rsidR="4A53C64E" w:rsidRPr="2A3FC294">
              <w:rPr>
                <w:rFonts w:ascii="Times New Roman" w:hAnsi="Times New Roman" w:cs="Times New Roman"/>
                <w:sz w:val="20"/>
                <w:szCs w:val="20"/>
                <w:lang w:eastAsia="en-US"/>
              </w:rPr>
              <w:t>g</w:t>
            </w:r>
            <w:r w:rsidR="59FE0D7C" w:rsidRPr="2A3FC294">
              <w:rPr>
                <w:rFonts w:ascii="Times New Roman" w:hAnsi="Times New Roman" w:cs="Times New Roman"/>
                <w:sz w:val="20"/>
                <w:szCs w:val="20"/>
                <w:lang w:eastAsia="en-US"/>
              </w:rPr>
              <w:t>uidelines are expected to be finalized by early fall 2023.</w:t>
            </w:r>
          </w:p>
        </w:tc>
      </w:tr>
      <w:tr w:rsidR="008C2231" w:rsidRPr="00AA2B0D" w14:paraId="119DCBD5" w14:textId="77777777" w:rsidTr="2A3FC294">
        <w:trPr>
          <w:trHeight w:val="300"/>
        </w:trPr>
        <w:tc>
          <w:tcPr>
            <w:tcW w:w="4911" w:type="dxa"/>
            <w:shd w:val="clear" w:color="auto" w:fill="auto"/>
          </w:tcPr>
          <w:p w14:paraId="28580846" w14:textId="77777777" w:rsidR="004035BB" w:rsidRPr="00891828" w:rsidRDefault="004035BB" w:rsidP="00AA2B0D">
            <w:pPr>
              <w:spacing w:before="40" w:after="120" w:line="240" w:lineRule="atLeast"/>
              <w:ind w:right="113"/>
              <w:rPr>
                <w:rFonts w:ascii="Times New Roman" w:hAnsi="Times New Roman" w:cs="Times New Roman"/>
                <w:b/>
                <w:bCs/>
                <w:sz w:val="20"/>
                <w:lang w:eastAsia="en-US"/>
              </w:rPr>
            </w:pPr>
            <w:r w:rsidRPr="00891828">
              <w:rPr>
                <w:rFonts w:ascii="Times New Roman" w:hAnsi="Times New Roman" w:cs="Times New Roman"/>
                <w:b/>
                <w:bCs/>
                <w:sz w:val="20"/>
                <w:lang w:eastAsia="en-US"/>
              </w:rPr>
              <w:t xml:space="preserve">III.C.6 A model database on strategic environmental assessment </w:t>
            </w:r>
          </w:p>
          <w:p w14:paraId="5442287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The development of a model for a database aims to support the application of strategic environmental assessment in Armenia, Azerbaijan, Belarus, Georgia, the Republic of </w:t>
            </w:r>
            <w:proofErr w:type="gramStart"/>
            <w:r w:rsidRPr="00AA2B0D">
              <w:rPr>
                <w:rFonts w:ascii="Times New Roman" w:hAnsi="Times New Roman" w:cs="Times New Roman"/>
                <w:sz w:val="20"/>
                <w:lang w:eastAsia="en-US"/>
              </w:rPr>
              <w:t>Moldova</w:t>
            </w:r>
            <w:proofErr w:type="gramEnd"/>
            <w:r w:rsidRPr="00AA2B0D">
              <w:rPr>
                <w:rFonts w:ascii="Times New Roman" w:hAnsi="Times New Roman" w:cs="Times New Roman"/>
                <w:sz w:val="20"/>
                <w:lang w:eastAsia="en-US"/>
              </w:rPr>
              <w:t xml:space="preserve"> and Ukraine.</w:t>
            </w:r>
          </w:p>
          <w:p w14:paraId="0918330F"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lang w:eastAsia="en-US"/>
              </w:rPr>
              <w:t>Entity(</w:t>
            </w:r>
            <w:proofErr w:type="spellStart"/>
            <w:r w:rsidRPr="00AA2B0D">
              <w:rPr>
                <w:rFonts w:ascii="Times New Roman" w:hAnsi="Times New Roman" w:cs="Times New Roman"/>
                <w:i/>
                <w:iCs/>
                <w:sz w:val="20"/>
                <w:lang w:eastAsia="en-US"/>
              </w:rPr>
              <w:t>ies</w:t>
            </w:r>
            <w:proofErr w:type="spellEnd"/>
            <w:r w:rsidRPr="00AA2B0D">
              <w:rPr>
                <w:rFonts w:ascii="Times New Roman" w:hAnsi="Times New Roman" w:cs="Times New Roman"/>
                <w:i/>
                <w:iCs/>
                <w:sz w:val="20"/>
                <w:lang w:eastAsia="en-US"/>
              </w:rPr>
              <w:t>) responsible:</w:t>
            </w:r>
            <w:r w:rsidRPr="00AA2B0D">
              <w:rPr>
                <w:rFonts w:ascii="Times New Roman" w:hAnsi="Times New Roman" w:cs="Times New Roman"/>
                <w:sz w:val="20"/>
                <w:lang w:eastAsia="en-US"/>
              </w:rPr>
              <w:t xml:space="preserve"> To be coordinated by the secretariat in 2021, with support from consultants, in cooperation with the beneficiary countries.</w:t>
            </w:r>
          </w:p>
        </w:tc>
        <w:tc>
          <w:tcPr>
            <w:tcW w:w="4868" w:type="dxa"/>
            <w:shd w:val="clear" w:color="auto" w:fill="auto"/>
          </w:tcPr>
          <w:p w14:paraId="006B6C4B" w14:textId="77777777" w:rsidR="004035BB" w:rsidRPr="00AA2B0D" w:rsidRDefault="004035BB" w:rsidP="00891828">
            <w:pPr>
              <w:ind w:right="113"/>
              <w:rPr>
                <w:rFonts w:ascii="Times New Roman" w:hAnsi="Times New Roman" w:cs="Times New Roman"/>
                <w:sz w:val="20"/>
                <w:lang w:eastAsia="en-US"/>
              </w:rPr>
            </w:pPr>
          </w:p>
          <w:p w14:paraId="3426224F" w14:textId="77777777" w:rsidR="004035BB" w:rsidRDefault="004035BB" w:rsidP="00891828">
            <w:pPr>
              <w:ind w:right="113"/>
              <w:rPr>
                <w:rFonts w:ascii="Times New Roman" w:hAnsi="Times New Roman" w:cs="Times New Roman"/>
                <w:sz w:val="20"/>
                <w:lang w:eastAsia="en-US"/>
              </w:rPr>
            </w:pPr>
          </w:p>
          <w:p w14:paraId="0509E680" w14:textId="77777777" w:rsidR="00891828" w:rsidRPr="00AA2B0D" w:rsidRDefault="00891828" w:rsidP="00891828">
            <w:pPr>
              <w:ind w:right="113"/>
              <w:rPr>
                <w:rFonts w:ascii="Times New Roman" w:hAnsi="Times New Roman" w:cs="Times New Roman"/>
                <w:sz w:val="20"/>
                <w:lang w:eastAsia="en-US"/>
              </w:rPr>
            </w:pPr>
          </w:p>
          <w:p w14:paraId="35FEF8DB" w14:textId="4F0058F6" w:rsidR="004035BB" w:rsidRPr="00AA2B0D" w:rsidRDefault="2F2678E3" w:rsidP="2A3FC294">
            <w:pPr>
              <w:spacing w:before="40" w:after="120" w:line="240" w:lineRule="atLeast"/>
              <w:ind w:right="113"/>
              <w:rPr>
                <w:rFonts w:ascii="Times New Roman" w:hAnsi="Times New Roman" w:cs="Times New Roman"/>
                <w:sz w:val="20"/>
                <w:szCs w:val="20"/>
                <w:lang w:eastAsia="en-US"/>
              </w:rPr>
            </w:pPr>
            <w:r w:rsidRPr="2A3FC294">
              <w:rPr>
                <w:rFonts w:ascii="Times New Roman" w:hAnsi="Times New Roman" w:cs="Times New Roman"/>
                <w:sz w:val="20"/>
                <w:szCs w:val="20"/>
                <w:lang w:eastAsia="en-US"/>
              </w:rPr>
              <w:t>In Q2 2023,</w:t>
            </w:r>
            <w:r w:rsidR="19FD306A" w:rsidRPr="2A3FC294">
              <w:rPr>
                <w:rFonts w:ascii="Times New Roman" w:hAnsi="Times New Roman" w:cs="Times New Roman"/>
                <w:sz w:val="20"/>
                <w:szCs w:val="20"/>
                <w:lang w:eastAsia="en-US"/>
              </w:rPr>
              <w:t xml:space="preserve"> model development in </w:t>
            </w:r>
            <w:r w:rsidR="134700F2" w:rsidRPr="2A3FC294">
              <w:rPr>
                <w:rFonts w:ascii="Times New Roman" w:hAnsi="Times New Roman" w:cs="Times New Roman"/>
                <w:sz w:val="20"/>
                <w:szCs w:val="20"/>
                <w:lang w:eastAsia="en-US"/>
              </w:rPr>
              <w:t>progress</w:t>
            </w:r>
            <w:r w:rsidR="19FD306A" w:rsidRPr="2A3FC294">
              <w:rPr>
                <w:rFonts w:ascii="Times New Roman" w:hAnsi="Times New Roman" w:cs="Times New Roman"/>
                <w:sz w:val="20"/>
                <w:szCs w:val="20"/>
                <w:lang w:eastAsia="en-US"/>
              </w:rPr>
              <w:t>.</w:t>
            </w:r>
            <w:r w:rsidR="6D05BA2D" w:rsidRPr="2A3FC294">
              <w:rPr>
                <w:rFonts w:ascii="Times New Roman" w:hAnsi="Times New Roman" w:cs="Times New Roman"/>
                <w:sz w:val="20"/>
                <w:szCs w:val="20"/>
                <w:lang w:eastAsia="en-US"/>
              </w:rPr>
              <w:t xml:space="preserve"> Planned: expected completion of the model in early fall 2023.</w:t>
            </w:r>
          </w:p>
        </w:tc>
      </w:tr>
      <w:tr w:rsidR="008C2231" w:rsidRPr="00AA2B0D" w14:paraId="54B39D55" w14:textId="77777777" w:rsidTr="2A3FC294">
        <w:trPr>
          <w:trHeight w:val="300"/>
        </w:trPr>
        <w:tc>
          <w:tcPr>
            <w:tcW w:w="4911" w:type="dxa"/>
            <w:shd w:val="clear" w:color="auto" w:fill="auto"/>
          </w:tcPr>
          <w:p w14:paraId="6DA15323" w14:textId="77777777" w:rsidR="004035BB" w:rsidRPr="00891828" w:rsidRDefault="004035BB" w:rsidP="00AA2B0D">
            <w:pPr>
              <w:spacing w:before="40" w:after="120" w:line="240" w:lineRule="atLeast"/>
              <w:ind w:right="113"/>
              <w:rPr>
                <w:rFonts w:ascii="Times New Roman" w:hAnsi="Times New Roman" w:cs="Times New Roman"/>
                <w:b/>
                <w:bCs/>
                <w:sz w:val="20"/>
                <w:lang w:eastAsia="en-US"/>
              </w:rPr>
            </w:pPr>
            <w:r w:rsidRPr="00891828">
              <w:rPr>
                <w:rFonts w:ascii="Times New Roman" w:hAnsi="Times New Roman" w:cs="Times New Roman"/>
                <w:b/>
                <w:bCs/>
                <w:sz w:val="20"/>
                <w:lang w:eastAsia="en-US"/>
              </w:rPr>
              <w:t xml:space="preserve">III.C.7 Translating the video on the application of the Convention </w:t>
            </w:r>
          </w:p>
          <w:p w14:paraId="60FF5EB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i/>
                <w:iCs/>
                <w:sz w:val="20"/>
                <w:lang w:eastAsia="en-US"/>
              </w:rPr>
              <w:t>Entity(</w:t>
            </w:r>
            <w:proofErr w:type="spellStart"/>
            <w:r w:rsidRPr="00AA2B0D">
              <w:rPr>
                <w:rFonts w:ascii="Times New Roman" w:hAnsi="Times New Roman" w:cs="Times New Roman"/>
                <w:i/>
                <w:iCs/>
                <w:sz w:val="20"/>
                <w:lang w:eastAsia="en-US"/>
              </w:rPr>
              <w:t>ies</w:t>
            </w:r>
            <w:proofErr w:type="spellEnd"/>
            <w:r w:rsidRPr="00AA2B0D">
              <w:rPr>
                <w:rFonts w:ascii="Times New Roman" w:hAnsi="Times New Roman" w:cs="Times New Roman"/>
                <w:i/>
                <w:iCs/>
                <w:sz w:val="20"/>
                <w:lang w:eastAsia="en-US"/>
              </w:rPr>
              <w:t xml:space="preserve">) responsible: </w:t>
            </w:r>
            <w:r w:rsidRPr="00AA2B0D">
              <w:rPr>
                <w:rFonts w:ascii="Times New Roman" w:hAnsi="Times New Roman" w:cs="Times New Roman"/>
                <w:sz w:val="20"/>
                <w:lang w:eastAsia="en-US"/>
              </w:rPr>
              <w:t>To be coordinated by the secretariat, with support from consultants, in cooperation with the beneficiary countries.</w:t>
            </w:r>
          </w:p>
        </w:tc>
        <w:tc>
          <w:tcPr>
            <w:tcW w:w="4868" w:type="dxa"/>
            <w:shd w:val="clear" w:color="auto" w:fill="auto"/>
          </w:tcPr>
          <w:p w14:paraId="3FE1C689"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Russian, </w:t>
            </w:r>
            <w:proofErr w:type="gramStart"/>
            <w:r w:rsidRPr="00AA2B0D">
              <w:rPr>
                <w:rFonts w:ascii="Times New Roman" w:hAnsi="Times New Roman" w:cs="Times New Roman"/>
                <w:sz w:val="20"/>
                <w:lang w:eastAsia="en-US"/>
              </w:rPr>
              <w:t>Romanian</w:t>
            </w:r>
            <w:proofErr w:type="gramEnd"/>
            <w:r w:rsidRPr="00AA2B0D">
              <w:rPr>
                <w:rFonts w:ascii="Times New Roman" w:hAnsi="Times New Roman" w:cs="Times New Roman"/>
                <w:sz w:val="20"/>
                <w:lang w:eastAsia="en-US"/>
              </w:rPr>
              <w:t xml:space="preserve"> and Ukrainian versions were finalized in July 2021</w:t>
            </w:r>
          </w:p>
          <w:p w14:paraId="538A3BC0"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Armenian, </w:t>
            </w:r>
            <w:proofErr w:type="gramStart"/>
            <w:r w:rsidRPr="00AA2B0D">
              <w:rPr>
                <w:rFonts w:ascii="Times New Roman" w:hAnsi="Times New Roman" w:cs="Times New Roman"/>
                <w:sz w:val="20"/>
                <w:lang w:eastAsia="en-US"/>
              </w:rPr>
              <w:t>Azerbaijani</w:t>
            </w:r>
            <w:proofErr w:type="gramEnd"/>
            <w:r w:rsidRPr="00AA2B0D">
              <w:rPr>
                <w:rFonts w:ascii="Times New Roman" w:hAnsi="Times New Roman" w:cs="Times New Roman"/>
                <w:sz w:val="20"/>
                <w:lang w:eastAsia="en-US"/>
              </w:rPr>
              <w:t xml:space="preserve"> and Georgian versions were finalized in early 2022</w:t>
            </w:r>
          </w:p>
          <w:p w14:paraId="7923279D"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Available at: </w:t>
            </w:r>
            <w:hyperlink r:id="rId32" w:history="1">
              <w:r w:rsidRPr="00AA2B0D">
                <w:rPr>
                  <w:rFonts w:ascii="Times New Roman" w:hAnsi="Times New Roman" w:cs="Times New Roman"/>
                  <w:sz w:val="20"/>
                  <w:u w:val="single"/>
                  <w:lang w:eastAsia="en-US"/>
                </w:rPr>
                <w:t>https://unece.org/environment-policy/environmental-assessment</w:t>
              </w:r>
            </w:hyperlink>
          </w:p>
        </w:tc>
      </w:tr>
      <w:tr w:rsidR="00317F10" w:rsidRPr="00AA2B0D" w14:paraId="0D0AF639" w14:textId="77777777" w:rsidTr="2A3FC294">
        <w:trPr>
          <w:trHeight w:val="300"/>
        </w:trPr>
        <w:tc>
          <w:tcPr>
            <w:tcW w:w="4911" w:type="dxa"/>
            <w:tcBorders>
              <w:bottom w:val="single" w:sz="12" w:space="0" w:color="auto"/>
            </w:tcBorders>
            <w:shd w:val="clear" w:color="auto" w:fill="auto"/>
          </w:tcPr>
          <w:p w14:paraId="09A7A3EB" w14:textId="77777777" w:rsidR="004035BB" w:rsidRPr="00EE491A" w:rsidRDefault="004035BB" w:rsidP="00AA2B0D">
            <w:pPr>
              <w:spacing w:before="40" w:after="120" w:line="240" w:lineRule="atLeast"/>
              <w:ind w:right="113"/>
              <w:rPr>
                <w:rFonts w:ascii="Times New Roman" w:hAnsi="Times New Roman" w:cs="Times New Roman"/>
                <w:b/>
                <w:bCs/>
                <w:sz w:val="20"/>
                <w:lang w:eastAsia="en-US"/>
              </w:rPr>
            </w:pPr>
            <w:r w:rsidRPr="00EE491A">
              <w:rPr>
                <w:rFonts w:ascii="Times New Roman" w:hAnsi="Times New Roman" w:cs="Times New Roman"/>
                <w:b/>
                <w:bCs/>
                <w:sz w:val="20"/>
                <w:lang w:eastAsia="en-US"/>
              </w:rPr>
              <w:t xml:space="preserve">III.C.8 Preparation of </w:t>
            </w:r>
            <w:proofErr w:type="spellStart"/>
            <w:r w:rsidRPr="00EE491A">
              <w:rPr>
                <w:rFonts w:ascii="Times New Roman" w:hAnsi="Times New Roman" w:cs="Times New Roman"/>
                <w:b/>
                <w:bCs/>
                <w:sz w:val="20"/>
                <w:lang w:eastAsia="en-US"/>
              </w:rPr>
              <w:t>Fas</w:t>
            </w:r>
            <w:proofErr w:type="spellEnd"/>
            <w:r w:rsidRPr="00EE491A">
              <w:rPr>
                <w:rFonts w:ascii="Times New Roman" w:hAnsi="Times New Roman" w:cs="Times New Roman"/>
                <w:b/>
                <w:bCs/>
                <w:sz w:val="20"/>
                <w:lang w:eastAsia="en-US"/>
              </w:rPr>
              <w:t xml:space="preserve"> Tips </w:t>
            </w:r>
          </w:p>
        </w:tc>
        <w:tc>
          <w:tcPr>
            <w:tcW w:w="4868" w:type="dxa"/>
            <w:tcBorders>
              <w:bottom w:val="single" w:sz="12" w:space="0" w:color="auto"/>
            </w:tcBorders>
            <w:shd w:val="clear" w:color="auto" w:fill="auto"/>
          </w:tcPr>
          <w:p w14:paraId="7F482045" w14:textId="77777777" w:rsidR="004035BB" w:rsidRPr="00AA2B0D" w:rsidRDefault="004035BB" w:rsidP="00AA2B0D">
            <w:pPr>
              <w:spacing w:before="40" w:after="120" w:line="240" w:lineRule="atLeast"/>
              <w:ind w:right="113"/>
              <w:rPr>
                <w:rFonts w:ascii="Times New Roman" w:hAnsi="Times New Roman" w:cs="Times New Roman"/>
                <w:sz w:val="20"/>
                <w:lang w:eastAsia="en-US"/>
              </w:rPr>
            </w:pPr>
            <w:r w:rsidRPr="00AA2B0D">
              <w:rPr>
                <w:rFonts w:ascii="Times New Roman" w:hAnsi="Times New Roman" w:cs="Times New Roman"/>
                <w:sz w:val="20"/>
                <w:lang w:eastAsia="en-US"/>
              </w:rPr>
              <w:t xml:space="preserve">IAIA to provide any updates during the 11th meeting of the Working Group. (See: </w:t>
            </w:r>
            <w:hyperlink r:id="rId33" w:history="1">
              <w:r w:rsidRPr="00AA2B0D">
                <w:rPr>
                  <w:rFonts w:ascii="Times New Roman" w:hAnsi="Times New Roman" w:cs="Times New Roman"/>
                  <w:sz w:val="20"/>
                  <w:u w:val="single"/>
                  <w:lang w:eastAsia="en-US"/>
                </w:rPr>
                <w:t>https://www.iaia.org/fasttips.php</w:t>
              </w:r>
            </w:hyperlink>
            <w:r w:rsidRPr="00AA2B0D">
              <w:rPr>
                <w:rFonts w:ascii="Times New Roman" w:hAnsi="Times New Roman" w:cs="Times New Roman"/>
                <w:sz w:val="20"/>
                <w:lang w:eastAsia="en-US"/>
              </w:rPr>
              <w:t>)</w:t>
            </w:r>
          </w:p>
        </w:tc>
      </w:tr>
      <w:bookmarkEnd w:id="5"/>
    </w:tbl>
    <w:p w14:paraId="65E5F562" w14:textId="464BD5DC" w:rsidR="000565B9" w:rsidRDefault="000565B9" w:rsidP="00B35DBE"/>
    <w:p w14:paraId="0346DBCE" w14:textId="77777777" w:rsidR="00A04484" w:rsidRPr="00A04484" w:rsidRDefault="00A04484" w:rsidP="008C2CF0">
      <w:pPr>
        <w:pStyle w:val="HChG"/>
      </w:pPr>
      <w:r w:rsidRPr="00A04484">
        <w:lastRenderedPageBreak/>
        <w:t xml:space="preserve">Annex  </w:t>
      </w:r>
    </w:p>
    <w:p w14:paraId="386B516E" w14:textId="2F4B2CAE" w:rsidR="00A04484" w:rsidRPr="00A04484" w:rsidRDefault="008C2CF0" w:rsidP="008C2CF0">
      <w:pPr>
        <w:pStyle w:val="HChG"/>
      </w:pPr>
      <w:r>
        <w:tab/>
      </w:r>
      <w:r>
        <w:tab/>
      </w:r>
      <w:r w:rsidR="00A04484" w:rsidRPr="00A04484">
        <w:t xml:space="preserve">Additional activities to the workplan for 2021–2023 (decision VIII/2–IV/2 </w:t>
      </w:r>
      <w:proofErr w:type="gramStart"/>
      <w:r w:rsidR="00A04484" w:rsidRPr="00A04484">
        <w:t>annexes</w:t>
      </w:r>
      <w:proofErr w:type="gramEnd"/>
      <w:r w:rsidR="00A04484" w:rsidRPr="00A04484">
        <w:t xml:space="preserve"> I and II) </w:t>
      </w:r>
    </w:p>
    <w:tbl>
      <w:tblPr>
        <w:tblStyle w:val="TableGrid1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6"/>
        <w:gridCol w:w="4791"/>
      </w:tblGrid>
      <w:tr w:rsidR="008C2CF0" w:rsidRPr="008C2CF0" w14:paraId="6B3B888B" w14:textId="77777777" w:rsidTr="008C2CF0">
        <w:trPr>
          <w:tblHeader/>
        </w:trPr>
        <w:tc>
          <w:tcPr>
            <w:tcW w:w="4846" w:type="dxa"/>
            <w:tcBorders>
              <w:top w:val="single" w:sz="4" w:space="0" w:color="auto"/>
              <w:bottom w:val="single" w:sz="12" w:space="0" w:color="auto"/>
            </w:tcBorders>
            <w:shd w:val="clear" w:color="auto" w:fill="auto"/>
            <w:vAlign w:val="bottom"/>
          </w:tcPr>
          <w:p w14:paraId="4EFDA935" w14:textId="77777777" w:rsidR="00A04484" w:rsidRPr="008C2CF0" w:rsidRDefault="00A04484" w:rsidP="008C2CF0">
            <w:pPr>
              <w:spacing w:before="80" w:after="80" w:line="200" w:lineRule="exact"/>
              <w:ind w:right="113"/>
              <w:rPr>
                <w:rFonts w:ascii="Times New Roman" w:hAnsi="Times New Roman" w:cs="Times New Roman"/>
                <w:i/>
                <w:sz w:val="16"/>
                <w:lang w:eastAsia="en-US"/>
              </w:rPr>
            </w:pPr>
            <w:r w:rsidRPr="008C2CF0">
              <w:rPr>
                <w:rFonts w:ascii="Times New Roman" w:hAnsi="Times New Roman" w:cs="Times New Roman"/>
                <w:i/>
                <w:sz w:val="16"/>
                <w:lang w:eastAsia="en-US"/>
              </w:rPr>
              <w:t xml:space="preserve">Activities </w:t>
            </w:r>
          </w:p>
        </w:tc>
        <w:tc>
          <w:tcPr>
            <w:tcW w:w="4791" w:type="dxa"/>
            <w:tcBorders>
              <w:top w:val="single" w:sz="4" w:space="0" w:color="auto"/>
              <w:bottom w:val="single" w:sz="12" w:space="0" w:color="auto"/>
            </w:tcBorders>
            <w:shd w:val="clear" w:color="auto" w:fill="auto"/>
            <w:vAlign w:val="bottom"/>
          </w:tcPr>
          <w:p w14:paraId="74513A6E" w14:textId="77777777" w:rsidR="00A04484" w:rsidRPr="008C2CF0" w:rsidRDefault="00A04484" w:rsidP="008C2CF0">
            <w:pPr>
              <w:spacing w:before="80" w:after="80" w:line="200" w:lineRule="exact"/>
              <w:ind w:right="113"/>
              <w:rPr>
                <w:rFonts w:ascii="Times New Roman" w:hAnsi="Times New Roman" w:cs="Times New Roman"/>
                <w:i/>
                <w:sz w:val="16"/>
                <w:lang w:eastAsia="en-US"/>
              </w:rPr>
            </w:pPr>
            <w:r w:rsidRPr="008C2CF0">
              <w:rPr>
                <w:rFonts w:ascii="Times New Roman" w:hAnsi="Times New Roman" w:cs="Times New Roman"/>
                <w:i/>
                <w:sz w:val="16"/>
                <w:lang w:eastAsia="en-US"/>
              </w:rPr>
              <w:t>Implementation status</w:t>
            </w:r>
          </w:p>
        </w:tc>
      </w:tr>
      <w:tr w:rsidR="008C2CF0" w:rsidRPr="008C2CF0" w14:paraId="0D64ED74" w14:textId="77777777" w:rsidTr="008C2CF0">
        <w:trPr>
          <w:trHeight w:hRule="exact" w:val="113"/>
        </w:trPr>
        <w:tc>
          <w:tcPr>
            <w:tcW w:w="4846" w:type="dxa"/>
            <w:tcBorders>
              <w:top w:val="single" w:sz="12" w:space="0" w:color="auto"/>
            </w:tcBorders>
            <w:shd w:val="clear" w:color="auto" w:fill="auto"/>
          </w:tcPr>
          <w:p w14:paraId="6CF932AC" w14:textId="77777777" w:rsidR="008C2CF0" w:rsidRPr="008C2CF0" w:rsidRDefault="008C2CF0" w:rsidP="008C2CF0">
            <w:pPr>
              <w:spacing w:before="40" w:after="120" w:line="240" w:lineRule="atLeast"/>
              <w:ind w:right="113"/>
              <w:rPr>
                <w:rFonts w:ascii="Times New Roman" w:hAnsi="Times New Roman" w:cs="Times New Roman"/>
                <w:sz w:val="20"/>
                <w:lang w:eastAsia="en-US"/>
              </w:rPr>
            </w:pPr>
          </w:p>
        </w:tc>
        <w:tc>
          <w:tcPr>
            <w:tcW w:w="4791" w:type="dxa"/>
            <w:tcBorders>
              <w:top w:val="single" w:sz="12" w:space="0" w:color="auto"/>
            </w:tcBorders>
            <w:shd w:val="clear" w:color="auto" w:fill="auto"/>
          </w:tcPr>
          <w:p w14:paraId="2F19D74A" w14:textId="77777777" w:rsidR="008C2CF0" w:rsidRPr="008C2CF0" w:rsidRDefault="008C2CF0" w:rsidP="008C2CF0">
            <w:pPr>
              <w:spacing w:before="40" w:after="120" w:line="240" w:lineRule="atLeast"/>
              <w:ind w:right="113"/>
              <w:rPr>
                <w:rFonts w:ascii="Times New Roman" w:hAnsi="Times New Roman" w:cs="Times New Roman"/>
                <w:sz w:val="20"/>
                <w:lang w:eastAsia="en-US"/>
              </w:rPr>
            </w:pPr>
          </w:p>
        </w:tc>
      </w:tr>
      <w:tr w:rsidR="008C2CF0" w:rsidRPr="008C2CF0" w14:paraId="14412821" w14:textId="77777777" w:rsidTr="008C2CF0">
        <w:tc>
          <w:tcPr>
            <w:tcW w:w="9637" w:type="dxa"/>
            <w:gridSpan w:val="2"/>
            <w:shd w:val="clear" w:color="auto" w:fill="auto"/>
          </w:tcPr>
          <w:p w14:paraId="65F21CA1" w14:textId="038AA2F5" w:rsidR="00A04484" w:rsidRPr="008C2CF0" w:rsidRDefault="0088488C" w:rsidP="008C2CF0">
            <w:pPr>
              <w:spacing w:before="40" w:after="120" w:line="240" w:lineRule="atLeast"/>
              <w:ind w:right="113"/>
              <w:rPr>
                <w:rFonts w:ascii="Times New Roman" w:hAnsi="Times New Roman" w:cs="Times New Roman"/>
                <w:b/>
                <w:bCs/>
                <w:sz w:val="20"/>
                <w:lang w:eastAsia="en-US"/>
              </w:rPr>
            </w:pPr>
            <w:r>
              <w:rPr>
                <w:rFonts w:ascii="Times New Roman" w:hAnsi="Times New Roman" w:cs="Times New Roman"/>
                <w:b/>
                <w:bCs/>
                <w:sz w:val="20"/>
              </w:rPr>
              <w:t xml:space="preserve">III.  </w:t>
            </w:r>
            <w:r w:rsidR="00A04484" w:rsidRPr="008C2CF0">
              <w:rPr>
                <w:rFonts w:ascii="Times New Roman" w:hAnsi="Times New Roman" w:cs="Times New Roman"/>
                <w:b/>
                <w:bCs/>
                <w:sz w:val="20"/>
              </w:rPr>
              <w:t>Promoting practical application of the Protocol and/or the Convention</w:t>
            </w:r>
          </w:p>
        </w:tc>
      </w:tr>
      <w:tr w:rsidR="009248D9" w:rsidRPr="008C2CF0" w14:paraId="0E69E3E3" w14:textId="77777777" w:rsidTr="008C2CF0">
        <w:tc>
          <w:tcPr>
            <w:tcW w:w="9637" w:type="dxa"/>
            <w:gridSpan w:val="2"/>
            <w:shd w:val="clear" w:color="auto" w:fill="auto"/>
          </w:tcPr>
          <w:p w14:paraId="3A7DFD44" w14:textId="51A56987" w:rsidR="009248D9" w:rsidRPr="008C2CF0" w:rsidRDefault="009248D9" w:rsidP="008C2CF0">
            <w:pPr>
              <w:spacing w:before="40" w:after="120"/>
              <w:ind w:right="113"/>
              <w:rPr>
                <w:b/>
                <w:bCs/>
              </w:rPr>
            </w:pPr>
            <w:r w:rsidRPr="0088488C">
              <w:rPr>
                <w:rFonts w:ascii="Times New Roman" w:hAnsi="Times New Roman" w:cs="Times New Roman"/>
                <w:b/>
                <w:bCs/>
                <w:sz w:val="20"/>
              </w:rPr>
              <w:t>C</w:t>
            </w:r>
            <w:r w:rsidR="0088488C" w:rsidRPr="0088488C">
              <w:rPr>
                <w:rFonts w:ascii="Times New Roman" w:hAnsi="Times New Roman" w:cs="Times New Roman"/>
                <w:b/>
                <w:bCs/>
                <w:sz w:val="20"/>
              </w:rPr>
              <w:t>. Capacity-building</w:t>
            </w:r>
          </w:p>
        </w:tc>
      </w:tr>
      <w:tr w:rsidR="008C2CF0" w:rsidRPr="008C2CF0" w14:paraId="3C7BCEE8" w14:textId="77777777" w:rsidTr="008C2CF0">
        <w:tc>
          <w:tcPr>
            <w:tcW w:w="4846" w:type="dxa"/>
            <w:shd w:val="clear" w:color="auto" w:fill="auto"/>
          </w:tcPr>
          <w:p w14:paraId="22AD3316"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Support Kazakhstan in establishing compliant national EIA and SEA systems with a view to implementing its new Environmental Code</w:t>
            </w:r>
          </w:p>
          <w:p w14:paraId="698D9633"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i/>
                <w:iCs/>
                <w:sz w:val="20"/>
                <w:lang w:eastAsia="en-US"/>
              </w:rPr>
              <w:t>Justification:</w:t>
            </w:r>
            <w:r w:rsidRPr="008C2CF0">
              <w:rPr>
                <w:rFonts w:ascii="Times New Roman" w:hAnsi="Times New Roman" w:cs="Times New Roman"/>
                <w:sz w:val="20"/>
                <w:lang w:eastAsia="en-US"/>
              </w:rPr>
              <w:t xml:space="preserve"> The activity stems from annex III to decision VIII/2–IV/2 and the new requests made by Kazakhstan during the last sessions of the Meetings of the Parties</w:t>
            </w:r>
          </w:p>
          <w:p w14:paraId="77C8201B"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i/>
                <w:iCs/>
                <w:sz w:val="20"/>
              </w:rPr>
              <w:t>Entity(</w:t>
            </w:r>
            <w:proofErr w:type="spellStart"/>
            <w:r w:rsidRPr="008C2CF0">
              <w:rPr>
                <w:rFonts w:ascii="Times New Roman" w:hAnsi="Times New Roman" w:cs="Times New Roman"/>
                <w:i/>
                <w:iCs/>
                <w:sz w:val="20"/>
              </w:rPr>
              <w:t>ies</w:t>
            </w:r>
            <w:proofErr w:type="spellEnd"/>
            <w:r w:rsidRPr="008C2CF0">
              <w:rPr>
                <w:rFonts w:ascii="Times New Roman" w:hAnsi="Times New Roman" w:cs="Times New Roman"/>
                <w:i/>
                <w:iCs/>
                <w:sz w:val="20"/>
              </w:rPr>
              <w:t>) responsible</w:t>
            </w:r>
            <w:r w:rsidRPr="008C2CF0">
              <w:rPr>
                <w:rFonts w:ascii="Times New Roman" w:hAnsi="Times New Roman" w:cs="Times New Roman"/>
                <w:sz w:val="20"/>
              </w:rPr>
              <w:t xml:space="preserve">: secretariat, in cooperation with Organization for Security and Cooperation in Nur Sultan and </w:t>
            </w:r>
            <w:r w:rsidRPr="008C2CF0">
              <w:rPr>
                <w:rFonts w:ascii="Times New Roman" w:hAnsi="Times New Roman" w:cs="Times New Roman"/>
                <w:sz w:val="20"/>
                <w:lang w:eastAsia="en-US"/>
              </w:rPr>
              <w:t>the EU funded Partnership for Action on Green Economy</w:t>
            </w:r>
          </w:p>
          <w:p w14:paraId="53849622" w14:textId="77777777" w:rsidR="00A04484" w:rsidRPr="008C2CF0" w:rsidRDefault="00A04484" w:rsidP="008C2CF0">
            <w:pPr>
              <w:spacing w:before="40" w:after="120" w:line="240" w:lineRule="atLeast"/>
              <w:ind w:right="113"/>
              <w:rPr>
                <w:rFonts w:ascii="Times New Roman" w:hAnsi="Times New Roman" w:cs="Times New Roman"/>
                <w:sz w:val="20"/>
              </w:rPr>
            </w:pPr>
            <w:r w:rsidRPr="008C2CF0">
              <w:rPr>
                <w:rFonts w:ascii="Times New Roman" w:hAnsi="Times New Roman" w:cs="Times New Roman"/>
                <w:i/>
                <w:iCs/>
                <w:sz w:val="20"/>
                <w:lang w:eastAsia="en-US"/>
              </w:rPr>
              <w:t>Funding:</w:t>
            </w:r>
            <w:r w:rsidRPr="008C2CF0">
              <w:rPr>
                <w:rFonts w:ascii="Times New Roman" w:hAnsi="Times New Roman" w:cs="Times New Roman"/>
                <w:sz w:val="20"/>
                <w:lang w:eastAsia="en-US"/>
              </w:rPr>
              <w:t xml:space="preserve"> 2021 funding from Switzerland (of the transboundary EIA related activities)</w:t>
            </w:r>
          </w:p>
        </w:tc>
        <w:tc>
          <w:tcPr>
            <w:tcW w:w="4791" w:type="dxa"/>
            <w:shd w:val="clear" w:color="auto" w:fill="auto"/>
          </w:tcPr>
          <w:p w14:paraId="2080669A" w14:textId="536BBD48" w:rsidR="00A04484" w:rsidRPr="008C2CF0" w:rsidRDefault="008C2CF0" w:rsidP="008C2CF0">
            <w:pPr>
              <w:spacing w:before="40" w:after="120" w:line="240" w:lineRule="atLeast"/>
              <w:ind w:right="113"/>
              <w:rPr>
                <w:rFonts w:ascii="Times New Roman" w:hAnsi="Times New Roman" w:cs="Times New Roman"/>
                <w:sz w:val="20"/>
                <w:lang w:eastAsia="en-US"/>
              </w:rPr>
            </w:pPr>
            <w:r>
              <w:rPr>
                <w:rFonts w:ascii="Times New Roman" w:hAnsi="Times New Roman" w:cs="Times New Roman"/>
                <w:sz w:val="20"/>
                <w:lang w:eastAsia="en-US"/>
              </w:rPr>
              <w:t xml:space="preserve">(a)      </w:t>
            </w:r>
            <w:r w:rsidR="00A04484" w:rsidRPr="008C2CF0">
              <w:rPr>
                <w:rFonts w:ascii="Times New Roman" w:hAnsi="Times New Roman" w:cs="Times New Roman"/>
                <w:sz w:val="20"/>
                <w:lang w:eastAsia="en-US"/>
              </w:rPr>
              <w:t xml:space="preserve">Comments to draft road map to implement the Convention prepared in April/May </w:t>
            </w:r>
            <w:proofErr w:type="gramStart"/>
            <w:r w:rsidR="00A04484" w:rsidRPr="008C2CF0">
              <w:rPr>
                <w:rFonts w:ascii="Times New Roman" w:hAnsi="Times New Roman" w:cs="Times New Roman"/>
                <w:sz w:val="20"/>
                <w:lang w:eastAsia="en-US"/>
              </w:rPr>
              <w:t>2021;</w:t>
            </w:r>
            <w:proofErr w:type="gramEnd"/>
          </w:p>
          <w:p w14:paraId="33DADE58" w14:textId="6749522A" w:rsidR="00A04484" w:rsidRPr="008C2CF0" w:rsidRDefault="008C2CF0" w:rsidP="008C2CF0">
            <w:pPr>
              <w:spacing w:before="40" w:after="120" w:line="240" w:lineRule="atLeast"/>
              <w:ind w:right="113"/>
              <w:rPr>
                <w:rFonts w:ascii="Times New Roman" w:hAnsi="Times New Roman" w:cs="Times New Roman"/>
                <w:sz w:val="20"/>
                <w:lang w:eastAsia="en-US"/>
              </w:rPr>
            </w:pPr>
            <w:r>
              <w:rPr>
                <w:rFonts w:ascii="Times New Roman" w:hAnsi="Times New Roman" w:cs="Times New Roman"/>
                <w:sz w:val="20"/>
                <w:lang w:eastAsia="en-US"/>
              </w:rPr>
              <w:t xml:space="preserve">(b)       </w:t>
            </w:r>
            <w:r w:rsidR="00A04484" w:rsidRPr="008C2CF0">
              <w:rPr>
                <w:rFonts w:ascii="Times New Roman" w:hAnsi="Times New Roman" w:cs="Times New Roman"/>
                <w:sz w:val="20"/>
                <w:lang w:eastAsia="en-US"/>
              </w:rPr>
              <w:t>Round table to discuss the draft road map scheduled for 21 June 2021 (tbc</w:t>
            </w:r>
            <w:proofErr w:type="gramStart"/>
            <w:r w:rsidR="00A04484" w:rsidRPr="008C2CF0">
              <w:rPr>
                <w:rFonts w:ascii="Times New Roman" w:hAnsi="Times New Roman" w:cs="Times New Roman"/>
                <w:sz w:val="20"/>
                <w:lang w:eastAsia="en-US"/>
              </w:rPr>
              <w:t>);</w:t>
            </w:r>
            <w:proofErr w:type="gramEnd"/>
          </w:p>
          <w:p w14:paraId="3C8ACE57" w14:textId="2961248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(c)</w:t>
            </w:r>
            <w:r w:rsidRPr="008C2CF0">
              <w:rPr>
                <w:rFonts w:ascii="Times New Roman" w:hAnsi="Times New Roman" w:cs="Times New Roman"/>
                <w:sz w:val="20"/>
                <w:lang w:eastAsia="en-US"/>
              </w:rPr>
              <w:tab/>
              <w:t xml:space="preserve">An awareness raising event on EIA and SEA carried out in 4 half-day online sessions for 61 participants on 30 March–2 April </w:t>
            </w:r>
            <w:proofErr w:type="gramStart"/>
            <w:r w:rsidRPr="008C2CF0">
              <w:rPr>
                <w:rFonts w:ascii="Times New Roman" w:hAnsi="Times New Roman" w:cs="Times New Roman"/>
                <w:sz w:val="20"/>
                <w:lang w:eastAsia="en-US"/>
              </w:rPr>
              <w:t>202</w:t>
            </w:r>
            <w:r w:rsidR="00170F24">
              <w:rPr>
                <w:rFonts w:ascii="Times New Roman" w:hAnsi="Times New Roman" w:cs="Times New Roman"/>
                <w:sz w:val="20"/>
                <w:lang w:eastAsia="en-US"/>
              </w:rPr>
              <w:t>1</w:t>
            </w:r>
            <w:r w:rsidRPr="008C2CF0">
              <w:rPr>
                <w:rFonts w:ascii="Times New Roman" w:hAnsi="Times New Roman" w:cs="Times New Roman"/>
                <w:sz w:val="20"/>
                <w:lang w:eastAsia="en-US"/>
              </w:rPr>
              <w:t>;</w:t>
            </w:r>
            <w:proofErr w:type="gramEnd"/>
          </w:p>
          <w:p w14:paraId="341AC43C"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(d)</w:t>
            </w:r>
            <w:r w:rsidRPr="008C2CF0">
              <w:rPr>
                <w:rFonts w:ascii="Times New Roman" w:hAnsi="Times New Roman" w:cs="Times New Roman"/>
                <w:sz w:val="20"/>
                <w:lang w:eastAsia="en-US"/>
              </w:rPr>
              <w:tab/>
              <w:t xml:space="preserve">An initial training workshop on strategic environmental assessment carried out online in two half-day sessions on 28–29 April 2021 for 60 </w:t>
            </w:r>
            <w:proofErr w:type="gramStart"/>
            <w:r w:rsidRPr="008C2CF0">
              <w:rPr>
                <w:rFonts w:ascii="Times New Roman" w:hAnsi="Times New Roman" w:cs="Times New Roman"/>
                <w:sz w:val="20"/>
                <w:lang w:eastAsia="en-US"/>
              </w:rPr>
              <w:t>participants;</w:t>
            </w:r>
            <w:proofErr w:type="gramEnd"/>
          </w:p>
          <w:p w14:paraId="01E70978"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(e)</w:t>
            </w:r>
            <w:r w:rsidRPr="008C2CF0">
              <w:rPr>
                <w:rFonts w:ascii="Times New Roman" w:hAnsi="Times New Roman" w:cs="Times New Roman"/>
                <w:sz w:val="20"/>
                <w:lang w:eastAsia="en-US"/>
              </w:rPr>
              <w:tab/>
              <w:t xml:space="preserve">A training workshop consisting of eighth online sessions has been implemented from 19 May to 16 June 2021 for 50 </w:t>
            </w:r>
            <w:proofErr w:type="gramStart"/>
            <w:r w:rsidRPr="008C2CF0">
              <w:rPr>
                <w:rFonts w:ascii="Times New Roman" w:hAnsi="Times New Roman" w:cs="Times New Roman"/>
                <w:sz w:val="20"/>
                <w:lang w:eastAsia="en-US"/>
              </w:rPr>
              <w:t>participants;</w:t>
            </w:r>
            <w:proofErr w:type="gramEnd"/>
          </w:p>
          <w:p w14:paraId="1762E1A4" w14:textId="57E6394A"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(e)</w:t>
            </w:r>
            <w:r w:rsidRPr="008C2CF0">
              <w:rPr>
                <w:rFonts w:ascii="Times New Roman" w:hAnsi="Times New Roman" w:cs="Times New Roman"/>
                <w:sz w:val="20"/>
                <w:lang w:eastAsia="en-US"/>
              </w:rPr>
              <w:tab/>
              <w:t>Terms of reference for a database on environmental impact assessment procedures planned for August–November 2021 (</w:t>
            </w:r>
            <w:proofErr w:type="spellStart"/>
            <w:r w:rsidR="008C2CF0">
              <w:rPr>
                <w:rFonts w:ascii="Times New Roman" w:hAnsi="Times New Roman" w:cs="Times New Roman"/>
                <w:sz w:val="20"/>
                <w:lang w:eastAsia="en-US"/>
              </w:rPr>
              <w:t>canceled</w:t>
            </w:r>
            <w:proofErr w:type="spellEnd"/>
            <w:r w:rsidRPr="008C2CF0">
              <w:rPr>
                <w:rFonts w:ascii="Times New Roman" w:hAnsi="Times New Roman" w:cs="Times New Roman"/>
                <w:sz w:val="20"/>
                <w:lang w:eastAsia="en-US"/>
              </w:rPr>
              <w:t xml:space="preserve"> due to lack of co-funding</w:t>
            </w:r>
            <w:proofErr w:type="gramStart"/>
            <w:r w:rsidRPr="008C2CF0">
              <w:rPr>
                <w:rFonts w:ascii="Times New Roman" w:hAnsi="Times New Roman" w:cs="Times New Roman"/>
                <w:sz w:val="20"/>
                <w:lang w:eastAsia="en-US"/>
              </w:rPr>
              <w:t>);</w:t>
            </w:r>
            <w:proofErr w:type="gramEnd"/>
          </w:p>
          <w:p w14:paraId="47770807" w14:textId="77777777" w:rsidR="00A04484" w:rsidRPr="008C2CF0" w:rsidRDefault="00A04484" w:rsidP="008C2CF0">
            <w:pPr>
              <w:spacing w:before="40" w:after="120" w:line="240" w:lineRule="atLeast"/>
              <w:ind w:right="113"/>
              <w:rPr>
                <w:rFonts w:ascii="Times New Roman" w:hAnsi="Times New Roman" w:cs="Times New Roman"/>
                <w:sz w:val="20"/>
                <w:lang w:eastAsia="en-US"/>
              </w:rPr>
            </w:pPr>
            <w:r w:rsidRPr="008C2CF0">
              <w:rPr>
                <w:rFonts w:ascii="Times New Roman" w:hAnsi="Times New Roman" w:cs="Times New Roman"/>
                <w:sz w:val="20"/>
                <w:lang w:eastAsia="en-US"/>
              </w:rPr>
              <w:t>(f)</w:t>
            </w:r>
            <w:r w:rsidRPr="008C2CF0">
              <w:rPr>
                <w:rFonts w:ascii="Times New Roman" w:hAnsi="Times New Roman" w:cs="Times New Roman"/>
                <w:sz w:val="20"/>
                <w:lang w:eastAsia="en-US"/>
              </w:rPr>
              <w:tab/>
              <w:t>A training workshop on transboundary environmental impact assessment (8 December 2021).</w:t>
            </w:r>
          </w:p>
        </w:tc>
      </w:tr>
    </w:tbl>
    <w:p w14:paraId="74BD765D" w14:textId="77777777" w:rsidR="00A04484" w:rsidRPr="00A04484" w:rsidRDefault="00A04484" w:rsidP="00A04484">
      <w:pPr>
        <w:suppressAutoHyphens/>
      </w:pPr>
    </w:p>
    <w:p w14:paraId="60AA7A70" w14:textId="078E14C4" w:rsidR="00B35DBE" w:rsidRPr="008C2CF0" w:rsidRDefault="008C2CF0" w:rsidP="008C2CF0">
      <w:pPr>
        <w:spacing w:before="240"/>
        <w:jc w:val="center"/>
        <w:rPr>
          <w:u w:val="single"/>
        </w:rPr>
      </w:pPr>
      <w:r>
        <w:rPr>
          <w:u w:val="single"/>
        </w:rPr>
        <w:tab/>
      </w:r>
      <w:r>
        <w:rPr>
          <w:u w:val="single"/>
        </w:rPr>
        <w:tab/>
      </w:r>
      <w:r>
        <w:rPr>
          <w:u w:val="single"/>
        </w:rPr>
        <w:tab/>
      </w:r>
    </w:p>
    <w:sectPr w:rsidR="00B35DBE" w:rsidRPr="008C2CF0" w:rsidSect="006546C1">
      <w:headerReference w:type="even" r:id="rId34"/>
      <w:headerReference w:type="default" r:id="rId35"/>
      <w:footerReference w:type="even" r:id="rId36"/>
      <w:footerReference w:type="default" r:id="rId37"/>
      <w:footerReference w:type="first" r:id="rId3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65AF" w14:textId="77777777" w:rsidR="006C52C2" w:rsidRDefault="006C52C2"/>
  </w:endnote>
  <w:endnote w:type="continuationSeparator" w:id="0">
    <w:p w14:paraId="7A5035D4" w14:textId="77777777" w:rsidR="006C52C2" w:rsidRDefault="006C52C2"/>
  </w:endnote>
  <w:endnote w:type="continuationNotice" w:id="1">
    <w:p w14:paraId="6A2A4A17" w14:textId="77777777" w:rsidR="006C52C2" w:rsidRDefault="006C5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C503" w14:textId="0E769449" w:rsidR="00110399" w:rsidRPr="00110399" w:rsidRDefault="00110399" w:rsidP="00110399">
    <w:pPr>
      <w:pStyle w:val="Footer"/>
      <w:tabs>
        <w:tab w:val="right" w:pos="9638"/>
      </w:tabs>
      <w:rPr>
        <w:sz w:val="18"/>
      </w:rPr>
    </w:pPr>
    <w:r w:rsidRPr="00110399">
      <w:rPr>
        <w:b/>
        <w:sz w:val="18"/>
      </w:rPr>
      <w:fldChar w:fldCharType="begin"/>
    </w:r>
    <w:r w:rsidRPr="00110399">
      <w:rPr>
        <w:b/>
        <w:sz w:val="18"/>
      </w:rPr>
      <w:instrText xml:space="preserve"> PAGE  \* MERGEFORMAT </w:instrText>
    </w:r>
    <w:r w:rsidRPr="00110399">
      <w:rPr>
        <w:b/>
        <w:sz w:val="18"/>
      </w:rPr>
      <w:fldChar w:fldCharType="separate"/>
    </w:r>
    <w:r w:rsidRPr="00110399">
      <w:rPr>
        <w:b/>
        <w:noProof/>
        <w:sz w:val="18"/>
      </w:rPr>
      <w:t>2</w:t>
    </w:r>
    <w:r w:rsidRPr="001103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6D24" w14:textId="1418E911" w:rsidR="00110399" w:rsidRPr="00110399" w:rsidRDefault="00110399" w:rsidP="00110399">
    <w:pPr>
      <w:pStyle w:val="Footer"/>
      <w:tabs>
        <w:tab w:val="right" w:pos="9638"/>
      </w:tabs>
      <w:rPr>
        <w:b/>
        <w:sz w:val="18"/>
      </w:rPr>
    </w:pPr>
    <w:r>
      <w:tab/>
    </w:r>
    <w:r w:rsidRPr="00110399">
      <w:rPr>
        <w:b/>
        <w:sz w:val="18"/>
      </w:rPr>
      <w:fldChar w:fldCharType="begin"/>
    </w:r>
    <w:r w:rsidRPr="00110399">
      <w:rPr>
        <w:b/>
        <w:sz w:val="18"/>
      </w:rPr>
      <w:instrText xml:space="preserve"> PAGE  \* MERGEFORMAT </w:instrText>
    </w:r>
    <w:r w:rsidRPr="00110399">
      <w:rPr>
        <w:b/>
        <w:sz w:val="18"/>
      </w:rPr>
      <w:fldChar w:fldCharType="separate"/>
    </w:r>
    <w:r w:rsidRPr="00110399">
      <w:rPr>
        <w:b/>
        <w:noProof/>
        <w:sz w:val="18"/>
      </w:rPr>
      <w:t>3</w:t>
    </w:r>
    <w:r w:rsidRPr="0011039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F44" w14:textId="77777777" w:rsidR="0035223F" w:rsidRPr="00110399" w:rsidRDefault="00686A48">
    <w:pPr>
      <w:pStyle w:val="Footer"/>
      <w:rPr>
        <w:sz w:val="20"/>
      </w:rPr>
    </w:pPr>
    <w:r>
      <w:rPr>
        <w:noProof/>
        <w:lang w:val="fr-CH" w:eastAsia="fr-CH"/>
      </w:rPr>
      <w:drawing>
        <wp:anchor distT="0" distB="0" distL="114300" distR="114300" simplePos="0" relativeHeight="251658240" behindDoc="0" locked="1" layoutInCell="1" allowOverlap="1" wp14:anchorId="57FA6A4F" wp14:editId="3CCD43FF">
          <wp:simplePos x="0" y="0"/>
          <wp:positionH relativeFrom="margin">
            <wp:posOffset>5147945</wp:posOffset>
          </wp:positionH>
          <wp:positionV relativeFrom="margin">
            <wp:posOffset>9071610</wp:posOffset>
          </wp:positionV>
          <wp:extent cx="933450" cy="228600"/>
          <wp:effectExtent l="0" t="0" r="0" b="0"/>
          <wp:wrapNone/>
          <wp:docPr id="2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80BD" w14:textId="77777777" w:rsidR="006C52C2" w:rsidRPr="000B175B" w:rsidRDefault="006C52C2" w:rsidP="000B175B">
      <w:pPr>
        <w:tabs>
          <w:tab w:val="right" w:pos="2155"/>
        </w:tabs>
        <w:spacing w:after="80"/>
        <w:ind w:left="680"/>
        <w:rPr>
          <w:u w:val="single"/>
        </w:rPr>
      </w:pPr>
      <w:r>
        <w:rPr>
          <w:u w:val="single"/>
        </w:rPr>
        <w:tab/>
      </w:r>
    </w:p>
  </w:footnote>
  <w:footnote w:type="continuationSeparator" w:id="0">
    <w:p w14:paraId="322EC9D3" w14:textId="77777777" w:rsidR="006C52C2" w:rsidRPr="00FC68B7" w:rsidRDefault="006C52C2" w:rsidP="00FC68B7">
      <w:pPr>
        <w:tabs>
          <w:tab w:val="left" w:pos="2155"/>
        </w:tabs>
        <w:spacing w:after="80"/>
        <w:ind w:left="680"/>
        <w:rPr>
          <w:u w:val="single"/>
        </w:rPr>
      </w:pPr>
      <w:r>
        <w:rPr>
          <w:u w:val="single"/>
        </w:rPr>
        <w:tab/>
      </w:r>
    </w:p>
  </w:footnote>
  <w:footnote w:type="continuationNotice" w:id="1">
    <w:p w14:paraId="7BB10285" w14:textId="77777777" w:rsidR="006C52C2" w:rsidRDefault="006C5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2262" w14:textId="28DB8FB2" w:rsidR="00110399" w:rsidRPr="0058445C" w:rsidRDefault="0058445C">
    <w:pPr>
      <w:pStyle w:val="Header"/>
    </w:pPr>
    <w:r w:rsidRPr="00D93204">
      <w:rPr>
        <w:iCs/>
        <w:lang w:eastAsia="en-US"/>
      </w:rPr>
      <w:t>ECE/MP.EIA/</w:t>
    </w:r>
    <w:r>
      <w:rPr>
        <w:iCs/>
        <w:lang w:eastAsia="en-US"/>
      </w:rPr>
      <w:t>WG.2</w:t>
    </w:r>
    <w:r w:rsidRPr="00D93204">
      <w:rPr>
        <w:iCs/>
        <w:lang w:eastAsia="en-US"/>
      </w:rPr>
      <w:t>/202</w:t>
    </w:r>
    <w:r>
      <w:rPr>
        <w:iCs/>
        <w:lang w:eastAsia="en-US"/>
      </w:rPr>
      <w:t>3</w:t>
    </w:r>
    <w:r w:rsidRPr="00D93204">
      <w:rPr>
        <w:iCs/>
        <w:lang w:eastAsia="en-US"/>
      </w:rPr>
      <w:t>/INF.</w:t>
    </w:r>
    <w:r>
      <w:rPr>
        <w:iCs/>
        <w:lang w:eastAsia="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D801" w14:textId="1F991ECB" w:rsidR="00110399" w:rsidRPr="0058445C" w:rsidRDefault="0058445C" w:rsidP="000C47CE">
    <w:pPr>
      <w:pStyle w:val="Header"/>
      <w:jc w:val="right"/>
    </w:pPr>
    <w:r w:rsidRPr="00D93204">
      <w:rPr>
        <w:iCs/>
        <w:lang w:eastAsia="en-US"/>
      </w:rPr>
      <w:t>ECE/MP.EIA/</w:t>
    </w:r>
    <w:r>
      <w:rPr>
        <w:iCs/>
        <w:lang w:eastAsia="en-US"/>
      </w:rPr>
      <w:t>WG.2</w:t>
    </w:r>
    <w:r w:rsidRPr="00D93204">
      <w:rPr>
        <w:iCs/>
        <w:lang w:eastAsia="en-US"/>
      </w:rPr>
      <w:t>/202</w:t>
    </w:r>
    <w:r>
      <w:rPr>
        <w:iCs/>
        <w:lang w:eastAsia="en-US"/>
      </w:rPr>
      <w:t>3</w:t>
    </w:r>
    <w:r w:rsidRPr="00D93204">
      <w:rPr>
        <w:iCs/>
        <w:lang w:eastAsia="en-US"/>
      </w:rPr>
      <w:t>/INF.</w:t>
    </w:r>
    <w:r>
      <w:rPr>
        <w:iCs/>
        <w:lang w:eastAsia="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F608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36E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1A70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1A07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8086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18E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EA89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2856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6E0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F8F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A81C02"/>
    <w:multiLevelType w:val="hybridMultilevel"/>
    <w:tmpl w:val="6BD67492"/>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543657"/>
    <w:multiLevelType w:val="hybridMultilevel"/>
    <w:tmpl w:val="A956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0E6B6D"/>
    <w:multiLevelType w:val="hybridMultilevel"/>
    <w:tmpl w:val="313C5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00A7F65"/>
    <w:multiLevelType w:val="hybridMultilevel"/>
    <w:tmpl w:val="2B220AEA"/>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BC74CA"/>
    <w:multiLevelType w:val="hybridMultilevel"/>
    <w:tmpl w:val="8440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D6355B"/>
    <w:multiLevelType w:val="hybridMultilevel"/>
    <w:tmpl w:val="D188E3A2"/>
    <w:lvl w:ilvl="0" w:tplc="68E6CDA6">
      <w:start w:val="1"/>
      <w:numFmt w:val="lowerLetter"/>
      <w:lvlText w:val="(%1)"/>
      <w:lvlJc w:val="left"/>
      <w:pPr>
        <w:ind w:left="715" w:hanging="645"/>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8" w15:restartNumberingAfterBreak="0">
    <w:nsid w:val="17875AFC"/>
    <w:multiLevelType w:val="hybridMultilevel"/>
    <w:tmpl w:val="82EE8164"/>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FA33A9"/>
    <w:multiLevelType w:val="hybridMultilevel"/>
    <w:tmpl w:val="75C8DDDE"/>
    <w:lvl w:ilvl="0" w:tplc="A8740670">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0C15E4"/>
    <w:multiLevelType w:val="hybridMultilevel"/>
    <w:tmpl w:val="DD187FCA"/>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292428"/>
    <w:multiLevelType w:val="hybridMultilevel"/>
    <w:tmpl w:val="83840650"/>
    <w:lvl w:ilvl="0" w:tplc="2D6AA834">
      <w:start w:val="1"/>
      <w:numFmt w:val="lowerLetter"/>
      <w:lvlText w:val="(%1)"/>
      <w:lvlJc w:val="left"/>
      <w:pPr>
        <w:ind w:left="373" w:hanging="360"/>
      </w:pPr>
      <w:rPr>
        <w:rFonts w:hint="default"/>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25" w15:restartNumberingAfterBreak="0">
    <w:nsid w:val="2E3313FC"/>
    <w:multiLevelType w:val="hybridMultilevel"/>
    <w:tmpl w:val="CDACC992"/>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73F22"/>
    <w:multiLevelType w:val="hybridMultilevel"/>
    <w:tmpl w:val="9DFEC98C"/>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8EE4FDF"/>
    <w:multiLevelType w:val="hybridMultilevel"/>
    <w:tmpl w:val="D7880CA6"/>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06BD2"/>
    <w:multiLevelType w:val="hybridMultilevel"/>
    <w:tmpl w:val="61A689B6"/>
    <w:lvl w:ilvl="0" w:tplc="03784AFE">
      <w:start w:val="2"/>
      <w:numFmt w:val="bullet"/>
      <w:lvlText w:val="-"/>
      <w:lvlJc w:val="left"/>
      <w:pPr>
        <w:ind w:left="54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02206B"/>
    <w:multiLevelType w:val="hybridMultilevel"/>
    <w:tmpl w:val="D1FC4C16"/>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571B7"/>
    <w:multiLevelType w:val="hybridMultilevel"/>
    <w:tmpl w:val="AA900810"/>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CA1A41"/>
    <w:multiLevelType w:val="hybridMultilevel"/>
    <w:tmpl w:val="D9E816DA"/>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81C2B"/>
    <w:multiLevelType w:val="hybridMultilevel"/>
    <w:tmpl w:val="9BEE7D9E"/>
    <w:lvl w:ilvl="0" w:tplc="68E6CD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1D4974"/>
    <w:multiLevelType w:val="hybridMultilevel"/>
    <w:tmpl w:val="7C704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6404FD"/>
    <w:multiLevelType w:val="hybridMultilevel"/>
    <w:tmpl w:val="212CF31C"/>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23A2B"/>
    <w:multiLevelType w:val="hybridMultilevel"/>
    <w:tmpl w:val="7D3CFF00"/>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B4B1F"/>
    <w:multiLevelType w:val="hybridMultilevel"/>
    <w:tmpl w:val="CA7A1D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8B5B88"/>
    <w:multiLevelType w:val="hybridMultilevel"/>
    <w:tmpl w:val="64C42B54"/>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006A3"/>
    <w:multiLevelType w:val="hybridMultilevel"/>
    <w:tmpl w:val="8AE4EFD4"/>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607CEA"/>
    <w:multiLevelType w:val="hybridMultilevel"/>
    <w:tmpl w:val="D4705B9E"/>
    <w:lvl w:ilvl="0" w:tplc="A874067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956216">
    <w:abstractNumId w:val="1"/>
  </w:num>
  <w:num w:numId="2" w16cid:durableId="1008361309">
    <w:abstractNumId w:val="0"/>
  </w:num>
  <w:num w:numId="3" w16cid:durableId="1149247753">
    <w:abstractNumId w:val="2"/>
  </w:num>
  <w:num w:numId="4" w16cid:durableId="2125296816">
    <w:abstractNumId w:val="3"/>
  </w:num>
  <w:num w:numId="5" w16cid:durableId="1012534169">
    <w:abstractNumId w:val="8"/>
  </w:num>
  <w:num w:numId="6" w16cid:durableId="1987465577">
    <w:abstractNumId w:val="9"/>
  </w:num>
  <w:num w:numId="7" w16cid:durableId="651720383">
    <w:abstractNumId w:val="7"/>
  </w:num>
  <w:num w:numId="8" w16cid:durableId="426511099">
    <w:abstractNumId w:val="6"/>
  </w:num>
  <w:num w:numId="9" w16cid:durableId="1857039240">
    <w:abstractNumId w:val="5"/>
  </w:num>
  <w:num w:numId="10" w16cid:durableId="1004208235">
    <w:abstractNumId w:val="4"/>
  </w:num>
  <w:num w:numId="11" w16cid:durableId="63113675">
    <w:abstractNumId w:val="27"/>
  </w:num>
  <w:num w:numId="12" w16cid:durableId="541017090">
    <w:abstractNumId w:val="21"/>
  </w:num>
  <w:num w:numId="13" w16cid:durableId="849413838">
    <w:abstractNumId w:val="10"/>
  </w:num>
  <w:num w:numId="14" w16cid:durableId="511534906">
    <w:abstractNumId w:val="19"/>
  </w:num>
  <w:num w:numId="15" w16cid:durableId="1628388377">
    <w:abstractNumId w:val="28"/>
  </w:num>
  <w:num w:numId="16" w16cid:durableId="877594358">
    <w:abstractNumId w:val="20"/>
  </w:num>
  <w:num w:numId="17" w16cid:durableId="2016835735">
    <w:abstractNumId w:val="37"/>
  </w:num>
  <w:num w:numId="18" w16cid:durableId="1371296391">
    <w:abstractNumId w:val="42"/>
  </w:num>
  <w:num w:numId="19" w16cid:durableId="681393139">
    <w:abstractNumId w:val="14"/>
  </w:num>
  <w:num w:numId="20" w16cid:durableId="270211587">
    <w:abstractNumId w:val="13"/>
  </w:num>
  <w:num w:numId="21" w16cid:durableId="1051003136">
    <w:abstractNumId w:val="30"/>
  </w:num>
  <w:num w:numId="22" w16cid:durableId="1469736827">
    <w:abstractNumId w:val="39"/>
  </w:num>
  <w:num w:numId="23" w16cid:durableId="186023222">
    <w:abstractNumId w:val="12"/>
  </w:num>
  <w:num w:numId="24" w16cid:durableId="1022510721">
    <w:abstractNumId w:val="35"/>
  </w:num>
  <w:num w:numId="25" w16cid:durableId="1532955322">
    <w:abstractNumId w:val="16"/>
  </w:num>
  <w:num w:numId="26" w16cid:durableId="1199464445">
    <w:abstractNumId w:val="36"/>
  </w:num>
  <w:num w:numId="27" w16cid:durableId="1671981479">
    <w:abstractNumId w:val="23"/>
  </w:num>
  <w:num w:numId="28" w16cid:durableId="1255629527">
    <w:abstractNumId w:val="25"/>
  </w:num>
  <w:num w:numId="29" w16cid:durableId="951864370">
    <w:abstractNumId w:val="32"/>
  </w:num>
  <w:num w:numId="30" w16cid:durableId="1036665198">
    <w:abstractNumId w:val="22"/>
  </w:num>
  <w:num w:numId="31" w16cid:durableId="1531139379">
    <w:abstractNumId w:val="38"/>
  </w:num>
  <w:num w:numId="32" w16cid:durableId="804464644">
    <w:abstractNumId w:val="11"/>
  </w:num>
  <w:num w:numId="33" w16cid:durableId="217521898">
    <w:abstractNumId w:val="29"/>
  </w:num>
  <w:num w:numId="34" w16cid:durableId="981158104">
    <w:abstractNumId w:val="24"/>
  </w:num>
  <w:num w:numId="35" w16cid:durableId="117261779">
    <w:abstractNumId w:val="15"/>
  </w:num>
  <w:num w:numId="36" w16cid:durableId="273481977">
    <w:abstractNumId w:val="33"/>
  </w:num>
  <w:num w:numId="37" w16cid:durableId="740255869">
    <w:abstractNumId w:val="34"/>
  </w:num>
  <w:num w:numId="38" w16cid:durableId="1283923576">
    <w:abstractNumId w:val="31"/>
  </w:num>
  <w:num w:numId="39" w16cid:durableId="1603033043">
    <w:abstractNumId w:val="41"/>
  </w:num>
  <w:num w:numId="40" w16cid:durableId="89401983">
    <w:abstractNumId w:val="40"/>
  </w:num>
  <w:num w:numId="41" w16cid:durableId="291981537">
    <w:abstractNumId w:val="43"/>
  </w:num>
  <w:num w:numId="42" w16cid:durableId="1772703024">
    <w:abstractNumId w:val="18"/>
  </w:num>
  <w:num w:numId="43" w16cid:durableId="1079208705">
    <w:abstractNumId w:val="26"/>
  </w:num>
  <w:num w:numId="44" w16cid:durableId="4880595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110399"/>
    <w:rsid w:val="00002A7D"/>
    <w:rsid w:val="000038A8"/>
    <w:rsid w:val="00006366"/>
    <w:rsid w:val="00006790"/>
    <w:rsid w:val="00012581"/>
    <w:rsid w:val="0001456E"/>
    <w:rsid w:val="0002268E"/>
    <w:rsid w:val="00023698"/>
    <w:rsid w:val="00026101"/>
    <w:rsid w:val="00026FFD"/>
    <w:rsid w:val="00027624"/>
    <w:rsid w:val="00030771"/>
    <w:rsid w:val="0003419F"/>
    <w:rsid w:val="00041796"/>
    <w:rsid w:val="000432B5"/>
    <w:rsid w:val="00044295"/>
    <w:rsid w:val="00046D4F"/>
    <w:rsid w:val="00050F6B"/>
    <w:rsid w:val="00055B3A"/>
    <w:rsid w:val="000565B9"/>
    <w:rsid w:val="00063D43"/>
    <w:rsid w:val="00066766"/>
    <w:rsid w:val="000678CD"/>
    <w:rsid w:val="00067E7C"/>
    <w:rsid w:val="00071E1E"/>
    <w:rsid w:val="000722A6"/>
    <w:rsid w:val="00072C8C"/>
    <w:rsid w:val="00081CE0"/>
    <w:rsid w:val="00082526"/>
    <w:rsid w:val="000833F5"/>
    <w:rsid w:val="00083E4F"/>
    <w:rsid w:val="00084D30"/>
    <w:rsid w:val="00090320"/>
    <w:rsid w:val="000931C0"/>
    <w:rsid w:val="000946AB"/>
    <w:rsid w:val="000947D3"/>
    <w:rsid w:val="000A096E"/>
    <w:rsid w:val="000A2408"/>
    <w:rsid w:val="000A2E09"/>
    <w:rsid w:val="000A3337"/>
    <w:rsid w:val="000A35E6"/>
    <w:rsid w:val="000A3FB8"/>
    <w:rsid w:val="000A4EBF"/>
    <w:rsid w:val="000B175B"/>
    <w:rsid w:val="000B197A"/>
    <w:rsid w:val="000B3A0F"/>
    <w:rsid w:val="000C035A"/>
    <w:rsid w:val="000C47CE"/>
    <w:rsid w:val="000D1130"/>
    <w:rsid w:val="000D1948"/>
    <w:rsid w:val="000D4052"/>
    <w:rsid w:val="000D42CC"/>
    <w:rsid w:val="000E0415"/>
    <w:rsid w:val="000E457B"/>
    <w:rsid w:val="000F7715"/>
    <w:rsid w:val="001026EC"/>
    <w:rsid w:val="00110399"/>
    <w:rsid w:val="00115C8A"/>
    <w:rsid w:val="00120C8D"/>
    <w:rsid w:val="001216C5"/>
    <w:rsid w:val="00121F9C"/>
    <w:rsid w:val="001235CD"/>
    <w:rsid w:val="001346E4"/>
    <w:rsid w:val="00135644"/>
    <w:rsid w:val="00137857"/>
    <w:rsid w:val="00141CCF"/>
    <w:rsid w:val="00145843"/>
    <w:rsid w:val="0015402A"/>
    <w:rsid w:val="001550B0"/>
    <w:rsid w:val="00156B99"/>
    <w:rsid w:val="00160A5E"/>
    <w:rsid w:val="00166124"/>
    <w:rsid w:val="00170F24"/>
    <w:rsid w:val="0017568F"/>
    <w:rsid w:val="00184DDA"/>
    <w:rsid w:val="00184EA7"/>
    <w:rsid w:val="001900CD"/>
    <w:rsid w:val="00196188"/>
    <w:rsid w:val="00196251"/>
    <w:rsid w:val="0019709D"/>
    <w:rsid w:val="001977D0"/>
    <w:rsid w:val="001A0452"/>
    <w:rsid w:val="001A13B2"/>
    <w:rsid w:val="001A40A4"/>
    <w:rsid w:val="001B08EC"/>
    <w:rsid w:val="001B1A4B"/>
    <w:rsid w:val="001B28D3"/>
    <w:rsid w:val="001B2C06"/>
    <w:rsid w:val="001B4B04"/>
    <w:rsid w:val="001B5875"/>
    <w:rsid w:val="001C0F4A"/>
    <w:rsid w:val="001C31D2"/>
    <w:rsid w:val="001C4B9C"/>
    <w:rsid w:val="001C6663"/>
    <w:rsid w:val="001C7895"/>
    <w:rsid w:val="001D175A"/>
    <w:rsid w:val="001D26DF"/>
    <w:rsid w:val="001D7AEB"/>
    <w:rsid w:val="001E14C5"/>
    <w:rsid w:val="001E7D9C"/>
    <w:rsid w:val="001F1599"/>
    <w:rsid w:val="001F19C4"/>
    <w:rsid w:val="001F29DA"/>
    <w:rsid w:val="001F4B53"/>
    <w:rsid w:val="001F77F6"/>
    <w:rsid w:val="00201EA3"/>
    <w:rsid w:val="002043F0"/>
    <w:rsid w:val="00207069"/>
    <w:rsid w:val="00207DEB"/>
    <w:rsid w:val="00211E0B"/>
    <w:rsid w:val="00215B16"/>
    <w:rsid w:val="00223796"/>
    <w:rsid w:val="00232575"/>
    <w:rsid w:val="00236D78"/>
    <w:rsid w:val="002422D9"/>
    <w:rsid w:val="00247258"/>
    <w:rsid w:val="002526E2"/>
    <w:rsid w:val="00255012"/>
    <w:rsid w:val="00257CAC"/>
    <w:rsid w:val="00266CE7"/>
    <w:rsid w:val="0027237A"/>
    <w:rsid w:val="002776C1"/>
    <w:rsid w:val="0028327D"/>
    <w:rsid w:val="002875C3"/>
    <w:rsid w:val="002971D0"/>
    <w:rsid w:val="002974E9"/>
    <w:rsid w:val="002A7F94"/>
    <w:rsid w:val="002B109A"/>
    <w:rsid w:val="002B2374"/>
    <w:rsid w:val="002C369B"/>
    <w:rsid w:val="002C6D45"/>
    <w:rsid w:val="002D0EFD"/>
    <w:rsid w:val="002D2D2C"/>
    <w:rsid w:val="002D34C7"/>
    <w:rsid w:val="002D44DE"/>
    <w:rsid w:val="002D6E53"/>
    <w:rsid w:val="002E13CD"/>
    <w:rsid w:val="002E3FCB"/>
    <w:rsid w:val="002F046D"/>
    <w:rsid w:val="002F3023"/>
    <w:rsid w:val="002F40CE"/>
    <w:rsid w:val="002F4A5A"/>
    <w:rsid w:val="00300EA0"/>
    <w:rsid w:val="00301764"/>
    <w:rsid w:val="003044AA"/>
    <w:rsid w:val="00313F91"/>
    <w:rsid w:val="00317F10"/>
    <w:rsid w:val="003229D8"/>
    <w:rsid w:val="00325F40"/>
    <w:rsid w:val="00336C97"/>
    <w:rsid w:val="00337F88"/>
    <w:rsid w:val="0034183A"/>
    <w:rsid w:val="00342432"/>
    <w:rsid w:val="00351F20"/>
    <w:rsid w:val="0035223F"/>
    <w:rsid w:val="00352395"/>
    <w:rsid w:val="00352D4B"/>
    <w:rsid w:val="003540F3"/>
    <w:rsid w:val="0035638C"/>
    <w:rsid w:val="003575D3"/>
    <w:rsid w:val="0036077E"/>
    <w:rsid w:val="0037039B"/>
    <w:rsid w:val="003704DE"/>
    <w:rsid w:val="00372061"/>
    <w:rsid w:val="00372821"/>
    <w:rsid w:val="00374EDB"/>
    <w:rsid w:val="0037510A"/>
    <w:rsid w:val="00382C19"/>
    <w:rsid w:val="00392FE4"/>
    <w:rsid w:val="00396A4C"/>
    <w:rsid w:val="00397A09"/>
    <w:rsid w:val="003A46BB"/>
    <w:rsid w:val="003A4EC7"/>
    <w:rsid w:val="003A7295"/>
    <w:rsid w:val="003A74BA"/>
    <w:rsid w:val="003B1F60"/>
    <w:rsid w:val="003C0A75"/>
    <w:rsid w:val="003C2CC4"/>
    <w:rsid w:val="003C2FDA"/>
    <w:rsid w:val="003D0FC0"/>
    <w:rsid w:val="003D22CC"/>
    <w:rsid w:val="003D2CED"/>
    <w:rsid w:val="003D4B23"/>
    <w:rsid w:val="003D7F4E"/>
    <w:rsid w:val="003E2142"/>
    <w:rsid w:val="003E278A"/>
    <w:rsid w:val="003F2060"/>
    <w:rsid w:val="003F4C98"/>
    <w:rsid w:val="003F5C69"/>
    <w:rsid w:val="003F6EDE"/>
    <w:rsid w:val="004034E3"/>
    <w:rsid w:val="004035BB"/>
    <w:rsid w:val="00413520"/>
    <w:rsid w:val="00415ABA"/>
    <w:rsid w:val="00417DCD"/>
    <w:rsid w:val="00427402"/>
    <w:rsid w:val="00427645"/>
    <w:rsid w:val="004325CB"/>
    <w:rsid w:val="00440A07"/>
    <w:rsid w:val="00440DAC"/>
    <w:rsid w:val="004439FB"/>
    <w:rsid w:val="004444FC"/>
    <w:rsid w:val="004508F2"/>
    <w:rsid w:val="004521E8"/>
    <w:rsid w:val="004543F0"/>
    <w:rsid w:val="004562D9"/>
    <w:rsid w:val="00462880"/>
    <w:rsid w:val="00463DFF"/>
    <w:rsid w:val="00472A0C"/>
    <w:rsid w:val="004751F6"/>
    <w:rsid w:val="00476F24"/>
    <w:rsid w:val="00481A5B"/>
    <w:rsid w:val="004A4041"/>
    <w:rsid w:val="004A5218"/>
    <w:rsid w:val="004A525E"/>
    <w:rsid w:val="004A7072"/>
    <w:rsid w:val="004B186E"/>
    <w:rsid w:val="004B7B5D"/>
    <w:rsid w:val="004C2497"/>
    <w:rsid w:val="004C55B0"/>
    <w:rsid w:val="004D19C5"/>
    <w:rsid w:val="004D7C36"/>
    <w:rsid w:val="004E1362"/>
    <w:rsid w:val="004E1BC1"/>
    <w:rsid w:val="004E5565"/>
    <w:rsid w:val="004F6BA0"/>
    <w:rsid w:val="00500E3A"/>
    <w:rsid w:val="0050293A"/>
    <w:rsid w:val="00503BEA"/>
    <w:rsid w:val="00506A83"/>
    <w:rsid w:val="00507482"/>
    <w:rsid w:val="0051398F"/>
    <w:rsid w:val="0052051B"/>
    <w:rsid w:val="00521B46"/>
    <w:rsid w:val="00533616"/>
    <w:rsid w:val="00535ABA"/>
    <w:rsid w:val="0053768B"/>
    <w:rsid w:val="005420F2"/>
    <w:rsid w:val="0054285C"/>
    <w:rsid w:val="0057049D"/>
    <w:rsid w:val="005743AD"/>
    <w:rsid w:val="005773B0"/>
    <w:rsid w:val="00582D5B"/>
    <w:rsid w:val="00584173"/>
    <w:rsid w:val="0058445C"/>
    <w:rsid w:val="00595520"/>
    <w:rsid w:val="00595DEF"/>
    <w:rsid w:val="0059651E"/>
    <w:rsid w:val="005A405D"/>
    <w:rsid w:val="005A44B9"/>
    <w:rsid w:val="005A6A26"/>
    <w:rsid w:val="005B1BA0"/>
    <w:rsid w:val="005B3DB3"/>
    <w:rsid w:val="005B4306"/>
    <w:rsid w:val="005B5E49"/>
    <w:rsid w:val="005B7793"/>
    <w:rsid w:val="005C1C2D"/>
    <w:rsid w:val="005C261B"/>
    <w:rsid w:val="005D15CA"/>
    <w:rsid w:val="005D3215"/>
    <w:rsid w:val="005E0F02"/>
    <w:rsid w:val="005E21E6"/>
    <w:rsid w:val="005E67B8"/>
    <w:rsid w:val="005F08DF"/>
    <w:rsid w:val="005F0F07"/>
    <w:rsid w:val="005F1D8D"/>
    <w:rsid w:val="005F3066"/>
    <w:rsid w:val="005F3E61"/>
    <w:rsid w:val="005F7E84"/>
    <w:rsid w:val="00604DDD"/>
    <w:rsid w:val="006115CC"/>
    <w:rsid w:val="00611DED"/>
    <w:rsid w:val="00611FC4"/>
    <w:rsid w:val="00615AFC"/>
    <w:rsid w:val="006176FB"/>
    <w:rsid w:val="00626388"/>
    <w:rsid w:val="00630FCB"/>
    <w:rsid w:val="00633407"/>
    <w:rsid w:val="00634066"/>
    <w:rsid w:val="006353F8"/>
    <w:rsid w:val="00640B26"/>
    <w:rsid w:val="00644D8D"/>
    <w:rsid w:val="00651328"/>
    <w:rsid w:val="0065431E"/>
    <w:rsid w:val="006546C1"/>
    <w:rsid w:val="0065766B"/>
    <w:rsid w:val="006650AE"/>
    <w:rsid w:val="00665E7B"/>
    <w:rsid w:val="00666D70"/>
    <w:rsid w:val="00666F2D"/>
    <w:rsid w:val="006754F1"/>
    <w:rsid w:val="006770B2"/>
    <w:rsid w:val="00686A48"/>
    <w:rsid w:val="00691ACD"/>
    <w:rsid w:val="006940A6"/>
    <w:rsid w:val="006940E1"/>
    <w:rsid w:val="006970AD"/>
    <w:rsid w:val="006A3C72"/>
    <w:rsid w:val="006A7392"/>
    <w:rsid w:val="006B03A1"/>
    <w:rsid w:val="006B18E7"/>
    <w:rsid w:val="006B4DC5"/>
    <w:rsid w:val="006B67D9"/>
    <w:rsid w:val="006B7A09"/>
    <w:rsid w:val="006C0973"/>
    <w:rsid w:val="006C52C2"/>
    <w:rsid w:val="006C5535"/>
    <w:rsid w:val="006D0589"/>
    <w:rsid w:val="006E00BD"/>
    <w:rsid w:val="006E564B"/>
    <w:rsid w:val="006E64B9"/>
    <w:rsid w:val="006E7154"/>
    <w:rsid w:val="006E7F8D"/>
    <w:rsid w:val="006F2275"/>
    <w:rsid w:val="007003CD"/>
    <w:rsid w:val="007023A0"/>
    <w:rsid w:val="00704E21"/>
    <w:rsid w:val="007064FB"/>
    <w:rsid w:val="00706D1A"/>
    <w:rsid w:val="0070701E"/>
    <w:rsid w:val="0071137D"/>
    <w:rsid w:val="0072632A"/>
    <w:rsid w:val="007336DB"/>
    <w:rsid w:val="007358E8"/>
    <w:rsid w:val="00736ECE"/>
    <w:rsid w:val="0074533B"/>
    <w:rsid w:val="0074613D"/>
    <w:rsid w:val="00746A56"/>
    <w:rsid w:val="00753F02"/>
    <w:rsid w:val="007579C4"/>
    <w:rsid w:val="00760D48"/>
    <w:rsid w:val="007643BC"/>
    <w:rsid w:val="0077407C"/>
    <w:rsid w:val="00775F38"/>
    <w:rsid w:val="00776FC3"/>
    <w:rsid w:val="00780C68"/>
    <w:rsid w:val="00781BC8"/>
    <w:rsid w:val="00782629"/>
    <w:rsid w:val="00783119"/>
    <w:rsid w:val="00793E64"/>
    <w:rsid w:val="007959FE"/>
    <w:rsid w:val="007A0CF1"/>
    <w:rsid w:val="007B15A6"/>
    <w:rsid w:val="007B6BA5"/>
    <w:rsid w:val="007C20C8"/>
    <w:rsid w:val="007C2E6A"/>
    <w:rsid w:val="007C3390"/>
    <w:rsid w:val="007C42D8"/>
    <w:rsid w:val="007C4F4B"/>
    <w:rsid w:val="007C5CC1"/>
    <w:rsid w:val="007D13EF"/>
    <w:rsid w:val="007D2CB4"/>
    <w:rsid w:val="007D59D0"/>
    <w:rsid w:val="007D7362"/>
    <w:rsid w:val="007E017C"/>
    <w:rsid w:val="007E3EA2"/>
    <w:rsid w:val="007E776D"/>
    <w:rsid w:val="007E7E0C"/>
    <w:rsid w:val="007F5741"/>
    <w:rsid w:val="007F5CE2"/>
    <w:rsid w:val="007F6611"/>
    <w:rsid w:val="00810BAC"/>
    <w:rsid w:val="0081156C"/>
    <w:rsid w:val="008136DF"/>
    <w:rsid w:val="008175E9"/>
    <w:rsid w:val="00820258"/>
    <w:rsid w:val="00823BAE"/>
    <w:rsid w:val="008242D7"/>
    <w:rsid w:val="00824788"/>
    <w:rsid w:val="0082577B"/>
    <w:rsid w:val="00840F33"/>
    <w:rsid w:val="00845EDF"/>
    <w:rsid w:val="008531C3"/>
    <w:rsid w:val="008560D9"/>
    <w:rsid w:val="00860945"/>
    <w:rsid w:val="008643F1"/>
    <w:rsid w:val="00866893"/>
    <w:rsid w:val="00866F02"/>
    <w:rsid w:val="00867D18"/>
    <w:rsid w:val="0087049D"/>
    <w:rsid w:val="00870F6A"/>
    <w:rsid w:val="00871F9A"/>
    <w:rsid w:val="00871FD5"/>
    <w:rsid w:val="008742CF"/>
    <w:rsid w:val="008757FC"/>
    <w:rsid w:val="00875A1E"/>
    <w:rsid w:val="0088172E"/>
    <w:rsid w:val="00881EFA"/>
    <w:rsid w:val="00884437"/>
    <w:rsid w:val="0088488C"/>
    <w:rsid w:val="00885B57"/>
    <w:rsid w:val="008879CB"/>
    <w:rsid w:val="008911DD"/>
    <w:rsid w:val="00891828"/>
    <w:rsid w:val="00891FEB"/>
    <w:rsid w:val="008979B1"/>
    <w:rsid w:val="008A1243"/>
    <w:rsid w:val="008A2160"/>
    <w:rsid w:val="008A6B25"/>
    <w:rsid w:val="008A6C4F"/>
    <w:rsid w:val="008B2212"/>
    <w:rsid w:val="008B389E"/>
    <w:rsid w:val="008B6D53"/>
    <w:rsid w:val="008B7238"/>
    <w:rsid w:val="008C2231"/>
    <w:rsid w:val="008C2CF0"/>
    <w:rsid w:val="008C30D0"/>
    <w:rsid w:val="008C65F1"/>
    <w:rsid w:val="008C79A3"/>
    <w:rsid w:val="008D045E"/>
    <w:rsid w:val="008D19DF"/>
    <w:rsid w:val="008D2E1C"/>
    <w:rsid w:val="008D3F25"/>
    <w:rsid w:val="008D4D82"/>
    <w:rsid w:val="008D54B5"/>
    <w:rsid w:val="008D6E49"/>
    <w:rsid w:val="008E00B2"/>
    <w:rsid w:val="008E0E46"/>
    <w:rsid w:val="008E3B20"/>
    <w:rsid w:val="008E4256"/>
    <w:rsid w:val="008E64EB"/>
    <w:rsid w:val="008E69ED"/>
    <w:rsid w:val="008E7116"/>
    <w:rsid w:val="008F0174"/>
    <w:rsid w:val="008F143B"/>
    <w:rsid w:val="008F3882"/>
    <w:rsid w:val="008F3CD5"/>
    <w:rsid w:val="008F4B7C"/>
    <w:rsid w:val="0090046D"/>
    <w:rsid w:val="00904E36"/>
    <w:rsid w:val="00906ECB"/>
    <w:rsid w:val="009129DB"/>
    <w:rsid w:val="00924564"/>
    <w:rsid w:val="009248D9"/>
    <w:rsid w:val="00924F1A"/>
    <w:rsid w:val="00926E47"/>
    <w:rsid w:val="00932A17"/>
    <w:rsid w:val="009403C7"/>
    <w:rsid w:val="00942AD0"/>
    <w:rsid w:val="0094474C"/>
    <w:rsid w:val="0094684F"/>
    <w:rsid w:val="00947162"/>
    <w:rsid w:val="009517CE"/>
    <w:rsid w:val="00954096"/>
    <w:rsid w:val="009610D0"/>
    <w:rsid w:val="0096293B"/>
    <w:rsid w:val="0096375C"/>
    <w:rsid w:val="00963A70"/>
    <w:rsid w:val="00964FC2"/>
    <w:rsid w:val="00965FA9"/>
    <w:rsid w:val="009662E6"/>
    <w:rsid w:val="00967391"/>
    <w:rsid w:val="0097095E"/>
    <w:rsid w:val="00970B50"/>
    <w:rsid w:val="00976760"/>
    <w:rsid w:val="009854A1"/>
    <w:rsid w:val="0098592B"/>
    <w:rsid w:val="00985FC4"/>
    <w:rsid w:val="009864F7"/>
    <w:rsid w:val="00986FF5"/>
    <w:rsid w:val="00990766"/>
    <w:rsid w:val="00991261"/>
    <w:rsid w:val="00995079"/>
    <w:rsid w:val="009964C4"/>
    <w:rsid w:val="009A7B81"/>
    <w:rsid w:val="009B2E63"/>
    <w:rsid w:val="009C7FF6"/>
    <w:rsid w:val="009D01C0"/>
    <w:rsid w:val="009D30D2"/>
    <w:rsid w:val="009D353C"/>
    <w:rsid w:val="009D5480"/>
    <w:rsid w:val="009D6A08"/>
    <w:rsid w:val="009E0A16"/>
    <w:rsid w:val="009E5A6B"/>
    <w:rsid w:val="009E61F9"/>
    <w:rsid w:val="009E6CB7"/>
    <w:rsid w:val="009E7970"/>
    <w:rsid w:val="009F0BD8"/>
    <w:rsid w:val="009F2EAC"/>
    <w:rsid w:val="009F57E3"/>
    <w:rsid w:val="00A04484"/>
    <w:rsid w:val="00A10F4F"/>
    <w:rsid w:val="00A11067"/>
    <w:rsid w:val="00A11AF3"/>
    <w:rsid w:val="00A16E97"/>
    <w:rsid w:val="00A1704A"/>
    <w:rsid w:val="00A205F8"/>
    <w:rsid w:val="00A2518A"/>
    <w:rsid w:val="00A300D4"/>
    <w:rsid w:val="00A36559"/>
    <w:rsid w:val="00A425EB"/>
    <w:rsid w:val="00A60B27"/>
    <w:rsid w:val="00A637B0"/>
    <w:rsid w:val="00A64981"/>
    <w:rsid w:val="00A668F7"/>
    <w:rsid w:val="00A71980"/>
    <w:rsid w:val="00A72F22"/>
    <w:rsid w:val="00A733BC"/>
    <w:rsid w:val="00A748A6"/>
    <w:rsid w:val="00A751F8"/>
    <w:rsid w:val="00A76A69"/>
    <w:rsid w:val="00A80781"/>
    <w:rsid w:val="00A82092"/>
    <w:rsid w:val="00A823F0"/>
    <w:rsid w:val="00A8747F"/>
    <w:rsid w:val="00A879A4"/>
    <w:rsid w:val="00A912A9"/>
    <w:rsid w:val="00A91515"/>
    <w:rsid w:val="00A91A3C"/>
    <w:rsid w:val="00A9789D"/>
    <w:rsid w:val="00AA0FF8"/>
    <w:rsid w:val="00AA2B0D"/>
    <w:rsid w:val="00AA300E"/>
    <w:rsid w:val="00AA6776"/>
    <w:rsid w:val="00AC0F2C"/>
    <w:rsid w:val="00AC502A"/>
    <w:rsid w:val="00AD623F"/>
    <w:rsid w:val="00AE69F3"/>
    <w:rsid w:val="00AF0FF5"/>
    <w:rsid w:val="00AF58C1"/>
    <w:rsid w:val="00B010E6"/>
    <w:rsid w:val="00B0322F"/>
    <w:rsid w:val="00B04A3F"/>
    <w:rsid w:val="00B0551E"/>
    <w:rsid w:val="00B06643"/>
    <w:rsid w:val="00B06D86"/>
    <w:rsid w:val="00B15055"/>
    <w:rsid w:val="00B17AA8"/>
    <w:rsid w:val="00B20551"/>
    <w:rsid w:val="00B24CFA"/>
    <w:rsid w:val="00B30179"/>
    <w:rsid w:val="00B33FC7"/>
    <w:rsid w:val="00B35DBE"/>
    <w:rsid w:val="00B36010"/>
    <w:rsid w:val="00B37B15"/>
    <w:rsid w:val="00B44D90"/>
    <w:rsid w:val="00B45806"/>
    <w:rsid w:val="00B45C02"/>
    <w:rsid w:val="00B5070A"/>
    <w:rsid w:val="00B625C6"/>
    <w:rsid w:val="00B63A4D"/>
    <w:rsid w:val="00B6408F"/>
    <w:rsid w:val="00B66790"/>
    <w:rsid w:val="00B70B63"/>
    <w:rsid w:val="00B72A1E"/>
    <w:rsid w:val="00B75363"/>
    <w:rsid w:val="00B762DD"/>
    <w:rsid w:val="00B76D0C"/>
    <w:rsid w:val="00B77050"/>
    <w:rsid w:val="00B81E12"/>
    <w:rsid w:val="00B83425"/>
    <w:rsid w:val="00B8350B"/>
    <w:rsid w:val="00B86F9D"/>
    <w:rsid w:val="00B87144"/>
    <w:rsid w:val="00B96148"/>
    <w:rsid w:val="00B968B3"/>
    <w:rsid w:val="00BA1027"/>
    <w:rsid w:val="00BA339B"/>
    <w:rsid w:val="00BA7F1B"/>
    <w:rsid w:val="00BB1B58"/>
    <w:rsid w:val="00BB1BD5"/>
    <w:rsid w:val="00BC1E7E"/>
    <w:rsid w:val="00BC3017"/>
    <w:rsid w:val="00BC74E9"/>
    <w:rsid w:val="00BD1F47"/>
    <w:rsid w:val="00BD20EC"/>
    <w:rsid w:val="00BD3D43"/>
    <w:rsid w:val="00BE191B"/>
    <w:rsid w:val="00BE36A9"/>
    <w:rsid w:val="00BE618E"/>
    <w:rsid w:val="00BE7BEC"/>
    <w:rsid w:val="00BF0A5A"/>
    <w:rsid w:val="00BF0E63"/>
    <w:rsid w:val="00BF12A3"/>
    <w:rsid w:val="00BF16D7"/>
    <w:rsid w:val="00BF2373"/>
    <w:rsid w:val="00BF5C3B"/>
    <w:rsid w:val="00C044E2"/>
    <w:rsid w:val="00C048CB"/>
    <w:rsid w:val="00C066F3"/>
    <w:rsid w:val="00C17C0C"/>
    <w:rsid w:val="00C21F29"/>
    <w:rsid w:val="00C22486"/>
    <w:rsid w:val="00C26905"/>
    <w:rsid w:val="00C31347"/>
    <w:rsid w:val="00C35C5B"/>
    <w:rsid w:val="00C36DF2"/>
    <w:rsid w:val="00C37801"/>
    <w:rsid w:val="00C4191B"/>
    <w:rsid w:val="00C463DD"/>
    <w:rsid w:val="00C47F35"/>
    <w:rsid w:val="00C55749"/>
    <w:rsid w:val="00C57836"/>
    <w:rsid w:val="00C65C34"/>
    <w:rsid w:val="00C66873"/>
    <w:rsid w:val="00C745C3"/>
    <w:rsid w:val="00C746DB"/>
    <w:rsid w:val="00C81F25"/>
    <w:rsid w:val="00C82D57"/>
    <w:rsid w:val="00C869AF"/>
    <w:rsid w:val="00C9233B"/>
    <w:rsid w:val="00C93BCC"/>
    <w:rsid w:val="00C978F5"/>
    <w:rsid w:val="00CA06FD"/>
    <w:rsid w:val="00CA11AA"/>
    <w:rsid w:val="00CA191D"/>
    <w:rsid w:val="00CA240C"/>
    <w:rsid w:val="00CA24A4"/>
    <w:rsid w:val="00CB348D"/>
    <w:rsid w:val="00CC0C4A"/>
    <w:rsid w:val="00CC489A"/>
    <w:rsid w:val="00CD3F4F"/>
    <w:rsid w:val="00CD46F5"/>
    <w:rsid w:val="00CE4602"/>
    <w:rsid w:val="00CE4A8F"/>
    <w:rsid w:val="00CF071D"/>
    <w:rsid w:val="00D0123D"/>
    <w:rsid w:val="00D073E4"/>
    <w:rsid w:val="00D15B04"/>
    <w:rsid w:val="00D17F79"/>
    <w:rsid w:val="00D2031B"/>
    <w:rsid w:val="00D2269B"/>
    <w:rsid w:val="00D23E89"/>
    <w:rsid w:val="00D25FE2"/>
    <w:rsid w:val="00D365B8"/>
    <w:rsid w:val="00D36F0F"/>
    <w:rsid w:val="00D37DA9"/>
    <w:rsid w:val="00D406A7"/>
    <w:rsid w:val="00D42C40"/>
    <w:rsid w:val="00D43252"/>
    <w:rsid w:val="00D439BD"/>
    <w:rsid w:val="00D44D86"/>
    <w:rsid w:val="00D50B7D"/>
    <w:rsid w:val="00D52012"/>
    <w:rsid w:val="00D55E02"/>
    <w:rsid w:val="00D633C0"/>
    <w:rsid w:val="00D63DF1"/>
    <w:rsid w:val="00D64C7E"/>
    <w:rsid w:val="00D704E5"/>
    <w:rsid w:val="00D72727"/>
    <w:rsid w:val="00D778A4"/>
    <w:rsid w:val="00D7797A"/>
    <w:rsid w:val="00D86135"/>
    <w:rsid w:val="00D9538D"/>
    <w:rsid w:val="00D978C6"/>
    <w:rsid w:val="00DA0956"/>
    <w:rsid w:val="00DA2CEB"/>
    <w:rsid w:val="00DA357F"/>
    <w:rsid w:val="00DA3E12"/>
    <w:rsid w:val="00DA3EA2"/>
    <w:rsid w:val="00DB13BF"/>
    <w:rsid w:val="00DC18AD"/>
    <w:rsid w:val="00DC541E"/>
    <w:rsid w:val="00DC758A"/>
    <w:rsid w:val="00DD3892"/>
    <w:rsid w:val="00DE19DD"/>
    <w:rsid w:val="00DE35C9"/>
    <w:rsid w:val="00DE3AB0"/>
    <w:rsid w:val="00DE7F2C"/>
    <w:rsid w:val="00DF6DE4"/>
    <w:rsid w:val="00DF7CAE"/>
    <w:rsid w:val="00E030E6"/>
    <w:rsid w:val="00E1169F"/>
    <w:rsid w:val="00E126D4"/>
    <w:rsid w:val="00E259F7"/>
    <w:rsid w:val="00E27039"/>
    <w:rsid w:val="00E32D7B"/>
    <w:rsid w:val="00E356C3"/>
    <w:rsid w:val="00E40205"/>
    <w:rsid w:val="00E423C0"/>
    <w:rsid w:val="00E43483"/>
    <w:rsid w:val="00E46036"/>
    <w:rsid w:val="00E5600A"/>
    <w:rsid w:val="00E6414C"/>
    <w:rsid w:val="00E71E32"/>
    <w:rsid w:val="00E7260F"/>
    <w:rsid w:val="00E77EF2"/>
    <w:rsid w:val="00E8385C"/>
    <w:rsid w:val="00E8702D"/>
    <w:rsid w:val="00E87956"/>
    <w:rsid w:val="00E905F4"/>
    <w:rsid w:val="00E90624"/>
    <w:rsid w:val="00E914F4"/>
    <w:rsid w:val="00E916A9"/>
    <w:rsid w:val="00E916DE"/>
    <w:rsid w:val="00E925AD"/>
    <w:rsid w:val="00E95537"/>
    <w:rsid w:val="00E96630"/>
    <w:rsid w:val="00EA06C7"/>
    <w:rsid w:val="00EA4283"/>
    <w:rsid w:val="00EB4EC1"/>
    <w:rsid w:val="00EB7CCA"/>
    <w:rsid w:val="00EC512F"/>
    <w:rsid w:val="00EC6ACB"/>
    <w:rsid w:val="00ED1119"/>
    <w:rsid w:val="00ED126A"/>
    <w:rsid w:val="00ED18DC"/>
    <w:rsid w:val="00ED34B6"/>
    <w:rsid w:val="00ED6201"/>
    <w:rsid w:val="00ED7387"/>
    <w:rsid w:val="00ED7A2A"/>
    <w:rsid w:val="00EE071D"/>
    <w:rsid w:val="00EE491A"/>
    <w:rsid w:val="00EF0A91"/>
    <w:rsid w:val="00EF1D7F"/>
    <w:rsid w:val="00F0137E"/>
    <w:rsid w:val="00F04977"/>
    <w:rsid w:val="00F132BB"/>
    <w:rsid w:val="00F144EA"/>
    <w:rsid w:val="00F15E87"/>
    <w:rsid w:val="00F2101A"/>
    <w:rsid w:val="00F21786"/>
    <w:rsid w:val="00F26DA1"/>
    <w:rsid w:val="00F27D88"/>
    <w:rsid w:val="00F33AE6"/>
    <w:rsid w:val="00F3742B"/>
    <w:rsid w:val="00F41FDB"/>
    <w:rsid w:val="00F42143"/>
    <w:rsid w:val="00F43C5C"/>
    <w:rsid w:val="00F52C6D"/>
    <w:rsid w:val="00F56D63"/>
    <w:rsid w:val="00F609A9"/>
    <w:rsid w:val="00F62920"/>
    <w:rsid w:val="00F64E86"/>
    <w:rsid w:val="00F75960"/>
    <w:rsid w:val="00F80C99"/>
    <w:rsid w:val="00F81939"/>
    <w:rsid w:val="00F82BEA"/>
    <w:rsid w:val="00F8344E"/>
    <w:rsid w:val="00F840F6"/>
    <w:rsid w:val="00F867EC"/>
    <w:rsid w:val="00F91B2B"/>
    <w:rsid w:val="00FA35D3"/>
    <w:rsid w:val="00FA4B76"/>
    <w:rsid w:val="00FC03CD"/>
    <w:rsid w:val="00FC0646"/>
    <w:rsid w:val="00FC68B7"/>
    <w:rsid w:val="00FD1FD1"/>
    <w:rsid w:val="00FD207C"/>
    <w:rsid w:val="00FE207A"/>
    <w:rsid w:val="00FE2B61"/>
    <w:rsid w:val="00FE6985"/>
    <w:rsid w:val="00FF3BD3"/>
    <w:rsid w:val="0149F121"/>
    <w:rsid w:val="01977FFA"/>
    <w:rsid w:val="0416CFFD"/>
    <w:rsid w:val="04713CB7"/>
    <w:rsid w:val="059920B0"/>
    <w:rsid w:val="061AAE3D"/>
    <w:rsid w:val="069D41E9"/>
    <w:rsid w:val="072A2A11"/>
    <w:rsid w:val="072EA2B2"/>
    <w:rsid w:val="07305AB1"/>
    <w:rsid w:val="073A8E7D"/>
    <w:rsid w:val="07461365"/>
    <w:rsid w:val="07907FBE"/>
    <w:rsid w:val="081FC69D"/>
    <w:rsid w:val="0834ABAE"/>
    <w:rsid w:val="085C530A"/>
    <w:rsid w:val="0A2202CC"/>
    <w:rsid w:val="0A9F0490"/>
    <w:rsid w:val="0B1DF9E1"/>
    <w:rsid w:val="0BDF837F"/>
    <w:rsid w:val="0C940530"/>
    <w:rsid w:val="0D13EBD5"/>
    <w:rsid w:val="0D4E6588"/>
    <w:rsid w:val="0DA1591B"/>
    <w:rsid w:val="0EB197CD"/>
    <w:rsid w:val="0F171083"/>
    <w:rsid w:val="0F27D781"/>
    <w:rsid w:val="0F885D3E"/>
    <w:rsid w:val="0FDAB623"/>
    <w:rsid w:val="104B8C97"/>
    <w:rsid w:val="10A8C5C7"/>
    <w:rsid w:val="129910EC"/>
    <w:rsid w:val="12FA3B9A"/>
    <w:rsid w:val="134700F2"/>
    <w:rsid w:val="139AED82"/>
    <w:rsid w:val="147C8863"/>
    <w:rsid w:val="1559776D"/>
    <w:rsid w:val="15C2609C"/>
    <w:rsid w:val="15F04E7D"/>
    <w:rsid w:val="165A4F67"/>
    <w:rsid w:val="1864B97F"/>
    <w:rsid w:val="1891182F"/>
    <w:rsid w:val="18A09212"/>
    <w:rsid w:val="18E40BC2"/>
    <w:rsid w:val="18FA015E"/>
    <w:rsid w:val="19E5D6CB"/>
    <w:rsid w:val="19FD306A"/>
    <w:rsid w:val="1A1BCAC0"/>
    <w:rsid w:val="1A7DD75B"/>
    <w:rsid w:val="1A95D1BF"/>
    <w:rsid w:val="1ABC37BC"/>
    <w:rsid w:val="1CC0E5CB"/>
    <w:rsid w:val="1D4F474C"/>
    <w:rsid w:val="1D556DC2"/>
    <w:rsid w:val="1D7A67E9"/>
    <w:rsid w:val="1D9E5488"/>
    <w:rsid w:val="1DAE4A17"/>
    <w:rsid w:val="1DCD7281"/>
    <w:rsid w:val="1E0DB943"/>
    <w:rsid w:val="1F084739"/>
    <w:rsid w:val="1F0938A7"/>
    <w:rsid w:val="1F15AAE0"/>
    <w:rsid w:val="1F16038E"/>
    <w:rsid w:val="1F43963A"/>
    <w:rsid w:val="1F4845FA"/>
    <w:rsid w:val="1F6942E2"/>
    <w:rsid w:val="22A0E3A4"/>
    <w:rsid w:val="22A3C09C"/>
    <w:rsid w:val="2338A69A"/>
    <w:rsid w:val="2491F444"/>
    <w:rsid w:val="25D2E487"/>
    <w:rsid w:val="25EC41AC"/>
    <w:rsid w:val="269F695F"/>
    <w:rsid w:val="26DDBF99"/>
    <w:rsid w:val="2724D0C2"/>
    <w:rsid w:val="272F8070"/>
    <w:rsid w:val="28557BAF"/>
    <w:rsid w:val="28798FFA"/>
    <w:rsid w:val="28965C5A"/>
    <w:rsid w:val="28AF297F"/>
    <w:rsid w:val="29858DEE"/>
    <w:rsid w:val="29D4CA22"/>
    <w:rsid w:val="2A15605B"/>
    <w:rsid w:val="2A3FC294"/>
    <w:rsid w:val="2B5DA5B1"/>
    <w:rsid w:val="2BE6CA41"/>
    <w:rsid w:val="2BF185C6"/>
    <w:rsid w:val="2C0DA0A5"/>
    <w:rsid w:val="2C250421"/>
    <w:rsid w:val="2C6E33CE"/>
    <w:rsid w:val="2DC70064"/>
    <w:rsid w:val="2E5A192C"/>
    <w:rsid w:val="2E9F7D7A"/>
    <w:rsid w:val="2EB8BF85"/>
    <w:rsid w:val="2F2678E3"/>
    <w:rsid w:val="2F454167"/>
    <w:rsid w:val="316A01CB"/>
    <w:rsid w:val="320E98C1"/>
    <w:rsid w:val="325E378B"/>
    <w:rsid w:val="329B3A70"/>
    <w:rsid w:val="3323F6D9"/>
    <w:rsid w:val="34C4CE5E"/>
    <w:rsid w:val="34D92D1D"/>
    <w:rsid w:val="356DB927"/>
    <w:rsid w:val="35FA724C"/>
    <w:rsid w:val="36E317CB"/>
    <w:rsid w:val="36E5387E"/>
    <w:rsid w:val="3724D8A2"/>
    <w:rsid w:val="37515964"/>
    <w:rsid w:val="38EFECEB"/>
    <w:rsid w:val="3902D44F"/>
    <w:rsid w:val="39D1C58F"/>
    <w:rsid w:val="3B456283"/>
    <w:rsid w:val="3BDCFAAB"/>
    <w:rsid w:val="3D38844A"/>
    <w:rsid w:val="3E0E4DC3"/>
    <w:rsid w:val="3E2C473D"/>
    <w:rsid w:val="3F0E299E"/>
    <w:rsid w:val="3F1032C2"/>
    <w:rsid w:val="3F7B7B92"/>
    <w:rsid w:val="3FE824A7"/>
    <w:rsid w:val="4010204F"/>
    <w:rsid w:val="4052F162"/>
    <w:rsid w:val="40595BB8"/>
    <w:rsid w:val="41DCD774"/>
    <w:rsid w:val="41FDA7A1"/>
    <w:rsid w:val="4200E0BE"/>
    <w:rsid w:val="42690AC7"/>
    <w:rsid w:val="42B3EDA6"/>
    <w:rsid w:val="42F4E115"/>
    <w:rsid w:val="454463DB"/>
    <w:rsid w:val="45B1CAB6"/>
    <w:rsid w:val="46070D11"/>
    <w:rsid w:val="46100DE2"/>
    <w:rsid w:val="47C85238"/>
    <w:rsid w:val="4854067E"/>
    <w:rsid w:val="49B60BA9"/>
    <w:rsid w:val="4A157E53"/>
    <w:rsid w:val="4A4A25CA"/>
    <w:rsid w:val="4A53C64E"/>
    <w:rsid w:val="4B38EA61"/>
    <w:rsid w:val="4B51DC0A"/>
    <w:rsid w:val="4B5CD5D2"/>
    <w:rsid w:val="4BF32EAC"/>
    <w:rsid w:val="4D01B461"/>
    <w:rsid w:val="4D9FE3D4"/>
    <w:rsid w:val="4DBA2209"/>
    <w:rsid w:val="4EF698D3"/>
    <w:rsid w:val="50835F11"/>
    <w:rsid w:val="50A5559B"/>
    <w:rsid w:val="50F1DFB1"/>
    <w:rsid w:val="512D6A02"/>
    <w:rsid w:val="515F81DC"/>
    <w:rsid w:val="51A12A2E"/>
    <w:rsid w:val="52635A12"/>
    <w:rsid w:val="533CFA8F"/>
    <w:rsid w:val="5427CB08"/>
    <w:rsid w:val="54CBAF6A"/>
    <w:rsid w:val="550D6DB2"/>
    <w:rsid w:val="559DBF61"/>
    <w:rsid w:val="55D358E6"/>
    <w:rsid w:val="55FCF94B"/>
    <w:rsid w:val="565ADF2B"/>
    <w:rsid w:val="56C3529B"/>
    <w:rsid w:val="57944436"/>
    <w:rsid w:val="57A7523F"/>
    <w:rsid w:val="57EA5AA7"/>
    <w:rsid w:val="57EABD99"/>
    <w:rsid w:val="585101EB"/>
    <w:rsid w:val="59FE0D7C"/>
    <w:rsid w:val="5AC2F15B"/>
    <w:rsid w:val="5ADE7ADB"/>
    <w:rsid w:val="5AEFD1F4"/>
    <w:rsid w:val="5BCB8514"/>
    <w:rsid w:val="5BCE4440"/>
    <w:rsid w:val="5C4EEB31"/>
    <w:rsid w:val="5CEC02F2"/>
    <w:rsid w:val="5DE87B6B"/>
    <w:rsid w:val="5E1C0099"/>
    <w:rsid w:val="5EB3485E"/>
    <w:rsid w:val="5F3A792B"/>
    <w:rsid w:val="61FA591E"/>
    <w:rsid w:val="633A3AAE"/>
    <w:rsid w:val="640F12E6"/>
    <w:rsid w:val="663CD6BC"/>
    <w:rsid w:val="6642E23B"/>
    <w:rsid w:val="672FB73C"/>
    <w:rsid w:val="676E471E"/>
    <w:rsid w:val="695AE8A8"/>
    <w:rsid w:val="6B069E16"/>
    <w:rsid w:val="6B7371DD"/>
    <w:rsid w:val="6B8E55E9"/>
    <w:rsid w:val="6C143D62"/>
    <w:rsid w:val="6C30D790"/>
    <w:rsid w:val="6C60ABBA"/>
    <w:rsid w:val="6C6993F5"/>
    <w:rsid w:val="6C92896A"/>
    <w:rsid w:val="6CB73F0A"/>
    <w:rsid w:val="6CC1A763"/>
    <w:rsid w:val="6D05BA2D"/>
    <w:rsid w:val="6DFCD35A"/>
    <w:rsid w:val="6E444F67"/>
    <w:rsid w:val="6E5D77C4"/>
    <w:rsid w:val="6EEDB2D6"/>
    <w:rsid w:val="6F95A180"/>
    <w:rsid w:val="6FB6616B"/>
    <w:rsid w:val="708292CB"/>
    <w:rsid w:val="72154168"/>
    <w:rsid w:val="73DFAC97"/>
    <w:rsid w:val="73E9300B"/>
    <w:rsid w:val="741BFFDC"/>
    <w:rsid w:val="74780F59"/>
    <w:rsid w:val="74929403"/>
    <w:rsid w:val="7536C8F7"/>
    <w:rsid w:val="75454B4F"/>
    <w:rsid w:val="75793CD1"/>
    <w:rsid w:val="761FE92C"/>
    <w:rsid w:val="7684121F"/>
    <w:rsid w:val="77549C7F"/>
    <w:rsid w:val="776A21B4"/>
    <w:rsid w:val="77B10C68"/>
    <w:rsid w:val="77CA34C5"/>
    <w:rsid w:val="792E5905"/>
    <w:rsid w:val="7943F898"/>
    <w:rsid w:val="7945B50A"/>
    <w:rsid w:val="794CDCC9"/>
    <w:rsid w:val="7A11DBD2"/>
    <w:rsid w:val="7A2DAB3F"/>
    <w:rsid w:val="7B192D39"/>
    <w:rsid w:val="7BF4E26C"/>
    <w:rsid w:val="7C0A62F6"/>
    <w:rsid w:val="7C8F84D7"/>
    <w:rsid w:val="7C978A85"/>
    <w:rsid w:val="7D3E113F"/>
    <w:rsid w:val="7EB50580"/>
    <w:rsid w:val="7EBB8390"/>
    <w:rsid w:val="7EE3265F"/>
    <w:rsid w:val="7F435ED9"/>
    <w:rsid w:val="7FE690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D7DC0"/>
  <w15:docId w15:val="{7488DA63-4098-4559-BBB0-BCF6B876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table" w:customStyle="1" w:styleId="TableGrid1">
    <w:name w:val="Table Grid1"/>
    <w:basedOn w:val="TableNormal"/>
    <w:next w:val="TableGrid"/>
    <w:uiPriority w:val="39"/>
    <w:rsid w:val="00110399"/>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5DBE"/>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D353C"/>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970B50"/>
    <w:rPr>
      <w:b/>
      <w:sz w:val="24"/>
      <w:lang w:val="en-GB"/>
    </w:rPr>
  </w:style>
  <w:style w:type="character" w:customStyle="1" w:styleId="SingleTxtGChar">
    <w:name w:val="_ Single Txt_G Char"/>
    <w:link w:val="SingleTxtG"/>
    <w:rsid w:val="00970B50"/>
    <w:rPr>
      <w:lang w:val="en-GB"/>
    </w:rPr>
  </w:style>
  <w:style w:type="table" w:customStyle="1" w:styleId="TableGrid4">
    <w:name w:val="Table Grid4"/>
    <w:basedOn w:val="TableNormal"/>
    <w:next w:val="TableGrid"/>
    <w:uiPriority w:val="39"/>
    <w:rsid w:val="00970B50"/>
    <w:pPr>
      <w:spacing w:line="240" w:lineRule="auto"/>
    </w:pPr>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B50"/>
    <w:pPr>
      <w:suppressAutoHyphens/>
      <w:ind w:left="720"/>
      <w:contextualSpacing/>
    </w:pPr>
  </w:style>
  <w:style w:type="table" w:customStyle="1" w:styleId="TableGrid5">
    <w:name w:val="Table Grid5"/>
    <w:basedOn w:val="TableNormal"/>
    <w:next w:val="TableGrid"/>
    <w:uiPriority w:val="39"/>
    <w:rsid w:val="00046D4F"/>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035BB"/>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04484"/>
    <w:pPr>
      <w:spacing w:line="240" w:lineRule="auto"/>
    </w:pPr>
    <w:rPr>
      <w:rFonts w:ascii="Calibri" w:eastAsia="DengXia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C2231"/>
  </w:style>
  <w:style w:type="paragraph" w:styleId="BlockText">
    <w:name w:val="Block Text"/>
    <w:basedOn w:val="Normal"/>
    <w:semiHidden/>
    <w:unhideWhenUsed/>
    <w:rsid w:val="008C223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C2231"/>
    <w:pPr>
      <w:spacing w:after="120"/>
    </w:pPr>
  </w:style>
  <w:style w:type="character" w:customStyle="1" w:styleId="BodyTextChar">
    <w:name w:val="Body Text Char"/>
    <w:basedOn w:val="DefaultParagraphFont"/>
    <w:link w:val="BodyText"/>
    <w:semiHidden/>
    <w:rsid w:val="008C2231"/>
    <w:rPr>
      <w:lang w:val="en-GB"/>
    </w:rPr>
  </w:style>
  <w:style w:type="paragraph" w:styleId="BodyText2">
    <w:name w:val="Body Text 2"/>
    <w:basedOn w:val="Normal"/>
    <w:link w:val="BodyText2Char"/>
    <w:semiHidden/>
    <w:unhideWhenUsed/>
    <w:rsid w:val="008C2231"/>
    <w:pPr>
      <w:spacing w:after="120" w:line="480" w:lineRule="auto"/>
    </w:pPr>
  </w:style>
  <w:style w:type="character" w:customStyle="1" w:styleId="BodyText2Char">
    <w:name w:val="Body Text 2 Char"/>
    <w:basedOn w:val="DefaultParagraphFont"/>
    <w:link w:val="BodyText2"/>
    <w:semiHidden/>
    <w:rsid w:val="008C2231"/>
    <w:rPr>
      <w:lang w:val="en-GB"/>
    </w:rPr>
  </w:style>
  <w:style w:type="paragraph" w:styleId="BodyText3">
    <w:name w:val="Body Text 3"/>
    <w:basedOn w:val="Normal"/>
    <w:link w:val="BodyText3Char"/>
    <w:semiHidden/>
    <w:unhideWhenUsed/>
    <w:rsid w:val="008C2231"/>
    <w:pPr>
      <w:spacing w:after="120"/>
    </w:pPr>
    <w:rPr>
      <w:sz w:val="16"/>
      <w:szCs w:val="16"/>
    </w:rPr>
  </w:style>
  <w:style w:type="character" w:customStyle="1" w:styleId="BodyText3Char">
    <w:name w:val="Body Text 3 Char"/>
    <w:basedOn w:val="DefaultParagraphFont"/>
    <w:link w:val="BodyText3"/>
    <w:semiHidden/>
    <w:rsid w:val="008C2231"/>
    <w:rPr>
      <w:sz w:val="16"/>
      <w:szCs w:val="16"/>
      <w:lang w:val="en-GB"/>
    </w:rPr>
  </w:style>
  <w:style w:type="paragraph" w:styleId="BodyTextFirstIndent">
    <w:name w:val="Body Text First Indent"/>
    <w:basedOn w:val="BodyText"/>
    <w:link w:val="BodyTextFirstIndentChar"/>
    <w:semiHidden/>
    <w:unhideWhenUsed/>
    <w:rsid w:val="008C2231"/>
    <w:pPr>
      <w:spacing w:after="0"/>
      <w:ind w:firstLine="360"/>
    </w:pPr>
  </w:style>
  <w:style w:type="character" w:customStyle="1" w:styleId="BodyTextFirstIndentChar">
    <w:name w:val="Body Text First Indent Char"/>
    <w:basedOn w:val="BodyTextChar"/>
    <w:link w:val="BodyTextFirstIndent"/>
    <w:semiHidden/>
    <w:rsid w:val="008C2231"/>
    <w:rPr>
      <w:lang w:val="en-GB"/>
    </w:rPr>
  </w:style>
  <w:style w:type="paragraph" w:styleId="BodyTextIndent">
    <w:name w:val="Body Text Indent"/>
    <w:basedOn w:val="Normal"/>
    <w:link w:val="BodyTextIndentChar"/>
    <w:semiHidden/>
    <w:unhideWhenUsed/>
    <w:rsid w:val="008C2231"/>
    <w:pPr>
      <w:spacing w:after="120"/>
      <w:ind w:left="283"/>
    </w:pPr>
  </w:style>
  <w:style w:type="character" w:customStyle="1" w:styleId="BodyTextIndentChar">
    <w:name w:val="Body Text Indent Char"/>
    <w:basedOn w:val="DefaultParagraphFont"/>
    <w:link w:val="BodyTextIndent"/>
    <w:semiHidden/>
    <w:rsid w:val="008C2231"/>
    <w:rPr>
      <w:lang w:val="en-GB"/>
    </w:rPr>
  </w:style>
  <w:style w:type="paragraph" w:styleId="BodyTextFirstIndent2">
    <w:name w:val="Body Text First Indent 2"/>
    <w:basedOn w:val="BodyTextIndent"/>
    <w:link w:val="BodyTextFirstIndent2Char"/>
    <w:semiHidden/>
    <w:unhideWhenUsed/>
    <w:rsid w:val="008C2231"/>
    <w:pPr>
      <w:spacing w:after="0"/>
      <w:ind w:left="360" w:firstLine="360"/>
    </w:pPr>
  </w:style>
  <w:style w:type="character" w:customStyle="1" w:styleId="BodyTextFirstIndent2Char">
    <w:name w:val="Body Text First Indent 2 Char"/>
    <w:basedOn w:val="BodyTextIndentChar"/>
    <w:link w:val="BodyTextFirstIndent2"/>
    <w:semiHidden/>
    <w:rsid w:val="008C2231"/>
    <w:rPr>
      <w:lang w:val="en-GB"/>
    </w:rPr>
  </w:style>
  <w:style w:type="paragraph" w:styleId="BodyTextIndent2">
    <w:name w:val="Body Text Indent 2"/>
    <w:basedOn w:val="Normal"/>
    <w:link w:val="BodyTextIndent2Char"/>
    <w:semiHidden/>
    <w:unhideWhenUsed/>
    <w:rsid w:val="008C2231"/>
    <w:pPr>
      <w:spacing w:after="120" w:line="480" w:lineRule="auto"/>
      <w:ind w:left="283"/>
    </w:pPr>
  </w:style>
  <w:style w:type="character" w:customStyle="1" w:styleId="BodyTextIndent2Char">
    <w:name w:val="Body Text Indent 2 Char"/>
    <w:basedOn w:val="DefaultParagraphFont"/>
    <w:link w:val="BodyTextIndent2"/>
    <w:semiHidden/>
    <w:rsid w:val="008C2231"/>
    <w:rPr>
      <w:lang w:val="en-GB"/>
    </w:rPr>
  </w:style>
  <w:style w:type="paragraph" w:styleId="BodyTextIndent3">
    <w:name w:val="Body Text Indent 3"/>
    <w:basedOn w:val="Normal"/>
    <w:link w:val="BodyTextIndent3Char"/>
    <w:semiHidden/>
    <w:unhideWhenUsed/>
    <w:rsid w:val="008C2231"/>
    <w:pPr>
      <w:spacing w:after="120"/>
      <w:ind w:left="283"/>
    </w:pPr>
    <w:rPr>
      <w:sz w:val="16"/>
      <w:szCs w:val="16"/>
    </w:rPr>
  </w:style>
  <w:style w:type="character" w:customStyle="1" w:styleId="BodyTextIndent3Char">
    <w:name w:val="Body Text Indent 3 Char"/>
    <w:basedOn w:val="DefaultParagraphFont"/>
    <w:link w:val="BodyTextIndent3"/>
    <w:semiHidden/>
    <w:rsid w:val="008C2231"/>
    <w:rPr>
      <w:sz w:val="16"/>
      <w:szCs w:val="16"/>
      <w:lang w:val="en-GB"/>
    </w:rPr>
  </w:style>
  <w:style w:type="paragraph" w:styleId="Caption">
    <w:name w:val="caption"/>
    <w:basedOn w:val="Normal"/>
    <w:next w:val="Normal"/>
    <w:semiHidden/>
    <w:unhideWhenUsed/>
    <w:qFormat/>
    <w:rsid w:val="008C2231"/>
    <w:pPr>
      <w:spacing w:after="200" w:line="240" w:lineRule="auto"/>
    </w:pPr>
    <w:rPr>
      <w:i/>
      <w:iCs/>
      <w:color w:val="1F497D" w:themeColor="text2"/>
      <w:sz w:val="18"/>
      <w:szCs w:val="18"/>
    </w:rPr>
  </w:style>
  <w:style w:type="paragraph" w:styleId="Closing">
    <w:name w:val="Closing"/>
    <w:basedOn w:val="Normal"/>
    <w:link w:val="ClosingChar"/>
    <w:semiHidden/>
    <w:unhideWhenUsed/>
    <w:rsid w:val="008C2231"/>
    <w:pPr>
      <w:spacing w:line="240" w:lineRule="auto"/>
      <w:ind w:left="4252"/>
    </w:pPr>
  </w:style>
  <w:style w:type="character" w:customStyle="1" w:styleId="ClosingChar">
    <w:name w:val="Closing Char"/>
    <w:basedOn w:val="DefaultParagraphFont"/>
    <w:link w:val="Closing"/>
    <w:semiHidden/>
    <w:rsid w:val="008C2231"/>
    <w:rPr>
      <w:lang w:val="en-GB"/>
    </w:rPr>
  </w:style>
  <w:style w:type="paragraph" w:styleId="CommentText">
    <w:name w:val="annotation text"/>
    <w:basedOn w:val="Normal"/>
    <w:link w:val="CommentTextChar"/>
    <w:semiHidden/>
    <w:unhideWhenUsed/>
    <w:rsid w:val="008C2231"/>
    <w:pPr>
      <w:spacing w:line="240" w:lineRule="auto"/>
    </w:pPr>
  </w:style>
  <w:style w:type="character" w:customStyle="1" w:styleId="CommentTextChar">
    <w:name w:val="Comment Text Char"/>
    <w:basedOn w:val="DefaultParagraphFont"/>
    <w:link w:val="CommentText"/>
    <w:semiHidden/>
    <w:rsid w:val="008C2231"/>
    <w:rPr>
      <w:lang w:val="en-GB"/>
    </w:rPr>
  </w:style>
  <w:style w:type="paragraph" w:styleId="CommentSubject">
    <w:name w:val="annotation subject"/>
    <w:basedOn w:val="CommentText"/>
    <w:next w:val="CommentText"/>
    <w:link w:val="CommentSubjectChar"/>
    <w:semiHidden/>
    <w:unhideWhenUsed/>
    <w:rsid w:val="008C2231"/>
    <w:rPr>
      <w:b/>
      <w:bCs/>
    </w:rPr>
  </w:style>
  <w:style w:type="character" w:customStyle="1" w:styleId="CommentSubjectChar">
    <w:name w:val="Comment Subject Char"/>
    <w:basedOn w:val="CommentTextChar"/>
    <w:link w:val="CommentSubject"/>
    <w:semiHidden/>
    <w:rsid w:val="008C2231"/>
    <w:rPr>
      <w:b/>
      <w:bCs/>
      <w:lang w:val="en-GB"/>
    </w:rPr>
  </w:style>
  <w:style w:type="paragraph" w:styleId="Date">
    <w:name w:val="Date"/>
    <w:basedOn w:val="Normal"/>
    <w:next w:val="Normal"/>
    <w:link w:val="DateChar"/>
    <w:semiHidden/>
    <w:rsid w:val="008C2231"/>
  </w:style>
  <w:style w:type="character" w:customStyle="1" w:styleId="DateChar">
    <w:name w:val="Date Char"/>
    <w:basedOn w:val="DefaultParagraphFont"/>
    <w:link w:val="Date"/>
    <w:semiHidden/>
    <w:rsid w:val="008C2231"/>
    <w:rPr>
      <w:lang w:val="en-GB"/>
    </w:rPr>
  </w:style>
  <w:style w:type="paragraph" w:styleId="DocumentMap">
    <w:name w:val="Document Map"/>
    <w:basedOn w:val="Normal"/>
    <w:link w:val="DocumentMapChar"/>
    <w:semiHidden/>
    <w:unhideWhenUsed/>
    <w:rsid w:val="008C2231"/>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C2231"/>
    <w:rPr>
      <w:rFonts w:ascii="Segoe UI" w:hAnsi="Segoe UI" w:cs="Segoe UI"/>
      <w:sz w:val="16"/>
      <w:szCs w:val="16"/>
      <w:lang w:val="en-GB"/>
    </w:rPr>
  </w:style>
  <w:style w:type="paragraph" w:styleId="E-mailSignature">
    <w:name w:val="E-mail Signature"/>
    <w:basedOn w:val="Normal"/>
    <w:link w:val="E-mailSignatureChar"/>
    <w:semiHidden/>
    <w:unhideWhenUsed/>
    <w:rsid w:val="008C2231"/>
    <w:pPr>
      <w:spacing w:line="240" w:lineRule="auto"/>
    </w:pPr>
  </w:style>
  <w:style w:type="character" w:customStyle="1" w:styleId="E-mailSignatureChar">
    <w:name w:val="E-mail Signature Char"/>
    <w:basedOn w:val="DefaultParagraphFont"/>
    <w:link w:val="E-mailSignature"/>
    <w:semiHidden/>
    <w:rsid w:val="008C2231"/>
    <w:rPr>
      <w:lang w:val="en-GB"/>
    </w:rPr>
  </w:style>
  <w:style w:type="paragraph" w:styleId="EnvelopeAddress">
    <w:name w:val="envelope address"/>
    <w:basedOn w:val="Normal"/>
    <w:semiHidden/>
    <w:unhideWhenUsed/>
    <w:rsid w:val="008C223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2231"/>
    <w:pPr>
      <w:spacing w:line="240" w:lineRule="auto"/>
    </w:pPr>
    <w:rPr>
      <w:rFonts w:asciiTheme="majorHAnsi" w:eastAsiaTheme="majorEastAsia" w:hAnsiTheme="majorHAnsi" w:cstheme="majorBidi"/>
    </w:rPr>
  </w:style>
  <w:style w:type="paragraph" w:styleId="HTMLAddress">
    <w:name w:val="HTML Address"/>
    <w:basedOn w:val="Normal"/>
    <w:link w:val="HTMLAddressChar"/>
    <w:semiHidden/>
    <w:unhideWhenUsed/>
    <w:rsid w:val="008C2231"/>
    <w:pPr>
      <w:spacing w:line="240" w:lineRule="auto"/>
    </w:pPr>
    <w:rPr>
      <w:i/>
      <w:iCs/>
    </w:rPr>
  </w:style>
  <w:style w:type="character" w:customStyle="1" w:styleId="HTMLAddressChar">
    <w:name w:val="HTML Address Char"/>
    <w:basedOn w:val="DefaultParagraphFont"/>
    <w:link w:val="HTMLAddress"/>
    <w:semiHidden/>
    <w:rsid w:val="008C2231"/>
    <w:rPr>
      <w:i/>
      <w:iCs/>
      <w:lang w:val="en-GB"/>
    </w:rPr>
  </w:style>
  <w:style w:type="paragraph" w:styleId="HTMLPreformatted">
    <w:name w:val="HTML Preformatted"/>
    <w:basedOn w:val="Normal"/>
    <w:link w:val="HTMLPreformattedChar"/>
    <w:semiHidden/>
    <w:unhideWhenUsed/>
    <w:rsid w:val="008C2231"/>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8C2231"/>
    <w:rPr>
      <w:rFonts w:ascii="Consolas" w:hAnsi="Consolas"/>
      <w:lang w:val="en-GB"/>
    </w:rPr>
  </w:style>
  <w:style w:type="paragraph" w:styleId="Index1">
    <w:name w:val="index 1"/>
    <w:basedOn w:val="Normal"/>
    <w:next w:val="Normal"/>
    <w:autoRedefine/>
    <w:semiHidden/>
    <w:unhideWhenUsed/>
    <w:rsid w:val="008C2231"/>
    <w:pPr>
      <w:spacing w:line="240" w:lineRule="auto"/>
      <w:ind w:left="200" w:hanging="200"/>
    </w:pPr>
  </w:style>
  <w:style w:type="paragraph" w:styleId="Index2">
    <w:name w:val="index 2"/>
    <w:basedOn w:val="Normal"/>
    <w:next w:val="Normal"/>
    <w:autoRedefine/>
    <w:semiHidden/>
    <w:unhideWhenUsed/>
    <w:rsid w:val="008C2231"/>
    <w:pPr>
      <w:spacing w:line="240" w:lineRule="auto"/>
      <w:ind w:left="400" w:hanging="200"/>
    </w:pPr>
  </w:style>
  <w:style w:type="paragraph" w:styleId="Index3">
    <w:name w:val="index 3"/>
    <w:basedOn w:val="Normal"/>
    <w:next w:val="Normal"/>
    <w:autoRedefine/>
    <w:semiHidden/>
    <w:unhideWhenUsed/>
    <w:rsid w:val="008C2231"/>
    <w:pPr>
      <w:spacing w:line="240" w:lineRule="auto"/>
      <w:ind w:left="600" w:hanging="200"/>
    </w:pPr>
  </w:style>
  <w:style w:type="paragraph" w:styleId="Index4">
    <w:name w:val="index 4"/>
    <w:basedOn w:val="Normal"/>
    <w:next w:val="Normal"/>
    <w:autoRedefine/>
    <w:semiHidden/>
    <w:unhideWhenUsed/>
    <w:rsid w:val="008C2231"/>
    <w:pPr>
      <w:spacing w:line="240" w:lineRule="auto"/>
      <w:ind w:left="800" w:hanging="200"/>
    </w:pPr>
  </w:style>
  <w:style w:type="paragraph" w:styleId="Index5">
    <w:name w:val="index 5"/>
    <w:basedOn w:val="Normal"/>
    <w:next w:val="Normal"/>
    <w:autoRedefine/>
    <w:semiHidden/>
    <w:unhideWhenUsed/>
    <w:rsid w:val="008C2231"/>
    <w:pPr>
      <w:spacing w:line="240" w:lineRule="auto"/>
      <w:ind w:left="1000" w:hanging="200"/>
    </w:pPr>
  </w:style>
  <w:style w:type="paragraph" w:styleId="Index6">
    <w:name w:val="index 6"/>
    <w:basedOn w:val="Normal"/>
    <w:next w:val="Normal"/>
    <w:autoRedefine/>
    <w:semiHidden/>
    <w:unhideWhenUsed/>
    <w:rsid w:val="008C2231"/>
    <w:pPr>
      <w:spacing w:line="240" w:lineRule="auto"/>
      <w:ind w:left="1200" w:hanging="200"/>
    </w:pPr>
  </w:style>
  <w:style w:type="paragraph" w:styleId="Index7">
    <w:name w:val="index 7"/>
    <w:basedOn w:val="Normal"/>
    <w:next w:val="Normal"/>
    <w:autoRedefine/>
    <w:semiHidden/>
    <w:unhideWhenUsed/>
    <w:rsid w:val="008C2231"/>
    <w:pPr>
      <w:spacing w:line="240" w:lineRule="auto"/>
      <w:ind w:left="1400" w:hanging="200"/>
    </w:pPr>
  </w:style>
  <w:style w:type="paragraph" w:styleId="Index8">
    <w:name w:val="index 8"/>
    <w:basedOn w:val="Normal"/>
    <w:next w:val="Normal"/>
    <w:autoRedefine/>
    <w:semiHidden/>
    <w:unhideWhenUsed/>
    <w:rsid w:val="008C2231"/>
    <w:pPr>
      <w:spacing w:line="240" w:lineRule="auto"/>
      <w:ind w:left="1600" w:hanging="200"/>
    </w:pPr>
  </w:style>
  <w:style w:type="paragraph" w:styleId="Index9">
    <w:name w:val="index 9"/>
    <w:basedOn w:val="Normal"/>
    <w:next w:val="Normal"/>
    <w:autoRedefine/>
    <w:semiHidden/>
    <w:unhideWhenUsed/>
    <w:rsid w:val="008C2231"/>
    <w:pPr>
      <w:spacing w:line="240" w:lineRule="auto"/>
      <w:ind w:left="1800" w:hanging="200"/>
    </w:pPr>
  </w:style>
  <w:style w:type="paragraph" w:styleId="IndexHeading">
    <w:name w:val="index heading"/>
    <w:basedOn w:val="Normal"/>
    <w:next w:val="Index1"/>
    <w:semiHidden/>
    <w:unhideWhenUsed/>
    <w:rsid w:val="008C2231"/>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8C22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8C2231"/>
    <w:rPr>
      <w:i/>
      <w:iCs/>
      <w:color w:val="4F81BD" w:themeColor="accent1"/>
      <w:lang w:val="en-GB"/>
    </w:rPr>
  </w:style>
  <w:style w:type="paragraph" w:styleId="List">
    <w:name w:val="List"/>
    <w:basedOn w:val="Normal"/>
    <w:semiHidden/>
    <w:unhideWhenUsed/>
    <w:rsid w:val="008C2231"/>
    <w:pPr>
      <w:ind w:left="283" w:hanging="283"/>
      <w:contextualSpacing/>
    </w:pPr>
  </w:style>
  <w:style w:type="paragraph" w:styleId="List2">
    <w:name w:val="List 2"/>
    <w:basedOn w:val="Normal"/>
    <w:semiHidden/>
    <w:unhideWhenUsed/>
    <w:rsid w:val="008C2231"/>
    <w:pPr>
      <w:ind w:left="566" w:hanging="283"/>
      <w:contextualSpacing/>
    </w:pPr>
  </w:style>
  <w:style w:type="paragraph" w:styleId="List3">
    <w:name w:val="List 3"/>
    <w:basedOn w:val="Normal"/>
    <w:semiHidden/>
    <w:rsid w:val="008C2231"/>
    <w:pPr>
      <w:ind w:left="849" w:hanging="283"/>
      <w:contextualSpacing/>
    </w:pPr>
  </w:style>
  <w:style w:type="paragraph" w:styleId="List4">
    <w:name w:val="List 4"/>
    <w:basedOn w:val="Normal"/>
    <w:semiHidden/>
    <w:rsid w:val="008C2231"/>
    <w:pPr>
      <w:ind w:left="1132" w:hanging="283"/>
      <w:contextualSpacing/>
    </w:pPr>
  </w:style>
  <w:style w:type="paragraph" w:styleId="List5">
    <w:name w:val="List 5"/>
    <w:basedOn w:val="Normal"/>
    <w:semiHidden/>
    <w:unhideWhenUsed/>
    <w:rsid w:val="008C2231"/>
    <w:pPr>
      <w:ind w:left="1415" w:hanging="283"/>
      <w:contextualSpacing/>
    </w:pPr>
  </w:style>
  <w:style w:type="paragraph" w:styleId="ListBullet">
    <w:name w:val="List Bullet"/>
    <w:basedOn w:val="Normal"/>
    <w:semiHidden/>
    <w:rsid w:val="008C2231"/>
    <w:pPr>
      <w:numPr>
        <w:numId w:val="6"/>
      </w:numPr>
      <w:contextualSpacing/>
    </w:pPr>
  </w:style>
  <w:style w:type="paragraph" w:styleId="ListBullet2">
    <w:name w:val="List Bullet 2"/>
    <w:basedOn w:val="Normal"/>
    <w:semiHidden/>
    <w:unhideWhenUsed/>
    <w:rsid w:val="008C2231"/>
    <w:pPr>
      <w:numPr>
        <w:numId w:val="7"/>
      </w:numPr>
      <w:contextualSpacing/>
    </w:pPr>
  </w:style>
  <w:style w:type="paragraph" w:styleId="ListBullet3">
    <w:name w:val="List Bullet 3"/>
    <w:basedOn w:val="Normal"/>
    <w:semiHidden/>
    <w:unhideWhenUsed/>
    <w:rsid w:val="008C2231"/>
    <w:pPr>
      <w:numPr>
        <w:numId w:val="8"/>
      </w:numPr>
      <w:contextualSpacing/>
    </w:pPr>
  </w:style>
  <w:style w:type="paragraph" w:styleId="ListBullet4">
    <w:name w:val="List Bullet 4"/>
    <w:basedOn w:val="Normal"/>
    <w:semiHidden/>
    <w:unhideWhenUsed/>
    <w:rsid w:val="008C2231"/>
    <w:pPr>
      <w:numPr>
        <w:numId w:val="9"/>
      </w:numPr>
      <w:contextualSpacing/>
    </w:pPr>
  </w:style>
  <w:style w:type="paragraph" w:styleId="ListBullet5">
    <w:name w:val="List Bullet 5"/>
    <w:basedOn w:val="Normal"/>
    <w:semiHidden/>
    <w:unhideWhenUsed/>
    <w:rsid w:val="008C2231"/>
    <w:pPr>
      <w:numPr>
        <w:numId w:val="10"/>
      </w:numPr>
      <w:contextualSpacing/>
    </w:pPr>
  </w:style>
  <w:style w:type="paragraph" w:styleId="ListContinue">
    <w:name w:val="List Continue"/>
    <w:basedOn w:val="Normal"/>
    <w:semiHidden/>
    <w:unhideWhenUsed/>
    <w:rsid w:val="008C2231"/>
    <w:pPr>
      <w:spacing w:after="120"/>
      <w:ind w:left="283"/>
      <w:contextualSpacing/>
    </w:pPr>
  </w:style>
  <w:style w:type="paragraph" w:styleId="ListContinue2">
    <w:name w:val="List Continue 2"/>
    <w:basedOn w:val="Normal"/>
    <w:semiHidden/>
    <w:unhideWhenUsed/>
    <w:rsid w:val="008C2231"/>
    <w:pPr>
      <w:spacing w:after="120"/>
      <w:ind w:left="566"/>
      <w:contextualSpacing/>
    </w:pPr>
  </w:style>
  <w:style w:type="paragraph" w:styleId="ListContinue3">
    <w:name w:val="List Continue 3"/>
    <w:basedOn w:val="Normal"/>
    <w:semiHidden/>
    <w:unhideWhenUsed/>
    <w:rsid w:val="008C2231"/>
    <w:pPr>
      <w:spacing w:after="120"/>
      <w:ind w:left="849"/>
      <w:contextualSpacing/>
    </w:pPr>
  </w:style>
  <w:style w:type="paragraph" w:styleId="ListContinue4">
    <w:name w:val="List Continue 4"/>
    <w:basedOn w:val="Normal"/>
    <w:semiHidden/>
    <w:unhideWhenUsed/>
    <w:rsid w:val="008C2231"/>
    <w:pPr>
      <w:spacing w:after="120"/>
      <w:ind w:left="1132"/>
      <w:contextualSpacing/>
    </w:pPr>
  </w:style>
  <w:style w:type="paragraph" w:styleId="ListContinue5">
    <w:name w:val="List Continue 5"/>
    <w:basedOn w:val="Normal"/>
    <w:semiHidden/>
    <w:unhideWhenUsed/>
    <w:rsid w:val="008C2231"/>
    <w:pPr>
      <w:spacing w:after="120"/>
      <w:ind w:left="1415"/>
      <w:contextualSpacing/>
    </w:pPr>
  </w:style>
  <w:style w:type="paragraph" w:styleId="ListNumber">
    <w:name w:val="List Number"/>
    <w:basedOn w:val="Normal"/>
    <w:semiHidden/>
    <w:unhideWhenUsed/>
    <w:rsid w:val="008C2231"/>
    <w:pPr>
      <w:numPr>
        <w:numId w:val="5"/>
      </w:numPr>
      <w:contextualSpacing/>
    </w:pPr>
  </w:style>
  <w:style w:type="paragraph" w:styleId="ListNumber2">
    <w:name w:val="List Number 2"/>
    <w:basedOn w:val="Normal"/>
    <w:semiHidden/>
    <w:unhideWhenUsed/>
    <w:rsid w:val="008C2231"/>
    <w:pPr>
      <w:numPr>
        <w:numId w:val="4"/>
      </w:numPr>
      <w:contextualSpacing/>
    </w:pPr>
  </w:style>
  <w:style w:type="paragraph" w:styleId="ListNumber3">
    <w:name w:val="List Number 3"/>
    <w:basedOn w:val="Normal"/>
    <w:semiHidden/>
    <w:unhideWhenUsed/>
    <w:rsid w:val="008C2231"/>
    <w:pPr>
      <w:numPr>
        <w:numId w:val="3"/>
      </w:numPr>
      <w:contextualSpacing/>
    </w:pPr>
  </w:style>
  <w:style w:type="paragraph" w:styleId="ListNumber4">
    <w:name w:val="List Number 4"/>
    <w:basedOn w:val="Normal"/>
    <w:semiHidden/>
    <w:unhideWhenUsed/>
    <w:rsid w:val="008C2231"/>
    <w:pPr>
      <w:numPr>
        <w:numId w:val="1"/>
      </w:numPr>
      <w:contextualSpacing/>
    </w:pPr>
  </w:style>
  <w:style w:type="paragraph" w:styleId="ListNumber5">
    <w:name w:val="List Number 5"/>
    <w:basedOn w:val="Normal"/>
    <w:semiHidden/>
    <w:unhideWhenUsed/>
    <w:rsid w:val="008C2231"/>
    <w:pPr>
      <w:numPr>
        <w:numId w:val="2"/>
      </w:numPr>
      <w:contextualSpacing/>
    </w:pPr>
  </w:style>
  <w:style w:type="paragraph" w:styleId="MacroText">
    <w:name w:val="macro"/>
    <w:link w:val="MacroTextChar"/>
    <w:semiHidden/>
    <w:unhideWhenUsed/>
    <w:rsid w:val="008C223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rPr>
  </w:style>
  <w:style w:type="character" w:customStyle="1" w:styleId="MacroTextChar">
    <w:name w:val="Macro Text Char"/>
    <w:basedOn w:val="DefaultParagraphFont"/>
    <w:link w:val="MacroText"/>
    <w:semiHidden/>
    <w:rsid w:val="008C2231"/>
    <w:rPr>
      <w:rFonts w:ascii="Consolas" w:hAnsi="Consolas"/>
      <w:lang w:val="en-GB"/>
    </w:rPr>
  </w:style>
  <w:style w:type="paragraph" w:styleId="MessageHeader">
    <w:name w:val="Message Header"/>
    <w:basedOn w:val="Normal"/>
    <w:link w:val="MessageHeaderChar"/>
    <w:semiHidden/>
    <w:rsid w:val="008C223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2231"/>
    <w:rPr>
      <w:rFonts w:asciiTheme="majorHAnsi" w:eastAsiaTheme="majorEastAsia" w:hAnsiTheme="majorHAnsi" w:cstheme="majorBidi"/>
      <w:sz w:val="24"/>
      <w:szCs w:val="24"/>
      <w:shd w:val="pct20" w:color="auto" w:fill="auto"/>
      <w:lang w:val="en-GB"/>
    </w:rPr>
  </w:style>
  <w:style w:type="paragraph" w:styleId="NoSpacing">
    <w:name w:val="No Spacing"/>
    <w:uiPriority w:val="1"/>
    <w:semiHidden/>
    <w:qFormat/>
    <w:rsid w:val="008C2231"/>
    <w:pPr>
      <w:spacing w:line="240" w:lineRule="auto"/>
    </w:pPr>
    <w:rPr>
      <w:lang w:val="en-GB"/>
    </w:rPr>
  </w:style>
  <w:style w:type="paragraph" w:styleId="NormalWeb">
    <w:name w:val="Normal (Web)"/>
    <w:basedOn w:val="Normal"/>
    <w:semiHidden/>
    <w:unhideWhenUsed/>
    <w:rsid w:val="008C2231"/>
    <w:rPr>
      <w:sz w:val="24"/>
      <w:szCs w:val="24"/>
    </w:rPr>
  </w:style>
  <w:style w:type="paragraph" w:styleId="NormalIndent">
    <w:name w:val="Normal Indent"/>
    <w:basedOn w:val="Normal"/>
    <w:semiHidden/>
    <w:unhideWhenUsed/>
    <w:rsid w:val="008C2231"/>
    <w:pPr>
      <w:ind w:left="567"/>
    </w:pPr>
  </w:style>
  <w:style w:type="paragraph" w:styleId="NoteHeading">
    <w:name w:val="Note Heading"/>
    <w:basedOn w:val="Normal"/>
    <w:next w:val="Normal"/>
    <w:link w:val="NoteHeadingChar"/>
    <w:semiHidden/>
    <w:unhideWhenUsed/>
    <w:rsid w:val="008C2231"/>
    <w:pPr>
      <w:spacing w:line="240" w:lineRule="auto"/>
    </w:pPr>
  </w:style>
  <w:style w:type="character" w:customStyle="1" w:styleId="NoteHeadingChar">
    <w:name w:val="Note Heading Char"/>
    <w:basedOn w:val="DefaultParagraphFont"/>
    <w:link w:val="NoteHeading"/>
    <w:semiHidden/>
    <w:rsid w:val="008C2231"/>
    <w:rPr>
      <w:lang w:val="en-GB"/>
    </w:rPr>
  </w:style>
  <w:style w:type="paragraph" w:styleId="PlainText">
    <w:name w:val="Plain Text"/>
    <w:basedOn w:val="Normal"/>
    <w:link w:val="PlainTextChar"/>
    <w:semiHidden/>
    <w:unhideWhenUsed/>
    <w:rsid w:val="008C2231"/>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2231"/>
    <w:rPr>
      <w:rFonts w:ascii="Consolas" w:hAnsi="Consolas"/>
      <w:sz w:val="21"/>
      <w:szCs w:val="21"/>
      <w:lang w:val="en-GB"/>
    </w:rPr>
  </w:style>
  <w:style w:type="paragraph" w:styleId="Quote">
    <w:name w:val="Quote"/>
    <w:basedOn w:val="Normal"/>
    <w:next w:val="Normal"/>
    <w:link w:val="QuoteChar"/>
    <w:uiPriority w:val="29"/>
    <w:semiHidden/>
    <w:qFormat/>
    <w:rsid w:val="008C22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C2231"/>
    <w:rPr>
      <w:i/>
      <w:iCs/>
      <w:color w:val="404040" w:themeColor="text1" w:themeTint="BF"/>
      <w:lang w:val="en-GB"/>
    </w:rPr>
  </w:style>
  <w:style w:type="paragraph" w:styleId="Salutation">
    <w:name w:val="Salutation"/>
    <w:basedOn w:val="Normal"/>
    <w:next w:val="Normal"/>
    <w:link w:val="SalutationChar"/>
    <w:semiHidden/>
    <w:rsid w:val="008C2231"/>
  </w:style>
  <w:style w:type="character" w:customStyle="1" w:styleId="SalutationChar">
    <w:name w:val="Salutation Char"/>
    <w:basedOn w:val="DefaultParagraphFont"/>
    <w:link w:val="Salutation"/>
    <w:semiHidden/>
    <w:rsid w:val="008C2231"/>
    <w:rPr>
      <w:lang w:val="en-GB"/>
    </w:rPr>
  </w:style>
  <w:style w:type="paragraph" w:styleId="Signature">
    <w:name w:val="Signature"/>
    <w:basedOn w:val="Normal"/>
    <w:link w:val="SignatureChar"/>
    <w:semiHidden/>
    <w:unhideWhenUsed/>
    <w:rsid w:val="008C2231"/>
    <w:pPr>
      <w:spacing w:line="240" w:lineRule="auto"/>
      <w:ind w:left="4252"/>
    </w:pPr>
  </w:style>
  <w:style w:type="character" w:customStyle="1" w:styleId="SignatureChar">
    <w:name w:val="Signature Char"/>
    <w:basedOn w:val="DefaultParagraphFont"/>
    <w:link w:val="Signature"/>
    <w:semiHidden/>
    <w:rsid w:val="008C2231"/>
    <w:rPr>
      <w:lang w:val="en-GB"/>
    </w:rPr>
  </w:style>
  <w:style w:type="paragraph" w:styleId="Subtitle">
    <w:name w:val="Subtitle"/>
    <w:basedOn w:val="Normal"/>
    <w:next w:val="Normal"/>
    <w:link w:val="SubtitleChar"/>
    <w:semiHidden/>
    <w:qFormat/>
    <w:rsid w:val="008C22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8C2231"/>
    <w:rPr>
      <w:rFonts w:asciiTheme="minorHAnsi" w:eastAsiaTheme="minorEastAsia" w:hAnsiTheme="minorHAnsi" w:cstheme="minorBidi"/>
      <w:color w:val="5A5A5A" w:themeColor="text1" w:themeTint="A5"/>
      <w:spacing w:val="15"/>
      <w:sz w:val="22"/>
      <w:szCs w:val="22"/>
      <w:lang w:val="en-GB"/>
    </w:rPr>
  </w:style>
  <w:style w:type="paragraph" w:styleId="TableofAuthorities">
    <w:name w:val="table of authorities"/>
    <w:basedOn w:val="Normal"/>
    <w:next w:val="Normal"/>
    <w:semiHidden/>
    <w:unhideWhenUsed/>
    <w:rsid w:val="008C2231"/>
    <w:pPr>
      <w:ind w:left="200" w:hanging="200"/>
    </w:pPr>
  </w:style>
  <w:style w:type="paragraph" w:styleId="TableofFigures">
    <w:name w:val="table of figures"/>
    <w:basedOn w:val="Normal"/>
    <w:next w:val="Normal"/>
    <w:semiHidden/>
    <w:unhideWhenUsed/>
    <w:rsid w:val="008C2231"/>
  </w:style>
  <w:style w:type="paragraph" w:styleId="Title">
    <w:name w:val="Title"/>
    <w:basedOn w:val="Normal"/>
    <w:next w:val="Normal"/>
    <w:link w:val="TitleChar"/>
    <w:semiHidden/>
    <w:qFormat/>
    <w:rsid w:val="008C223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8C2231"/>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semiHidden/>
    <w:unhideWhenUsed/>
    <w:rsid w:val="008C223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2231"/>
    <w:pPr>
      <w:spacing w:after="100"/>
    </w:pPr>
  </w:style>
  <w:style w:type="paragraph" w:styleId="TOC2">
    <w:name w:val="toc 2"/>
    <w:basedOn w:val="Normal"/>
    <w:next w:val="Normal"/>
    <w:autoRedefine/>
    <w:semiHidden/>
    <w:unhideWhenUsed/>
    <w:rsid w:val="008C2231"/>
    <w:pPr>
      <w:spacing w:after="100"/>
      <w:ind w:left="200"/>
    </w:pPr>
  </w:style>
  <w:style w:type="paragraph" w:styleId="TOC3">
    <w:name w:val="toc 3"/>
    <w:basedOn w:val="Normal"/>
    <w:next w:val="Normal"/>
    <w:autoRedefine/>
    <w:semiHidden/>
    <w:unhideWhenUsed/>
    <w:rsid w:val="008C2231"/>
    <w:pPr>
      <w:spacing w:after="100"/>
      <w:ind w:left="400"/>
    </w:pPr>
  </w:style>
  <w:style w:type="paragraph" w:styleId="TOC4">
    <w:name w:val="toc 4"/>
    <w:basedOn w:val="Normal"/>
    <w:next w:val="Normal"/>
    <w:autoRedefine/>
    <w:semiHidden/>
    <w:unhideWhenUsed/>
    <w:rsid w:val="008C2231"/>
    <w:pPr>
      <w:spacing w:after="100"/>
      <w:ind w:left="600"/>
    </w:pPr>
  </w:style>
  <w:style w:type="paragraph" w:styleId="TOC5">
    <w:name w:val="toc 5"/>
    <w:basedOn w:val="Normal"/>
    <w:next w:val="Normal"/>
    <w:autoRedefine/>
    <w:semiHidden/>
    <w:unhideWhenUsed/>
    <w:rsid w:val="008C2231"/>
    <w:pPr>
      <w:spacing w:after="100"/>
      <w:ind w:left="800"/>
    </w:pPr>
  </w:style>
  <w:style w:type="paragraph" w:styleId="TOC6">
    <w:name w:val="toc 6"/>
    <w:basedOn w:val="Normal"/>
    <w:next w:val="Normal"/>
    <w:autoRedefine/>
    <w:semiHidden/>
    <w:unhideWhenUsed/>
    <w:rsid w:val="008C2231"/>
    <w:pPr>
      <w:spacing w:after="100"/>
      <w:ind w:left="1000"/>
    </w:pPr>
  </w:style>
  <w:style w:type="paragraph" w:styleId="TOC7">
    <w:name w:val="toc 7"/>
    <w:basedOn w:val="Normal"/>
    <w:next w:val="Normal"/>
    <w:autoRedefine/>
    <w:semiHidden/>
    <w:unhideWhenUsed/>
    <w:rsid w:val="008C2231"/>
    <w:pPr>
      <w:spacing w:after="100"/>
      <w:ind w:left="1200"/>
    </w:pPr>
  </w:style>
  <w:style w:type="paragraph" w:styleId="TOC8">
    <w:name w:val="toc 8"/>
    <w:basedOn w:val="Normal"/>
    <w:next w:val="Normal"/>
    <w:autoRedefine/>
    <w:semiHidden/>
    <w:unhideWhenUsed/>
    <w:rsid w:val="008C2231"/>
    <w:pPr>
      <w:spacing w:after="100"/>
      <w:ind w:left="1400"/>
    </w:pPr>
  </w:style>
  <w:style w:type="paragraph" w:styleId="TOC9">
    <w:name w:val="toc 9"/>
    <w:basedOn w:val="Normal"/>
    <w:next w:val="Normal"/>
    <w:autoRedefine/>
    <w:semiHidden/>
    <w:unhideWhenUsed/>
    <w:rsid w:val="008C2231"/>
    <w:pPr>
      <w:spacing w:after="100"/>
      <w:ind w:left="1600"/>
    </w:pPr>
  </w:style>
  <w:style w:type="paragraph" w:styleId="TOCHeading">
    <w:name w:val="TOC Heading"/>
    <w:basedOn w:val="Heading1"/>
    <w:next w:val="Normal"/>
    <w:uiPriority w:val="39"/>
    <w:semiHidden/>
    <w:unhideWhenUsed/>
    <w:qFormat/>
    <w:rsid w:val="008C2231"/>
    <w:pPr>
      <w:keepNext/>
      <w:keepLines/>
      <w:tabs>
        <w:tab w:val="clear" w:pos="1701"/>
        <w:tab w:val="clear" w:pos="2268"/>
        <w:tab w:val="clear" w:pos="2835"/>
      </w:tabs>
      <w:spacing w:before="240" w:line="240" w:lineRule="atLeast"/>
      <w:ind w:left="0"/>
      <w:outlineLvl w:val="9"/>
    </w:pPr>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0A3FB8"/>
    <w:pPr>
      <w:spacing w:line="240" w:lineRule="auto"/>
    </w:pPr>
    <w:rPr>
      <w:lang w:val="en-GB"/>
    </w:rPr>
  </w:style>
  <w:style w:type="character" w:styleId="CommentReference">
    <w:name w:val="annotation reference"/>
    <w:basedOn w:val="DefaultParagraphFont"/>
    <w:semiHidden/>
    <w:unhideWhenUsed/>
    <w:rsid w:val="000946AB"/>
    <w:rPr>
      <w:sz w:val="16"/>
      <w:szCs w:val="16"/>
    </w:rPr>
  </w:style>
  <w:style w:type="character" w:styleId="UnresolvedMention">
    <w:name w:val="Unresolved Mention"/>
    <w:basedOn w:val="DefaultParagraphFont"/>
    <w:uiPriority w:val="99"/>
    <w:unhideWhenUsed/>
    <w:rsid w:val="00F33AE6"/>
    <w:rPr>
      <w:color w:val="605E5C"/>
      <w:shd w:val="clear" w:color="auto" w:fill="E1DFDD"/>
    </w:rPr>
  </w:style>
  <w:style w:type="character" w:styleId="Mention">
    <w:name w:val="Mention"/>
    <w:basedOn w:val="DefaultParagraphFont"/>
    <w:uiPriority w:val="99"/>
    <w:unhideWhenUsed/>
    <w:rsid w:val="00F33A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26465">
      <w:bodyDiv w:val="1"/>
      <w:marLeft w:val="0"/>
      <w:marRight w:val="0"/>
      <w:marTop w:val="0"/>
      <w:marBottom w:val="0"/>
      <w:divBdr>
        <w:top w:val="none" w:sz="0" w:space="0" w:color="auto"/>
        <w:left w:val="none" w:sz="0" w:space="0" w:color="auto"/>
        <w:bottom w:val="none" w:sz="0" w:space="0" w:color="auto"/>
        <w:right w:val="none" w:sz="0" w:space="0" w:color="auto"/>
      </w:divBdr>
    </w:div>
    <w:div w:id="11822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info/Environmental-Policy/Environmental-Impact-Assessment/events/350795" TargetMode="External"/><Relationship Id="rId18" Type="http://schemas.openxmlformats.org/officeDocument/2006/relationships/hyperlink" Target="https://unece.org/info/events/event/364359" TargetMode="External"/><Relationship Id="rId26" Type="http://schemas.openxmlformats.org/officeDocument/2006/relationships/hyperlink" Target="https://unece.org/sites/default/files/2021-02/Implementation%20Committee%20opinions%20to%202020_MOP-8_2020.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ece.org/info/events/event/364365"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nece.org/info/Environmental-Policy/Environmental-Impact-Assessment/events/350795" TargetMode="External"/><Relationship Id="rId17" Type="http://schemas.openxmlformats.org/officeDocument/2006/relationships/hyperlink" Target="https://unece.org/info/Environmental-Policy/Environmental-Impact-Assessment/events/364356" TargetMode="External"/><Relationship Id="rId25" Type="http://schemas.openxmlformats.org/officeDocument/2006/relationships/hyperlink" Target="https://unece.org/info/Environment-Policy/Environmental-assessment/pub/359130" TargetMode="External"/><Relationship Id="rId33" Type="http://schemas.openxmlformats.org/officeDocument/2006/relationships/hyperlink" Target="https://www.iaia.org/fasttips.php"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unece.org/info/Environmental-Policy/Environmental-Impact-Assessment/events/364356" TargetMode="External"/><Relationship Id="rId20" Type="http://schemas.openxmlformats.org/officeDocument/2006/relationships/hyperlink" Target="https://unece.org/environmental-policy/events/bureau-espoo-convention-12" TargetMode="External"/><Relationship Id="rId29" Type="http://schemas.openxmlformats.org/officeDocument/2006/relationships/hyperlink" Target="https://unece.org/environmental-policy/events/12th-baltic-sea-subregional-meeting-under-espoo-convention-and-i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info/Environmental-Policy/Environmental-Impact-Assessment/events/350634" TargetMode="External"/><Relationship Id="rId24" Type="http://schemas.openxmlformats.org/officeDocument/2006/relationships/hyperlink" Target="https://unece.org/info/Environment-Policy/Environmental-assessment/pub/358700" TargetMode="External"/><Relationship Id="rId32" Type="http://schemas.openxmlformats.org/officeDocument/2006/relationships/hyperlink" Target="https://unece.org/environment-policy/environmental-assessment"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nece.org/info/Environmental-Policy/Environmental-Impact-Assessment/events/364355" TargetMode="External"/><Relationship Id="rId23" Type="http://schemas.openxmlformats.org/officeDocument/2006/relationships/hyperlink" Target="https://unece.org/sites/default/files/2022-04/ece_mp.eia_ic_2022_5_e.pdf" TargetMode="External"/><Relationship Id="rId28" Type="http://schemas.openxmlformats.org/officeDocument/2006/relationships/hyperlink" Target="https://unece.org/info/Environmental-Policy/Environmental-Impact-Assessment/events/361631"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ece.org/environmental-policy/events/bureau-espoo-convention" TargetMode="External"/><Relationship Id="rId31" Type="http://schemas.openxmlformats.org/officeDocument/2006/relationships/hyperlink" Target="https://www.osce.org/oceea/4881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info/Environmental-Policy/Environmental-Impact-Assessment/events/363328" TargetMode="External"/><Relationship Id="rId22" Type="http://schemas.openxmlformats.org/officeDocument/2006/relationships/hyperlink" Target="https://unece.org/environment/documents/2022/08/session-documents/findings-and-recommendations-compliance-serbia-its" TargetMode="External"/><Relationship Id="rId27" Type="http://schemas.openxmlformats.org/officeDocument/2006/relationships/hyperlink" Target="https://apps.who.int/iris/handle/10665/353810" TargetMode="External"/><Relationship Id="rId30" Type="http://schemas.openxmlformats.org/officeDocument/2006/relationships/hyperlink" Target="https://unece.org/info/Environmental-Policy/Environmental-Impact-Assessment/events/367411"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208B-C945-4479-9D3B-FF6BBE933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3.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MPEIA_E.dotm</Template>
  <TotalTime>2</TotalTime>
  <Pages>17</Pages>
  <Words>7520</Words>
  <Characters>45718</Characters>
  <Application>Microsoft Office Word</Application>
  <DocSecurity>0</DocSecurity>
  <Lines>380</Lines>
  <Paragraphs>106</Paragraphs>
  <ScaleCrop>false</ScaleCrop>
  <Company>CSD</Company>
  <LinksUpToDate>false</LinksUpToDate>
  <CharactersWithSpaces>53132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ECE/MP.EIA/WG.2/2022/INF.6</dc:title>
  <dc:creator>Maricar De_La_Cruz</dc:creator>
  <cp:lastModifiedBy>Ivanna Kolisnyk</cp:lastModifiedBy>
  <cp:revision>2</cp:revision>
  <cp:lastPrinted>2022-11-03T10:49:00Z</cp:lastPrinted>
  <dcterms:created xsi:type="dcterms:W3CDTF">2023-05-18T12:36:00Z</dcterms:created>
  <dcterms:modified xsi:type="dcterms:W3CDTF">2023-05-18T12:36:00Z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f84fabf6-8fb9-425b-9d9e-42b727ecd1bf</vt:lpwstr>
  </property>
  <property fmtid="{D5CDD505-2E9C-101B-9397-08002B2CF9AE}" pid="4" name="MediaServiceImageTags">
    <vt:lpwstr/>
  </property>
</Properties>
</file>