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8FB4" w14:textId="77777777" w:rsidR="007425E5" w:rsidRPr="00F9298F" w:rsidRDefault="007425E5" w:rsidP="007425E5">
      <w:pPr>
        <w:spacing w:before="120"/>
        <w:rPr>
          <w:rFonts w:asciiTheme="majorBidi" w:hAnsiTheme="majorBidi" w:cstheme="majorBidi"/>
          <w:b/>
          <w:sz w:val="28"/>
          <w:szCs w:val="28"/>
        </w:rPr>
      </w:pPr>
      <w:r w:rsidRPr="00F9298F">
        <w:rPr>
          <w:rFonts w:asciiTheme="majorBidi" w:hAnsiTheme="majorBidi" w:cstheme="majorBidi"/>
          <w:b/>
          <w:sz w:val="28"/>
          <w:szCs w:val="28"/>
        </w:rPr>
        <w:t>Economic Commission for Europe</w:t>
      </w:r>
    </w:p>
    <w:p w14:paraId="3BCDB047" w14:textId="77777777" w:rsidR="007425E5" w:rsidRPr="00F9298F" w:rsidRDefault="007425E5" w:rsidP="007425E5">
      <w:pPr>
        <w:spacing w:before="120" w:line="240" w:lineRule="auto"/>
        <w:rPr>
          <w:rFonts w:asciiTheme="majorBidi" w:hAnsiTheme="majorBidi" w:cstheme="majorBidi"/>
          <w:bCs/>
          <w:sz w:val="28"/>
          <w:szCs w:val="28"/>
        </w:rPr>
      </w:pPr>
      <w:r w:rsidRPr="00F9298F">
        <w:rPr>
          <w:rFonts w:asciiTheme="majorBidi" w:hAnsiTheme="majorBidi" w:cstheme="majorBidi"/>
          <w:bCs/>
          <w:sz w:val="28"/>
          <w:szCs w:val="28"/>
        </w:rPr>
        <w:t xml:space="preserve">Meeting of the Parties to the Convention </w:t>
      </w:r>
      <w:r w:rsidRPr="00F9298F">
        <w:rPr>
          <w:rFonts w:asciiTheme="majorBidi" w:hAnsiTheme="majorBidi" w:cstheme="majorBidi"/>
          <w:bCs/>
          <w:sz w:val="28"/>
          <w:szCs w:val="28"/>
        </w:rPr>
        <w:br/>
        <w:t xml:space="preserve">on Environmental Impact Assessment </w:t>
      </w:r>
      <w:r w:rsidRPr="00F9298F">
        <w:rPr>
          <w:rFonts w:asciiTheme="majorBidi" w:hAnsiTheme="majorBidi" w:cstheme="majorBidi"/>
          <w:bCs/>
          <w:sz w:val="28"/>
          <w:szCs w:val="28"/>
        </w:rPr>
        <w:br/>
        <w:t>in a Transboundary Context</w:t>
      </w:r>
    </w:p>
    <w:p w14:paraId="5CF05CFF" w14:textId="413130FF" w:rsidR="007425E5" w:rsidRPr="00F9298F" w:rsidRDefault="007425E5" w:rsidP="007425E5">
      <w:pPr>
        <w:suppressAutoHyphens w:val="0"/>
        <w:autoSpaceDE w:val="0"/>
        <w:autoSpaceDN w:val="0"/>
        <w:adjustRightInd w:val="0"/>
        <w:spacing w:before="120"/>
        <w:rPr>
          <w:rFonts w:asciiTheme="majorBidi" w:hAnsiTheme="majorBidi" w:cstheme="majorBidi"/>
          <w:sz w:val="28"/>
          <w:szCs w:val="28"/>
        </w:rPr>
      </w:pPr>
      <w:r w:rsidRPr="00F9298F">
        <w:rPr>
          <w:rFonts w:asciiTheme="majorBidi" w:hAnsiTheme="majorBidi" w:cstheme="majorBidi"/>
          <w:sz w:val="28"/>
          <w:szCs w:val="28"/>
        </w:rPr>
        <w:t xml:space="preserve">Meeting of the Parties to the Convention </w:t>
      </w:r>
      <w:r w:rsidRPr="00F9298F">
        <w:rPr>
          <w:rFonts w:asciiTheme="majorBidi" w:hAnsiTheme="majorBidi" w:cstheme="majorBidi"/>
          <w:sz w:val="28"/>
          <w:szCs w:val="28"/>
        </w:rPr>
        <w:br/>
        <w:t xml:space="preserve">on Environmental Impact Assessment in </w:t>
      </w:r>
      <w:r w:rsidRPr="00F9298F">
        <w:rPr>
          <w:rFonts w:asciiTheme="majorBidi" w:hAnsiTheme="majorBidi" w:cstheme="majorBidi"/>
          <w:sz w:val="28"/>
          <w:szCs w:val="28"/>
        </w:rPr>
        <w:br/>
        <w:t xml:space="preserve">a Transboundary Context serving as the </w:t>
      </w:r>
      <w:r w:rsidRPr="00F9298F">
        <w:rPr>
          <w:rFonts w:asciiTheme="majorBidi" w:hAnsiTheme="majorBidi" w:cstheme="majorBidi"/>
          <w:sz w:val="28"/>
          <w:szCs w:val="28"/>
        </w:rPr>
        <w:br/>
        <w:t xml:space="preserve">Meeting of the Parties to the Protocol on </w:t>
      </w:r>
      <w:r w:rsidRPr="00F9298F">
        <w:rPr>
          <w:rFonts w:asciiTheme="majorBidi" w:hAnsiTheme="majorBidi" w:cstheme="majorBidi"/>
          <w:sz w:val="28"/>
          <w:szCs w:val="28"/>
        </w:rPr>
        <w:br/>
        <w:t>Strategic Environmental Assessment</w:t>
      </w:r>
    </w:p>
    <w:p w14:paraId="0C2C8E3D" w14:textId="77777777" w:rsidR="007425E5" w:rsidRPr="00F9298F" w:rsidRDefault="007425E5" w:rsidP="007425E5">
      <w:pPr>
        <w:spacing w:before="120" w:line="240" w:lineRule="auto"/>
        <w:rPr>
          <w:rFonts w:asciiTheme="majorBidi" w:hAnsiTheme="majorBidi" w:cstheme="majorBidi"/>
          <w:b/>
          <w:sz w:val="24"/>
          <w:szCs w:val="24"/>
        </w:rPr>
      </w:pPr>
      <w:r w:rsidRPr="00F9298F">
        <w:rPr>
          <w:rFonts w:asciiTheme="majorBidi" w:hAnsiTheme="majorBidi" w:cstheme="majorBidi"/>
          <w:b/>
          <w:sz w:val="24"/>
          <w:szCs w:val="24"/>
        </w:rPr>
        <w:t>Working Group on Environmental Impact Assessment</w:t>
      </w:r>
      <w:r w:rsidRPr="00F9298F">
        <w:rPr>
          <w:rFonts w:asciiTheme="majorBidi" w:hAnsiTheme="majorBidi" w:cstheme="majorBidi"/>
          <w:b/>
          <w:sz w:val="24"/>
          <w:szCs w:val="24"/>
        </w:rPr>
        <w:br/>
        <w:t>and Strategic Environmental Assessment</w:t>
      </w:r>
    </w:p>
    <w:tbl>
      <w:tblPr>
        <w:tblpPr w:leftFromText="142" w:rightFromText="142" w:vertAnchor="page" w:horzAnchor="margin" w:tblpY="1456"/>
        <w:tblOverlap w:val="neve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8"/>
        <w:gridCol w:w="5547"/>
        <w:gridCol w:w="2851"/>
      </w:tblGrid>
      <w:tr w:rsidR="007425E5" w:rsidRPr="00F9298F" w14:paraId="698CBAC6" w14:textId="77777777" w:rsidTr="00997AC0">
        <w:trPr>
          <w:cantSplit/>
          <w:trHeight w:hRule="exact" w:val="1003"/>
        </w:trPr>
        <w:tc>
          <w:tcPr>
            <w:tcW w:w="1708" w:type="dxa"/>
            <w:shd w:val="clear" w:color="auto" w:fill="auto"/>
            <w:vAlign w:val="bottom"/>
          </w:tcPr>
          <w:p w14:paraId="24596758" w14:textId="77777777" w:rsidR="007425E5" w:rsidRPr="00F9298F" w:rsidRDefault="007425E5" w:rsidP="00997AC0">
            <w:pPr>
              <w:pStyle w:val="Heading5"/>
              <w:rPr>
                <w:rFonts w:asciiTheme="majorBidi" w:hAnsiTheme="majorBidi" w:cstheme="majorBidi"/>
              </w:rPr>
            </w:pPr>
          </w:p>
        </w:tc>
        <w:tc>
          <w:tcPr>
            <w:tcW w:w="5547" w:type="dxa"/>
            <w:shd w:val="clear" w:color="auto" w:fill="auto"/>
            <w:vAlign w:val="bottom"/>
          </w:tcPr>
          <w:p w14:paraId="14DE62C1" w14:textId="77777777" w:rsidR="007425E5" w:rsidRPr="00F9298F" w:rsidRDefault="007425E5" w:rsidP="00997AC0">
            <w:pPr>
              <w:spacing w:after="80" w:line="240" w:lineRule="auto"/>
              <w:rPr>
                <w:rFonts w:asciiTheme="majorBidi" w:hAnsiTheme="majorBidi" w:cstheme="majorBidi"/>
                <w:b/>
                <w:sz w:val="24"/>
                <w:szCs w:val="44"/>
              </w:rPr>
            </w:pPr>
          </w:p>
        </w:tc>
        <w:tc>
          <w:tcPr>
            <w:tcW w:w="2851" w:type="dxa"/>
            <w:shd w:val="clear" w:color="auto" w:fill="auto"/>
          </w:tcPr>
          <w:p w14:paraId="327F3A0A" w14:textId="0CEAA7E4" w:rsidR="007425E5" w:rsidRPr="00F9298F" w:rsidRDefault="000E1B46" w:rsidP="00997AC0">
            <w:pPr>
              <w:spacing w:before="240" w:line="240" w:lineRule="exact"/>
              <w:ind w:left="4"/>
              <w:rPr>
                <w:rFonts w:asciiTheme="majorBidi" w:hAnsiTheme="majorBidi" w:cstheme="majorBidi"/>
              </w:rPr>
            </w:pPr>
            <w:r w:rsidRPr="00F9298F">
              <w:rPr>
                <w:rFonts w:asciiTheme="majorBidi" w:hAnsiTheme="majorBidi" w:cstheme="majorBidi"/>
              </w:rPr>
              <w:t xml:space="preserve"> </w:t>
            </w:r>
            <w:r w:rsidR="007425E5" w:rsidRPr="00F9298F">
              <w:rPr>
                <w:rFonts w:asciiTheme="majorBidi" w:hAnsiTheme="majorBidi" w:cstheme="majorBidi"/>
              </w:rPr>
              <w:t>ECE/MP.EIA/WG.2/2023/INF.</w:t>
            </w:r>
            <w:r w:rsidR="002E58C3" w:rsidRPr="00F9298F">
              <w:rPr>
                <w:rFonts w:asciiTheme="majorBidi" w:hAnsiTheme="majorBidi" w:cstheme="majorBidi"/>
              </w:rPr>
              <w:t>6</w:t>
            </w:r>
            <w:r w:rsidR="007425E5" w:rsidRPr="00F9298F">
              <w:rPr>
                <w:rFonts w:asciiTheme="majorBidi" w:hAnsiTheme="majorBidi" w:cstheme="majorBidi"/>
              </w:rPr>
              <w:br/>
            </w:r>
            <w:r w:rsidRPr="00F9298F">
              <w:rPr>
                <w:rFonts w:asciiTheme="majorBidi" w:hAnsiTheme="majorBidi" w:cstheme="majorBidi"/>
              </w:rPr>
              <w:t xml:space="preserve"> </w:t>
            </w:r>
            <w:r w:rsidR="007425E5" w:rsidRPr="00F9298F">
              <w:rPr>
                <w:rFonts w:asciiTheme="majorBidi" w:hAnsiTheme="majorBidi" w:cstheme="majorBidi"/>
              </w:rPr>
              <w:t>English</w:t>
            </w:r>
            <w:r w:rsidR="002E58C3" w:rsidRPr="00F9298F">
              <w:rPr>
                <w:rFonts w:asciiTheme="majorBidi" w:hAnsiTheme="majorBidi" w:cstheme="majorBidi"/>
              </w:rPr>
              <w:t xml:space="preserve"> only</w:t>
            </w:r>
          </w:p>
          <w:p w14:paraId="55E266C0" w14:textId="0B57E781" w:rsidR="007425E5" w:rsidRPr="00F9298F" w:rsidRDefault="000E1B46" w:rsidP="00997AC0">
            <w:pPr>
              <w:spacing w:line="240" w:lineRule="exact"/>
              <w:rPr>
                <w:rFonts w:asciiTheme="majorBidi" w:hAnsiTheme="majorBidi" w:cstheme="majorBidi"/>
              </w:rPr>
            </w:pPr>
            <w:r w:rsidRPr="00F9298F">
              <w:rPr>
                <w:rFonts w:asciiTheme="majorBidi" w:hAnsiTheme="majorBidi" w:cstheme="majorBidi"/>
                <w:color w:val="FF0000"/>
              </w:rPr>
              <w:t xml:space="preserve"> </w:t>
            </w:r>
            <w:r w:rsidR="00526691" w:rsidRPr="00526691">
              <w:rPr>
                <w:rFonts w:asciiTheme="majorBidi" w:hAnsiTheme="majorBidi" w:cstheme="majorBidi"/>
              </w:rPr>
              <w:t>2</w:t>
            </w:r>
            <w:r w:rsidR="006F0253">
              <w:rPr>
                <w:rFonts w:asciiTheme="majorBidi" w:hAnsiTheme="majorBidi" w:cstheme="majorBidi"/>
              </w:rPr>
              <w:t>2</w:t>
            </w:r>
            <w:r w:rsidR="0091443F" w:rsidRPr="00526691">
              <w:rPr>
                <w:rFonts w:asciiTheme="majorBidi" w:hAnsiTheme="majorBidi" w:cstheme="majorBidi"/>
              </w:rPr>
              <w:t xml:space="preserve"> </w:t>
            </w:r>
            <w:r w:rsidR="002E58C3" w:rsidRPr="00526691">
              <w:rPr>
                <w:rFonts w:asciiTheme="majorBidi" w:hAnsiTheme="majorBidi" w:cstheme="majorBidi"/>
              </w:rPr>
              <w:t>May</w:t>
            </w:r>
            <w:r w:rsidR="007425E5" w:rsidRPr="00526691">
              <w:rPr>
                <w:rFonts w:asciiTheme="majorBidi" w:hAnsiTheme="majorBidi" w:cstheme="majorBidi"/>
              </w:rPr>
              <w:t xml:space="preserve"> 2023</w:t>
            </w:r>
          </w:p>
        </w:tc>
      </w:tr>
    </w:tbl>
    <w:p w14:paraId="56E634C4" w14:textId="0D26DBC5" w:rsidR="007425E5" w:rsidRPr="00F9298F" w:rsidRDefault="007425E5" w:rsidP="007425E5">
      <w:pPr>
        <w:spacing w:before="120"/>
        <w:rPr>
          <w:rFonts w:asciiTheme="majorBidi" w:hAnsiTheme="majorBidi" w:cstheme="majorBidi"/>
          <w:b/>
        </w:rPr>
      </w:pPr>
      <w:r w:rsidRPr="00F9298F">
        <w:rPr>
          <w:rFonts w:asciiTheme="majorBidi" w:hAnsiTheme="majorBidi" w:cstheme="majorBidi"/>
          <w:b/>
        </w:rPr>
        <w:t>Twelfth meeting</w:t>
      </w:r>
    </w:p>
    <w:p w14:paraId="58832030" w14:textId="17317C35" w:rsidR="007425E5" w:rsidRPr="00F9298F" w:rsidRDefault="007425E5" w:rsidP="007425E5">
      <w:pPr>
        <w:rPr>
          <w:rFonts w:asciiTheme="majorBidi" w:hAnsiTheme="majorBidi" w:cstheme="majorBidi"/>
        </w:rPr>
      </w:pPr>
      <w:r w:rsidRPr="00F9298F">
        <w:rPr>
          <w:rFonts w:asciiTheme="majorBidi" w:hAnsiTheme="majorBidi" w:cstheme="majorBidi"/>
        </w:rPr>
        <w:t>Geneva, 13</w:t>
      </w:r>
      <w:r w:rsidR="00F216B1" w:rsidRPr="00F9298F">
        <w:rPr>
          <w:rFonts w:asciiTheme="majorBidi" w:hAnsiTheme="majorBidi" w:cstheme="majorBidi"/>
        </w:rPr>
        <w:t>-</w:t>
      </w:r>
      <w:r w:rsidRPr="00F9298F">
        <w:rPr>
          <w:rFonts w:asciiTheme="majorBidi" w:hAnsiTheme="majorBidi" w:cstheme="majorBidi"/>
        </w:rPr>
        <w:t>15 June 2023</w:t>
      </w:r>
    </w:p>
    <w:p w14:paraId="3976BB3D" w14:textId="47675634" w:rsidR="007425E5" w:rsidRPr="00F9298F" w:rsidRDefault="007425E5" w:rsidP="007425E5">
      <w:pPr>
        <w:rPr>
          <w:rFonts w:asciiTheme="majorBidi" w:hAnsiTheme="majorBidi" w:cstheme="majorBidi"/>
        </w:rPr>
      </w:pPr>
      <w:r w:rsidRPr="00F9298F">
        <w:rPr>
          <w:rFonts w:asciiTheme="majorBidi" w:hAnsiTheme="majorBidi" w:cstheme="majorBidi"/>
        </w:rPr>
        <w:t>Item 4 (</w:t>
      </w:r>
      <w:r w:rsidR="00BD3D33" w:rsidRPr="00F9298F">
        <w:rPr>
          <w:rFonts w:asciiTheme="majorBidi" w:hAnsiTheme="majorBidi" w:cstheme="majorBidi"/>
        </w:rPr>
        <w:t>b</w:t>
      </w:r>
      <w:r w:rsidRPr="00F9298F">
        <w:rPr>
          <w:rFonts w:asciiTheme="majorBidi" w:hAnsiTheme="majorBidi" w:cstheme="majorBidi"/>
        </w:rPr>
        <w:t>) of the provisional agenda</w:t>
      </w:r>
    </w:p>
    <w:p w14:paraId="1AF9D8EC" w14:textId="6262E08F" w:rsidR="007425E5" w:rsidRPr="00F9298F" w:rsidRDefault="007425E5" w:rsidP="007425E5">
      <w:pPr>
        <w:rPr>
          <w:rFonts w:asciiTheme="majorBidi" w:hAnsiTheme="majorBidi" w:cstheme="majorBidi"/>
          <w:b/>
          <w:bCs/>
        </w:rPr>
      </w:pPr>
      <w:r w:rsidRPr="00F9298F">
        <w:rPr>
          <w:rFonts w:asciiTheme="majorBidi" w:hAnsiTheme="majorBidi" w:cstheme="majorBidi"/>
          <w:b/>
          <w:bCs/>
        </w:rPr>
        <w:t>Preparations for the next sessions of the Meetings of the Parties:</w:t>
      </w:r>
      <w:r w:rsidRPr="00F9298F">
        <w:rPr>
          <w:rFonts w:asciiTheme="majorBidi" w:hAnsiTheme="majorBidi" w:cstheme="majorBidi"/>
          <w:b/>
          <w:bCs/>
        </w:rPr>
        <w:br/>
        <w:t>P</w:t>
      </w:r>
      <w:r w:rsidR="00BD3D33" w:rsidRPr="00F9298F">
        <w:rPr>
          <w:rFonts w:asciiTheme="majorBidi" w:hAnsiTheme="majorBidi" w:cstheme="majorBidi"/>
          <w:b/>
          <w:bCs/>
        </w:rPr>
        <w:t xml:space="preserve">rovisional agenda </w:t>
      </w:r>
    </w:p>
    <w:p w14:paraId="6951C72D" w14:textId="0720774B" w:rsidR="007425E5" w:rsidRPr="00F9298F" w:rsidRDefault="00C0206C" w:rsidP="00C0206C">
      <w:pPr>
        <w:pStyle w:val="HChG"/>
      </w:pPr>
      <w:r>
        <w:tab/>
      </w:r>
      <w:r>
        <w:tab/>
      </w:r>
      <w:r w:rsidR="00D5431E" w:rsidRPr="00F9298F">
        <w:t>Preparations for the high-level event on energy transition, circular economy and green financing</w:t>
      </w:r>
    </w:p>
    <w:p w14:paraId="645B34AD" w14:textId="25BDE83A" w:rsidR="007425E5" w:rsidRPr="00F9298F" w:rsidRDefault="00C0206C" w:rsidP="00C0206C">
      <w:pPr>
        <w:pStyle w:val="H1G"/>
      </w:pPr>
      <w:r>
        <w:tab/>
      </w:r>
      <w:r>
        <w:tab/>
      </w:r>
      <w:r w:rsidR="007425E5" w:rsidRPr="00F9298F">
        <w:t>Note by the secretariat</w:t>
      </w:r>
      <w:r w:rsidR="00D5431E" w:rsidRPr="00F9298F">
        <w:t xml:space="preserve"> </w:t>
      </w:r>
      <w:r w:rsidR="0043199A" w:rsidRPr="00F9298F">
        <w:t>prepared with support from a</w:t>
      </w:r>
      <w:r w:rsidR="002E58C3" w:rsidRPr="00F9298F">
        <w:t xml:space="preserve"> </w:t>
      </w:r>
      <w:r w:rsidR="0043199A" w:rsidRPr="00F9298F">
        <w:t>consultan</w:t>
      </w:r>
      <w:r w:rsidR="002E58C3" w:rsidRPr="00F9298F">
        <w:t>t</w:t>
      </w:r>
    </w:p>
    <w:p w14:paraId="1A00BCF9" w14:textId="77777777" w:rsidR="007425E5" w:rsidRDefault="007425E5" w:rsidP="007425E5">
      <w:pPr>
        <w:spacing w:line="240" w:lineRule="auto"/>
        <w:ind w:left="567"/>
        <w:rPr>
          <w:rFonts w:asciiTheme="majorBidi" w:hAnsiTheme="majorBidi" w:cstheme="majorBidi"/>
          <w:b/>
        </w:rPr>
      </w:pPr>
    </w:p>
    <w:tbl>
      <w:tblPr>
        <w:tblStyle w:val="TableGrid"/>
        <w:tblW w:w="0" w:type="auto"/>
        <w:jc w:val="center"/>
        <w:tblBorders>
          <w:insideH w:val="none" w:sz="0" w:space="0" w:color="auto"/>
        </w:tblBorders>
        <w:tblLook w:val="05E0" w:firstRow="1" w:lastRow="1" w:firstColumn="1" w:lastColumn="1" w:noHBand="0" w:noVBand="1"/>
      </w:tblPr>
      <w:tblGrid>
        <w:gridCol w:w="9017"/>
      </w:tblGrid>
      <w:tr w:rsidR="00D5696D" w14:paraId="33EDF0C1" w14:textId="77777777" w:rsidTr="006B2C46">
        <w:trPr>
          <w:jc w:val="center"/>
        </w:trPr>
        <w:tc>
          <w:tcPr>
            <w:tcW w:w="9637" w:type="dxa"/>
            <w:tcBorders>
              <w:bottom w:val="nil"/>
            </w:tcBorders>
            <w:shd w:val="clear" w:color="auto" w:fill="auto"/>
          </w:tcPr>
          <w:p w14:paraId="5D12C3C9" w14:textId="77777777" w:rsidR="00D5696D" w:rsidRPr="00C6263E" w:rsidRDefault="00D5696D" w:rsidP="006E5E26">
            <w:pPr>
              <w:spacing w:before="240" w:after="120"/>
              <w:ind w:left="255"/>
              <w:rPr>
                <w:i/>
                <w:sz w:val="24"/>
              </w:rPr>
            </w:pPr>
            <w:r w:rsidRPr="00C6263E">
              <w:rPr>
                <w:i/>
                <w:sz w:val="24"/>
              </w:rPr>
              <w:t>Summary</w:t>
            </w:r>
          </w:p>
        </w:tc>
      </w:tr>
      <w:tr w:rsidR="00D5696D" w14:paraId="29E5C29C" w14:textId="77777777" w:rsidTr="006B2C46">
        <w:trPr>
          <w:jc w:val="center"/>
        </w:trPr>
        <w:tc>
          <w:tcPr>
            <w:tcW w:w="9637" w:type="dxa"/>
            <w:tcBorders>
              <w:top w:val="nil"/>
              <w:bottom w:val="nil"/>
            </w:tcBorders>
            <w:shd w:val="clear" w:color="auto" w:fill="auto"/>
          </w:tcPr>
          <w:p w14:paraId="527B021A" w14:textId="2CB188F7" w:rsidR="00D5696D" w:rsidRDefault="00D5696D" w:rsidP="00D5696D">
            <w:pPr>
              <w:pStyle w:val="SingleTxtG"/>
            </w:pPr>
            <w:r>
              <w:tab/>
            </w:r>
            <w:r>
              <w:tab/>
              <w:t>The present note focuses on the thematic event on the role of the Convention and the Protocol regarding energy transition, circular economy and green financing to be organized during the high-level segment of the next sessions of the Meetings of the Parties (Geneva, 12-15 December 2023) and involving the preparation of a related background/discussion/advocacy paper. The organization of the event and the drafting of the related document will be supported by consultants to the secretariat funded by Italy. The present note has been prepared taking into account the recommendations from the Bureau and the Working Group on Environmental Impact Assessment and Strategic Environmental Assessment and in consultation with representatives of volunteering Parties and stakeholders.</w:t>
            </w:r>
          </w:p>
          <w:p w14:paraId="540C8605" w14:textId="58181242" w:rsidR="00D5696D" w:rsidRDefault="00D5696D" w:rsidP="00D5696D">
            <w:pPr>
              <w:pStyle w:val="SingleTxtG"/>
            </w:pPr>
            <w:r>
              <w:tab/>
              <w:t>This note presents for consideration of the Working Group:</w:t>
            </w:r>
          </w:p>
          <w:p w14:paraId="7F7E6134" w14:textId="77777777" w:rsidR="00D5696D" w:rsidRDefault="00D5696D" w:rsidP="00D5696D">
            <w:pPr>
              <w:pStyle w:val="SingleTxtG"/>
            </w:pPr>
            <w:r>
              <w:t>(a)</w:t>
            </w:r>
            <w:r>
              <w:tab/>
              <w:t xml:space="preserve">An initial outline of the background document that will contain information on the role of the Convention and the Protocol with respect to the topics in question; and suggest points of discussion/key guiding questions for the thematic event. Overall conclusions will be provided setting out the benefits of the Convention and Protocol, their further potential in relation to enhancing the three topic areas, and implementation challenges. (Once finalized, taking account of the comments from the Working Group, the background document will be issued as an official document ahead of the Meetings of the Parties’ sessions);  </w:t>
            </w:r>
          </w:p>
          <w:p w14:paraId="2E63FD9B" w14:textId="77777777" w:rsidR="00D5696D" w:rsidRDefault="00D5696D" w:rsidP="00D5696D">
            <w:pPr>
              <w:pStyle w:val="SingleTxtG"/>
            </w:pPr>
            <w:r>
              <w:lastRenderedPageBreak/>
              <w:t>(b)</w:t>
            </w:r>
            <w:r>
              <w:tab/>
              <w:t>An initial outline of the programme for the thematic event. (Ultimately, the final programme with a confirmed list of speakers (and their short biographies) will be issued as an informal document before the MOP sessions);</w:t>
            </w:r>
          </w:p>
          <w:p w14:paraId="4D04E492" w14:textId="77777777" w:rsidR="00D5696D" w:rsidRDefault="00D5696D" w:rsidP="00D5696D">
            <w:pPr>
              <w:pStyle w:val="SingleTxtG"/>
            </w:pPr>
            <w:r>
              <w:t>(c)</w:t>
            </w:r>
            <w:r>
              <w:tab/>
              <w:t>An indicative timeline for the preparatory steps for the event and its background paper ahead of the Meetings of the Parties’ sessions.</w:t>
            </w:r>
          </w:p>
          <w:p w14:paraId="4FC196E5" w14:textId="34C8FF44" w:rsidR="00D5696D" w:rsidRDefault="00E07E23" w:rsidP="00D5696D">
            <w:pPr>
              <w:pStyle w:val="SingleTxtG"/>
            </w:pPr>
            <w:r>
              <w:tab/>
            </w:r>
            <w:r>
              <w:tab/>
            </w:r>
            <w:r w:rsidR="00D5696D">
              <w:t>The Working Group will be invited to consider the note and provide guidance on the preparation of the thematic event and its background material, including with a view to attracting high-level interest and participation. Delegations are also invited to suggest further panellists for the event, as well as high-level representatives to deliver brief statements from the floor, with a recommended time limit of 3 minutes</w:t>
            </w:r>
          </w:p>
          <w:p w14:paraId="4A39E3D2" w14:textId="732C94E4" w:rsidR="00D5696D" w:rsidRDefault="00E07E23" w:rsidP="00D5696D">
            <w:pPr>
              <w:pStyle w:val="SingleTxtG"/>
            </w:pPr>
            <w:r>
              <w:tab/>
            </w:r>
            <w:r>
              <w:tab/>
            </w:r>
            <w:r w:rsidR="00D5696D">
              <w:t>The provisional annotated agenda for the next sessions of the Meetings of the Parties, as agreed by the Bureau, is contained in a separate document (ECE/MP.EIA/WG.2/2023/INF.5) for agreement by the Working Group.</w:t>
            </w:r>
          </w:p>
        </w:tc>
      </w:tr>
      <w:tr w:rsidR="00D5696D" w14:paraId="1B6DD84D" w14:textId="77777777" w:rsidTr="006B2C46">
        <w:trPr>
          <w:jc w:val="center"/>
        </w:trPr>
        <w:tc>
          <w:tcPr>
            <w:tcW w:w="9637" w:type="dxa"/>
            <w:tcBorders>
              <w:top w:val="nil"/>
            </w:tcBorders>
            <w:shd w:val="clear" w:color="auto" w:fill="auto"/>
          </w:tcPr>
          <w:p w14:paraId="6E67B3E9" w14:textId="77777777" w:rsidR="00D5696D" w:rsidRDefault="00D5696D" w:rsidP="006E5E26"/>
        </w:tc>
      </w:tr>
    </w:tbl>
    <w:p w14:paraId="0FD806AE" w14:textId="77777777" w:rsidR="00D5696D" w:rsidRDefault="00D5696D" w:rsidP="00D5696D"/>
    <w:p w14:paraId="24188E2B" w14:textId="61119046" w:rsidR="00D5696D" w:rsidRDefault="00D5696D" w:rsidP="007425E5">
      <w:pPr>
        <w:spacing w:line="240" w:lineRule="auto"/>
        <w:ind w:left="567"/>
        <w:rPr>
          <w:rFonts w:asciiTheme="majorBidi" w:hAnsiTheme="majorBidi" w:cstheme="majorBidi"/>
          <w:b/>
        </w:rPr>
      </w:pPr>
      <w:r>
        <w:rPr>
          <w:rFonts w:asciiTheme="majorBidi" w:hAnsiTheme="majorBidi" w:cstheme="majorBidi"/>
          <w:b/>
        </w:rPr>
        <w:br w:type="page"/>
      </w:r>
    </w:p>
    <w:p w14:paraId="0C78244D" w14:textId="72AFE257" w:rsidR="00072807" w:rsidRPr="00F9298F" w:rsidRDefault="007D0D55" w:rsidP="007D0D55">
      <w:pPr>
        <w:pStyle w:val="HChG"/>
      </w:pPr>
      <w:r>
        <w:lastRenderedPageBreak/>
        <w:tab/>
      </w:r>
      <w:r w:rsidRPr="00F9298F">
        <w:t>I.</w:t>
      </w:r>
      <w:r w:rsidRPr="00F9298F">
        <w:tab/>
      </w:r>
      <w:r w:rsidR="00DA1509" w:rsidRPr="00F9298F">
        <w:t xml:space="preserve">An initial outline of the background document </w:t>
      </w:r>
      <w:r w:rsidR="00072807" w:rsidRPr="00F9298F">
        <w:t>for the high-level thematic event</w:t>
      </w:r>
    </w:p>
    <w:p w14:paraId="4EB14DF9" w14:textId="52ACBC66" w:rsidR="00661D24" w:rsidRPr="00F9298F" w:rsidRDefault="007D0D55" w:rsidP="007D0D55">
      <w:pPr>
        <w:pStyle w:val="H1G"/>
      </w:pPr>
      <w:r>
        <w:tab/>
      </w:r>
      <w:r w:rsidR="00A65CD7" w:rsidRPr="00F9298F">
        <w:t>A.</w:t>
      </w:r>
      <w:r w:rsidR="00A65CD7" w:rsidRPr="00F9298F">
        <w:tab/>
      </w:r>
      <w:r w:rsidR="00661D24" w:rsidRPr="00F9298F">
        <w:t>Introduction</w:t>
      </w:r>
    </w:p>
    <w:p w14:paraId="659597D9" w14:textId="0A7E8F35" w:rsidR="007D7524" w:rsidRPr="00E54415" w:rsidRDefault="0015636C" w:rsidP="00240E74">
      <w:pPr>
        <w:pStyle w:val="SingleTxtG"/>
      </w:pPr>
      <w:r w:rsidRPr="00F9298F">
        <w:rPr>
          <w:rFonts w:asciiTheme="majorBidi" w:hAnsiTheme="majorBidi" w:cstheme="majorBidi"/>
          <w:b/>
          <w:sz w:val="28"/>
        </w:rPr>
        <w:tab/>
      </w:r>
      <w:r w:rsidR="007D0D55" w:rsidRPr="00E54415">
        <w:t>1.</w:t>
      </w:r>
      <w:r w:rsidR="007D0D55" w:rsidRPr="00E54415">
        <w:tab/>
      </w:r>
      <w:r w:rsidR="007D7524" w:rsidRPr="00E54415">
        <w:t>The Working Group on Environmental Impact Assessment and Strategic Environmental Assessment at its meeting in Geneva, 19</w:t>
      </w:r>
      <w:r w:rsidR="0088378B">
        <w:t>–</w:t>
      </w:r>
      <w:r w:rsidR="007D7524" w:rsidRPr="00E54415">
        <w:t>21 December 2022 agreed that the thematic event be held during the high-level segment of the Meetings of the Parties’ next sessions (Geneva, 12</w:t>
      </w:r>
      <w:r w:rsidR="0088378B">
        <w:t>–</w:t>
      </w:r>
      <w:r w:rsidR="007D7524" w:rsidRPr="00E54415">
        <w:t xml:space="preserve">15 December 2023) and focus on the role and the practical application of </w:t>
      </w:r>
      <w:bookmarkStart w:id="0" w:name="_Hlk130297802"/>
      <w:r w:rsidR="007D7524" w:rsidRPr="00E54415">
        <w:t>the Convention and the Protocol for promoting energy transition and circular economy</w:t>
      </w:r>
      <w:r w:rsidR="007D7524" w:rsidRPr="00E54415">
        <w:rPr>
          <w:rStyle w:val="FootnoteReference"/>
          <w:sz w:val="20"/>
        </w:rPr>
        <w:footnoteReference w:id="2"/>
      </w:r>
      <w:r w:rsidR="007D7524" w:rsidRPr="00E54415">
        <w:t>.</w:t>
      </w:r>
      <w:bookmarkEnd w:id="0"/>
      <w:r w:rsidR="007D7524" w:rsidRPr="00E54415">
        <w:t xml:space="preserve"> The Bureau at its meeting 22</w:t>
      </w:r>
      <w:r w:rsidR="0088378B">
        <w:t>–</w:t>
      </w:r>
      <w:r w:rsidR="007D7524" w:rsidRPr="00E54415">
        <w:t xml:space="preserve">23 February 2023 decided to add the topic of green financing (initially suggested as a separate topic at the Working Group meeting December 2022) as a key component for energy transition and circular economy to the themes of the high-level thematic event. </w:t>
      </w:r>
      <w:bookmarkStart w:id="1" w:name="_Hlk135663826"/>
      <w:r w:rsidR="007D7524" w:rsidRPr="00E54415">
        <w:t>These topics are of relevance for meeting the global commitments under the Paris Agreement and the 2030 Agenda for Sustainable Development, including, in particular, the SDG</w:t>
      </w:r>
      <w:r w:rsidR="00B83A72">
        <w:t>s</w:t>
      </w:r>
      <w:r w:rsidR="007D7524" w:rsidRPr="00E54415">
        <w:t xml:space="preserve"> 7 </w:t>
      </w:r>
      <w:r w:rsidR="00B83A72">
        <w:t>and 1</w:t>
      </w:r>
      <w:r w:rsidR="00654282">
        <w:t>3</w:t>
      </w:r>
      <w:r w:rsidR="00B83A72">
        <w:t xml:space="preserve"> on </w:t>
      </w:r>
      <w:r w:rsidR="007D7524" w:rsidRPr="00E54415">
        <w:t>energy</w:t>
      </w:r>
      <w:r w:rsidR="00B83A72">
        <w:t xml:space="preserve"> and climate action, respective</w:t>
      </w:r>
      <w:r w:rsidR="00654282">
        <w:t>ly</w:t>
      </w:r>
      <w:r w:rsidR="007D7524" w:rsidRPr="00E54415">
        <w:t>.</w:t>
      </w:r>
    </w:p>
    <w:bookmarkEnd w:id="1"/>
    <w:p w14:paraId="36EF5F70" w14:textId="711D975C" w:rsidR="007D7524" w:rsidRPr="00E54415" w:rsidRDefault="007D0D55" w:rsidP="00240E74">
      <w:pPr>
        <w:pStyle w:val="SingleTxtG"/>
      </w:pPr>
      <w:r w:rsidRPr="00E54415">
        <w:t>2.</w:t>
      </w:r>
      <w:r w:rsidRPr="00E54415">
        <w:tab/>
      </w:r>
      <w:r w:rsidR="0096298C">
        <w:t xml:space="preserve">Many countries </w:t>
      </w:r>
      <w:r w:rsidR="00AB19A6">
        <w:t xml:space="preserve">worldwide </w:t>
      </w:r>
      <w:r w:rsidR="0096298C">
        <w:t xml:space="preserve">are pursuing energy transition, and policies </w:t>
      </w:r>
      <w:r w:rsidR="0013025C">
        <w:t xml:space="preserve">and/or legal instruments </w:t>
      </w:r>
      <w:r w:rsidR="0096298C">
        <w:t xml:space="preserve">are emerging </w:t>
      </w:r>
      <w:r w:rsidR="0031544B">
        <w:t xml:space="preserve">to implement the circular economy and green financing. As such, nations are having to deal with </w:t>
      </w:r>
      <w:r w:rsidR="00A92A0D">
        <w:t xml:space="preserve">significant development pressures </w:t>
      </w:r>
      <w:r w:rsidR="004C19AA">
        <w:t>accompanied by</w:t>
      </w:r>
      <w:r w:rsidR="00A92A0D">
        <w:t xml:space="preserve"> </w:t>
      </w:r>
      <w:r w:rsidR="00B517E3">
        <w:t>increasingly stringent sustainability assessment</w:t>
      </w:r>
      <w:r w:rsidR="001A58BD">
        <w:t xml:space="preserve"> requirements</w:t>
      </w:r>
      <w:r w:rsidR="00B517E3">
        <w:t xml:space="preserve"> and </w:t>
      </w:r>
      <w:r w:rsidR="001A58BD">
        <w:t xml:space="preserve">associated </w:t>
      </w:r>
      <w:r w:rsidR="00B517E3">
        <w:t>reporting.</w:t>
      </w:r>
      <w:r w:rsidR="00C22DD5">
        <w:t xml:space="preserve"> </w:t>
      </w:r>
      <w:r w:rsidR="00AB19A6">
        <w:t>T</w:t>
      </w:r>
      <w:r w:rsidR="00C22DD5">
        <w:t>here is significant potential for the Convention</w:t>
      </w:r>
      <w:r w:rsidR="00FB0108" w:rsidRPr="00E54415">
        <w:rPr>
          <w:rStyle w:val="FootnoteReference"/>
          <w:color w:val="000000"/>
          <w:sz w:val="20"/>
        </w:rPr>
        <w:footnoteReference w:id="3"/>
      </w:r>
      <w:r w:rsidR="00C22DD5">
        <w:t xml:space="preserve"> </w:t>
      </w:r>
      <w:r w:rsidR="0079295D">
        <w:t xml:space="preserve">and </w:t>
      </w:r>
      <w:r w:rsidR="00C22DD5">
        <w:t>the Protocol</w:t>
      </w:r>
      <w:r w:rsidR="00FB0108" w:rsidRPr="00E54415">
        <w:rPr>
          <w:rStyle w:val="FootnoteReference"/>
          <w:color w:val="000000"/>
          <w:sz w:val="20"/>
        </w:rPr>
        <w:footnoteReference w:id="4"/>
      </w:r>
      <w:r w:rsidR="00C22DD5">
        <w:t xml:space="preserve"> to </w:t>
      </w:r>
      <w:r w:rsidR="00682DF4">
        <w:t xml:space="preserve">assist with obligations associated with these emerging </w:t>
      </w:r>
      <w:r w:rsidR="00F40032">
        <w:t>topics,</w:t>
      </w:r>
      <w:r w:rsidR="00682DF4">
        <w:t xml:space="preserve"> and</w:t>
      </w:r>
      <w:r w:rsidR="00F40032">
        <w:t xml:space="preserve"> a need to ensure compatibility between </w:t>
      </w:r>
      <w:r w:rsidR="00946656">
        <w:t xml:space="preserve">them. </w:t>
      </w:r>
      <w:r w:rsidR="00C10C55">
        <w:t>T</w:t>
      </w:r>
      <w:r w:rsidR="007D7524" w:rsidRPr="00E54415">
        <w:t xml:space="preserve">his document </w:t>
      </w:r>
      <w:r w:rsidR="00C10C55">
        <w:t xml:space="preserve">contributes to meeting these emerging </w:t>
      </w:r>
      <w:r w:rsidR="00AB19A6">
        <w:t xml:space="preserve">opportunities </w:t>
      </w:r>
      <w:r w:rsidR="00C10C55">
        <w:t xml:space="preserve">by </w:t>
      </w:r>
      <w:r w:rsidR="007D7524" w:rsidRPr="00E54415">
        <w:t xml:space="preserve">outlining the treaties’ benefits, further potential and any implementation challenges and suggested solutions in this regard. The document aims to provide the basis for discussions during the high-level segment event and suggest some key guiding questions/issues on each of the three topics for consideration of the invited speakers and the audience. Secondly, the document is intended to serve as advocacy material for promoting awareness and effective application of the two treaties by their Parties, future Parties and stakeholders within and beyond the UNECE region, including in cooperation and coordination with relevant partner organizations and international financial institutions. </w:t>
      </w:r>
      <w:r w:rsidR="002918E6">
        <w:t>The document</w:t>
      </w:r>
      <w:r w:rsidR="00523FF1">
        <w:t xml:space="preserve"> therefore</w:t>
      </w:r>
      <w:r w:rsidR="002918E6">
        <w:t xml:space="preserve"> presents an opportunity to </w:t>
      </w:r>
      <w:r w:rsidR="00523FF1">
        <w:t xml:space="preserve">help </w:t>
      </w:r>
      <w:r w:rsidR="002918E6">
        <w:t xml:space="preserve">shape </w:t>
      </w:r>
      <w:r w:rsidR="00523FF1">
        <w:t xml:space="preserve">future practice under the Convention and the Protocol to better meet </w:t>
      </w:r>
      <w:r w:rsidR="00636B51">
        <w:t xml:space="preserve">emerging </w:t>
      </w:r>
      <w:r w:rsidR="00AB19A6">
        <w:t xml:space="preserve">developments </w:t>
      </w:r>
      <w:r w:rsidR="00636B51">
        <w:t>associated with the topics of energy transition, circular economy, and green financing.</w:t>
      </w:r>
    </w:p>
    <w:p w14:paraId="182D0BFB" w14:textId="08EFC322" w:rsidR="007D7524" w:rsidRPr="00E54415" w:rsidRDefault="007D0D55" w:rsidP="00240E74">
      <w:pPr>
        <w:pStyle w:val="SingleTxtG"/>
      </w:pPr>
      <w:r w:rsidRPr="00E54415">
        <w:t>3.</w:t>
      </w:r>
      <w:r w:rsidRPr="00E54415">
        <w:tab/>
      </w:r>
      <w:r w:rsidR="007D7524" w:rsidRPr="00E54415">
        <w:t xml:space="preserve">The consultancy support </w:t>
      </w:r>
      <w:r w:rsidR="007853D3" w:rsidRPr="00E54415">
        <w:t xml:space="preserve">funded by </w:t>
      </w:r>
      <w:r w:rsidR="007D7524" w:rsidRPr="00E54415">
        <w:t>Italy</w:t>
      </w:r>
      <w:r w:rsidR="007853D3" w:rsidRPr="00E54415">
        <w:t xml:space="preserve"> for the preparation of the thematic event and the present document</w:t>
      </w:r>
      <w:r w:rsidR="007D7524" w:rsidRPr="00E54415">
        <w:t xml:space="preserve"> is </w:t>
      </w:r>
      <w:r w:rsidR="007853D3" w:rsidRPr="00E54415">
        <w:t>welcomed</w:t>
      </w:r>
      <w:r w:rsidR="007D7524" w:rsidRPr="00E54415">
        <w:t xml:space="preserve">, </w:t>
      </w:r>
      <w:r w:rsidR="007853D3" w:rsidRPr="00E54415">
        <w:t xml:space="preserve">together with </w:t>
      </w:r>
      <w:r w:rsidR="007D7524" w:rsidRPr="00E54415">
        <w:t xml:space="preserve">inputs from: </w:t>
      </w:r>
      <w:r w:rsidR="00602E5F" w:rsidRPr="00E54415">
        <w:t>the Chair of the Bureau and Chair of the Meeting</w:t>
      </w:r>
      <w:r w:rsidR="007853D3" w:rsidRPr="00E54415">
        <w:t>s</w:t>
      </w:r>
      <w:r w:rsidR="00602E5F" w:rsidRPr="00E54415">
        <w:t xml:space="preserve"> of the Parties</w:t>
      </w:r>
      <w:r w:rsidR="007853D3" w:rsidRPr="00E54415">
        <w:t xml:space="preserve"> sessions of 2017, 2019, 2020, and possibly of 2023</w:t>
      </w:r>
      <w:r w:rsidR="00602E5F" w:rsidRPr="00E54415">
        <w:t xml:space="preserve">; </w:t>
      </w:r>
      <w:r w:rsidR="00BB4D35" w:rsidRPr="00E54415">
        <w:t>representatives</w:t>
      </w:r>
      <w:r w:rsidR="007D7524" w:rsidRPr="00E54415">
        <w:t xml:space="preserve"> of </w:t>
      </w:r>
      <w:r w:rsidR="00AB7897">
        <w:t xml:space="preserve">Italy, </w:t>
      </w:r>
      <w:r w:rsidR="00193182">
        <w:t>Spain</w:t>
      </w:r>
      <w:r w:rsidR="00D73395" w:rsidRPr="00E54415">
        <w:t xml:space="preserve"> and </w:t>
      </w:r>
      <w:r w:rsidR="009B3C93" w:rsidRPr="00E54415">
        <w:t>the International Association for Impact Assessment</w:t>
      </w:r>
      <w:r w:rsidR="009539C3" w:rsidRPr="00E54415">
        <w:t>.</w:t>
      </w:r>
    </w:p>
    <w:p w14:paraId="4F6A6216" w14:textId="0A62BCC0" w:rsidR="007D7524" w:rsidRPr="00E54415" w:rsidRDefault="007D0D55" w:rsidP="00240E74">
      <w:pPr>
        <w:pStyle w:val="SingleTxtG"/>
      </w:pPr>
      <w:r w:rsidRPr="00E54415">
        <w:t>4.</w:t>
      </w:r>
      <w:r w:rsidRPr="00E54415">
        <w:tab/>
      </w:r>
      <w:r w:rsidR="004057CB" w:rsidRPr="00E54415">
        <w:rPr>
          <w:lang w:eastAsia="en-GB"/>
        </w:rPr>
        <w:t xml:space="preserve">There is </w:t>
      </w:r>
      <w:r w:rsidR="00ED60ED" w:rsidRPr="00E54415">
        <w:rPr>
          <w:lang w:eastAsia="en-GB"/>
        </w:rPr>
        <w:t>c</w:t>
      </w:r>
      <w:r w:rsidR="004057CB" w:rsidRPr="00E54415">
        <w:rPr>
          <w:lang w:eastAsia="en-GB"/>
        </w:rPr>
        <w:t xml:space="preserve">onsiderable overlap </w:t>
      </w:r>
      <w:r w:rsidR="00ED60ED" w:rsidRPr="00E54415">
        <w:rPr>
          <w:lang w:eastAsia="en-GB"/>
        </w:rPr>
        <w:t xml:space="preserve">of the related provisions and practices under </w:t>
      </w:r>
      <w:r w:rsidR="009C18D0" w:rsidRPr="00E54415">
        <w:rPr>
          <w:lang w:eastAsia="en-GB"/>
        </w:rPr>
        <w:t>each</w:t>
      </w:r>
      <w:r w:rsidR="00ED60ED" w:rsidRPr="00E54415">
        <w:rPr>
          <w:lang w:eastAsia="en-GB"/>
        </w:rPr>
        <w:t xml:space="preserve"> </w:t>
      </w:r>
      <w:r w:rsidR="009C18D0" w:rsidRPr="00E54415">
        <w:rPr>
          <w:lang w:eastAsia="en-GB"/>
        </w:rPr>
        <w:t>instrument</w:t>
      </w:r>
      <w:r w:rsidR="00ED60ED" w:rsidRPr="00E54415">
        <w:rPr>
          <w:lang w:eastAsia="en-GB"/>
        </w:rPr>
        <w:t xml:space="preserve"> as they relate to the three topics consider</w:t>
      </w:r>
      <w:r w:rsidR="009C18D0" w:rsidRPr="00E54415">
        <w:rPr>
          <w:lang w:eastAsia="en-GB"/>
        </w:rPr>
        <w:t>e</w:t>
      </w:r>
      <w:r w:rsidR="00ED60ED" w:rsidRPr="00E54415">
        <w:rPr>
          <w:lang w:eastAsia="en-GB"/>
        </w:rPr>
        <w:t xml:space="preserve">d in this paper. </w:t>
      </w:r>
      <w:r w:rsidR="00363E13" w:rsidRPr="00E54415">
        <w:rPr>
          <w:lang w:eastAsia="en-GB"/>
        </w:rPr>
        <w:t xml:space="preserve">In order to prevent repetition, the key provisions are </w:t>
      </w:r>
      <w:r w:rsidR="00F9298F" w:rsidRPr="00E54415">
        <w:rPr>
          <w:lang w:eastAsia="en-GB"/>
        </w:rPr>
        <w:t xml:space="preserve">briefly </w:t>
      </w:r>
      <w:r w:rsidR="00363E13" w:rsidRPr="00E54415">
        <w:rPr>
          <w:lang w:eastAsia="en-GB"/>
        </w:rPr>
        <w:t xml:space="preserve">outlined in the next section, before each of the topics are </w:t>
      </w:r>
      <w:r w:rsidR="009C18D0" w:rsidRPr="00E54415">
        <w:rPr>
          <w:lang w:eastAsia="en-GB"/>
        </w:rPr>
        <w:t>introduced</w:t>
      </w:r>
      <w:r w:rsidR="00363E13" w:rsidRPr="00E54415">
        <w:rPr>
          <w:lang w:eastAsia="en-GB"/>
        </w:rPr>
        <w:t xml:space="preserve"> in turn in the following three section</w:t>
      </w:r>
      <w:r w:rsidR="00F9298F" w:rsidRPr="00E54415">
        <w:rPr>
          <w:lang w:eastAsia="en-GB"/>
        </w:rPr>
        <w:t>s</w:t>
      </w:r>
      <w:r w:rsidR="00363E13" w:rsidRPr="00E54415">
        <w:rPr>
          <w:lang w:eastAsia="en-GB"/>
        </w:rPr>
        <w:t xml:space="preserve">, </w:t>
      </w:r>
      <w:r w:rsidR="00055E49" w:rsidRPr="00E54415">
        <w:t>with</w:t>
      </w:r>
      <w:r w:rsidR="006036ED" w:rsidRPr="00E54415">
        <w:t xml:space="preserve"> s</w:t>
      </w:r>
      <w:r w:rsidR="006036ED" w:rsidRPr="00E54415">
        <w:rPr>
          <w:lang w:eastAsia="en-GB"/>
        </w:rPr>
        <w:t>uggest</w:t>
      </w:r>
      <w:r w:rsidR="00055E49" w:rsidRPr="00E54415">
        <w:rPr>
          <w:lang w:eastAsia="en-GB"/>
        </w:rPr>
        <w:t>ed</w:t>
      </w:r>
      <w:r w:rsidR="006036ED" w:rsidRPr="00E54415">
        <w:rPr>
          <w:lang w:eastAsia="en-GB"/>
        </w:rPr>
        <w:t xml:space="preserve"> points of discussion/key guiding questions</w:t>
      </w:r>
      <w:r w:rsidR="00055E49" w:rsidRPr="00E54415">
        <w:rPr>
          <w:lang w:eastAsia="en-GB"/>
        </w:rPr>
        <w:t xml:space="preserve"> provided for each of them</w:t>
      </w:r>
      <w:r w:rsidR="00070A38" w:rsidRPr="00E54415">
        <w:rPr>
          <w:lang w:eastAsia="en-GB"/>
        </w:rPr>
        <w:t xml:space="preserve">. </w:t>
      </w:r>
      <w:r w:rsidR="00457B88" w:rsidRPr="00E54415">
        <w:rPr>
          <w:lang w:eastAsia="en-GB"/>
        </w:rPr>
        <w:t xml:space="preserve">The document ends with </w:t>
      </w:r>
      <w:r w:rsidR="00457B88" w:rsidRPr="00E54415">
        <w:t xml:space="preserve">an initial outline of the programme for the high-level thematic </w:t>
      </w:r>
      <w:r w:rsidR="00457B88" w:rsidRPr="00E54415">
        <w:lastRenderedPageBreak/>
        <w:t xml:space="preserve">event and </w:t>
      </w:r>
      <w:r w:rsidR="009C18D0" w:rsidRPr="00E54415">
        <w:t>a</w:t>
      </w:r>
      <w:r w:rsidR="00457B88" w:rsidRPr="00E54415">
        <w:t>n indicative timeline for the preparatory steps for the thematic event and its background paper</w:t>
      </w:r>
      <w:r w:rsidR="001547FB" w:rsidRPr="00E54415">
        <w:rPr>
          <w:lang w:eastAsia="en-GB"/>
        </w:rPr>
        <w:t>.</w:t>
      </w:r>
    </w:p>
    <w:p w14:paraId="384F04A3" w14:textId="4A76153C" w:rsidR="00687E40" w:rsidRDefault="00240E74" w:rsidP="00240E74">
      <w:pPr>
        <w:pStyle w:val="H1G"/>
      </w:pPr>
      <w:r>
        <w:tab/>
      </w:r>
      <w:r w:rsidR="00687E40" w:rsidRPr="00F9298F">
        <w:t>B.</w:t>
      </w:r>
      <w:r w:rsidR="00687E40" w:rsidRPr="00F9298F">
        <w:tab/>
      </w:r>
      <w:r w:rsidR="00786A48" w:rsidRPr="00F9298F">
        <w:t>Relevant provisions and practices under each instrument</w:t>
      </w:r>
    </w:p>
    <w:p w14:paraId="38824292" w14:textId="7841ABA4" w:rsidR="00786A48" w:rsidRPr="00355C6A" w:rsidRDefault="007D0D55" w:rsidP="00A835AB">
      <w:pPr>
        <w:pStyle w:val="SingleTxtG"/>
        <w:rPr>
          <w:rFonts w:asciiTheme="majorBidi" w:hAnsiTheme="majorBidi" w:cstheme="majorBidi"/>
        </w:rPr>
      </w:pPr>
      <w:r w:rsidRPr="00355C6A">
        <w:rPr>
          <w:rFonts w:asciiTheme="majorBidi" w:hAnsiTheme="majorBidi" w:cstheme="majorBidi"/>
        </w:rPr>
        <w:t>5.</w:t>
      </w:r>
      <w:r w:rsidRPr="00355C6A">
        <w:rPr>
          <w:rFonts w:asciiTheme="majorBidi" w:hAnsiTheme="majorBidi" w:cstheme="majorBidi"/>
        </w:rPr>
        <w:tab/>
      </w:r>
      <w:r w:rsidR="00212C63" w:rsidRPr="00E54415">
        <w:rPr>
          <w:lang w:eastAsia="en-GB"/>
        </w:rPr>
        <w:t xml:space="preserve">The Espoo Convention and its Protocol on Strategic Environmental Assessment were elaborated under the auspices of the United Nations Economic Commission for Europe (ECE). The Protocol is accessible to all State Members of the United Nations, and the Convention is expected to become a global instrument in the next few years. The two treaties offer international legal frameworks and </w:t>
      </w:r>
      <w:r w:rsidR="000D7EE5" w:rsidRPr="00E54415">
        <w:rPr>
          <w:lang w:eastAsia="en-GB"/>
        </w:rPr>
        <w:t>well-established</w:t>
      </w:r>
      <w:r w:rsidR="00212C63" w:rsidRPr="00E54415">
        <w:rPr>
          <w:lang w:eastAsia="en-GB"/>
        </w:rPr>
        <w:t xml:space="preserve"> practical procedures for preventing, controlling and mitigating adverse cross-border environmental impacts of projects; and for ensuring that, environmental, including health, considerations are thoroughly taken into account in plans and programmes, and possibly to policies and legislation, respectively. Both instruments apply across multiple economic sectors, contribute to environmental governance and transparency in planning and decision-making, through their requirements for public participation and stakeholder consultation, and promote international cooperation. Transboundary </w:t>
      </w:r>
      <w:r w:rsidR="006F72D8">
        <w:rPr>
          <w:lang w:eastAsia="en-GB"/>
        </w:rPr>
        <w:t>Environmental Impact Assessment</w:t>
      </w:r>
      <w:r w:rsidR="00212C63" w:rsidRPr="00E54415">
        <w:rPr>
          <w:lang w:eastAsia="en-GB"/>
        </w:rPr>
        <w:t xml:space="preserve"> under the Convention and </w:t>
      </w:r>
      <w:r w:rsidR="006F72D8">
        <w:rPr>
          <w:lang w:eastAsia="en-GB"/>
        </w:rPr>
        <w:t>Strategic Environmental Assessment</w:t>
      </w:r>
      <w:r w:rsidR="00212C63" w:rsidRPr="00E54415">
        <w:rPr>
          <w:lang w:eastAsia="en-GB"/>
        </w:rPr>
        <w:t xml:space="preserve"> under the Protocol are actively used by their Parties to green projects, plans and programmes, including in the field of energy, and have the potential to play an increasingly important role in promoting energy transition and circular economy and in creating enabling conditions for green financing within the ECE region and globally. </w:t>
      </w:r>
      <w:r w:rsidR="0091636E">
        <w:rPr>
          <w:lang w:eastAsia="en-GB"/>
        </w:rPr>
        <w:t xml:space="preserve">ECE is also </w:t>
      </w:r>
      <w:r w:rsidR="005E5BE1">
        <w:rPr>
          <w:lang w:eastAsia="en-GB"/>
        </w:rPr>
        <w:t xml:space="preserve">developing an assessment report on the identification of synergies and possible cooperation activities in marine regions, </w:t>
      </w:r>
      <w:r w:rsidR="00F131F5">
        <w:rPr>
          <w:lang w:eastAsia="en-GB"/>
        </w:rPr>
        <w:t>focussing on regional sea conven</w:t>
      </w:r>
      <w:r w:rsidR="005E383F">
        <w:rPr>
          <w:lang w:eastAsia="en-GB"/>
        </w:rPr>
        <w:t>t</w:t>
      </w:r>
      <w:r w:rsidR="00F131F5">
        <w:rPr>
          <w:lang w:eastAsia="en-GB"/>
        </w:rPr>
        <w:t>ions or bodies</w:t>
      </w:r>
      <w:r w:rsidR="00F131F5">
        <w:rPr>
          <w:rStyle w:val="FootnoteReference"/>
          <w:lang w:eastAsia="en-GB"/>
        </w:rPr>
        <w:footnoteReference w:id="5"/>
      </w:r>
      <w:r w:rsidR="00842D43">
        <w:rPr>
          <w:lang w:eastAsia="en-GB"/>
        </w:rPr>
        <w:t xml:space="preserve">; </w:t>
      </w:r>
      <w:r w:rsidR="00DE568E">
        <w:rPr>
          <w:lang w:eastAsia="en-GB"/>
        </w:rPr>
        <w:t xml:space="preserve">recognising the </w:t>
      </w:r>
      <w:r w:rsidR="00C67967">
        <w:rPr>
          <w:lang w:eastAsia="en-GB"/>
        </w:rPr>
        <w:t>importance</w:t>
      </w:r>
      <w:r w:rsidR="00DE568E">
        <w:rPr>
          <w:lang w:eastAsia="en-GB"/>
        </w:rPr>
        <w:t xml:space="preserve"> o</w:t>
      </w:r>
      <w:r w:rsidR="004D4958">
        <w:rPr>
          <w:lang w:eastAsia="en-GB"/>
        </w:rPr>
        <w:t xml:space="preserve">f marine regions for hosting renewable energy infrastructure, there is potential for some integration of </w:t>
      </w:r>
      <w:r w:rsidR="00C67967">
        <w:rPr>
          <w:lang w:eastAsia="en-GB"/>
        </w:rPr>
        <w:t xml:space="preserve">findings from this background paper into the “way forward” </w:t>
      </w:r>
      <w:r w:rsidR="00D7155B">
        <w:rPr>
          <w:lang w:eastAsia="en-GB"/>
        </w:rPr>
        <w:t>planning coming from that process, and vice versa</w:t>
      </w:r>
      <w:r w:rsidR="00F131F5">
        <w:rPr>
          <w:lang w:eastAsia="en-GB"/>
        </w:rPr>
        <w:t xml:space="preserve">. </w:t>
      </w:r>
    </w:p>
    <w:p w14:paraId="3736D94E" w14:textId="3A5F620F" w:rsidR="00786A48" w:rsidRPr="00E54415" w:rsidRDefault="007D0D55" w:rsidP="00A835AB">
      <w:pPr>
        <w:pStyle w:val="SingleTxtG"/>
      </w:pPr>
      <w:r w:rsidRPr="00E54415">
        <w:rPr>
          <w:sz w:val="22"/>
          <w:szCs w:val="22"/>
        </w:rPr>
        <w:t>6.</w:t>
      </w:r>
      <w:r w:rsidRPr="00E54415">
        <w:rPr>
          <w:sz w:val="22"/>
          <w:szCs w:val="22"/>
        </w:rPr>
        <w:tab/>
      </w:r>
      <w:r w:rsidR="00BA13FF" w:rsidRPr="00E54415">
        <w:t xml:space="preserve">A brief explanation of the </w:t>
      </w:r>
      <w:r w:rsidR="006208AA" w:rsidRPr="00E54415">
        <w:t xml:space="preserve">relevant provisions of the Convention and the </w:t>
      </w:r>
      <w:r w:rsidR="00C07310" w:rsidRPr="00E54415">
        <w:t>P</w:t>
      </w:r>
      <w:r w:rsidR="006208AA" w:rsidRPr="00E54415">
        <w:t>rotocol will be included in this section.</w:t>
      </w:r>
    </w:p>
    <w:p w14:paraId="2889BA67" w14:textId="0FAC0636" w:rsidR="00A65CD7" w:rsidRPr="00F9298F" w:rsidRDefault="00A835AB" w:rsidP="00A835AB">
      <w:pPr>
        <w:pStyle w:val="H1G"/>
      </w:pPr>
      <w:r>
        <w:tab/>
      </w:r>
      <w:r w:rsidR="00786A48" w:rsidRPr="00F9298F">
        <w:t>C</w:t>
      </w:r>
      <w:r w:rsidR="00A65CD7" w:rsidRPr="00F9298F">
        <w:t>.</w:t>
      </w:r>
      <w:r w:rsidR="00A65CD7" w:rsidRPr="00F9298F">
        <w:tab/>
        <w:t>Energy transition</w:t>
      </w:r>
    </w:p>
    <w:p w14:paraId="0F76F9C9" w14:textId="6DC85B31" w:rsidR="002B251B" w:rsidRPr="00106098" w:rsidRDefault="007D0D55" w:rsidP="00833796">
      <w:pPr>
        <w:pStyle w:val="SingleTxtG"/>
      </w:pPr>
      <w:r w:rsidRPr="00106098">
        <w:t>7.</w:t>
      </w:r>
      <w:r w:rsidRPr="00106098">
        <w:tab/>
      </w:r>
      <w:r w:rsidR="00FC635E">
        <w:t>The issues under the</w:t>
      </w:r>
      <w:r w:rsidR="000033AC" w:rsidRPr="00106098">
        <w:t xml:space="preserve"> topic of energy transition </w:t>
      </w:r>
      <w:r w:rsidR="002268F1" w:rsidRPr="00106098">
        <w:t xml:space="preserve">will be </w:t>
      </w:r>
      <w:r w:rsidR="00384871" w:rsidRPr="00106098">
        <w:t>introduced</w:t>
      </w:r>
      <w:r w:rsidR="002268F1" w:rsidRPr="00106098">
        <w:t xml:space="preserve"> under three headings</w:t>
      </w:r>
      <w:r w:rsidR="00FC635E">
        <w:t xml:space="preserve"> as set out below, with an initial introduction to the key </w:t>
      </w:r>
      <w:r w:rsidR="006A6F6A">
        <w:t>areas of focus</w:t>
      </w:r>
      <w:r w:rsidR="00FC635E">
        <w:t xml:space="preserve">. </w:t>
      </w:r>
    </w:p>
    <w:p w14:paraId="01F5D221" w14:textId="460F2E99" w:rsidR="00384871" w:rsidRPr="00106098" w:rsidRDefault="006337FE" w:rsidP="006337FE">
      <w:pPr>
        <w:pStyle w:val="H23G"/>
      </w:pPr>
      <w:r>
        <w:tab/>
        <w:t>1.</w:t>
      </w:r>
      <w:r>
        <w:tab/>
      </w:r>
      <w:r w:rsidR="002268F1" w:rsidRPr="00106098">
        <w:t>What is an energy transition? /Introduction to the concept</w:t>
      </w:r>
      <w:r w:rsidR="00384871" w:rsidRPr="00106098">
        <w:t xml:space="preserve"> </w:t>
      </w:r>
    </w:p>
    <w:p w14:paraId="4993DCB9" w14:textId="41604ADD" w:rsidR="00017506" w:rsidRPr="00106098" w:rsidRDefault="007D0D55" w:rsidP="00833796">
      <w:pPr>
        <w:pStyle w:val="SingleTxtG"/>
      </w:pPr>
      <w:r w:rsidRPr="00106098">
        <w:t>8.</w:t>
      </w:r>
      <w:r w:rsidRPr="00106098">
        <w:tab/>
      </w:r>
      <w:r w:rsidR="00017506" w:rsidRPr="00106098">
        <w:t>Transition is defined by the Intergovernmental Panel on Climate Change in their sixth assessment report as “</w:t>
      </w:r>
      <w:r w:rsidR="00017506" w:rsidRPr="00106098">
        <w:rPr>
          <w:i/>
          <w:iCs/>
        </w:rPr>
        <w:t>The process of changing from one state or condition to another in a given period of time. Transition can occur in individuals, firms, cities, regions and nations, and can be based on incremental or transformative change</w:t>
      </w:r>
      <w:r w:rsidR="00017506" w:rsidRPr="00106098">
        <w:t>”</w:t>
      </w:r>
      <w:r w:rsidR="00017506" w:rsidRPr="00106098">
        <w:rPr>
          <w:rStyle w:val="FootnoteReference"/>
          <w:sz w:val="20"/>
        </w:rPr>
        <w:footnoteReference w:id="6"/>
      </w:r>
      <w:r w:rsidR="00017506" w:rsidRPr="00106098">
        <w:t>. Sustainable Development Goal 7</w:t>
      </w:r>
      <w:r w:rsidR="00017506" w:rsidRPr="00106098">
        <w:rPr>
          <w:rStyle w:val="FootnoteReference"/>
          <w:sz w:val="20"/>
        </w:rPr>
        <w:footnoteReference w:id="7"/>
      </w:r>
      <w:r w:rsidR="00017506" w:rsidRPr="00106098">
        <w:t xml:space="preserve"> aims, by 2030, to ensure universal access to energy, substantially increase the renewable energy share, double the rate of improvement of energy efficiency, enhance international cooperation to facilitate access to clean energy, and expand infrastructure and upgrade technology for supplying modern and sustainable energy services for all developing countries. A key pillar in the energy transition is therefore a global shift towards renewable energy.</w:t>
      </w:r>
    </w:p>
    <w:p w14:paraId="23CFB79E" w14:textId="54EF6B62" w:rsidR="00384871" w:rsidRDefault="006337FE" w:rsidP="006337FE">
      <w:pPr>
        <w:pStyle w:val="H23G"/>
      </w:pPr>
      <w:r>
        <w:lastRenderedPageBreak/>
        <w:tab/>
        <w:t>2</w:t>
      </w:r>
      <w:r w:rsidR="007D0D55">
        <w:t>.</w:t>
      </w:r>
      <w:r w:rsidR="007D0D55">
        <w:tab/>
      </w:r>
      <w:r w:rsidR="00384871" w:rsidRPr="007F72E4">
        <w:t xml:space="preserve">Policy frameworks, goals and targets for energy </w:t>
      </w:r>
      <w:r w:rsidR="006E7358" w:rsidRPr="007F72E4">
        <w:t>transition</w:t>
      </w:r>
    </w:p>
    <w:p w14:paraId="4EB7AC80" w14:textId="1F63D8AE" w:rsidR="004D7581" w:rsidRPr="00106098" w:rsidRDefault="007D0D55" w:rsidP="006337FE">
      <w:pPr>
        <w:pStyle w:val="SingleTxtG"/>
      </w:pPr>
      <w:r w:rsidRPr="00106098">
        <w:t>9.</w:t>
      </w:r>
      <w:r w:rsidRPr="00106098">
        <w:tab/>
      </w:r>
      <w:r w:rsidR="004D7581" w:rsidRPr="00106098">
        <w:t>The 2015 Paris Agreement goal</w:t>
      </w:r>
      <w:r w:rsidR="004D7581" w:rsidRPr="00106098">
        <w:rPr>
          <w:rStyle w:val="FootnoteReference"/>
          <w:sz w:val="20"/>
        </w:rPr>
        <w:footnoteReference w:id="8"/>
      </w:r>
      <w:r w:rsidR="004D7581" w:rsidRPr="00106098">
        <w:t xml:space="preserve"> is to reduce energy-related CO</w:t>
      </w:r>
      <w:r w:rsidR="004D7581" w:rsidRPr="00106098">
        <w:rPr>
          <w:vertAlign w:val="subscript"/>
        </w:rPr>
        <w:t>2</w:t>
      </w:r>
      <w:r w:rsidR="004D7581" w:rsidRPr="00106098">
        <w:t xml:space="preserve"> emissions such that global mean temperature rises are held well below 2 </w:t>
      </w:r>
      <w:r w:rsidR="004D7581" w:rsidRPr="00106098">
        <w:rPr>
          <w:vertAlign w:val="superscript"/>
        </w:rPr>
        <w:t>0</w:t>
      </w:r>
      <w:r w:rsidR="004D7581" w:rsidRPr="00106098">
        <w:t>C, and that efforts are pursued to limit the rise to within 1.5</w:t>
      </w:r>
      <w:r w:rsidR="004D7581" w:rsidRPr="00106098">
        <w:rPr>
          <w:vertAlign w:val="superscript"/>
        </w:rPr>
        <w:t>0</w:t>
      </w:r>
      <w:r w:rsidR="004D7581" w:rsidRPr="00106098">
        <w:t xml:space="preserve">C of pre-industrial levels. </w:t>
      </w:r>
    </w:p>
    <w:p w14:paraId="4C748DB0" w14:textId="79B7E89D" w:rsidR="00017506" w:rsidRPr="00106098" w:rsidRDefault="007D0D55" w:rsidP="006337FE">
      <w:pPr>
        <w:pStyle w:val="SingleTxtG"/>
      </w:pPr>
      <w:r w:rsidRPr="00106098">
        <w:t>10.</w:t>
      </w:r>
      <w:r w:rsidRPr="00106098">
        <w:tab/>
      </w:r>
      <w:r w:rsidR="00017506" w:rsidRPr="00106098">
        <w:t>The Energy Transitions Commission calculate that global capital investment will need to average $3.5 trillion per annum between 2023 and 2050 (from starting levels between $0.9-1.2 trillion)</w:t>
      </w:r>
      <w:r w:rsidR="00017506" w:rsidRPr="00106098">
        <w:rPr>
          <w:rStyle w:val="FootnoteReference"/>
          <w:sz w:val="20"/>
        </w:rPr>
        <w:footnoteReference w:id="9"/>
      </w:r>
      <w:r w:rsidR="00017506" w:rsidRPr="00106098">
        <w:t xml:space="preserve">. </w:t>
      </w:r>
      <w:r w:rsidR="00106098" w:rsidRPr="00106098">
        <w:t xml:space="preserve">The Convention and Protocol are therefore well placed to assess the potential impacts resulting from the plans, programmes and projects resulting from this investment. Green financing rules are also being adopted worldwide to ensure the sustainable allocation of investments </w:t>
      </w:r>
      <w:r w:rsidR="00017506" w:rsidRPr="00106098">
        <w:t>(</w:t>
      </w:r>
      <w:r w:rsidR="00106098" w:rsidRPr="00106098">
        <w:t>see</w:t>
      </w:r>
      <w:r w:rsidR="00017506" w:rsidRPr="00106098">
        <w:t xml:space="preserve"> section </w:t>
      </w:r>
      <w:r w:rsidR="004D7581" w:rsidRPr="00106098">
        <w:t>E</w:t>
      </w:r>
      <w:r w:rsidR="00017506" w:rsidRPr="00106098">
        <w:t xml:space="preserve">). </w:t>
      </w:r>
      <w:r w:rsidR="004D7581" w:rsidRPr="00106098">
        <w:t xml:space="preserve">Furthermore, the </w:t>
      </w:r>
      <w:r w:rsidR="00017506" w:rsidRPr="00106098">
        <w:t>European Green Deal</w:t>
      </w:r>
      <w:r w:rsidR="00106098" w:rsidRPr="00106098">
        <w:t>, as one example of a strategy for delivering the energy transi</w:t>
      </w:r>
      <w:r w:rsidR="00526CF6">
        <w:t>ti</w:t>
      </w:r>
      <w:r w:rsidR="00106098" w:rsidRPr="00106098">
        <w:t>on,</w:t>
      </w:r>
      <w:r w:rsidR="00017506" w:rsidRPr="00106098">
        <w:t xml:space="preserve"> incorporates a circular economy action plan adopted in 2020</w:t>
      </w:r>
      <w:r w:rsidR="00017506" w:rsidRPr="00106098">
        <w:rPr>
          <w:rStyle w:val="FootnoteReference"/>
          <w:sz w:val="20"/>
        </w:rPr>
        <w:footnoteReference w:id="10"/>
      </w:r>
      <w:r w:rsidR="00017506" w:rsidRPr="00106098">
        <w:t xml:space="preserve"> (see section</w:t>
      </w:r>
      <w:r w:rsidR="004D7581" w:rsidRPr="00106098">
        <w:t xml:space="preserve"> </w:t>
      </w:r>
      <w:r w:rsidR="00AB01F4">
        <w:t>D</w:t>
      </w:r>
      <w:r w:rsidR="004D7581" w:rsidRPr="00106098">
        <w:t>). Therefore, the three topics of energy transition, circular economy, and green financing are interlinked.</w:t>
      </w:r>
    </w:p>
    <w:p w14:paraId="312A5DE9" w14:textId="544B3815" w:rsidR="00B7491F" w:rsidRPr="00654282" w:rsidRDefault="00654282" w:rsidP="00654282">
      <w:pPr>
        <w:pStyle w:val="H23G"/>
      </w:pPr>
      <w:r>
        <w:tab/>
        <w:t>3</w:t>
      </w:r>
      <w:r w:rsidR="007D0D55" w:rsidRPr="00654282">
        <w:t>.</w:t>
      </w:r>
      <w:r w:rsidR="007D0D55" w:rsidRPr="00654282">
        <w:tab/>
      </w:r>
      <w:r>
        <w:tab/>
      </w:r>
      <w:r w:rsidR="00384871" w:rsidRPr="00654282">
        <w:t xml:space="preserve">Role, benefits and further potential of the Convention and Protocol in promoting energy </w:t>
      </w:r>
      <w:r w:rsidR="006E7358" w:rsidRPr="00654282">
        <w:t>transition</w:t>
      </w:r>
    </w:p>
    <w:p w14:paraId="54090AC4" w14:textId="579BCB96" w:rsidR="006E7358" w:rsidRPr="00106098" w:rsidRDefault="007D0D55" w:rsidP="006337FE">
      <w:pPr>
        <w:pStyle w:val="SingleTxtG"/>
      </w:pPr>
      <w:r w:rsidRPr="00106098">
        <w:rPr>
          <w:sz w:val="22"/>
          <w:szCs w:val="22"/>
        </w:rPr>
        <w:t>11.</w:t>
      </w:r>
      <w:r w:rsidRPr="00106098">
        <w:rPr>
          <w:sz w:val="22"/>
          <w:szCs w:val="22"/>
        </w:rPr>
        <w:tab/>
      </w:r>
      <w:r w:rsidR="006E7358" w:rsidRPr="00106098">
        <w:t xml:space="preserve">Considerable investment in new energy infrastructure is expected as part of the energy transition and many of the proposals for new infrastructure will likely cross national borders and therefore require transboundary </w:t>
      </w:r>
      <w:r w:rsidR="0094099B">
        <w:t>e</w:t>
      </w:r>
      <w:r w:rsidR="00871A50">
        <w:t xml:space="preserve">nvironmental </w:t>
      </w:r>
      <w:r w:rsidR="0094099B">
        <w:t>i</w:t>
      </w:r>
      <w:r w:rsidR="00871A50">
        <w:t xml:space="preserve">mpact </w:t>
      </w:r>
      <w:r w:rsidR="0094099B">
        <w:t>a</w:t>
      </w:r>
      <w:r w:rsidR="00871A50">
        <w:t>ssessment</w:t>
      </w:r>
      <w:r w:rsidR="006E7358" w:rsidRPr="00106098">
        <w:t>. Within this context, it is notable that wind farms accounted for the largest number of transboundary consultation procedures by a considerable margin that took place between 2019-2021, according to data reported by the Parties to the Convention</w:t>
      </w:r>
      <w:r w:rsidR="00852A8D">
        <w:rPr>
          <w:rStyle w:val="FootnoteReference"/>
        </w:rPr>
        <w:footnoteReference w:id="11"/>
      </w:r>
      <w:r w:rsidR="006E7358" w:rsidRPr="00106098">
        <w:t>. This indicates that the Convention is already playing an important role in the energy transition</w:t>
      </w:r>
      <w:r w:rsidR="00106098">
        <w:t>.</w:t>
      </w:r>
    </w:p>
    <w:p w14:paraId="4E4A0AFE" w14:textId="769BF1E5" w:rsidR="006E7358" w:rsidRPr="006E7358" w:rsidRDefault="007D0D55" w:rsidP="006337FE">
      <w:pPr>
        <w:pStyle w:val="SingleTxtG"/>
      </w:pPr>
      <w:r w:rsidRPr="006E7358">
        <w:rPr>
          <w:sz w:val="22"/>
          <w:szCs w:val="22"/>
        </w:rPr>
        <w:t>12.</w:t>
      </w:r>
      <w:r w:rsidRPr="006E7358">
        <w:rPr>
          <w:sz w:val="22"/>
          <w:szCs w:val="22"/>
        </w:rPr>
        <w:tab/>
      </w:r>
      <w:r w:rsidR="006E7358" w:rsidRPr="006E7358">
        <w:t xml:space="preserve">Energy transition will necessarily involve a wide range of interventions, including plans, programmes and projects, in order to make the changes required to meet the obligations of the Paris Agreement. Both the Convention and Protocol contain a requirement to include mitigation measures in the environmental reports produced. Whilst both the Convention and </w:t>
      </w:r>
      <w:r w:rsidR="0094099B">
        <w:t xml:space="preserve">the </w:t>
      </w:r>
      <w:r w:rsidR="006E7358" w:rsidRPr="006E7358">
        <w:t xml:space="preserve">Protocol require a consideration of climate impacts, there is less clarification over the scope of ‘climate’ than is found in, for example, the </w:t>
      </w:r>
      <w:r w:rsidR="00106098">
        <w:t>European Union</w:t>
      </w:r>
      <w:r w:rsidR="006E7358" w:rsidRPr="006E7358">
        <w:t xml:space="preserve"> </w:t>
      </w:r>
      <w:r w:rsidR="00106098">
        <w:t>Environmental Impact Assessment</w:t>
      </w:r>
      <w:r w:rsidR="006E7358" w:rsidRPr="006E7358">
        <w:t xml:space="preserve"> Directive which refers to the need to consider adaptation to climate change, vulnerability to climate change, and to include the nature and magnitude of greenhouse gas emissions</w:t>
      </w:r>
      <w:r w:rsidR="006E7358" w:rsidRPr="006E7358">
        <w:rPr>
          <w:rStyle w:val="FootnoteReference"/>
          <w:sz w:val="20"/>
        </w:rPr>
        <w:footnoteReference w:id="12"/>
      </w:r>
      <w:r w:rsidR="006E7358" w:rsidRPr="006E7358">
        <w:t>.</w:t>
      </w:r>
      <w:r w:rsidR="00106098">
        <w:t xml:space="preserve"> </w:t>
      </w:r>
      <w:r w:rsidR="00467C98">
        <w:t xml:space="preserve">Green finance requirements introduced through green finance </w:t>
      </w:r>
      <w:r w:rsidR="00467C98">
        <w:lastRenderedPageBreak/>
        <w:t xml:space="preserve">taxonomies </w:t>
      </w:r>
      <w:r w:rsidR="00523DCA">
        <w:t>(f</w:t>
      </w:r>
      <w:r w:rsidR="00467C98">
        <w:t>or example</w:t>
      </w:r>
      <w:r w:rsidR="00523DCA">
        <w:t>,</w:t>
      </w:r>
      <w:r w:rsidR="00467C98">
        <w:t xml:space="preserve"> the European Union Taxonomy</w:t>
      </w:r>
      <w:r w:rsidR="00467C98">
        <w:rPr>
          <w:rStyle w:val="FootnoteReference"/>
        </w:rPr>
        <w:footnoteReference w:id="13"/>
      </w:r>
      <w:r w:rsidR="00467C98">
        <w:t>) also include equivalent emphasis on climate adaptation as well as climate mitigation</w:t>
      </w:r>
      <w:r w:rsidR="004F3399">
        <w:t xml:space="preserve">, as do </w:t>
      </w:r>
      <w:r w:rsidR="004F3399" w:rsidRPr="00355C6A">
        <w:t>emerging international sustainability reporting standards</w:t>
      </w:r>
      <w:r w:rsidR="00467C98" w:rsidRPr="00EB408B">
        <w:t xml:space="preserve"> (see section E</w:t>
      </w:r>
      <w:r w:rsidR="0094099B" w:rsidRPr="00EB408B">
        <w:t xml:space="preserve"> below</w:t>
      </w:r>
      <w:r w:rsidR="00467C98" w:rsidRPr="00EB408B">
        <w:t xml:space="preserve">), </w:t>
      </w:r>
      <w:r w:rsidR="00467C98">
        <w:t xml:space="preserve">which </w:t>
      </w:r>
      <w:r w:rsidR="00E82CA0">
        <w:t>are broader in scope than</w:t>
      </w:r>
      <w:r w:rsidR="00333639">
        <w:t xml:space="preserve"> assessment requirements under</w:t>
      </w:r>
      <w:r w:rsidR="00467C98">
        <w:t xml:space="preserve"> the Convention and Protocol. </w:t>
      </w:r>
    </w:p>
    <w:p w14:paraId="099496AE" w14:textId="28A254CD" w:rsidR="006E7358" w:rsidRPr="006E7358" w:rsidRDefault="007D0D55" w:rsidP="006337FE">
      <w:pPr>
        <w:pStyle w:val="SingleTxtG"/>
      </w:pPr>
      <w:r w:rsidRPr="006E7358">
        <w:rPr>
          <w:sz w:val="22"/>
          <w:szCs w:val="22"/>
        </w:rPr>
        <w:t>13.</w:t>
      </w:r>
      <w:r w:rsidRPr="006E7358">
        <w:rPr>
          <w:sz w:val="22"/>
          <w:szCs w:val="22"/>
        </w:rPr>
        <w:tab/>
      </w:r>
      <w:r w:rsidR="006E7358" w:rsidRPr="006E7358">
        <w:t>Many businesses worldwide make use of the Greenhouse Gas Protocol</w:t>
      </w:r>
      <w:r w:rsidR="006E7358" w:rsidRPr="006E7358">
        <w:rPr>
          <w:rStyle w:val="FootnoteReference"/>
          <w:sz w:val="20"/>
        </w:rPr>
        <w:footnoteReference w:id="14"/>
      </w:r>
      <w:r w:rsidR="006E7358" w:rsidRPr="006E7358">
        <w:t xml:space="preserve"> to help account for and manage their emissions through classification of emissions into three categories: </w:t>
      </w:r>
      <w:r w:rsidR="006E7358" w:rsidRPr="006E7358">
        <w:rPr>
          <w:spacing w:val="-3"/>
          <w:shd w:val="clear" w:color="auto" w:fill="FFFFFF"/>
        </w:rPr>
        <w:t xml:space="preserve">Scope 1 emissions </w:t>
      </w:r>
      <w:r w:rsidR="00FC635E">
        <w:rPr>
          <w:spacing w:val="-3"/>
          <w:shd w:val="clear" w:color="auto" w:fill="FFFFFF"/>
        </w:rPr>
        <w:t>are direct emissions</w:t>
      </w:r>
      <w:r w:rsidR="006E7358" w:rsidRPr="006E7358">
        <w:rPr>
          <w:spacing w:val="-3"/>
          <w:shd w:val="clear" w:color="auto" w:fill="FFFFFF"/>
        </w:rPr>
        <w:t xml:space="preserve"> from operations of a business (including the fleet transport and emissions from manufacturing processes), Scope 2 emissions </w:t>
      </w:r>
      <w:r w:rsidR="00FC635E">
        <w:rPr>
          <w:spacing w:val="-3"/>
          <w:shd w:val="clear" w:color="auto" w:fill="FFFFFF"/>
        </w:rPr>
        <w:t>are indirect emissions</w:t>
      </w:r>
      <w:r w:rsidR="006E7358" w:rsidRPr="006E7358">
        <w:rPr>
          <w:spacing w:val="-3"/>
          <w:shd w:val="clear" w:color="auto" w:fill="FFFFFF"/>
        </w:rPr>
        <w:t xml:space="preserve"> </w:t>
      </w:r>
      <w:r w:rsidR="00FC635E">
        <w:rPr>
          <w:spacing w:val="-3"/>
          <w:shd w:val="clear" w:color="auto" w:fill="FFFFFF"/>
        </w:rPr>
        <w:t>(including any</w:t>
      </w:r>
      <w:r w:rsidR="006E7358" w:rsidRPr="006E7358">
        <w:rPr>
          <w:spacing w:val="-3"/>
          <w:shd w:val="clear" w:color="auto" w:fill="FFFFFF"/>
        </w:rPr>
        <w:t xml:space="preserve"> electricity/heating/cooling that is purchased</w:t>
      </w:r>
      <w:r w:rsidR="00FC635E">
        <w:rPr>
          <w:spacing w:val="-3"/>
          <w:shd w:val="clear" w:color="auto" w:fill="FFFFFF"/>
        </w:rPr>
        <w:t>)</w:t>
      </w:r>
      <w:r w:rsidR="006E7358" w:rsidRPr="006E7358">
        <w:rPr>
          <w:spacing w:val="-3"/>
          <w:shd w:val="clear" w:color="auto" w:fill="FFFFFF"/>
        </w:rPr>
        <w:t xml:space="preserve">, and Scope 3 emissions </w:t>
      </w:r>
      <w:r w:rsidR="0048265B">
        <w:rPr>
          <w:spacing w:val="-3"/>
          <w:shd w:val="clear" w:color="auto" w:fill="FFFFFF"/>
        </w:rPr>
        <w:t xml:space="preserve">are </w:t>
      </w:r>
      <w:r w:rsidR="00FC635E">
        <w:rPr>
          <w:spacing w:val="-3"/>
          <w:shd w:val="clear" w:color="auto" w:fill="FFFFFF"/>
        </w:rPr>
        <w:t>also indirect emission</w:t>
      </w:r>
      <w:r w:rsidR="00743019">
        <w:rPr>
          <w:spacing w:val="-3"/>
          <w:shd w:val="clear" w:color="auto" w:fill="FFFFFF"/>
        </w:rPr>
        <w:t>s</w:t>
      </w:r>
      <w:r w:rsidR="00FC635E">
        <w:rPr>
          <w:spacing w:val="-3"/>
          <w:shd w:val="clear" w:color="auto" w:fill="FFFFFF"/>
        </w:rPr>
        <w:t xml:space="preserve"> but are those from customers and suppliers </w:t>
      </w:r>
      <w:r w:rsidR="0048265B">
        <w:rPr>
          <w:spacing w:val="-3"/>
          <w:shd w:val="clear" w:color="auto" w:fill="FFFFFF"/>
        </w:rPr>
        <w:t>(</w:t>
      </w:r>
      <w:r w:rsidR="006E7358" w:rsidRPr="006E7358">
        <w:rPr>
          <w:spacing w:val="-3"/>
          <w:shd w:val="clear" w:color="auto" w:fill="FFFFFF"/>
        </w:rPr>
        <w:t>includ</w:t>
      </w:r>
      <w:r w:rsidR="0048265B">
        <w:rPr>
          <w:spacing w:val="-3"/>
          <w:shd w:val="clear" w:color="auto" w:fill="FFFFFF"/>
        </w:rPr>
        <w:t>ing</w:t>
      </w:r>
      <w:r w:rsidR="006E7358" w:rsidRPr="006E7358">
        <w:rPr>
          <w:spacing w:val="-3"/>
          <w:shd w:val="clear" w:color="auto" w:fill="FFFFFF"/>
        </w:rPr>
        <w:t xml:space="preserve"> everything emitted by suppliers and customers across the value chain of a business</w:t>
      </w:r>
      <w:r w:rsidR="0048265B">
        <w:rPr>
          <w:spacing w:val="-3"/>
          <w:shd w:val="clear" w:color="auto" w:fill="FFFFFF"/>
        </w:rPr>
        <w:t>)</w:t>
      </w:r>
      <w:r w:rsidR="006E7358" w:rsidRPr="006E7358">
        <w:rPr>
          <w:spacing w:val="-3"/>
          <w:shd w:val="clear" w:color="auto" w:fill="FFFFFF"/>
        </w:rPr>
        <w:t xml:space="preserve">. Scope 3 emissions are not explicitly listed in the Convention or Protocol as environmental impacts to be considered. The significant indirect impacts of a proposed project usually do have to be considered under other </w:t>
      </w:r>
      <w:r w:rsidR="00BB3FC4">
        <w:rPr>
          <w:spacing w:val="-3"/>
          <w:shd w:val="clear" w:color="auto" w:fill="FFFFFF"/>
        </w:rPr>
        <w:t>e</w:t>
      </w:r>
      <w:r w:rsidR="00FC635E">
        <w:rPr>
          <w:spacing w:val="-3"/>
          <w:shd w:val="clear" w:color="auto" w:fill="FFFFFF"/>
        </w:rPr>
        <w:t xml:space="preserve">nvironmental </w:t>
      </w:r>
      <w:r w:rsidR="00BB3FC4">
        <w:rPr>
          <w:spacing w:val="-3"/>
          <w:shd w:val="clear" w:color="auto" w:fill="FFFFFF"/>
        </w:rPr>
        <w:t>i</w:t>
      </w:r>
      <w:r w:rsidR="00FC635E">
        <w:rPr>
          <w:spacing w:val="-3"/>
          <w:shd w:val="clear" w:color="auto" w:fill="FFFFFF"/>
        </w:rPr>
        <w:t xml:space="preserve">mpact </w:t>
      </w:r>
      <w:r w:rsidR="00BB3FC4">
        <w:rPr>
          <w:spacing w:val="-3"/>
          <w:shd w:val="clear" w:color="auto" w:fill="FFFFFF"/>
        </w:rPr>
        <w:t>a</w:t>
      </w:r>
      <w:r w:rsidR="00FC635E">
        <w:rPr>
          <w:spacing w:val="-3"/>
          <w:shd w:val="clear" w:color="auto" w:fill="FFFFFF"/>
        </w:rPr>
        <w:t>ssessment</w:t>
      </w:r>
      <w:r w:rsidR="006E7358" w:rsidRPr="006E7358">
        <w:rPr>
          <w:spacing w:val="-3"/>
          <w:shd w:val="clear" w:color="auto" w:fill="FFFFFF"/>
        </w:rPr>
        <w:t xml:space="preserve"> legislation, for example, under </w:t>
      </w:r>
      <w:r w:rsidR="00797A6A">
        <w:rPr>
          <w:spacing w:val="-3"/>
          <w:shd w:val="clear" w:color="auto" w:fill="FFFFFF"/>
        </w:rPr>
        <w:t>a</w:t>
      </w:r>
      <w:r w:rsidR="006E7358" w:rsidRPr="006E7358">
        <w:rPr>
          <w:spacing w:val="-3"/>
          <w:shd w:val="clear" w:color="auto" w:fill="FFFFFF"/>
        </w:rPr>
        <w:t>rticle 3(1) of Directive 2011/92/EU on the assessment of the effects of certain public and private projects on the environment (as amended)</w:t>
      </w:r>
      <w:r w:rsidR="006E7358" w:rsidRPr="006E7358">
        <w:rPr>
          <w:rStyle w:val="FootnoteReference"/>
          <w:spacing w:val="-3"/>
          <w:sz w:val="20"/>
          <w:shd w:val="clear" w:color="auto" w:fill="FFFFFF"/>
        </w:rPr>
        <w:footnoteReference w:id="15"/>
      </w:r>
      <w:r w:rsidR="006E7358" w:rsidRPr="006E7358">
        <w:rPr>
          <w:spacing w:val="-3"/>
          <w:shd w:val="clear" w:color="auto" w:fill="FFFFFF"/>
        </w:rPr>
        <w:t>.</w:t>
      </w:r>
      <w:r w:rsidR="00FC635E">
        <w:rPr>
          <w:spacing w:val="-3"/>
          <w:shd w:val="clear" w:color="auto" w:fill="FFFFFF"/>
        </w:rPr>
        <w:t xml:space="preserve"> </w:t>
      </w:r>
      <w:r w:rsidR="00523DCA">
        <w:t xml:space="preserve">The lack of specific focus on Scope 3 emission in the Convention and Protocol could restrict the ability of assessments to gain the greatest benefits in terms of reduced emissions. </w:t>
      </w:r>
    </w:p>
    <w:p w14:paraId="246553F9" w14:textId="737D4A8F" w:rsidR="006E7358" w:rsidRPr="006E7358" w:rsidRDefault="007D0D55" w:rsidP="006337FE">
      <w:pPr>
        <w:pStyle w:val="SingleTxtG"/>
      </w:pPr>
      <w:r w:rsidRPr="006E7358">
        <w:rPr>
          <w:sz w:val="22"/>
          <w:szCs w:val="22"/>
        </w:rPr>
        <w:t>14.</w:t>
      </w:r>
      <w:r w:rsidRPr="006E7358">
        <w:rPr>
          <w:sz w:val="22"/>
          <w:szCs w:val="22"/>
        </w:rPr>
        <w:tab/>
      </w:r>
      <w:r w:rsidR="006E7358" w:rsidRPr="006E7358">
        <w:rPr>
          <w:spacing w:val="-3"/>
          <w:shd w:val="clear" w:color="auto" w:fill="FFFFFF"/>
        </w:rPr>
        <w:t xml:space="preserve">Taking the </w:t>
      </w:r>
      <w:r w:rsidR="00523DCA">
        <w:rPr>
          <w:spacing w:val="-3"/>
          <w:shd w:val="clear" w:color="auto" w:fill="FFFFFF"/>
        </w:rPr>
        <w:t>European Union</w:t>
      </w:r>
      <w:r w:rsidR="006E7358" w:rsidRPr="006E7358">
        <w:rPr>
          <w:spacing w:val="-3"/>
          <w:shd w:val="clear" w:color="auto" w:fill="FFFFFF"/>
        </w:rPr>
        <w:t xml:space="preserve"> as an example, many </w:t>
      </w:r>
      <w:r w:rsidR="00523DCA">
        <w:rPr>
          <w:spacing w:val="-3"/>
          <w:shd w:val="clear" w:color="auto" w:fill="FFFFFF"/>
        </w:rPr>
        <w:t>European Union</w:t>
      </w:r>
      <w:r w:rsidR="006E7358" w:rsidRPr="006E7358">
        <w:rPr>
          <w:spacing w:val="-3"/>
          <w:shd w:val="clear" w:color="auto" w:fill="FFFFFF"/>
        </w:rPr>
        <w:t xml:space="preserve"> Green Deal-related strategies focus on compensation, or offsetting. For example, </w:t>
      </w:r>
      <w:r w:rsidR="00743019">
        <w:rPr>
          <w:spacing w:val="-3"/>
          <w:shd w:val="clear" w:color="auto" w:fill="FFFFFF"/>
        </w:rPr>
        <w:t>t</w:t>
      </w:r>
      <w:r w:rsidR="006E7358" w:rsidRPr="006E7358">
        <w:rPr>
          <w:spacing w:val="-3"/>
          <w:shd w:val="clear" w:color="auto" w:fill="FFFFFF"/>
        </w:rPr>
        <w:t xml:space="preserve">he </w:t>
      </w:r>
      <w:r w:rsidR="00523DCA">
        <w:rPr>
          <w:spacing w:val="-3"/>
          <w:shd w:val="clear" w:color="auto" w:fill="FFFFFF"/>
        </w:rPr>
        <w:t>European Union</w:t>
      </w:r>
      <w:r w:rsidR="006E7358" w:rsidRPr="006E7358">
        <w:rPr>
          <w:spacing w:val="-3"/>
          <w:shd w:val="clear" w:color="auto" w:fill="FFFFFF"/>
        </w:rPr>
        <w:t xml:space="preserve"> ‘Fit for 55</w:t>
      </w:r>
      <w:r w:rsidR="00FC5C1B">
        <w:rPr>
          <w:rStyle w:val="FootnoteReference"/>
          <w:spacing w:val="-3"/>
          <w:shd w:val="clear" w:color="auto" w:fill="FFFFFF"/>
        </w:rPr>
        <w:footnoteReference w:id="16"/>
      </w:r>
      <w:r w:rsidR="006E7358" w:rsidRPr="006E7358">
        <w:rPr>
          <w:spacing w:val="-3"/>
          <w:shd w:val="clear" w:color="auto" w:fill="FFFFFF"/>
        </w:rPr>
        <w:t>’ package includes the removal of CO</w:t>
      </w:r>
      <w:r w:rsidR="006E7358" w:rsidRPr="006E7358">
        <w:rPr>
          <w:spacing w:val="-3"/>
          <w:shd w:val="clear" w:color="auto" w:fill="FFFFFF"/>
          <w:vertAlign w:val="subscript"/>
        </w:rPr>
        <w:t>2</w:t>
      </w:r>
      <w:r w:rsidR="006E7358" w:rsidRPr="006E7358">
        <w:rPr>
          <w:spacing w:val="-3"/>
          <w:shd w:val="clear" w:color="auto" w:fill="FFFFFF"/>
        </w:rPr>
        <w:t xml:space="preserve"> from the atmosphere, and a revised land use, land use change and forestry regulation was adopted in March 2023</w:t>
      </w:r>
      <w:r w:rsidR="006E7358" w:rsidRPr="006E7358">
        <w:rPr>
          <w:rStyle w:val="FootnoteReference"/>
          <w:spacing w:val="-3"/>
          <w:sz w:val="20"/>
          <w:shd w:val="clear" w:color="auto" w:fill="FFFFFF"/>
        </w:rPr>
        <w:footnoteReference w:id="17"/>
      </w:r>
      <w:r w:rsidR="006E7358" w:rsidRPr="006E7358">
        <w:rPr>
          <w:spacing w:val="-3"/>
          <w:shd w:val="clear" w:color="auto" w:fill="FFFFFF"/>
        </w:rPr>
        <w:t xml:space="preserve"> that set an increased </w:t>
      </w:r>
      <w:r w:rsidR="00523DCA">
        <w:rPr>
          <w:spacing w:val="-3"/>
          <w:shd w:val="clear" w:color="auto" w:fill="FFFFFF"/>
        </w:rPr>
        <w:t>European Union</w:t>
      </w:r>
      <w:r w:rsidR="006E7358" w:rsidRPr="006E7358">
        <w:rPr>
          <w:spacing w:val="-3"/>
          <w:shd w:val="clear" w:color="auto" w:fill="FFFFFF"/>
        </w:rPr>
        <w:t xml:space="preserve">-wide target for carbon removals in line with Paris Agreement commitments. The </w:t>
      </w:r>
      <w:r w:rsidR="00523DCA">
        <w:rPr>
          <w:spacing w:val="-3"/>
          <w:shd w:val="clear" w:color="auto" w:fill="FFFFFF"/>
        </w:rPr>
        <w:t>European Union</w:t>
      </w:r>
      <w:r w:rsidR="006E7358" w:rsidRPr="006E7358">
        <w:rPr>
          <w:spacing w:val="-3"/>
          <w:shd w:val="clear" w:color="auto" w:fill="FFFFFF"/>
        </w:rPr>
        <w:t xml:space="preserve"> Emissions Trading System</w:t>
      </w:r>
      <w:r w:rsidR="006E7358" w:rsidRPr="006E7358">
        <w:rPr>
          <w:rStyle w:val="FootnoteReference"/>
          <w:spacing w:val="-3"/>
          <w:sz w:val="20"/>
          <w:shd w:val="clear" w:color="auto" w:fill="FFFFFF"/>
        </w:rPr>
        <w:footnoteReference w:id="18"/>
      </w:r>
      <w:r w:rsidR="006E7358" w:rsidRPr="006E7358">
        <w:rPr>
          <w:spacing w:val="-3"/>
          <w:shd w:val="clear" w:color="auto" w:fill="FFFFFF"/>
        </w:rPr>
        <w:t xml:space="preserve">, as a cornerstone of </w:t>
      </w:r>
      <w:r w:rsidR="00523DCA">
        <w:rPr>
          <w:spacing w:val="-3"/>
          <w:shd w:val="clear" w:color="auto" w:fill="FFFFFF"/>
        </w:rPr>
        <w:t>European Union</w:t>
      </w:r>
      <w:r w:rsidR="006E7358" w:rsidRPr="006E7358">
        <w:rPr>
          <w:spacing w:val="-3"/>
          <w:shd w:val="clear" w:color="auto" w:fill="FFFFFF"/>
        </w:rPr>
        <w:t xml:space="preserve"> climate change policy, allows countries to trade emissions based on a cap-and-trade system. The </w:t>
      </w:r>
      <w:r w:rsidR="00523DCA">
        <w:rPr>
          <w:spacing w:val="-3"/>
          <w:shd w:val="clear" w:color="auto" w:fill="FFFFFF"/>
        </w:rPr>
        <w:t>European Union</w:t>
      </w:r>
      <w:r w:rsidR="006E7358" w:rsidRPr="006E7358">
        <w:rPr>
          <w:spacing w:val="-3"/>
          <w:shd w:val="clear" w:color="auto" w:fill="FFFFFF"/>
        </w:rPr>
        <w:t xml:space="preserve"> Biodiversity strategy for 2030</w:t>
      </w:r>
      <w:r w:rsidR="006E7358" w:rsidRPr="006E7358">
        <w:rPr>
          <w:rStyle w:val="FootnoteReference"/>
          <w:spacing w:val="-3"/>
          <w:sz w:val="20"/>
          <w:shd w:val="clear" w:color="auto" w:fill="FFFFFF"/>
        </w:rPr>
        <w:footnoteReference w:id="19"/>
      </w:r>
      <w:r w:rsidR="006E7358" w:rsidRPr="006E7358">
        <w:rPr>
          <w:spacing w:val="-3"/>
          <w:shd w:val="clear" w:color="auto" w:fill="FFFFFF"/>
        </w:rPr>
        <w:t xml:space="preserve"> states that “</w:t>
      </w:r>
      <w:r w:rsidR="006E7358" w:rsidRPr="006E7358">
        <w:rPr>
          <w:i/>
          <w:iCs/>
          <w:spacing w:val="-3"/>
          <w:shd w:val="clear" w:color="auto" w:fill="FFFFFF"/>
        </w:rPr>
        <w:t>the world should commit to the net-gain principle to give nature back more than it takes</w:t>
      </w:r>
      <w:r w:rsidR="006E7358" w:rsidRPr="006E7358">
        <w:rPr>
          <w:spacing w:val="-3"/>
          <w:shd w:val="clear" w:color="auto" w:fill="FFFFFF"/>
        </w:rPr>
        <w:t xml:space="preserve">”. Carbon removals through, for example, tree planting, are classed as compensation, or offsetting; the </w:t>
      </w:r>
      <w:r w:rsidR="00523DCA">
        <w:rPr>
          <w:spacing w:val="-3"/>
          <w:shd w:val="clear" w:color="auto" w:fill="FFFFFF"/>
        </w:rPr>
        <w:t>European Union</w:t>
      </w:r>
      <w:r w:rsidR="00523DCA" w:rsidRPr="006E7358">
        <w:rPr>
          <w:spacing w:val="-3"/>
          <w:shd w:val="clear" w:color="auto" w:fill="FFFFFF"/>
        </w:rPr>
        <w:t xml:space="preserve"> Emissions Trading System </w:t>
      </w:r>
      <w:r w:rsidR="006E7358" w:rsidRPr="006E7358">
        <w:rPr>
          <w:spacing w:val="-3"/>
          <w:shd w:val="clear" w:color="auto" w:fill="FFFFFF"/>
        </w:rPr>
        <w:t>is also a form of offsetting for some businesses; and biodiversity net gain is considered to be an offsetting strategy. This focus on offsetting contrasts with mitigation as defined under the Convention and the Protocol which does not include compensation or offsetting; this may be restrictive in terms of the ability of measures that might be proposed under the Convention and/or Protocol to help achieve other carbon-reduction commitments and is potentially inconsistent with other carbon reduction strategies.</w:t>
      </w:r>
    </w:p>
    <w:p w14:paraId="5E534B3A" w14:textId="3F8885AE" w:rsidR="006E7358" w:rsidRPr="006337FE" w:rsidRDefault="007D0D55" w:rsidP="006337FE">
      <w:pPr>
        <w:pStyle w:val="SingleTxtG"/>
      </w:pPr>
      <w:r w:rsidRPr="006E7358">
        <w:rPr>
          <w:sz w:val="22"/>
          <w:szCs w:val="22"/>
        </w:rPr>
        <w:t>15.</w:t>
      </w:r>
      <w:r w:rsidRPr="006E7358">
        <w:rPr>
          <w:sz w:val="22"/>
          <w:szCs w:val="22"/>
        </w:rPr>
        <w:tab/>
      </w:r>
      <w:r w:rsidR="00523DCA">
        <w:t>C</w:t>
      </w:r>
      <w:r w:rsidR="00215910">
        <w:t>on</w:t>
      </w:r>
      <w:r w:rsidR="00CC7142">
        <w:t>c</w:t>
      </w:r>
      <w:r w:rsidR="00215910">
        <w:t xml:space="preserve">erns have been raised globally over the time </w:t>
      </w:r>
      <w:r w:rsidR="00523DCA">
        <w:t>and cost implications of</w:t>
      </w:r>
      <w:r w:rsidR="00215910">
        <w:t xml:space="preserve"> conduct</w:t>
      </w:r>
      <w:r w:rsidR="00523DCA">
        <w:t>ing</w:t>
      </w:r>
      <w:r w:rsidR="00215910">
        <w:t xml:space="preserve"> </w:t>
      </w:r>
      <w:r w:rsidR="00743019">
        <w:t>e</w:t>
      </w:r>
      <w:r w:rsidR="006F72D8">
        <w:t xml:space="preserve">nvironmental </w:t>
      </w:r>
      <w:r w:rsidR="00743019">
        <w:t>i</w:t>
      </w:r>
      <w:r w:rsidR="006F72D8">
        <w:t xml:space="preserve">mpact </w:t>
      </w:r>
      <w:r w:rsidR="00743019">
        <w:t>a</w:t>
      </w:r>
      <w:r w:rsidR="006F72D8">
        <w:t>ssessment</w:t>
      </w:r>
      <w:r w:rsidR="00215910">
        <w:t>, and recent research has suggested a weakening o</w:t>
      </w:r>
      <w:r w:rsidR="00CC7142">
        <w:t>f</w:t>
      </w:r>
      <w:r w:rsidR="00215910">
        <w:t xml:space="preserve"> some legislation to</w:t>
      </w:r>
      <w:r w:rsidR="00CC7142">
        <w:t xml:space="preserve"> save time and costs associated with the process</w:t>
      </w:r>
      <w:r w:rsidR="00215910">
        <w:rPr>
          <w:rStyle w:val="FootnoteReference"/>
        </w:rPr>
        <w:footnoteReference w:id="20"/>
      </w:r>
      <w:r w:rsidR="006E7358" w:rsidRPr="006E7358">
        <w:rPr>
          <w:rFonts w:eastAsia="MyriadPro-Regular"/>
        </w:rPr>
        <w:t>.</w:t>
      </w:r>
      <w:r w:rsidR="00523DCA">
        <w:rPr>
          <w:rFonts w:eastAsia="MyriadPro-Regular"/>
        </w:rPr>
        <w:t xml:space="preserve"> </w:t>
      </w:r>
      <w:r w:rsidR="00523DCA">
        <w:rPr>
          <w:rFonts w:eastAsia="MyriadPro-Regular"/>
        </w:rPr>
        <w:lastRenderedPageBreak/>
        <w:t xml:space="preserve">Given the </w:t>
      </w:r>
      <w:r w:rsidR="00523DCA" w:rsidRPr="006337FE">
        <w:rPr>
          <w:rFonts w:eastAsia="MyriadPro-Regular"/>
        </w:rPr>
        <w:t>scale of the energy transition, opportunities to streamline assessments, or to use the Convention and Protocol to streamline other mandatory assessments (for example, those associated with green taxonomies), would be welcomed.</w:t>
      </w:r>
    </w:p>
    <w:p w14:paraId="3C79CCC2" w14:textId="53E2D169" w:rsidR="006E7358" w:rsidRPr="006E7358" w:rsidRDefault="007D0D55" w:rsidP="006337FE">
      <w:pPr>
        <w:pStyle w:val="SingleTxtG"/>
      </w:pPr>
      <w:r w:rsidRPr="006337FE">
        <w:t>16.</w:t>
      </w:r>
      <w:r w:rsidRPr="006337FE">
        <w:tab/>
      </w:r>
      <w:r w:rsidR="006E7358" w:rsidRPr="006337FE">
        <w:rPr>
          <w:rFonts w:eastAsia="MyriadPro-Regular"/>
        </w:rPr>
        <w:t xml:space="preserve">Recent experience in Saskatchewan, Canada, has used a specific transition-based </w:t>
      </w:r>
      <w:r w:rsidR="00743019" w:rsidRPr="006337FE">
        <w:rPr>
          <w:rFonts w:eastAsia="MyriadPro-Regular"/>
        </w:rPr>
        <w:t>s</w:t>
      </w:r>
      <w:r w:rsidR="00DB29CA" w:rsidRPr="006337FE">
        <w:rPr>
          <w:rFonts w:eastAsia="MyriadPro-Regular"/>
        </w:rPr>
        <w:t xml:space="preserve">trategic </w:t>
      </w:r>
      <w:r w:rsidR="00743019" w:rsidRPr="006337FE">
        <w:rPr>
          <w:rFonts w:eastAsia="MyriadPro-Regular"/>
        </w:rPr>
        <w:t>e</w:t>
      </w:r>
      <w:r w:rsidR="00DB29CA" w:rsidRPr="006337FE">
        <w:rPr>
          <w:rFonts w:eastAsia="MyriadPro-Regular"/>
        </w:rPr>
        <w:t xml:space="preserve">nvironmental </w:t>
      </w:r>
      <w:r w:rsidR="00743019" w:rsidRPr="006337FE">
        <w:rPr>
          <w:rFonts w:eastAsia="MyriadPro-Regular"/>
        </w:rPr>
        <w:t>a</w:t>
      </w:r>
      <w:r w:rsidR="00DB29CA" w:rsidRPr="006337FE">
        <w:rPr>
          <w:rFonts w:eastAsia="MyriadPro-Regular"/>
        </w:rPr>
        <w:t>ssessment</w:t>
      </w:r>
      <w:r w:rsidR="006E7358" w:rsidRPr="006337FE">
        <w:rPr>
          <w:rFonts w:eastAsia="MyriadPro-Regular"/>
        </w:rPr>
        <w:t xml:space="preserve"> approach to address the wider capacity needs, opportunities</w:t>
      </w:r>
      <w:r w:rsidR="006E7358" w:rsidRPr="006E7358">
        <w:rPr>
          <w:rFonts w:eastAsia="MyriadPro-Regular"/>
        </w:rPr>
        <w:t>, risks and obstacles in existing governance arrangements</w:t>
      </w:r>
      <w:bookmarkStart w:id="2" w:name="_Ref132886529"/>
      <w:r w:rsidR="006E7358" w:rsidRPr="006E7358">
        <w:rPr>
          <w:rStyle w:val="FootnoteReference"/>
          <w:rFonts w:eastAsia="MyriadPro-Regular"/>
          <w:sz w:val="20"/>
        </w:rPr>
        <w:footnoteReference w:id="21"/>
      </w:r>
      <w:bookmarkEnd w:id="2"/>
      <w:r w:rsidR="006E7358" w:rsidRPr="006E7358">
        <w:rPr>
          <w:rFonts w:eastAsia="MyriadPro-Regular"/>
        </w:rPr>
        <w:t xml:space="preserve">. This illustrates a case where </w:t>
      </w:r>
      <w:r w:rsidR="00743019">
        <w:rPr>
          <w:rFonts w:eastAsia="MyriadPro-Regular"/>
        </w:rPr>
        <w:t>s</w:t>
      </w:r>
      <w:r w:rsidR="00DB29CA">
        <w:rPr>
          <w:rFonts w:eastAsia="MyriadPro-Regular"/>
        </w:rPr>
        <w:t xml:space="preserve">trategic </w:t>
      </w:r>
      <w:r w:rsidR="00743019">
        <w:rPr>
          <w:rFonts w:eastAsia="MyriadPro-Regular"/>
        </w:rPr>
        <w:t>e</w:t>
      </w:r>
      <w:r w:rsidR="00DB29CA">
        <w:rPr>
          <w:rFonts w:eastAsia="MyriadPro-Regular"/>
        </w:rPr>
        <w:t xml:space="preserve">nvironmental </w:t>
      </w:r>
      <w:r w:rsidR="00743019">
        <w:rPr>
          <w:rFonts w:eastAsia="MyriadPro-Regular"/>
        </w:rPr>
        <w:t>a</w:t>
      </w:r>
      <w:r w:rsidR="00DB29CA">
        <w:rPr>
          <w:rFonts w:eastAsia="MyriadPro-Regular"/>
        </w:rPr>
        <w:t>ssessment</w:t>
      </w:r>
      <w:r w:rsidR="006E7358" w:rsidRPr="006E7358">
        <w:rPr>
          <w:rFonts w:eastAsia="MyriadPro-Regular"/>
        </w:rPr>
        <w:t xml:space="preserve"> is applied more strategically as recommended by the Protocol on </w:t>
      </w:r>
      <w:r w:rsidR="00523DCA">
        <w:rPr>
          <w:rFonts w:eastAsia="MyriadPro-Regular"/>
        </w:rPr>
        <w:t>Strategic Environmental Assessment</w:t>
      </w:r>
      <w:r w:rsidR="006E7358" w:rsidRPr="006E7358">
        <w:rPr>
          <w:rFonts w:eastAsia="MyriadPro-Regular"/>
        </w:rPr>
        <w:t xml:space="preserve">, to consider the suite of policies and plans required to facilitate energy transition. Case studies of the application of </w:t>
      </w:r>
      <w:r w:rsidR="00743019">
        <w:rPr>
          <w:rFonts w:eastAsia="MyriadPro-Regular"/>
        </w:rPr>
        <w:t>s</w:t>
      </w:r>
      <w:r w:rsidR="00DB29CA">
        <w:rPr>
          <w:rFonts w:eastAsia="MyriadPro-Regular"/>
        </w:rPr>
        <w:t xml:space="preserve">trategic </w:t>
      </w:r>
      <w:r w:rsidR="00743019">
        <w:rPr>
          <w:rFonts w:eastAsia="MyriadPro-Regular"/>
        </w:rPr>
        <w:t>e</w:t>
      </w:r>
      <w:r w:rsidR="00DB29CA">
        <w:rPr>
          <w:rFonts w:eastAsia="MyriadPro-Regular"/>
        </w:rPr>
        <w:t xml:space="preserve">nvironmental </w:t>
      </w:r>
      <w:r w:rsidR="00743019">
        <w:rPr>
          <w:rFonts w:eastAsia="MyriadPro-Regular"/>
        </w:rPr>
        <w:t>a</w:t>
      </w:r>
      <w:r w:rsidR="00DB29CA">
        <w:rPr>
          <w:rFonts w:eastAsia="MyriadPro-Regular"/>
        </w:rPr>
        <w:t>ssessment</w:t>
      </w:r>
      <w:r w:rsidR="006E7358" w:rsidRPr="006E7358">
        <w:rPr>
          <w:rFonts w:eastAsia="MyriadPro-Regular"/>
        </w:rPr>
        <w:t xml:space="preserve"> at the policy level have also been published based on European experience</w:t>
      </w:r>
      <w:r w:rsidR="006E7358" w:rsidRPr="006E7358">
        <w:rPr>
          <w:rStyle w:val="FootnoteReference"/>
          <w:rFonts w:eastAsia="MyriadPro-Regular"/>
          <w:sz w:val="20"/>
        </w:rPr>
        <w:footnoteReference w:id="22"/>
      </w:r>
      <w:r w:rsidR="006E7358" w:rsidRPr="006E7358">
        <w:rPr>
          <w:rFonts w:eastAsia="MyriadPro-Regular"/>
        </w:rPr>
        <w:t xml:space="preserve">. </w:t>
      </w:r>
    </w:p>
    <w:tbl>
      <w:tblPr>
        <w:tblW w:w="7933"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7933"/>
      </w:tblGrid>
      <w:tr w:rsidR="003E4901" w:rsidRPr="00F9298F" w14:paraId="52D14F44" w14:textId="77777777" w:rsidTr="00D72021">
        <w:trPr>
          <w:jc w:val="center"/>
        </w:trPr>
        <w:tc>
          <w:tcPr>
            <w:tcW w:w="7933" w:type="dxa"/>
            <w:shd w:val="clear" w:color="auto" w:fill="auto"/>
          </w:tcPr>
          <w:p w14:paraId="4A839E82" w14:textId="652EF27A" w:rsidR="003E4901" w:rsidRPr="00E54415" w:rsidRDefault="003630EC" w:rsidP="003630EC">
            <w:pPr>
              <w:pStyle w:val="SingleTxtG"/>
              <w:ind w:left="431" w:right="420"/>
              <w:rPr>
                <w:rFonts w:asciiTheme="majorBidi" w:hAnsiTheme="majorBidi" w:cstheme="majorBidi"/>
                <w:i/>
                <w:iCs/>
              </w:rPr>
            </w:pPr>
            <w:r w:rsidRPr="00E54415">
              <w:rPr>
                <w:rFonts w:asciiTheme="majorBidi" w:hAnsiTheme="majorBidi" w:cstheme="majorBidi"/>
                <w:i/>
                <w:iCs/>
              </w:rPr>
              <w:t>Suggested points of discussion/key gu</w:t>
            </w:r>
            <w:r w:rsidR="00860DA3" w:rsidRPr="00E54415">
              <w:rPr>
                <w:rFonts w:asciiTheme="majorBidi" w:hAnsiTheme="majorBidi" w:cstheme="majorBidi"/>
                <w:i/>
                <w:iCs/>
              </w:rPr>
              <w:t>i</w:t>
            </w:r>
            <w:r w:rsidRPr="00E54415">
              <w:rPr>
                <w:rFonts w:asciiTheme="majorBidi" w:hAnsiTheme="majorBidi" w:cstheme="majorBidi"/>
                <w:i/>
                <w:iCs/>
              </w:rPr>
              <w:t>ding questions</w:t>
            </w:r>
          </w:p>
          <w:p w14:paraId="514022A5" w14:textId="73927015" w:rsidR="00DB2D25" w:rsidRPr="00E54415" w:rsidRDefault="007D0D55" w:rsidP="007D0D55">
            <w:pPr>
              <w:pStyle w:val="NormalWeb"/>
              <w:shd w:val="clear" w:color="auto" w:fill="FFFFFF"/>
              <w:spacing w:after="120" w:line="240" w:lineRule="auto"/>
              <w:ind w:left="788" w:right="420" w:hanging="357"/>
              <w:jc w:val="both"/>
              <w:rPr>
                <w:sz w:val="20"/>
                <w:szCs w:val="20"/>
              </w:rPr>
            </w:pPr>
            <w:r w:rsidRPr="00E54415">
              <w:rPr>
                <w:sz w:val="20"/>
                <w:szCs w:val="20"/>
              </w:rPr>
              <w:t>1.</w:t>
            </w:r>
            <w:r w:rsidRPr="00E54415">
              <w:rPr>
                <w:sz w:val="20"/>
                <w:szCs w:val="20"/>
              </w:rPr>
              <w:tab/>
            </w:r>
            <w:r w:rsidR="00146DC9" w:rsidRPr="00E54415">
              <w:rPr>
                <w:sz w:val="20"/>
                <w:szCs w:val="20"/>
              </w:rPr>
              <w:t>Should</w:t>
            </w:r>
            <w:r w:rsidR="0080240B" w:rsidRPr="00E54415">
              <w:rPr>
                <w:sz w:val="20"/>
                <w:szCs w:val="20"/>
              </w:rPr>
              <w:t xml:space="preserve"> life cycle impacts, including indirect impacts</w:t>
            </w:r>
            <w:r w:rsidR="00046B4E" w:rsidRPr="00E54415">
              <w:rPr>
                <w:sz w:val="20"/>
                <w:szCs w:val="20"/>
              </w:rPr>
              <w:t xml:space="preserve"> (and specifically emissions</w:t>
            </w:r>
            <w:r w:rsidR="001176C6" w:rsidRPr="00E54415">
              <w:rPr>
                <w:sz w:val="20"/>
                <w:szCs w:val="20"/>
              </w:rPr>
              <w:t>)</w:t>
            </w:r>
            <w:r w:rsidR="0080240B" w:rsidRPr="00E54415">
              <w:rPr>
                <w:sz w:val="20"/>
                <w:szCs w:val="20"/>
              </w:rPr>
              <w:t xml:space="preserve">, </w:t>
            </w:r>
            <w:r w:rsidR="00146DC9" w:rsidRPr="00E54415">
              <w:rPr>
                <w:sz w:val="20"/>
                <w:szCs w:val="20"/>
              </w:rPr>
              <w:t xml:space="preserve">be more clearly included in the scope of the Convention and Protocol </w:t>
            </w:r>
            <w:r w:rsidR="00361C1E" w:rsidRPr="00E54415">
              <w:rPr>
                <w:sz w:val="20"/>
                <w:szCs w:val="20"/>
              </w:rPr>
              <w:t xml:space="preserve">to </w:t>
            </w:r>
            <w:r w:rsidR="000A6450" w:rsidRPr="00E54415">
              <w:rPr>
                <w:sz w:val="20"/>
                <w:szCs w:val="20"/>
              </w:rPr>
              <w:t xml:space="preserve">fully capture emissions </w:t>
            </w:r>
            <w:r w:rsidR="001176C6" w:rsidRPr="00E54415">
              <w:rPr>
                <w:sz w:val="20"/>
                <w:szCs w:val="20"/>
              </w:rPr>
              <w:t xml:space="preserve">that occur </w:t>
            </w:r>
            <w:r w:rsidR="000A6450" w:rsidRPr="00E54415">
              <w:rPr>
                <w:sz w:val="20"/>
                <w:szCs w:val="20"/>
              </w:rPr>
              <w:t>outside the Party of origin</w:t>
            </w:r>
            <w:r w:rsidR="001176C6" w:rsidRPr="00E54415">
              <w:rPr>
                <w:sz w:val="20"/>
                <w:szCs w:val="20"/>
              </w:rPr>
              <w:t xml:space="preserve">, but </w:t>
            </w:r>
            <w:r w:rsidR="0007524B" w:rsidRPr="00E54415">
              <w:rPr>
                <w:sz w:val="20"/>
                <w:szCs w:val="20"/>
              </w:rPr>
              <w:t>are contingent on a plan, programme or project</w:t>
            </w:r>
            <w:r w:rsidR="00AB19A6">
              <w:rPr>
                <w:sz w:val="20"/>
                <w:szCs w:val="20"/>
              </w:rPr>
              <w:t xml:space="preserve">, and to the extent appropriate policies and legislation, </w:t>
            </w:r>
            <w:r w:rsidR="0007524B" w:rsidRPr="00E54415">
              <w:rPr>
                <w:sz w:val="20"/>
                <w:szCs w:val="20"/>
              </w:rPr>
              <w:t>in the Party of origin</w:t>
            </w:r>
            <w:r w:rsidR="00DD6149" w:rsidRPr="00E54415">
              <w:rPr>
                <w:sz w:val="20"/>
                <w:szCs w:val="20"/>
              </w:rPr>
              <w:t xml:space="preserve"> (to prevent export of Scope 3 emissions to </w:t>
            </w:r>
            <w:r w:rsidR="006D6BD8" w:rsidRPr="00E54415">
              <w:rPr>
                <w:sz w:val="20"/>
                <w:szCs w:val="20"/>
              </w:rPr>
              <w:t>other countries)</w:t>
            </w:r>
            <w:r w:rsidR="0096466D" w:rsidRPr="00E54415">
              <w:rPr>
                <w:sz w:val="20"/>
                <w:szCs w:val="20"/>
              </w:rPr>
              <w:t>?</w:t>
            </w:r>
          </w:p>
          <w:p w14:paraId="5E87E4F0" w14:textId="631D3BF7" w:rsidR="003F5047" w:rsidRPr="00E54415" w:rsidRDefault="007D0D55" w:rsidP="007D0D55">
            <w:pPr>
              <w:pStyle w:val="NormalWeb"/>
              <w:shd w:val="clear" w:color="auto" w:fill="FFFFFF"/>
              <w:spacing w:after="120" w:line="240" w:lineRule="auto"/>
              <w:ind w:left="788" w:right="420" w:hanging="357"/>
              <w:jc w:val="both"/>
              <w:rPr>
                <w:sz w:val="20"/>
                <w:szCs w:val="20"/>
              </w:rPr>
            </w:pPr>
            <w:r w:rsidRPr="00E54415">
              <w:rPr>
                <w:sz w:val="20"/>
                <w:szCs w:val="20"/>
              </w:rPr>
              <w:t>2.</w:t>
            </w:r>
            <w:r w:rsidRPr="00E54415">
              <w:rPr>
                <w:sz w:val="20"/>
                <w:szCs w:val="20"/>
              </w:rPr>
              <w:tab/>
            </w:r>
            <w:r w:rsidR="003F5047" w:rsidRPr="00E54415">
              <w:rPr>
                <w:sz w:val="20"/>
                <w:szCs w:val="20"/>
              </w:rPr>
              <w:t>Does the consideration of climate impacts under the Convention and Protocol need clarifying to better reflect the need to consider adaptation to climate change, and vulnerability to climate change,</w:t>
            </w:r>
            <w:r w:rsidR="00CC7BBC" w:rsidRPr="00E54415">
              <w:rPr>
                <w:sz w:val="20"/>
                <w:szCs w:val="20"/>
              </w:rPr>
              <w:t xml:space="preserve"> e.g.</w:t>
            </w:r>
            <w:r w:rsidR="00E54415">
              <w:rPr>
                <w:sz w:val="20"/>
                <w:szCs w:val="20"/>
              </w:rPr>
              <w:t>,</w:t>
            </w:r>
            <w:r w:rsidR="00CC7BBC" w:rsidRPr="00E54415">
              <w:rPr>
                <w:sz w:val="20"/>
                <w:szCs w:val="20"/>
              </w:rPr>
              <w:t xml:space="preserve"> through agreement by Parties that </w:t>
            </w:r>
            <w:r w:rsidR="003F5047" w:rsidRPr="00E54415">
              <w:rPr>
                <w:sz w:val="20"/>
                <w:szCs w:val="20"/>
              </w:rPr>
              <w:t>climate impacts includ</w:t>
            </w:r>
            <w:r w:rsidR="00CC7BBC" w:rsidRPr="00E54415">
              <w:rPr>
                <w:sz w:val="20"/>
                <w:szCs w:val="20"/>
              </w:rPr>
              <w:t>e</w:t>
            </w:r>
            <w:r w:rsidR="003F5047" w:rsidRPr="00E54415">
              <w:rPr>
                <w:sz w:val="20"/>
                <w:szCs w:val="20"/>
              </w:rPr>
              <w:t xml:space="preserve"> the nature and magnitude of greenhouse gas emissions?</w:t>
            </w:r>
          </w:p>
          <w:p w14:paraId="7F7BCDC8" w14:textId="4F0738DC" w:rsidR="00F4099E" w:rsidRPr="00E54415" w:rsidRDefault="007D0D55" w:rsidP="007D0D55">
            <w:pPr>
              <w:pStyle w:val="NormalWeb"/>
              <w:shd w:val="clear" w:color="auto" w:fill="FFFFFF"/>
              <w:spacing w:after="120" w:line="240" w:lineRule="auto"/>
              <w:ind w:left="788" w:right="420" w:hanging="357"/>
              <w:jc w:val="both"/>
              <w:rPr>
                <w:sz w:val="20"/>
                <w:szCs w:val="20"/>
              </w:rPr>
            </w:pPr>
            <w:r w:rsidRPr="00E54415">
              <w:rPr>
                <w:sz w:val="20"/>
                <w:szCs w:val="20"/>
              </w:rPr>
              <w:t>3.</w:t>
            </w:r>
            <w:r w:rsidRPr="00E54415">
              <w:rPr>
                <w:sz w:val="20"/>
                <w:szCs w:val="20"/>
              </w:rPr>
              <w:tab/>
            </w:r>
            <w:r w:rsidR="001C01F2" w:rsidRPr="00E54415">
              <w:rPr>
                <w:sz w:val="20"/>
                <w:szCs w:val="20"/>
              </w:rPr>
              <w:t>What</w:t>
            </w:r>
            <w:r w:rsidR="00F4099E" w:rsidRPr="00E54415">
              <w:rPr>
                <w:sz w:val="20"/>
                <w:szCs w:val="20"/>
              </w:rPr>
              <w:t xml:space="preserve"> best-practice</w:t>
            </w:r>
            <w:r w:rsidR="007101F3" w:rsidRPr="00E54415">
              <w:rPr>
                <w:sz w:val="20"/>
                <w:szCs w:val="20"/>
              </w:rPr>
              <w:t xml:space="preserve"> </w:t>
            </w:r>
            <w:r w:rsidR="00C11760" w:rsidRPr="00E54415">
              <w:rPr>
                <w:sz w:val="20"/>
                <w:szCs w:val="20"/>
              </w:rPr>
              <w:t xml:space="preserve">cases exist </w:t>
            </w:r>
            <w:r w:rsidR="007101F3" w:rsidRPr="00E54415">
              <w:rPr>
                <w:sz w:val="20"/>
                <w:szCs w:val="20"/>
              </w:rPr>
              <w:t>for</w:t>
            </w:r>
            <w:r w:rsidR="00414F7F" w:rsidRPr="00E54415">
              <w:rPr>
                <w:sz w:val="20"/>
                <w:szCs w:val="20"/>
              </w:rPr>
              <w:t xml:space="preserve"> </w:t>
            </w:r>
            <w:r w:rsidR="00D673BD" w:rsidRPr="00E54415">
              <w:rPr>
                <w:sz w:val="20"/>
                <w:szCs w:val="20"/>
              </w:rPr>
              <w:t xml:space="preserve">the use of </w:t>
            </w:r>
            <w:r w:rsidR="00743019">
              <w:rPr>
                <w:sz w:val="20"/>
                <w:szCs w:val="20"/>
              </w:rPr>
              <w:t>s</w:t>
            </w:r>
            <w:r w:rsidR="009B3C93" w:rsidRPr="00E54415">
              <w:rPr>
                <w:sz w:val="20"/>
                <w:szCs w:val="20"/>
              </w:rPr>
              <w:t xml:space="preserve">trategic </w:t>
            </w:r>
            <w:r w:rsidR="00743019">
              <w:rPr>
                <w:sz w:val="20"/>
                <w:szCs w:val="20"/>
              </w:rPr>
              <w:t>e</w:t>
            </w:r>
            <w:r w:rsidR="009B3C93" w:rsidRPr="00E54415">
              <w:rPr>
                <w:sz w:val="20"/>
                <w:szCs w:val="20"/>
              </w:rPr>
              <w:t xml:space="preserve">nvironmental </w:t>
            </w:r>
            <w:r w:rsidR="00743019">
              <w:rPr>
                <w:sz w:val="20"/>
                <w:szCs w:val="20"/>
              </w:rPr>
              <w:t>a</w:t>
            </w:r>
            <w:r w:rsidR="009B3C93" w:rsidRPr="00E54415">
              <w:rPr>
                <w:sz w:val="20"/>
                <w:szCs w:val="20"/>
              </w:rPr>
              <w:t>ssessment</w:t>
            </w:r>
            <w:r w:rsidR="00F4099E" w:rsidRPr="00E54415">
              <w:rPr>
                <w:sz w:val="20"/>
                <w:szCs w:val="20"/>
              </w:rPr>
              <w:t xml:space="preserve"> and </w:t>
            </w:r>
            <w:r w:rsidR="00743019">
              <w:rPr>
                <w:sz w:val="20"/>
                <w:szCs w:val="20"/>
              </w:rPr>
              <w:t>e</w:t>
            </w:r>
            <w:r w:rsidR="009B3C93" w:rsidRPr="00E54415">
              <w:rPr>
                <w:sz w:val="20"/>
                <w:szCs w:val="20"/>
              </w:rPr>
              <w:t xml:space="preserve">nvironmental </w:t>
            </w:r>
            <w:r w:rsidR="00743019">
              <w:rPr>
                <w:sz w:val="20"/>
                <w:szCs w:val="20"/>
              </w:rPr>
              <w:t>i</w:t>
            </w:r>
            <w:r w:rsidR="009B3C93" w:rsidRPr="00E54415">
              <w:rPr>
                <w:sz w:val="20"/>
                <w:szCs w:val="20"/>
              </w:rPr>
              <w:t xml:space="preserve">mpact </w:t>
            </w:r>
            <w:r w:rsidR="00743019">
              <w:rPr>
                <w:sz w:val="20"/>
                <w:szCs w:val="20"/>
              </w:rPr>
              <w:t>a</w:t>
            </w:r>
            <w:r w:rsidR="009B3C93" w:rsidRPr="00E54415">
              <w:rPr>
                <w:sz w:val="20"/>
                <w:szCs w:val="20"/>
              </w:rPr>
              <w:t>ssessment</w:t>
            </w:r>
            <w:r w:rsidR="00F4099E" w:rsidRPr="00E54415">
              <w:rPr>
                <w:sz w:val="20"/>
                <w:szCs w:val="20"/>
              </w:rPr>
              <w:t xml:space="preserve"> </w:t>
            </w:r>
            <w:r w:rsidR="009A361F" w:rsidRPr="00E54415">
              <w:rPr>
                <w:sz w:val="20"/>
                <w:szCs w:val="20"/>
              </w:rPr>
              <w:t xml:space="preserve">in </w:t>
            </w:r>
            <w:r w:rsidR="00D673BD" w:rsidRPr="00E54415">
              <w:rPr>
                <w:sz w:val="20"/>
                <w:szCs w:val="20"/>
              </w:rPr>
              <w:t>promoting</w:t>
            </w:r>
            <w:r w:rsidR="00414F7F" w:rsidRPr="00E54415">
              <w:rPr>
                <w:sz w:val="20"/>
                <w:szCs w:val="20"/>
              </w:rPr>
              <w:t xml:space="preserve"> energy </w:t>
            </w:r>
            <w:r w:rsidR="006E7358">
              <w:rPr>
                <w:sz w:val="20"/>
                <w:szCs w:val="20"/>
              </w:rPr>
              <w:t>transition</w:t>
            </w:r>
            <w:r w:rsidR="003F5047" w:rsidRPr="00E54415">
              <w:rPr>
                <w:sz w:val="20"/>
                <w:szCs w:val="20"/>
              </w:rPr>
              <w:t xml:space="preserve">? What can </w:t>
            </w:r>
            <w:r w:rsidR="00504963" w:rsidRPr="00E54415">
              <w:rPr>
                <w:sz w:val="20"/>
                <w:szCs w:val="20"/>
              </w:rPr>
              <w:t>we</w:t>
            </w:r>
            <w:r w:rsidR="003F5047" w:rsidRPr="00E54415">
              <w:rPr>
                <w:sz w:val="20"/>
                <w:szCs w:val="20"/>
              </w:rPr>
              <w:t xml:space="preserve"> learn from</w:t>
            </w:r>
            <w:r w:rsidR="00504963" w:rsidRPr="00E54415">
              <w:rPr>
                <w:sz w:val="20"/>
                <w:szCs w:val="20"/>
              </w:rPr>
              <w:t xml:space="preserve"> these</w:t>
            </w:r>
            <w:r w:rsidR="003F5047" w:rsidRPr="00E54415">
              <w:rPr>
                <w:sz w:val="20"/>
                <w:szCs w:val="20"/>
              </w:rPr>
              <w:t xml:space="preserve"> cases about </w:t>
            </w:r>
            <w:r w:rsidR="00F4099E" w:rsidRPr="00E54415">
              <w:rPr>
                <w:sz w:val="20"/>
                <w:szCs w:val="20"/>
              </w:rPr>
              <w:t xml:space="preserve">opportunities for conducting </w:t>
            </w:r>
            <w:r w:rsidR="00A53E46" w:rsidRPr="00E54415">
              <w:rPr>
                <w:sz w:val="20"/>
                <w:szCs w:val="20"/>
              </w:rPr>
              <w:t xml:space="preserve">more efficient (i.e., taking less time and costing less) </w:t>
            </w:r>
            <w:r w:rsidR="00F4099E" w:rsidRPr="00E54415">
              <w:rPr>
                <w:sz w:val="20"/>
                <w:szCs w:val="20"/>
              </w:rPr>
              <w:t>assessments at the strategic and project-levels, and for ensuring proposals for energy transition plans, programmes and projects can be determined in a timely and cost-effective manner?</w:t>
            </w:r>
          </w:p>
          <w:p w14:paraId="194C532D" w14:textId="5EB48961" w:rsidR="003630EC" w:rsidRPr="00362D80" w:rsidRDefault="007D0D55" w:rsidP="007D0D55">
            <w:pPr>
              <w:pStyle w:val="NormalWeb"/>
              <w:shd w:val="clear" w:color="auto" w:fill="FFFFFF"/>
              <w:spacing w:after="120" w:line="240" w:lineRule="auto"/>
              <w:ind w:left="788" w:right="420" w:hanging="357"/>
              <w:jc w:val="both"/>
              <w:rPr>
                <w:sz w:val="20"/>
                <w:szCs w:val="20"/>
              </w:rPr>
            </w:pPr>
            <w:r w:rsidRPr="00362D80">
              <w:rPr>
                <w:sz w:val="20"/>
                <w:szCs w:val="20"/>
              </w:rPr>
              <w:t>4.</w:t>
            </w:r>
            <w:r w:rsidRPr="00362D80">
              <w:rPr>
                <w:sz w:val="20"/>
                <w:szCs w:val="20"/>
              </w:rPr>
              <w:tab/>
            </w:r>
            <w:r w:rsidR="00780253" w:rsidRPr="00E54415">
              <w:rPr>
                <w:sz w:val="20"/>
                <w:szCs w:val="20"/>
              </w:rPr>
              <w:t>How can</w:t>
            </w:r>
            <w:r w:rsidR="000D2A13" w:rsidRPr="00E54415">
              <w:rPr>
                <w:sz w:val="20"/>
                <w:szCs w:val="20"/>
              </w:rPr>
              <w:t xml:space="preserve"> the </w:t>
            </w:r>
            <w:r w:rsidR="00ED1599" w:rsidRPr="00E54415">
              <w:rPr>
                <w:sz w:val="20"/>
                <w:szCs w:val="20"/>
              </w:rPr>
              <w:t>consideration of the SDG7 targets</w:t>
            </w:r>
            <w:r w:rsidR="00780253" w:rsidRPr="00E54415">
              <w:rPr>
                <w:sz w:val="20"/>
                <w:szCs w:val="20"/>
              </w:rPr>
              <w:t>,</w:t>
            </w:r>
            <w:r w:rsidR="00ED1599" w:rsidRPr="00E54415">
              <w:rPr>
                <w:sz w:val="20"/>
                <w:szCs w:val="20"/>
              </w:rPr>
              <w:t xml:space="preserve"> </w:t>
            </w:r>
            <w:r w:rsidR="008625F2" w:rsidRPr="00E54415">
              <w:rPr>
                <w:sz w:val="20"/>
                <w:szCs w:val="20"/>
              </w:rPr>
              <w:t xml:space="preserve">as part of the </w:t>
            </w:r>
            <w:r w:rsidR="00851A54" w:rsidRPr="00E54415">
              <w:rPr>
                <w:sz w:val="20"/>
                <w:szCs w:val="20"/>
              </w:rPr>
              <w:t xml:space="preserve">evaluation of the significance of impacts </w:t>
            </w:r>
            <w:r w:rsidR="00ED1599" w:rsidRPr="00E54415">
              <w:rPr>
                <w:sz w:val="20"/>
                <w:szCs w:val="20"/>
              </w:rPr>
              <w:t xml:space="preserve">within transboundary </w:t>
            </w:r>
            <w:r w:rsidR="00743019">
              <w:rPr>
                <w:sz w:val="20"/>
                <w:szCs w:val="20"/>
              </w:rPr>
              <w:t>e</w:t>
            </w:r>
            <w:r w:rsidR="009B3C93" w:rsidRPr="00E54415">
              <w:rPr>
                <w:sz w:val="20"/>
                <w:szCs w:val="20"/>
              </w:rPr>
              <w:t xml:space="preserve">nvironmental </w:t>
            </w:r>
            <w:r w:rsidR="00743019">
              <w:rPr>
                <w:sz w:val="20"/>
                <w:szCs w:val="20"/>
              </w:rPr>
              <w:t>i</w:t>
            </w:r>
            <w:r w:rsidR="009B3C93" w:rsidRPr="00E54415">
              <w:rPr>
                <w:sz w:val="20"/>
                <w:szCs w:val="20"/>
              </w:rPr>
              <w:t xml:space="preserve">mpact </w:t>
            </w:r>
            <w:r w:rsidR="00743019">
              <w:rPr>
                <w:sz w:val="20"/>
                <w:szCs w:val="20"/>
              </w:rPr>
              <w:t>a</w:t>
            </w:r>
            <w:r w:rsidR="009B3C93" w:rsidRPr="00E54415">
              <w:rPr>
                <w:sz w:val="20"/>
                <w:szCs w:val="20"/>
              </w:rPr>
              <w:t>ssessment</w:t>
            </w:r>
            <w:r w:rsidR="00ED1599" w:rsidRPr="00E54415">
              <w:rPr>
                <w:sz w:val="20"/>
                <w:szCs w:val="20"/>
              </w:rPr>
              <w:t xml:space="preserve"> and </w:t>
            </w:r>
            <w:r w:rsidR="00743019">
              <w:rPr>
                <w:sz w:val="20"/>
                <w:szCs w:val="20"/>
              </w:rPr>
              <w:t>s</w:t>
            </w:r>
            <w:r w:rsidR="009B3C93" w:rsidRPr="00E54415">
              <w:rPr>
                <w:sz w:val="20"/>
                <w:szCs w:val="20"/>
              </w:rPr>
              <w:t xml:space="preserve">trategic </w:t>
            </w:r>
            <w:r w:rsidR="00743019">
              <w:rPr>
                <w:sz w:val="20"/>
                <w:szCs w:val="20"/>
              </w:rPr>
              <w:t>e</w:t>
            </w:r>
            <w:r w:rsidR="009B3C93" w:rsidRPr="00E54415">
              <w:rPr>
                <w:sz w:val="20"/>
                <w:szCs w:val="20"/>
              </w:rPr>
              <w:t xml:space="preserve">nvironmental </w:t>
            </w:r>
            <w:r w:rsidR="00743019">
              <w:rPr>
                <w:sz w:val="20"/>
                <w:szCs w:val="20"/>
              </w:rPr>
              <w:t>a</w:t>
            </w:r>
            <w:r w:rsidR="009B3C93" w:rsidRPr="00E54415">
              <w:rPr>
                <w:sz w:val="20"/>
                <w:szCs w:val="20"/>
              </w:rPr>
              <w:t>ssessment</w:t>
            </w:r>
            <w:r w:rsidR="00ED1599" w:rsidRPr="00E54415">
              <w:rPr>
                <w:sz w:val="20"/>
                <w:szCs w:val="20"/>
              </w:rPr>
              <w:t xml:space="preserve"> conducted under the </w:t>
            </w:r>
            <w:r w:rsidR="00E3505D" w:rsidRPr="00E54415">
              <w:rPr>
                <w:sz w:val="20"/>
                <w:szCs w:val="20"/>
              </w:rPr>
              <w:t>P</w:t>
            </w:r>
            <w:r w:rsidR="00ED1599" w:rsidRPr="00E54415">
              <w:rPr>
                <w:sz w:val="20"/>
                <w:szCs w:val="20"/>
              </w:rPr>
              <w:t>rotocol</w:t>
            </w:r>
            <w:r w:rsidR="00780253" w:rsidRPr="00E54415">
              <w:rPr>
                <w:sz w:val="20"/>
                <w:szCs w:val="20"/>
              </w:rPr>
              <w:t xml:space="preserve">, </w:t>
            </w:r>
            <w:r w:rsidR="0054755F" w:rsidRPr="00E54415">
              <w:rPr>
                <w:sz w:val="20"/>
                <w:szCs w:val="20"/>
              </w:rPr>
              <w:t xml:space="preserve">be advanced and </w:t>
            </w:r>
            <w:r w:rsidR="0054755F" w:rsidRPr="00362D80">
              <w:rPr>
                <w:sz w:val="20"/>
                <w:szCs w:val="20"/>
              </w:rPr>
              <w:t>promoted</w:t>
            </w:r>
            <w:r w:rsidR="00ED1599" w:rsidRPr="00362D80">
              <w:rPr>
                <w:sz w:val="20"/>
                <w:szCs w:val="20"/>
              </w:rPr>
              <w:t>?</w:t>
            </w:r>
          </w:p>
          <w:p w14:paraId="41B41C82" w14:textId="45DD87EE" w:rsidR="00362D80" w:rsidRDefault="007D0D55" w:rsidP="007D0D55">
            <w:pPr>
              <w:pStyle w:val="NormalWeb"/>
              <w:shd w:val="clear" w:color="auto" w:fill="FFFFFF"/>
              <w:spacing w:after="120" w:line="240" w:lineRule="auto"/>
              <w:ind w:left="788" w:right="420" w:hanging="357"/>
              <w:jc w:val="both"/>
              <w:rPr>
                <w:sz w:val="20"/>
                <w:szCs w:val="20"/>
              </w:rPr>
            </w:pPr>
            <w:r>
              <w:rPr>
                <w:sz w:val="20"/>
                <w:szCs w:val="20"/>
              </w:rPr>
              <w:t>5.</w:t>
            </w:r>
            <w:r>
              <w:rPr>
                <w:sz w:val="20"/>
                <w:szCs w:val="20"/>
              </w:rPr>
              <w:tab/>
            </w:r>
            <w:r w:rsidR="00E52F10" w:rsidRPr="00362D80">
              <w:rPr>
                <w:sz w:val="20"/>
                <w:szCs w:val="20"/>
              </w:rPr>
              <w:t xml:space="preserve">Given the </w:t>
            </w:r>
            <w:r w:rsidR="006224EE" w:rsidRPr="00362D80">
              <w:rPr>
                <w:sz w:val="20"/>
                <w:szCs w:val="20"/>
              </w:rPr>
              <w:t xml:space="preserve">high-level nature of planning for energy transition, incorporating a </w:t>
            </w:r>
            <w:r w:rsidR="00936564" w:rsidRPr="00362D80">
              <w:rPr>
                <w:sz w:val="20"/>
                <w:szCs w:val="20"/>
              </w:rPr>
              <w:t xml:space="preserve">range of different interventions, </w:t>
            </w:r>
            <w:r w:rsidR="006224EE" w:rsidRPr="00362D80">
              <w:rPr>
                <w:sz w:val="20"/>
                <w:szCs w:val="20"/>
              </w:rPr>
              <w:t>i</w:t>
            </w:r>
            <w:r w:rsidR="003630EC" w:rsidRPr="00362D80">
              <w:rPr>
                <w:sz w:val="20"/>
                <w:szCs w:val="20"/>
              </w:rPr>
              <w:t xml:space="preserve">s </w:t>
            </w:r>
            <w:r w:rsidR="00987731">
              <w:rPr>
                <w:sz w:val="20"/>
                <w:szCs w:val="20"/>
              </w:rPr>
              <w:t>a</w:t>
            </w:r>
            <w:r w:rsidR="000A7BD2">
              <w:rPr>
                <w:sz w:val="20"/>
                <w:szCs w:val="20"/>
              </w:rPr>
              <w:t xml:space="preserve"> specific</w:t>
            </w:r>
            <w:r w:rsidR="003630EC" w:rsidRPr="00362D80">
              <w:rPr>
                <w:sz w:val="20"/>
                <w:szCs w:val="20"/>
              </w:rPr>
              <w:t xml:space="preserve"> </w:t>
            </w:r>
            <w:r w:rsidR="006E7358" w:rsidRPr="00362D80">
              <w:rPr>
                <w:sz w:val="20"/>
                <w:szCs w:val="20"/>
              </w:rPr>
              <w:t>transition</w:t>
            </w:r>
            <w:r w:rsidR="003630EC" w:rsidRPr="00362D80">
              <w:rPr>
                <w:sz w:val="20"/>
                <w:szCs w:val="20"/>
              </w:rPr>
              <w:t xml:space="preserve">-based </w:t>
            </w:r>
            <w:r w:rsidR="00AB19A6">
              <w:rPr>
                <w:sz w:val="20"/>
                <w:szCs w:val="20"/>
              </w:rPr>
              <w:t>s</w:t>
            </w:r>
            <w:r w:rsidR="009B3C93" w:rsidRPr="00362D80">
              <w:rPr>
                <w:sz w:val="20"/>
                <w:szCs w:val="20"/>
              </w:rPr>
              <w:t xml:space="preserve">trategic </w:t>
            </w:r>
            <w:r w:rsidR="00AB19A6">
              <w:rPr>
                <w:sz w:val="20"/>
                <w:szCs w:val="20"/>
              </w:rPr>
              <w:t>e</w:t>
            </w:r>
            <w:r w:rsidR="009B3C93" w:rsidRPr="00362D80">
              <w:rPr>
                <w:sz w:val="20"/>
                <w:szCs w:val="20"/>
              </w:rPr>
              <w:t xml:space="preserve">nvironmental </w:t>
            </w:r>
            <w:r w:rsidR="00AB19A6">
              <w:rPr>
                <w:sz w:val="20"/>
                <w:szCs w:val="20"/>
              </w:rPr>
              <w:t>a</w:t>
            </w:r>
            <w:r w:rsidR="009B3C93" w:rsidRPr="00362D80">
              <w:rPr>
                <w:sz w:val="20"/>
                <w:szCs w:val="20"/>
              </w:rPr>
              <w:t>ssessment</w:t>
            </w:r>
            <w:r w:rsidR="003630EC" w:rsidRPr="00362D80">
              <w:rPr>
                <w:sz w:val="20"/>
                <w:szCs w:val="20"/>
              </w:rPr>
              <w:t xml:space="preserve"> </w:t>
            </w:r>
            <w:r w:rsidR="003221FA">
              <w:rPr>
                <w:sz w:val="20"/>
                <w:szCs w:val="20"/>
              </w:rPr>
              <w:t xml:space="preserve">approach </w:t>
            </w:r>
            <w:r w:rsidR="003630EC" w:rsidRPr="00362D80">
              <w:rPr>
                <w:sz w:val="20"/>
                <w:szCs w:val="20"/>
              </w:rPr>
              <w:t>needed to support energy transition</w:t>
            </w:r>
            <w:r w:rsidR="009E320B" w:rsidRPr="00362D80">
              <w:rPr>
                <w:sz w:val="20"/>
                <w:szCs w:val="20"/>
              </w:rPr>
              <w:t xml:space="preserve"> planning</w:t>
            </w:r>
            <w:r w:rsidR="003630EC" w:rsidRPr="00362D80">
              <w:rPr>
                <w:sz w:val="20"/>
                <w:szCs w:val="20"/>
              </w:rPr>
              <w:t>?</w:t>
            </w:r>
            <w:r w:rsidR="00362D80">
              <w:rPr>
                <w:sz w:val="20"/>
                <w:szCs w:val="20"/>
              </w:rPr>
              <w:t xml:space="preserve"> </w:t>
            </w:r>
            <w:r w:rsidR="000A7BD2">
              <w:rPr>
                <w:sz w:val="20"/>
                <w:szCs w:val="20"/>
              </w:rPr>
              <w:t>If so, how can this be delivered under the Protocol?</w:t>
            </w:r>
          </w:p>
          <w:p w14:paraId="6D96F210" w14:textId="3621B305" w:rsidR="00764F77" w:rsidRPr="00362D80" w:rsidRDefault="007D0D55" w:rsidP="007D0D55">
            <w:pPr>
              <w:pStyle w:val="NormalWeb"/>
              <w:shd w:val="clear" w:color="auto" w:fill="FFFFFF"/>
              <w:spacing w:after="120" w:line="240" w:lineRule="auto"/>
              <w:ind w:left="788" w:right="420" w:hanging="357"/>
              <w:jc w:val="both"/>
              <w:rPr>
                <w:sz w:val="20"/>
                <w:szCs w:val="20"/>
              </w:rPr>
            </w:pPr>
            <w:r w:rsidRPr="00362D80">
              <w:rPr>
                <w:sz w:val="20"/>
                <w:szCs w:val="20"/>
              </w:rPr>
              <w:t>6.</w:t>
            </w:r>
            <w:r w:rsidRPr="00362D80">
              <w:rPr>
                <w:sz w:val="20"/>
                <w:szCs w:val="20"/>
              </w:rPr>
              <w:tab/>
            </w:r>
            <w:r w:rsidR="00F524CE" w:rsidRPr="00362D80">
              <w:rPr>
                <w:sz w:val="20"/>
                <w:szCs w:val="20"/>
              </w:rPr>
              <w:t xml:space="preserve">Given that most </w:t>
            </w:r>
            <w:r w:rsidR="00CC57A7">
              <w:rPr>
                <w:sz w:val="20"/>
                <w:szCs w:val="20"/>
              </w:rPr>
              <w:t>e</w:t>
            </w:r>
            <w:r w:rsidR="009B3C93" w:rsidRPr="00362D80">
              <w:rPr>
                <w:sz w:val="20"/>
                <w:szCs w:val="20"/>
              </w:rPr>
              <w:t xml:space="preserve">nvironmental </w:t>
            </w:r>
            <w:r w:rsidR="00CC57A7">
              <w:rPr>
                <w:sz w:val="20"/>
                <w:szCs w:val="20"/>
              </w:rPr>
              <w:t>i</w:t>
            </w:r>
            <w:r w:rsidR="009B3C93" w:rsidRPr="00362D80">
              <w:rPr>
                <w:sz w:val="20"/>
                <w:szCs w:val="20"/>
              </w:rPr>
              <w:t xml:space="preserve">mpact </w:t>
            </w:r>
            <w:r w:rsidR="003305FA">
              <w:rPr>
                <w:sz w:val="20"/>
                <w:szCs w:val="20"/>
              </w:rPr>
              <w:t>a</w:t>
            </w:r>
            <w:r w:rsidR="009B3C93" w:rsidRPr="00362D80">
              <w:rPr>
                <w:sz w:val="20"/>
                <w:szCs w:val="20"/>
              </w:rPr>
              <w:t>ssessment</w:t>
            </w:r>
            <w:r w:rsidR="00F524CE" w:rsidRPr="00362D80">
              <w:rPr>
                <w:sz w:val="20"/>
                <w:szCs w:val="20"/>
              </w:rPr>
              <w:t xml:space="preserve"> practice has extended the mitigation hierarchy to include compensation and enhancement (offsets), and biodiversity net gain requirements are becoming mandatory in many countries, </w:t>
            </w:r>
            <w:r w:rsidR="00AD3461" w:rsidRPr="00362D80">
              <w:rPr>
                <w:sz w:val="20"/>
                <w:szCs w:val="20"/>
              </w:rPr>
              <w:t xml:space="preserve">should </w:t>
            </w:r>
            <w:r w:rsidR="00F524CE" w:rsidRPr="00362D80">
              <w:rPr>
                <w:sz w:val="20"/>
                <w:szCs w:val="20"/>
              </w:rPr>
              <w:t xml:space="preserve">the Convention and </w:t>
            </w:r>
            <w:r w:rsidR="00B50766" w:rsidRPr="00362D80">
              <w:rPr>
                <w:sz w:val="20"/>
                <w:szCs w:val="20"/>
              </w:rPr>
              <w:t>P</w:t>
            </w:r>
            <w:r w:rsidR="00F524CE" w:rsidRPr="00362D80">
              <w:rPr>
                <w:sz w:val="20"/>
                <w:szCs w:val="20"/>
              </w:rPr>
              <w:t xml:space="preserve">rotocol </w:t>
            </w:r>
            <w:r w:rsidR="00C03EC1" w:rsidRPr="00362D80">
              <w:rPr>
                <w:sz w:val="20"/>
                <w:szCs w:val="20"/>
              </w:rPr>
              <w:t xml:space="preserve">also </w:t>
            </w:r>
            <w:r w:rsidR="00AD3461" w:rsidRPr="00362D80">
              <w:rPr>
                <w:sz w:val="20"/>
                <w:szCs w:val="20"/>
              </w:rPr>
              <w:t xml:space="preserve">promote consideration of </w:t>
            </w:r>
            <w:r w:rsidR="00F524CE" w:rsidRPr="00362D80">
              <w:rPr>
                <w:sz w:val="20"/>
                <w:szCs w:val="20"/>
              </w:rPr>
              <w:t>offsets as allowable mitigation measures</w:t>
            </w:r>
            <w:r w:rsidR="002B5BC9" w:rsidRPr="00362D80">
              <w:rPr>
                <w:sz w:val="20"/>
                <w:szCs w:val="20"/>
              </w:rPr>
              <w:t>?</w:t>
            </w:r>
            <w:r w:rsidR="00C03EC1" w:rsidRPr="00362D80">
              <w:rPr>
                <w:sz w:val="20"/>
                <w:szCs w:val="20"/>
              </w:rPr>
              <w:t xml:space="preserve"> If yes, how should this be done?</w:t>
            </w:r>
          </w:p>
        </w:tc>
      </w:tr>
    </w:tbl>
    <w:p w14:paraId="6A872F10" w14:textId="7BD8E37F" w:rsidR="00B7491F" w:rsidRPr="00F9298F" w:rsidRDefault="00FD2ACF" w:rsidP="0023708F">
      <w:pPr>
        <w:pStyle w:val="H1G"/>
        <w:rPr>
          <w:rFonts w:asciiTheme="majorBidi" w:hAnsiTheme="majorBidi" w:cstheme="majorBidi"/>
        </w:rPr>
      </w:pPr>
      <w:r>
        <w:rPr>
          <w:rFonts w:asciiTheme="majorBidi" w:hAnsiTheme="majorBidi" w:cstheme="majorBidi"/>
        </w:rPr>
        <w:lastRenderedPageBreak/>
        <w:tab/>
      </w:r>
      <w:r w:rsidR="00786A48" w:rsidRPr="00F9298F">
        <w:rPr>
          <w:rFonts w:asciiTheme="majorBidi" w:hAnsiTheme="majorBidi" w:cstheme="majorBidi"/>
        </w:rPr>
        <w:t>D</w:t>
      </w:r>
      <w:r w:rsidR="00172777" w:rsidRPr="00F9298F">
        <w:rPr>
          <w:rFonts w:asciiTheme="majorBidi" w:hAnsiTheme="majorBidi" w:cstheme="majorBidi"/>
        </w:rPr>
        <w:t>.</w:t>
      </w:r>
      <w:r w:rsidR="00172777" w:rsidRPr="00F9298F">
        <w:rPr>
          <w:rFonts w:asciiTheme="majorBidi" w:hAnsiTheme="majorBidi" w:cstheme="majorBidi"/>
        </w:rPr>
        <w:tab/>
      </w:r>
      <w:r w:rsidR="00EB0DCA" w:rsidRPr="00F9298F">
        <w:t>Circular Economy</w:t>
      </w:r>
    </w:p>
    <w:p w14:paraId="7855DF60" w14:textId="5AA990B7" w:rsidR="00DB29CA" w:rsidRPr="00DB29CA" w:rsidRDefault="007D0D55" w:rsidP="00FD2ACF">
      <w:pPr>
        <w:pStyle w:val="SingleTxtG"/>
      </w:pPr>
      <w:r w:rsidRPr="00DB29CA">
        <w:t>17.</w:t>
      </w:r>
      <w:r w:rsidRPr="00DB29CA">
        <w:tab/>
      </w:r>
      <w:r w:rsidR="00DB29CA" w:rsidRPr="00355C6A">
        <w:t xml:space="preserve">The issues under the topic of </w:t>
      </w:r>
      <w:r w:rsidR="00DB29CA" w:rsidRPr="00DB29CA">
        <w:t>circular economy will be introduced under three headings as set out below, with an initial introduction to the key areas of focus.</w:t>
      </w:r>
    </w:p>
    <w:p w14:paraId="5C31C319" w14:textId="0AF45179" w:rsidR="00F0153D" w:rsidRPr="00DB29CA" w:rsidRDefault="00772D55" w:rsidP="00772D55">
      <w:pPr>
        <w:pStyle w:val="H23G"/>
      </w:pPr>
      <w:r>
        <w:tab/>
        <w:t>1.</w:t>
      </w:r>
      <w:r w:rsidR="007D0D55" w:rsidRPr="00DB29CA">
        <w:tab/>
      </w:r>
      <w:r w:rsidR="00F0153D" w:rsidRPr="00DB29CA">
        <w:t xml:space="preserve">What is circular economy? /Introduction to the concept </w:t>
      </w:r>
    </w:p>
    <w:p w14:paraId="1A655C45" w14:textId="6E464F19" w:rsidR="000E7CBA" w:rsidRDefault="007D0D55" w:rsidP="00772D55">
      <w:pPr>
        <w:pStyle w:val="SingleTxtG"/>
      </w:pPr>
      <w:r>
        <w:rPr>
          <w:sz w:val="22"/>
          <w:szCs w:val="22"/>
        </w:rPr>
        <w:t>18.</w:t>
      </w:r>
      <w:r>
        <w:rPr>
          <w:sz w:val="22"/>
          <w:szCs w:val="22"/>
        </w:rPr>
        <w:tab/>
      </w:r>
      <w:r w:rsidR="00DB29CA" w:rsidRPr="00D51C61">
        <w:t>“The CE [circular economy] concept is generally understood as a transition from a linear (take, make, use, dispose) model to a circular (restorative and regenerative) model”</w:t>
      </w:r>
      <w:bookmarkStart w:id="3" w:name="_Ref132974315"/>
      <w:r w:rsidR="00DB29CA" w:rsidRPr="00D51C61">
        <w:rPr>
          <w:rStyle w:val="FootnoteReference"/>
          <w:sz w:val="20"/>
        </w:rPr>
        <w:footnoteReference w:id="23"/>
      </w:r>
      <w:bookmarkEnd w:id="3"/>
      <w:r w:rsidR="00DB29CA" w:rsidRPr="00D51C61">
        <w:t xml:space="preserve">. The </w:t>
      </w:r>
      <w:r w:rsidR="007E50C7">
        <w:t xml:space="preserve">World Bank </w:t>
      </w:r>
      <w:r w:rsidR="005C5C1E">
        <w:t xml:space="preserve">reported in 2018 that 2.01 billion tonnes of municipal solid </w:t>
      </w:r>
      <w:r w:rsidR="005C5C1E" w:rsidRPr="009829A2">
        <w:t xml:space="preserve">waste </w:t>
      </w:r>
      <w:r w:rsidR="00AB01F4" w:rsidRPr="009829A2">
        <w:t>were</w:t>
      </w:r>
      <w:r w:rsidR="005C5C1E" w:rsidRPr="009829A2">
        <w:t xml:space="preserve"> produced, with this </w:t>
      </w:r>
      <w:r w:rsidR="00AB01F4" w:rsidRPr="009829A2">
        <w:t xml:space="preserve">amount </w:t>
      </w:r>
      <w:r w:rsidR="005C5C1E" w:rsidRPr="009829A2">
        <w:t>forecast to rise up to 3.4 billion tonnes per year by 2050</w:t>
      </w:r>
      <w:r w:rsidR="007E50C7" w:rsidRPr="009829A2">
        <w:rPr>
          <w:rStyle w:val="FootnoteReference"/>
          <w:sz w:val="20"/>
        </w:rPr>
        <w:footnoteReference w:id="24"/>
      </w:r>
      <w:r w:rsidR="007E50C7" w:rsidRPr="009829A2">
        <w:t>.</w:t>
      </w:r>
      <w:r w:rsidR="005C5C1E" w:rsidRPr="009829A2">
        <w:t xml:space="preserve"> </w:t>
      </w:r>
      <w:r w:rsidR="009829A2" w:rsidRPr="009829A2">
        <w:t xml:space="preserve">The United Nations Conference on Trade and Development </w:t>
      </w:r>
      <w:r w:rsidR="009829A2">
        <w:t>had previously indicated that, globally, waste production was</w:t>
      </w:r>
      <w:r w:rsidR="009829A2" w:rsidRPr="009829A2">
        <w:t xml:space="preserve"> based on manufacturing processes using 54% of the world’s energy</w:t>
      </w:r>
      <w:r w:rsidR="009829A2" w:rsidRPr="009829A2">
        <w:rPr>
          <w:rStyle w:val="FootnoteReference"/>
          <w:sz w:val="20"/>
        </w:rPr>
        <w:footnoteReference w:id="25"/>
      </w:r>
      <w:r w:rsidR="009829A2" w:rsidRPr="009829A2">
        <w:t>.</w:t>
      </w:r>
      <w:r w:rsidR="009829A2">
        <w:t xml:space="preserve"> </w:t>
      </w:r>
      <w:r w:rsidR="00DB29CA" w:rsidRPr="009829A2">
        <w:t>Linear production systems therefore act as</w:t>
      </w:r>
      <w:r w:rsidR="00DB29CA" w:rsidRPr="00D51C61">
        <w:t xml:space="preserve"> a barrier to energy transition that rely on reducing energy need. The same report points to imbalances between countries in their production of goods, or their use of them – leading to further transboundary implications of trade.</w:t>
      </w:r>
      <w:r w:rsidR="000E7CBA">
        <w:t xml:space="preserve"> </w:t>
      </w:r>
    </w:p>
    <w:p w14:paraId="035F9021" w14:textId="333AB534" w:rsidR="00DB29CA" w:rsidRPr="000E7CBA" w:rsidRDefault="007D0D55" w:rsidP="00772D55">
      <w:pPr>
        <w:pStyle w:val="SingleTxtG"/>
      </w:pPr>
      <w:r w:rsidRPr="000E7CBA">
        <w:rPr>
          <w:sz w:val="22"/>
          <w:szCs w:val="22"/>
        </w:rPr>
        <w:t>19.</w:t>
      </w:r>
      <w:r w:rsidRPr="000E7CBA">
        <w:rPr>
          <w:sz w:val="22"/>
          <w:szCs w:val="22"/>
        </w:rPr>
        <w:tab/>
      </w:r>
      <w:r w:rsidR="000E7CBA" w:rsidRPr="00D51C61">
        <w:t xml:space="preserve">The </w:t>
      </w:r>
      <w:r w:rsidR="007E50C7">
        <w:t>circular economy</w:t>
      </w:r>
      <w:r w:rsidR="000E7CBA" w:rsidRPr="00D51C61">
        <w:t xml:space="preserve"> has been argued to rest on three key principles</w:t>
      </w:r>
      <w:r w:rsidR="000E7CBA" w:rsidRPr="00D51C61">
        <w:rPr>
          <w:rStyle w:val="FootnoteReference"/>
          <w:sz w:val="20"/>
        </w:rPr>
        <w:footnoteReference w:id="26"/>
      </w:r>
      <w:r w:rsidR="0041211F">
        <w:t>:</w:t>
      </w:r>
      <w:r w:rsidR="000E7CBA" w:rsidRPr="00D51C61">
        <w:t xml:space="preserve"> 1) eliminate waste and pollution; 2) circulate products and materials; 3) regenerate nature. In terms of climate, eliminating waste reduces emissions across the value chain; circulating products and materials retains their embodied energy, and regenerating nature sequesters carbon.</w:t>
      </w:r>
    </w:p>
    <w:p w14:paraId="7C168AE4" w14:textId="3D0FB6F7" w:rsidR="00F0153D" w:rsidRPr="00331B6D" w:rsidRDefault="00772D55" w:rsidP="00772D55">
      <w:pPr>
        <w:pStyle w:val="H23G"/>
      </w:pPr>
      <w:r>
        <w:tab/>
        <w:t>2</w:t>
      </w:r>
      <w:r w:rsidR="007D0D55" w:rsidRPr="00331B6D">
        <w:t>.</w:t>
      </w:r>
      <w:r w:rsidR="007D0D55" w:rsidRPr="00331B6D">
        <w:tab/>
      </w:r>
      <w:r w:rsidR="00F0153D" w:rsidRPr="00331B6D">
        <w:t xml:space="preserve">Policy frameworks </w:t>
      </w:r>
      <w:r w:rsidR="0012134D" w:rsidRPr="00355C6A">
        <w:t xml:space="preserve">for </w:t>
      </w:r>
      <w:r w:rsidR="0012134D" w:rsidRPr="00331B6D">
        <w:t xml:space="preserve">a </w:t>
      </w:r>
      <w:r w:rsidR="00EC3562" w:rsidRPr="00331B6D">
        <w:t xml:space="preserve">circular economy </w:t>
      </w:r>
      <w:r w:rsidR="0012134D" w:rsidRPr="00331B6D">
        <w:t>and implementation status</w:t>
      </w:r>
    </w:p>
    <w:p w14:paraId="48BE21CD" w14:textId="35D444CF" w:rsidR="00E61AFE" w:rsidRPr="002C409F" w:rsidRDefault="007D0D55" w:rsidP="00772D55">
      <w:pPr>
        <w:pStyle w:val="SingleTxtG"/>
      </w:pPr>
      <w:r w:rsidRPr="002C409F">
        <w:t>20.</w:t>
      </w:r>
      <w:r w:rsidRPr="002C409F">
        <w:tab/>
      </w:r>
      <w:r w:rsidR="00E61AFE" w:rsidRPr="002C409F">
        <w:t>Planning is already underway to transition to a circular economy. For the European Union Member States this is evidenced through the Action Plan for Circular Economy</w:t>
      </w:r>
      <w:r w:rsidR="00E61AFE" w:rsidRPr="002C409F">
        <w:rPr>
          <w:rStyle w:val="FootnoteReference"/>
          <w:sz w:val="20"/>
        </w:rPr>
        <w:footnoteReference w:id="27"/>
      </w:r>
      <w:r w:rsidR="00E61AFE" w:rsidRPr="002C409F">
        <w:t xml:space="preserve"> which has embedded circular economy as an overarching model for delivering key elements of the European Green Deal: the new industrial strategy for Europe, leading to green growth and digital transition</w:t>
      </w:r>
      <w:r w:rsidR="00E61AFE" w:rsidRPr="002C409F">
        <w:rPr>
          <w:rStyle w:val="FootnoteReference"/>
          <w:sz w:val="20"/>
        </w:rPr>
        <w:footnoteReference w:id="28"/>
      </w:r>
      <w:r w:rsidR="00E61AFE" w:rsidRPr="002C409F">
        <w:t>; and the blue economy (circular economy examples include renewing standards for fishing gear design, ship recycling, decommissioning offshore platforms)</w:t>
      </w:r>
      <w:r w:rsidR="00E61AFE" w:rsidRPr="002C409F">
        <w:rPr>
          <w:rStyle w:val="FootnoteReference"/>
          <w:sz w:val="20"/>
        </w:rPr>
        <w:footnoteReference w:id="29"/>
      </w:r>
      <w:r w:rsidR="00E61AFE" w:rsidRPr="002C409F">
        <w:t xml:space="preserve">. </w:t>
      </w:r>
      <w:r w:rsidR="005019AE">
        <w:t xml:space="preserve">In addition, the </w:t>
      </w:r>
      <w:r w:rsidR="00F96F84">
        <w:t xml:space="preserve">proposal </w:t>
      </w:r>
      <w:r w:rsidR="0012615B">
        <w:t>for a regulation of</w:t>
      </w:r>
      <w:r w:rsidR="00DF7E23">
        <w:t xml:space="preserve"> the European Parliament a</w:t>
      </w:r>
      <w:r w:rsidR="0012615B">
        <w:t>nd of the Council</w:t>
      </w:r>
      <w:r w:rsidR="00F96F84">
        <w:t xml:space="preserve"> establishing a framework for ensuring a secure and sustainable supply of </w:t>
      </w:r>
      <w:r w:rsidR="00DF7E23">
        <w:t>critical raw materials</w:t>
      </w:r>
      <w:r w:rsidR="00DF7E23">
        <w:rPr>
          <w:rStyle w:val="FootnoteReference"/>
        </w:rPr>
        <w:footnoteReference w:id="30"/>
      </w:r>
      <w:r w:rsidR="00DF7E23">
        <w:t xml:space="preserve"> </w:t>
      </w:r>
      <w:r w:rsidR="0012615B">
        <w:t xml:space="preserve">has a </w:t>
      </w:r>
      <w:r w:rsidR="00A07B07">
        <w:t>chapter</w:t>
      </w:r>
      <w:r w:rsidR="009F2796">
        <w:t xml:space="preserve"> on circularity aiming to </w:t>
      </w:r>
      <w:r w:rsidR="00BE4E6C">
        <w:t>reduce dependence on primary raw materials for use in</w:t>
      </w:r>
      <w:r w:rsidR="00A07B07">
        <w:t>, amongst others, the</w:t>
      </w:r>
      <w:r w:rsidR="00BE4E6C">
        <w:t xml:space="preserve"> renewable energy</w:t>
      </w:r>
      <w:r w:rsidR="00A07B07">
        <w:t xml:space="preserve"> sector.</w:t>
      </w:r>
      <w:r w:rsidR="00BE4E6C">
        <w:t xml:space="preserve"> </w:t>
      </w:r>
      <w:r w:rsidR="00FE7F77">
        <w:t xml:space="preserve">Circular economy strategies have been </w:t>
      </w:r>
      <w:r w:rsidR="00FE7F77">
        <w:lastRenderedPageBreak/>
        <w:t>developed in, amongst other countries, the U</w:t>
      </w:r>
      <w:r w:rsidR="00755DFD">
        <w:t xml:space="preserve">nited </w:t>
      </w:r>
      <w:r w:rsidR="00FE7F77">
        <w:t>S</w:t>
      </w:r>
      <w:r w:rsidR="00755DFD">
        <w:t>tates</w:t>
      </w:r>
      <w:r w:rsidR="00FE7F77">
        <w:t>, China and Japan</w:t>
      </w:r>
      <w:r w:rsidR="00FE7F77">
        <w:rPr>
          <w:rStyle w:val="FootnoteReference"/>
        </w:rPr>
        <w:footnoteReference w:id="31"/>
      </w:r>
      <w:r w:rsidR="00FE7F77">
        <w:t xml:space="preserve">. </w:t>
      </w:r>
      <w:r w:rsidR="00E61AFE" w:rsidRPr="002C409F">
        <w:t>Networks of businesses have been established, like the Ellen MacArthur Foundation (United Kingdom), Circle Economy in the Netherlands, Circular Change in Slovenia, and increasing numbers of circular economy initiatives are in place at regional and city levels (for example, see the Circular City Funding Guide</w:t>
      </w:r>
      <w:r w:rsidR="00E61AFE" w:rsidRPr="002C409F">
        <w:rPr>
          <w:rStyle w:val="FootnoteReference"/>
          <w:sz w:val="20"/>
        </w:rPr>
        <w:footnoteReference w:id="32"/>
      </w:r>
      <w:r w:rsidR="00E61AFE" w:rsidRPr="002C409F">
        <w:t>). And standards [including BS8001</w:t>
      </w:r>
      <w:r w:rsidR="00E61AFE" w:rsidRPr="002C409F">
        <w:rPr>
          <w:rStyle w:val="FootnoteReference"/>
          <w:sz w:val="20"/>
        </w:rPr>
        <w:footnoteReference w:id="33"/>
      </w:r>
      <w:r w:rsidR="00E61AFE" w:rsidRPr="002C409F">
        <w:t xml:space="preserve"> (United Kingdom) and XP X30-901</w:t>
      </w:r>
      <w:r w:rsidR="00E61AFE" w:rsidRPr="002C409F">
        <w:rPr>
          <w:rStyle w:val="FootnoteReference"/>
          <w:sz w:val="20"/>
        </w:rPr>
        <w:footnoteReference w:id="34"/>
      </w:r>
      <w:r w:rsidR="00E61AFE" w:rsidRPr="002C409F">
        <w:t xml:space="preserve"> (France)] are being established to harmonise concepts, terminology, approaches and metrics.</w:t>
      </w:r>
    </w:p>
    <w:p w14:paraId="07DB53DA" w14:textId="28678A9A" w:rsidR="00F0153D" w:rsidRPr="00355C6A" w:rsidRDefault="00772D55" w:rsidP="00772D55">
      <w:pPr>
        <w:pStyle w:val="H23G"/>
      </w:pPr>
      <w:r>
        <w:tab/>
        <w:t>3</w:t>
      </w:r>
      <w:r w:rsidR="007D0D55" w:rsidRPr="00355C6A">
        <w:t>.</w:t>
      </w:r>
      <w:r w:rsidR="007D0D55" w:rsidRPr="00355C6A">
        <w:tab/>
      </w:r>
      <w:r w:rsidR="0012134D" w:rsidRPr="00355C6A">
        <w:t xml:space="preserve">Role, benefits and further potential of the Convention and Protocol in promoting </w:t>
      </w:r>
      <w:r w:rsidR="00EC3562" w:rsidRPr="00355C6A">
        <w:t>a circular economy</w:t>
      </w:r>
    </w:p>
    <w:p w14:paraId="33698D54" w14:textId="22502DA4" w:rsidR="002C409F" w:rsidRPr="002C409F" w:rsidRDefault="007D0D55" w:rsidP="00772D55">
      <w:pPr>
        <w:pStyle w:val="SingleTxtG"/>
      </w:pPr>
      <w:r w:rsidRPr="002C409F">
        <w:t>21.</w:t>
      </w:r>
      <w:r w:rsidRPr="002C409F">
        <w:tab/>
      </w:r>
      <w:r w:rsidR="002C409F" w:rsidRPr="002C409F">
        <w:t xml:space="preserve">The development of the </w:t>
      </w:r>
      <w:r w:rsidR="002C409F">
        <w:t>circular economy</w:t>
      </w:r>
      <w:r w:rsidR="002C409F" w:rsidRPr="002C409F">
        <w:t xml:space="preserve"> requires both vertical (from policies down to projects) and horizontal (across sector) implementation. The European Economic and Social Committee made some recommendations based on research into emerging </w:t>
      </w:r>
      <w:r w:rsidR="002C409F">
        <w:t>circular economy</w:t>
      </w:r>
      <w:r w:rsidR="002C409F" w:rsidRPr="002C409F">
        <w:t xml:space="preserve"> strategies across Europe </w:t>
      </w:r>
      <w:r w:rsidR="00FC67CB">
        <w:t xml:space="preserve">(European Union member states plus Norway and the United Kingdom) </w:t>
      </w:r>
      <w:r w:rsidR="002C409F" w:rsidRPr="002C409F">
        <w:t>and argued for “</w:t>
      </w:r>
      <w:r w:rsidR="002C409F" w:rsidRPr="002C409F">
        <w:rPr>
          <w:i/>
          <w:iCs/>
        </w:rPr>
        <w:t>stronger involvement of civil society organisations in earlier phases of strategy development</w:t>
      </w:r>
      <w:r w:rsidR="002C409F" w:rsidRPr="002C409F">
        <w:t>”</w:t>
      </w:r>
      <w:r w:rsidR="002C409F" w:rsidRPr="002C409F">
        <w:rPr>
          <w:rStyle w:val="FootnoteReference"/>
          <w:sz w:val="20"/>
        </w:rPr>
        <w:footnoteReference w:id="35"/>
      </w:r>
      <w:r w:rsidR="002C409F" w:rsidRPr="002C409F">
        <w:t xml:space="preserve">. As both the Convention and </w:t>
      </w:r>
      <w:r w:rsidR="00AF08C1">
        <w:t xml:space="preserve">the </w:t>
      </w:r>
      <w:r w:rsidR="002C409F" w:rsidRPr="002C409F">
        <w:t xml:space="preserve">Protocol apply across multiple sectors and have comprehensive public participation requirements, they are ideally placed to help with the implementation of the </w:t>
      </w:r>
      <w:r w:rsidR="002C409F">
        <w:t>circular economy</w:t>
      </w:r>
      <w:r w:rsidR="002C409F" w:rsidRPr="002C409F">
        <w:t>.</w:t>
      </w:r>
    </w:p>
    <w:p w14:paraId="735F914D" w14:textId="27772EEE" w:rsidR="002C409F" w:rsidRPr="002C409F" w:rsidRDefault="007D0D55" w:rsidP="00772D55">
      <w:pPr>
        <w:pStyle w:val="SingleTxtG"/>
      </w:pPr>
      <w:r w:rsidRPr="002C409F">
        <w:t>22.</w:t>
      </w:r>
      <w:r w:rsidRPr="002C409F">
        <w:tab/>
      </w:r>
      <w:r w:rsidR="002C409F" w:rsidRPr="002C409F">
        <w:t xml:space="preserve">A transition to a </w:t>
      </w:r>
      <w:r w:rsidR="00FC67CB">
        <w:t>circular economy</w:t>
      </w:r>
      <w:r w:rsidR="002C409F" w:rsidRPr="002C409F">
        <w:t xml:space="preserve"> can have many implications, including changes in: trade patterns; manufacturing approaches; location of manufacturing industries; amongst others. These changes are facilitated through plans, programmes and projects potentially subject, respectively, to </w:t>
      </w:r>
      <w:r w:rsidR="000358FC">
        <w:t>s</w:t>
      </w:r>
      <w:r w:rsidR="00871A50">
        <w:t xml:space="preserve">trategic </w:t>
      </w:r>
      <w:r w:rsidR="000358FC">
        <w:t>e</w:t>
      </w:r>
      <w:r w:rsidR="00871A50">
        <w:t xml:space="preserve">nvironmental </w:t>
      </w:r>
      <w:r w:rsidR="000358FC">
        <w:t>a</w:t>
      </w:r>
      <w:r w:rsidR="00871A50">
        <w:t>ssessment</w:t>
      </w:r>
      <w:r w:rsidR="002C409F" w:rsidRPr="002C409F">
        <w:t xml:space="preserve"> and transboundary </w:t>
      </w:r>
      <w:r w:rsidR="000358FC">
        <w:t>e</w:t>
      </w:r>
      <w:r w:rsidR="00FC67CB">
        <w:t xml:space="preserve">nvironmental </w:t>
      </w:r>
      <w:r w:rsidR="000358FC">
        <w:t>i</w:t>
      </w:r>
      <w:r w:rsidR="00FC67CB">
        <w:t xml:space="preserve">mpact </w:t>
      </w:r>
      <w:r w:rsidR="000358FC">
        <w:t>a</w:t>
      </w:r>
      <w:r w:rsidR="00FC67CB">
        <w:t>ssessment</w:t>
      </w:r>
      <w:r w:rsidR="002C409F" w:rsidRPr="002C409F">
        <w:t xml:space="preserve">. Therefore, there are opportunities for these tools to inform and influence the transition to the </w:t>
      </w:r>
      <w:r w:rsidR="00FC67CB">
        <w:t>circular economy</w:t>
      </w:r>
      <w:r w:rsidR="002C409F" w:rsidRPr="002C409F">
        <w:t>.</w:t>
      </w:r>
    </w:p>
    <w:p w14:paraId="34562EBF" w14:textId="2D9AD201" w:rsidR="002C409F" w:rsidRPr="002C409F" w:rsidRDefault="007D0D55" w:rsidP="00772D55">
      <w:pPr>
        <w:pStyle w:val="SingleTxtG"/>
      </w:pPr>
      <w:r w:rsidRPr="002C409F">
        <w:t>23.</w:t>
      </w:r>
      <w:r w:rsidRPr="002C409F">
        <w:tab/>
      </w:r>
      <w:r w:rsidR="002C409F" w:rsidRPr="002C409F">
        <w:t xml:space="preserve">The European Commission has recognised the supportive role in delivering a circular economy that </w:t>
      </w:r>
      <w:r w:rsidR="00EA6DEC">
        <w:t>e</w:t>
      </w:r>
      <w:r w:rsidR="006F72D8">
        <w:t xml:space="preserve">nvironmental </w:t>
      </w:r>
      <w:r w:rsidR="00EA6DEC">
        <w:t>i</w:t>
      </w:r>
      <w:r w:rsidR="006F72D8">
        <w:t xml:space="preserve">mpact </w:t>
      </w:r>
      <w:r w:rsidR="00EA6DEC">
        <w:t>a</w:t>
      </w:r>
      <w:r w:rsidR="006F72D8">
        <w:t>ssessment</w:t>
      </w:r>
      <w:r w:rsidR="002C409F" w:rsidRPr="002C409F">
        <w:t xml:space="preserve"> plays</w:t>
      </w:r>
      <w:r w:rsidR="002C409F" w:rsidRPr="002C409F">
        <w:rPr>
          <w:rStyle w:val="FootnoteReference"/>
          <w:sz w:val="20"/>
        </w:rPr>
        <w:footnoteReference w:id="36"/>
      </w:r>
      <w:r w:rsidR="002C409F" w:rsidRPr="002C409F">
        <w:t xml:space="preserve">. In addition, the </w:t>
      </w:r>
      <w:r w:rsidR="00FC67CB">
        <w:t>WHO</w:t>
      </w:r>
      <w:r w:rsidR="002C409F" w:rsidRPr="002C409F">
        <w:t>, Regional Office for Europe, recogni</w:t>
      </w:r>
      <w:r w:rsidR="00AD44BE">
        <w:t>z</w:t>
      </w:r>
      <w:r w:rsidR="002C409F" w:rsidRPr="002C409F">
        <w:t xml:space="preserve">e the role that both </w:t>
      </w:r>
      <w:r w:rsidR="001A6597">
        <w:t>s</w:t>
      </w:r>
      <w:r w:rsidR="004E330C">
        <w:t xml:space="preserve">trategic </w:t>
      </w:r>
      <w:r w:rsidR="001A6597">
        <w:t>e</w:t>
      </w:r>
      <w:r w:rsidR="004E330C">
        <w:t xml:space="preserve">nvironmental </w:t>
      </w:r>
      <w:r w:rsidR="001A6597">
        <w:t>a</w:t>
      </w:r>
      <w:r w:rsidR="004E330C">
        <w:t>ssessment</w:t>
      </w:r>
      <w:r w:rsidR="002C409F" w:rsidRPr="002C409F">
        <w:t xml:space="preserve"> and </w:t>
      </w:r>
      <w:r w:rsidR="007F0B51">
        <w:t>e</w:t>
      </w:r>
      <w:r w:rsidR="006F72D8">
        <w:t xml:space="preserve">nvironmental </w:t>
      </w:r>
      <w:r w:rsidR="007F0B51">
        <w:t>i</w:t>
      </w:r>
      <w:r w:rsidR="006F72D8">
        <w:t xml:space="preserve">mpact </w:t>
      </w:r>
      <w:r w:rsidR="007F0B51">
        <w:t>a</w:t>
      </w:r>
      <w:r w:rsidR="006F72D8">
        <w:t>ssessment</w:t>
      </w:r>
      <w:r w:rsidR="002C409F" w:rsidRPr="002C409F">
        <w:t xml:space="preserve"> can play in considering the human health implications of moving towards a circular economy. </w:t>
      </w:r>
      <w:r w:rsidR="00FC67CB">
        <w:t>The</w:t>
      </w:r>
      <w:r w:rsidR="002C409F" w:rsidRPr="002C409F">
        <w:t xml:space="preserve"> International Association for Impact Assessment recogni</w:t>
      </w:r>
      <w:r w:rsidR="00721B73">
        <w:t>z</w:t>
      </w:r>
      <w:r w:rsidR="002C409F" w:rsidRPr="002C409F">
        <w:t xml:space="preserve">e that some alignment is needed between impact assessment and </w:t>
      </w:r>
      <w:r w:rsidR="00FC67CB">
        <w:t>circular economy</w:t>
      </w:r>
      <w:r w:rsidR="002C409F" w:rsidRPr="002C409F">
        <w:t xml:space="preserve"> approaches</w:t>
      </w:r>
      <w:r w:rsidR="002C409F" w:rsidRPr="002C409F">
        <w:rPr>
          <w:rStyle w:val="FootnoteReference"/>
          <w:sz w:val="20"/>
        </w:rPr>
        <w:footnoteReference w:id="37"/>
      </w:r>
      <w:r w:rsidR="002C409F" w:rsidRPr="002C409F">
        <w:t>.</w:t>
      </w:r>
    </w:p>
    <w:p w14:paraId="29E7DF50" w14:textId="053DC427" w:rsidR="002C409F" w:rsidRPr="00FC67CB" w:rsidRDefault="007D0D55" w:rsidP="00772D55">
      <w:pPr>
        <w:pStyle w:val="SingleTxtG"/>
      </w:pPr>
      <w:r w:rsidRPr="00FC67CB">
        <w:lastRenderedPageBreak/>
        <w:t>24.</w:t>
      </w:r>
      <w:r w:rsidRPr="00FC67CB">
        <w:tab/>
      </w:r>
      <w:r w:rsidR="002C409F" w:rsidRPr="002C409F">
        <w:t xml:space="preserve">Whilst the Convention and Protocol are ideally placed to facilitate examinations of the impacts of proposed interventions across a broad range of environmental, and health, components, they were designed at a time before circularity emerged as an important design concept. Their requirements to report on the significance of potential impacts of reasonable alternatives, and to suggest mitigation measures for any significant impact, falls short of embedding circularity principles into the assessment. That is, whilst impacts may be avoided, circularity opportunities are not the focus. </w:t>
      </w:r>
      <w:r w:rsidR="00FC67CB">
        <w:t>Indeed, r</w:t>
      </w:r>
      <w:r w:rsidR="002C409F" w:rsidRPr="00FC67CB">
        <w:t xml:space="preserve">esearch has suggested that advancement towards developing a </w:t>
      </w:r>
      <w:r w:rsidR="00FC67CB">
        <w:t>circular economy</w:t>
      </w:r>
      <w:r w:rsidR="002C409F" w:rsidRPr="00FC67CB">
        <w:t xml:space="preserve"> across</w:t>
      </w:r>
      <w:r w:rsidR="00FC67CB">
        <w:t xml:space="preserve"> European Union</w:t>
      </w:r>
      <w:r w:rsidR="002C409F" w:rsidRPr="00FC67CB">
        <w:t xml:space="preserve"> countries is varied, leading to “the existence of a two-speed Europe” in this regard</w:t>
      </w:r>
      <w:r w:rsidR="002C409F" w:rsidRPr="002C409F">
        <w:rPr>
          <w:rStyle w:val="FootnoteReference"/>
          <w:sz w:val="20"/>
        </w:rPr>
        <w:footnoteReference w:id="38"/>
      </w:r>
      <w:r w:rsidR="002C409F" w:rsidRPr="00FC67CB">
        <w:t xml:space="preserve">. </w:t>
      </w:r>
    </w:p>
    <w:tbl>
      <w:tblPr>
        <w:tblW w:w="7933"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7933"/>
      </w:tblGrid>
      <w:tr w:rsidR="00F95051" w:rsidRPr="00F9298F" w14:paraId="554ECB0F" w14:textId="77777777" w:rsidTr="00D72021">
        <w:trPr>
          <w:jc w:val="center"/>
        </w:trPr>
        <w:tc>
          <w:tcPr>
            <w:tcW w:w="7933" w:type="dxa"/>
            <w:shd w:val="clear" w:color="auto" w:fill="auto"/>
          </w:tcPr>
          <w:p w14:paraId="450C7D07" w14:textId="77777777" w:rsidR="00F95051" w:rsidRPr="00E54415" w:rsidRDefault="00F95051" w:rsidP="00F95051">
            <w:pPr>
              <w:pStyle w:val="SingleTxtG"/>
              <w:ind w:left="431" w:right="420"/>
              <w:rPr>
                <w:rFonts w:asciiTheme="majorBidi" w:hAnsiTheme="majorBidi" w:cstheme="majorBidi"/>
                <w:i/>
                <w:iCs/>
              </w:rPr>
            </w:pPr>
            <w:r w:rsidRPr="00E54415">
              <w:rPr>
                <w:rFonts w:asciiTheme="majorBidi" w:hAnsiTheme="majorBidi" w:cstheme="majorBidi"/>
                <w:i/>
                <w:iCs/>
              </w:rPr>
              <w:t>Suggested points of discussion/key guiding questions</w:t>
            </w:r>
          </w:p>
          <w:p w14:paraId="22902F55" w14:textId="07849B12" w:rsidR="00A455A7" w:rsidRPr="00E54415" w:rsidRDefault="007D0D55" w:rsidP="007D0D55">
            <w:pPr>
              <w:pStyle w:val="ListParagraph"/>
              <w:spacing w:after="120" w:line="240" w:lineRule="auto"/>
              <w:ind w:left="788" w:right="420" w:hanging="357"/>
              <w:contextualSpacing w:val="0"/>
              <w:jc w:val="both"/>
              <w:rPr>
                <w:rFonts w:ascii="Times New Roman" w:hAnsi="Times New Roman" w:cs="Times New Roman"/>
                <w:sz w:val="20"/>
                <w:szCs w:val="20"/>
                <w:lang w:val="en-GB"/>
              </w:rPr>
            </w:pPr>
            <w:r w:rsidRPr="00E54415">
              <w:rPr>
                <w:rFonts w:ascii="Times New Roman" w:hAnsi="Times New Roman" w:cs="Times New Roman"/>
                <w:sz w:val="20"/>
                <w:szCs w:val="20"/>
                <w:lang w:val="en-GB"/>
              </w:rPr>
              <w:t>1.</w:t>
            </w:r>
            <w:r w:rsidRPr="00E54415">
              <w:rPr>
                <w:rFonts w:ascii="Times New Roman" w:hAnsi="Times New Roman" w:cs="Times New Roman"/>
                <w:sz w:val="20"/>
                <w:szCs w:val="20"/>
                <w:lang w:val="en-GB"/>
              </w:rPr>
              <w:tab/>
            </w:r>
            <w:r w:rsidR="00BA5E82" w:rsidRPr="00E54415">
              <w:rPr>
                <w:rFonts w:ascii="Times New Roman" w:hAnsi="Times New Roman" w:cs="Times New Roman"/>
                <w:sz w:val="20"/>
                <w:szCs w:val="20"/>
                <w:lang w:val="en-GB"/>
              </w:rPr>
              <w:t>How can</w:t>
            </w:r>
            <w:r w:rsidR="00A455A7" w:rsidRPr="00E54415">
              <w:rPr>
                <w:rFonts w:ascii="Times New Roman" w:hAnsi="Times New Roman" w:cs="Times New Roman"/>
                <w:sz w:val="20"/>
                <w:szCs w:val="20"/>
                <w:lang w:val="en-GB"/>
              </w:rPr>
              <w:t xml:space="preserve"> transboundary </w:t>
            </w:r>
            <w:r w:rsidR="00FB3286">
              <w:rPr>
                <w:rFonts w:ascii="Times New Roman" w:hAnsi="Times New Roman" w:cs="Times New Roman"/>
                <w:sz w:val="20"/>
                <w:szCs w:val="20"/>
                <w:lang w:val="en-GB"/>
              </w:rPr>
              <w:t>e</w:t>
            </w:r>
            <w:r w:rsidR="009B3C93" w:rsidRPr="00E54415">
              <w:rPr>
                <w:rFonts w:ascii="Times New Roman" w:hAnsi="Times New Roman" w:cs="Times New Roman"/>
                <w:sz w:val="20"/>
                <w:szCs w:val="20"/>
                <w:lang w:val="en-GB"/>
              </w:rPr>
              <w:t xml:space="preserve">nvironmental </w:t>
            </w:r>
            <w:r w:rsidR="00FB3286">
              <w:rPr>
                <w:rFonts w:ascii="Times New Roman" w:hAnsi="Times New Roman" w:cs="Times New Roman"/>
                <w:sz w:val="20"/>
                <w:szCs w:val="20"/>
                <w:lang w:val="en-GB"/>
              </w:rPr>
              <w:t>i</w:t>
            </w:r>
            <w:r w:rsidR="009B3C93" w:rsidRPr="00E54415">
              <w:rPr>
                <w:rFonts w:ascii="Times New Roman" w:hAnsi="Times New Roman" w:cs="Times New Roman"/>
                <w:sz w:val="20"/>
                <w:szCs w:val="20"/>
                <w:lang w:val="en-GB"/>
              </w:rPr>
              <w:t xml:space="preserve">mpact </w:t>
            </w:r>
            <w:r w:rsidR="00FB3286">
              <w:rPr>
                <w:rFonts w:ascii="Times New Roman" w:hAnsi="Times New Roman" w:cs="Times New Roman"/>
                <w:sz w:val="20"/>
                <w:szCs w:val="20"/>
                <w:lang w:val="en-GB"/>
              </w:rPr>
              <w:t>a</w:t>
            </w:r>
            <w:r w:rsidR="009B3C93" w:rsidRPr="00E54415">
              <w:rPr>
                <w:rFonts w:ascii="Times New Roman" w:hAnsi="Times New Roman" w:cs="Times New Roman"/>
                <w:sz w:val="20"/>
                <w:szCs w:val="20"/>
                <w:lang w:val="en-GB"/>
              </w:rPr>
              <w:t>ssessment</w:t>
            </w:r>
            <w:r w:rsidR="00A455A7" w:rsidRPr="00E54415">
              <w:rPr>
                <w:rFonts w:ascii="Times New Roman" w:hAnsi="Times New Roman" w:cs="Times New Roman"/>
                <w:sz w:val="20"/>
                <w:szCs w:val="20"/>
                <w:lang w:val="en-GB"/>
              </w:rPr>
              <w:t xml:space="preserve"> </w:t>
            </w:r>
            <w:r w:rsidR="00BA5E82" w:rsidRPr="00E54415">
              <w:rPr>
                <w:rFonts w:ascii="Times New Roman" w:hAnsi="Times New Roman" w:cs="Times New Roman"/>
                <w:sz w:val="20"/>
                <w:szCs w:val="20"/>
                <w:lang w:val="en-GB"/>
              </w:rPr>
              <w:t>under the Convention be made to</w:t>
            </w:r>
            <w:r w:rsidR="00A455A7" w:rsidRPr="00E54415">
              <w:rPr>
                <w:rFonts w:ascii="Times New Roman" w:hAnsi="Times New Roman" w:cs="Times New Roman"/>
                <w:sz w:val="20"/>
                <w:szCs w:val="20"/>
                <w:lang w:val="en-GB"/>
              </w:rPr>
              <w:t xml:space="preserve"> identify </w:t>
            </w:r>
            <w:r w:rsidR="004D1EC9" w:rsidRPr="00E54415">
              <w:rPr>
                <w:rFonts w:ascii="Times New Roman" w:hAnsi="Times New Roman" w:cs="Times New Roman"/>
                <w:sz w:val="20"/>
                <w:szCs w:val="20"/>
                <w:lang w:val="en-GB"/>
              </w:rPr>
              <w:t xml:space="preserve">and promote </w:t>
            </w:r>
            <w:r w:rsidR="00EC3562">
              <w:rPr>
                <w:rFonts w:ascii="Times New Roman" w:hAnsi="Times New Roman" w:cs="Times New Roman"/>
                <w:sz w:val="20"/>
                <w:szCs w:val="20"/>
                <w:lang w:val="en-GB"/>
              </w:rPr>
              <w:t xml:space="preserve">circular economy </w:t>
            </w:r>
            <w:r w:rsidR="00A455A7" w:rsidRPr="00E54415">
              <w:rPr>
                <w:rFonts w:ascii="Times New Roman" w:hAnsi="Times New Roman" w:cs="Times New Roman"/>
                <w:sz w:val="20"/>
                <w:szCs w:val="20"/>
                <w:lang w:val="en-GB"/>
              </w:rPr>
              <w:t>opportunities (</w:t>
            </w:r>
            <w:r w:rsidR="00BA5E82" w:rsidRPr="00E54415">
              <w:rPr>
                <w:rFonts w:ascii="Times New Roman" w:hAnsi="Times New Roman" w:cs="Times New Roman"/>
                <w:sz w:val="20"/>
                <w:szCs w:val="20"/>
                <w:lang w:val="en-GB"/>
              </w:rPr>
              <w:t>e.g., where</w:t>
            </w:r>
            <w:r w:rsidR="00A455A7" w:rsidRPr="00E54415">
              <w:rPr>
                <w:rFonts w:ascii="Times New Roman" w:hAnsi="Times New Roman" w:cs="Times New Roman"/>
                <w:sz w:val="20"/>
                <w:szCs w:val="20"/>
                <w:lang w:val="en-GB"/>
              </w:rPr>
              <w:t xml:space="preserve"> waste generated by the </w:t>
            </w:r>
            <w:r w:rsidR="00884105">
              <w:rPr>
                <w:rFonts w:ascii="Times New Roman" w:hAnsi="Times New Roman" w:cs="Times New Roman"/>
                <w:sz w:val="20"/>
                <w:szCs w:val="20"/>
                <w:lang w:val="en-GB"/>
              </w:rPr>
              <w:t>P</w:t>
            </w:r>
            <w:r w:rsidR="00A455A7" w:rsidRPr="00E54415">
              <w:rPr>
                <w:rFonts w:ascii="Times New Roman" w:hAnsi="Times New Roman" w:cs="Times New Roman"/>
                <w:sz w:val="20"/>
                <w:szCs w:val="20"/>
                <w:lang w:val="en-GB"/>
              </w:rPr>
              <w:t xml:space="preserve">arty of </w:t>
            </w:r>
            <w:r w:rsidR="00884105">
              <w:rPr>
                <w:rFonts w:ascii="Times New Roman" w:hAnsi="Times New Roman" w:cs="Times New Roman"/>
                <w:sz w:val="20"/>
                <w:szCs w:val="20"/>
                <w:lang w:val="en-GB"/>
              </w:rPr>
              <w:t>o</w:t>
            </w:r>
            <w:r w:rsidR="00A455A7" w:rsidRPr="00E54415">
              <w:rPr>
                <w:rFonts w:ascii="Times New Roman" w:hAnsi="Times New Roman" w:cs="Times New Roman"/>
                <w:sz w:val="20"/>
                <w:szCs w:val="20"/>
                <w:lang w:val="en-GB"/>
              </w:rPr>
              <w:t xml:space="preserve">rigin can be used as a raw material by any of the concerned Parties)? </w:t>
            </w:r>
            <w:r w:rsidR="003905C8" w:rsidRPr="00E54415">
              <w:rPr>
                <w:rFonts w:ascii="Times New Roman" w:hAnsi="Times New Roman" w:cs="Times New Roman"/>
                <w:sz w:val="20"/>
                <w:szCs w:val="20"/>
                <w:lang w:val="en-GB"/>
              </w:rPr>
              <w:t xml:space="preserve">And what </w:t>
            </w:r>
            <w:r w:rsidR="00412302" w:rsidRPr="00E54415">
              <w:rPr>
                <w:rFonts w:ascii="Times New Roman" w:hAnsi="Times New Roman" w:cs="Times New Roman"/>
                <w:sz w:val="20"/>
                <w:szCs w:val="20"/>
                <w:lang w:val="en-GB"/>
              </w:rPr>
              <w:t>good practices</w:t>
            </w:r>
            <w:r w:rsidR="001A0733" w:rsidRPr="00E54415">
              <w:rPr>
                <w:rFonts w:ascii="Times New Roman" w:hAnsi="Times New Roman" w:cs="Times New Roman"/>
                <w:sz w:val="20"/>
                <w:szCs w:val="20"/>
                <w:lang w:val="en-GB"/>
              </w:rPr>
              <w:t xml:space="preserve"> can be learnt from the experiences of the Parties?</w:t>
            </w:r>
          </w:p>
          <w:p w14:paraId="72632818" w14:textId="0A58B0D5" w:rsidR="00612C98" w:rsidRPr="00E54415" w:rsidRDefault="007D0D55" w:rsidP="007D0D55">
            <w:pPr>
              <w:pStyle w:val="ListParagraph"/>
              <w:spacing w:after="120" w:line="240" w:lineRule="auto"/>
              <w:ind w:left="788" w:right="420" w:hanging="357"/>
              <w:contextualSpacing w:val="0"/>
              <w:jc w:val="both"/>
              <w:rPr>
                <w:rFonts w:ascii="Times New Roman" w:hAnsi="Times New Roman" w:cs="Times New Roman"/>
                <w:sz w:val="20"/>
                <w:szCs w:val="20"/>
                <w:lang w:val="en-GB"/>
              </w:rPr>
            </w:pPr>
            <w:r w:rsidRPr="00E54415">
              <w:rPr>
                <w:rFonts w:ascii="Times New Roman" w:hAnsi="Times New Roman" w:cs="Times New Roman"/>
                <w:sz w:val="20"/>
                <w:szCs w:val="20"/>
                <w:lang w:val="en-GB"/>
              </w:rPr>
              <w:t>2.</w:t>
            </w:r>
            <w:r w:rsidRPr="00E54415">
              <w:rPr>
                <w:rFonts w:ascii="Times New Roman" w:hAnsi="Times New Roman" w:cs="Times New Roman"/>
                <w:sz w:val="20"/>
                <w:szCs w:val="20"/>
                <w:lang w:val="en-GB"/>
              </w:rPr>
              <w:tab/>
            </w:r>
            <w:r w:rsidR="00107D9A" w:rsidRPr="00E54415">
              <w:rPr>
                <w:rFonts w:ascii="Times New Roman" w:hAnsi="Times New Roman" w:cs="Times New Roman"/>
                <w:sz w:val="20"/>
                <w:szCs w:val="20"/>
                <w:lang w:val="en-GB"/>
              </w:rPr>
              <w:t>How can consideration of whether a proposed action will enable/disable progress towards circularity</w:t>
            </w:r>
            <w:r w:rsidR="009B7EB7" w:rsidRPr="00E54415">
              <w:rPr>
                <w:rFonts w:ascii="Times New Roman" w:hAnsi="Times New Roman" w:cs="Times New Roman"/>
                <w:sz w:val="20"/>
                <w:szCs w:val="20"/>
                <w:lang w:val="en-GB"/>
              </w:rPr>
              <w:t xml:space="preserve"> be secured in</w:t>
            </w:r>
            <w:r w:rsidR="00C56E83" w:rsidRPr="00E54415">
              <w:rPr>
                <w:rFonts w:ascii="Times New Roman" w:hAnsi="Times New Roman" w:cs="Times New Roman"/>
                <w:sz w:val="20"/>
                <w:szCs w:val="20"/>
                <w:lang w:val="en-GB"/>
              </w:rPr>
              <w:t xml:space="preserve"> </w:t>
            </w:r>
            <w:r w:rsidR="00EF3DB8">
              <w:rPr>
                <w:rFonts w:ascii="Times New Roman" w:hAnsi="Times New Roman" w:cs="Times New Roman"/>
                <w:sz w:val="20"/>
                <w:szCs w:val="20"/>
                <w:lang w:val="en-GB"/>
              </w:rPr>
              <w:t>s</w:t>
            </w:r>
            <w:r w:rsidR="009B3C93" w:rsidRPr="00E54415">
              <w:rPr>
                <w:rFonts w:ascii="Times New Roman" w:hAnsi="Times New Roman" w:cs="Times New Roman"/>
                <w:sz w:val="20"/>
                <w:szCs w:val="20"/>
                <w:lang w:val="en-GB"/>
              </w:rPr>
              <w:t xml:space="preserve">trategic </w:t>
            </w:r>
            <w:r w:rsidR="00EF3DB8">
              <w:rPr>
                <w:rFonts w:ascii="Times New Roman" w:hAnsi="Times New Roman" w:cs="Times New Roman"/>
                <w:sz w:val="20"/>
                <w:szCs w:val="20"/>
                <w:lang w:val="en-GB"/>
              </w:rPr>
              <w:t>e</w:t>
            </w:r>
            <w:r w:rsidR="009B3C93" w:rsidRPr="00E54415">
              <w:rPr>
                <w:rFonts w:ascii="Times New Roman" w:hAnsi="Times New Roman" w:cs="Times New Roman"/>
                <w:sz w:val="20"/>
                <w:szCs w:val="20"/>
                <w:lang w:val="en-GB"/>
              </w:rPr>
              <w:t xml:space="preserve">nvironmental </w:t>
            </w:r>
            <w:r w:rsidR="00EF3DB8">
              <w:rPr>
                <w:rFonts w:ascii="Times New Roman" w:hAnsi="Times New Roman" w:cs="Times New Roman"/>
                <w:sz w:val="20"/>
                <w:szCs w:val="20"/>
                <w:lang w:val="en-GB"/>
              </w:rPr>
              <w:t>a</w:t>
            </w:r>
            <w:r w:rsidR="009B3C93" w:rsidRPr="00E54415">
              <w:rPr>
                <w:rFonts w:ascii="Times New Roman" w:hAnsi="Times New Roman" w:cs="Times New Roman"/>
                <w:sz w:val="20"/>
                <w:szCs w:val="20"/>
                <w:lang w:val="en-GB"/>
              </w:rPr>
              <w:t>ssessment</w:t>
            </w:r>
            <w:r w:rsidR="00A455A7" w:rsidRPr="00E54415">
              <w:rPr>
                <w:rFonts w:ascii="Times New Roman" w:hAnsi="Times New Roman" w:cs="Times New Roman"/>
                <w:sz w:val="20"/>
                <w:szCs w:val="20"/>
                <w:lang w:val="en-GB"/>
              </w:rPr>
              <w:t xml:space="preserve"> </w:t>
            </w:r>
            <w:r w:rsidR="00BA5E82" w:rsidRPr="00E54415">
              <w:rPr>
                <w:rFonts w:ascii="Times New Roman" w:hAnsi="Times New Roman" w:cs="Times New Roman"/>
                <w:sz w:val="20"/>
                <w:szCs w:val="20"/>
                <w:lang w:val="en-GB"/>
              </w:rPr>
              <w:t xml:space="preserve">under the Protocol </w:t>
            </w:r>
            <w:r w:rsidR="00A455A7" w:rsidRPr="00E54415">
              <w:rPr>
                <w:rFonts w:ascii="Times New Roman" w:hAnsi="Times New Roman" w:cs="Times New Roman"/>
                <w:sz w:val="20"/>
                <w:szCs w:val="20"/>
                <w:lang w:val="en-GB"/>
              </w:rPr>
              <w:t xml:space="preserve">and </w:t>
            </w:r>
            <w:r w:rsidR="00BA5E82" w:rsidRPr="00E54415">
              <w:rPr>
                <w:rFonts w:ascii="Times New Roman" w:hAnsi="Times New Roman" w:cs="Times New Roman"/>
                <w:sz w:val="20"/>
                <w:szCs w:val="20"/>
                <w:lang w:val="en-GB"/>
              </w:rPr>
              <w:t xml:space="preserve">transboundary </w:t>
            </w:r>
            <w:r w:rsidR="00EF3DB8">
              <w:rPr>
                <w:rFonts w:ascii="Times New Roman" w:hAnsi="Times New Roman" w:cs="Times New Roman"/>
                <w:sz w:val="20"/>
                <w:szCs w:val="20"/>
                <w:lang w:val="en-GB"/>
              </w:rPr>
              <w:t>e</w:t>
            </w:r>
            <w:r w:rsidR="009B3C93" w:rsidRPr="00E54415">
              <w:rPr>
                <w:rFonts w:ascii="Times New Roman" w:hAnsi="Times New Roman" w:cs="Times New Roman"/>
                <w:sz w:val="20"/>
                <w:szCs w:val="20"/>
                <w:lang w:val="en-GB"/>
              </w:rPr>
              <w:t xml:space="preserve">nvironmental </w:t>
            </w:r>
            <w:r w:rsidR="00EF3DB8">
              <w:rPr>
                <w:rFonts w:ascii="Times New Roman" w:hAnsi="Times New Roman" w:cs="Times New Roman"/>
                <w:sz w:val="20"/>
                <w:szCs w:val="20"/>
                <w:lang w:val="en-GB"/>
              </w:rPr>
              <w:t>i</w:t>
            </w:r>
            <w:r w:rsidR="009B3C93" w:rsidRPr="00E54415">
              <w:rPr>
                <w:rFonts w:ascii="Times New Roman" w:hAnsi="Times New Roman" w:cs="Times New Roman"/>
                <w:sz w:val="20"/>
                <w:szCs w:val="20"/>
                <w:lang w:val="en-GB"/>
              </w:rPr>
              <w:t xml:space="preserve">mpact </w:t>
            </w:r>
            <w:r w:rsidR="00EF3DB8">
              <w:rPr>
                <w:rFonts w:ascii="Times New Roman" w:hAnsi="Times New Roman" w:cs="Times New Roman"/>
                <w:sz w:val="20"/>
                <w:szCs w:val="20"/>
                <w:lang w:val="en-GB"/>
              </w:rPr>
              <w:t>a</w:t>
            </w:r>
            <w:r w:rsidR="009B3C93" w:rsidRPr="00E54415">
              <w:rPr>
                <w:rFonts w:ascii="Times New Roman" w:hAnsi="Times New Roman" w:cs="Times New Roman"/>
                <w:sz w:val="20"/>
                <w:szCs w:val="20"/>
                <w:lang w:val="en-GB"/>
              </w:rPr>
              <w:t>ssessment</w:t>
            </w:r>
            <w:r w:rsidR="00A455A7" w:rsidRPr="00E54415">
              <w:rPr>
                <w:rFonts w:ascii="Times New Roman" w:hAnsi="Times New Roman" w:cs="Times New Roman"/>
                <w:sz w:val="20"/>
                <w:szCs w:val="20"/>
                <w:lang w:val="en-GB"/>
              </w:rPr>
              <w:t xml:space="preserve"> </w:t>
            </w:r>
            <w:r w:rsidR="00BA5E82" w:rsidRPr="00E54415">
              <w:rPr>
                <w:rFonts w:ascii="Times New Roman" w:hAnsi="Times New Roman" w:cs="Times New Roman"/>
                <w:sz w:val="20"/>
                <w:szCs w:val="20"/>
                <w:lang w:val="en-GB"/>
              </w:rPr>
              <w:t>under the Convention</w:t>
            </w:r>
            <w:r w:rsidR="00A05A6E" w:rsidRPr="00E54415">
              <w:rPr>
                <w:rFonts w:ascii="Times New Roman" w:hAnsi="Times New Roman" w:cs="Times New Roman"/>
                <w:sz w:val="20"/>
                <w:szCs w:val="20"/>
                <w:lang w:val="en-GB"/>
              </w:rPr>
              <w:t>?</w:t>
            </w:r>
            <w:r w:rsidR="0033396B" w:rsidRPr="00E54415">
              <w:rPr>
                <w:rFonts w:ascii="Times New Roman" w:hAnsi="Times New Roman" w:cs="Times New Roman"/>
                <w:sz w:val="20"/>
                <w:szCs w:val="20"/>
                <w:lang w:val="en-GB"/>
              </w:rPr>
              <w:t xml:space="preserve"> </w:t>
            </w:r>
            <w:r w:rsidR="00AC25B4" w:rsidRPr="00E54415">
              <w:rPr>
                <w:rFonts w:ascii="Times New Roman" w:hAnsi="Times New Roman" w:cs="Times New Roman"/>
                <w:sz w:val="20"/>
                <w:szCs w:val="20"/>
                <w:lang w:val="en-GB"/>
              </w:rPr>
              <w:t xml:space="preserve">Should </w:t>
            </w:r>
            <w:r w:rsidR="00AF1C5D">
              <w:rPr>
                <w:rFonts w:ascii="Times New Roman" w:hAnsi="Times New Roman" w:cs="Times New Roman"/>
                <w:sz w:val="20"/>
                <w:szCs w:val="20"/>
                <w:lang w:val="en-GB"/>
              </w:rPr>
              <w:t xml:space="preserve">the consideration of </w:t>
            </w:r>
            <w:r w:rsidR="00696E64">
              <w:rPr>
                <w:rFonts w:ascii="Times New Roman" w:hAnsi="Times New Roman" w:cs="Times New Roman"/>
                <w:sz w:val="20"/>
                <w:szCs w:val="20"/>
                <w:lang w:val="en-GB"/>
              </w:rPr>
              <w:t xml:space="preserve">circularity </w:t>
            </w:r>
            <w:r w:rsidR="00AC25B4" w:rsidRPr="00E54415">
              <w:rPr>
                <w:rFonts w:ascii="Times New Roman" w:hAnsi="Times New Roman" w:cs="Times New Roman"/>
                <w:sz w:val="20"/>
                <w:szCs w:val="20"/>
                <w:lang w:val="en-GB"/>
              </w:rPr>
              <w:t xml:space="preserve"> be recommended </w:t>
            </w:r>
            <w:r w:rsidR="00C348E0">
              <w:rPr>
                <w:rFonts w:ascii="Times New Roman" w:hAnsi="Times New Roman" w:cs="Times New Roman"/>
                <w:sz w:val="20"/>
                <w:szCs w:val="20"/>
                <w:lang w:val="en-GB"/>
              </w:rPr>
              <w:t xml:space="preserve">as good practice </w:t>
            </w:r>
            <w:r w:rsidR="000E667D">
              <w:rPr>
                <w:rFonts w:ascii="Times New Roman" w:hAnsi="Times New Roman" w:cs="Times New Roman"/>
                <w:sz w:val="20"/>
                <w:szCs w:val="20"/>
                <w:lang w:val="en-GB"/>
              </w:rPr>
              <w:t xml:space="preserve">in applying the Convention and/or the Protocol </w:t>
            </w:r>
            <w:r w:rsidR="00AC25B4" w:rsidRPr="00E54415">
              <w:rPr>
                <w:rFonts w:ascii="Times New Roman" w:hAnsi="Times New Roman" w:cs="Times New Roman"/>
                <w:sz w:val="20"/>
                <w:szCs w:val="20"/>
                <w:lang w:val="en-GB"/>
              </w:rPr>
              <w:t xml:space="preserve">by the Parties through a decision by the Meeting of the Parties? Or </w:t>
            </w:r>
            <w:r w:rsidR="00E54415">
              <w:rPr>
                <w:rFonts w:ascii="Times New Roman" w:hAnsi="Times New Roman" w:cs="Times New Roman"/>
                <w:sz w:val="20"/>
                <w:szCs w:val="20"/>
                <w:lang w:val="en-GB"/>
              </w:rPr>
              <w:t>is there a more effective way of ensuring progress towards circularity under the Convention and Protocol</w:t>
            </w:r>
            <w:r w:rsidR="0033396B" w:rsidRPr="00E54415">
              <w:rPr>
                <w:rFonts w:ascii="Times New Roman" w:hAnsi="Times New Roman" w:cs="Times New Roman"/>
                <w:sz w:val="20"/>
                <w:szCs w:val="20"/>
                <w:lang w:val="en-GB"/>
              </w:rPr>
              <w:t>?</w:t>
            </w:r>
          </w:p>
          <w:p w14:paraId="4A2FC298" w14:textId="541A270B" w:rsidR="00EA7A7A" w:rsidRPr="00E54415" w:rsidRDefault="007D0D55" w:rsidP="007D0D55">
            <w:pPr>
              <w:pStyle w:val="NormalWeb"/>
              <w:shd w:val="clear" w:color="auto" w:fill="FFFFFF"/>
              <w:spacing w:after="120" w:line="240" w:lineRule="auto"/>
              <w:ind w:left="788" w:right="420" w:hanging="357"/>
              <w:jc w:val="both"/>
              <w:rPr>
                <w:sz w:val="20"/>
                <w:szCs w:val="20"/>
              </w:rPr>
            </w:pPr>
            <w:r w:rsidRPr="00E54415">
              <w:rPr>
                <w:sz w:val="20"/>
                <w:szCs w:val="20"/>
              </w:rPr>
              <w:t>3.</w:t>
            </w:r>
            <w:r w:rsidRPr="00E54415">
              <w:rPr>
                <w:sz w:val="20"/>
                <w:szCs w:val="20"/>
              </w:rPr>
              <w:tab/>
            </w:r>
            <w:r w:rsidR="00EA7A7A" w:rsidRPr="00E54415">
              <w:rPr>
                <w:rFonts w:asciiTheme="majorBidi" w:hAnsiTheme="majorBidi" w:cstheme="majorBidi"/>
                <w:sz w:val="20"/>
                <w:szCs w:val="20"/>
              </w:rPr>
              <w:t>Does the lack of international</w:t>
            </w:r>
            <w:r w:rsidR="000C7F2B">
              <w:rPr>
                <w:rFonts w:asciiTheme="majorBidi" w:hAnsiTheme="majorBidi" w:cstheme="majorBidi"/>
                <w:sz w:val="20"/>
                <w:szCs w:val="20"/>
              </w:rPr>
              <w:t xml:space="preserve"> legally binding </w:t>
            </w:r>
            <w:r w:rsidR="00EA7A7A" w:rsidRPr="00E54415">
              <w:rPr>
                <w:rFonts w:asciiTheme="majorBidi" w:hAnsiTheme="majorBidi" w:cstheme="majorBidi"/>
                <w:sz w:val="20"/>
                <w:szCs w:val="20"/>
              </w:rPr>
              <w:t>agreement</w:t>
            </w:r>
            <w:r w:rsidR="000C7F2B">
              <w:rPr>
                <w:rFonts w:asciiTheme="majorBidi" w:hAnsiTheme="majorBidi" w:cstheme="majorBidi"/>
                <w:sz w:val="20"/>
                <w:szCs w:val="20"/>
              </w:rPr>
              <w:t>s</w:t>
            </w:r>
            <w:r w:rsidR="00EA7A7A" w:rsidRPr="00E54415">
              <w:rPr>
                <w:rFonts w:asciiTheme="majorBidi" w:hAnsiTheme="majorBidi" w:cstheme="majorBidi"/>
                <w:sz w:val="20"/>
                <w:szCs w:val="20"/>
              </w:rPr>
              <w:t xml:space="preserve"> on delivering the circular economy threaten short</w:t>
            </w:r>
            <w:r w:rsidR="003613A8">
              <w:rPr>
                <w:rFonts w:asciiTheme="majorBidi" w:hAnsiTheme="majorBidi" w:cstheme="majorBidi"/>
                <w:sz w:val="20"/>
                <w:szCs w:val="20"/>
              </w:rPr>
              <w:t>-</w:t>
            </w:r>
            <w:r w:rsidR="008F2811">
              <w:rPr>
                <w:rFonts w:asciiTheme="majorBidi" w:hAnsiTheme="majorBidi" w:cstheme="majorBidi"/>
                <w:sz w:val="20"/>
                <w:szCs w:val="20"/>
              </w:rPr>
              <w:t xml:space="preserve"> </w:t>
            </w:r>
            <w:r w:rsidR="00EA7A7A" w:rsidRPr="00E54415">
              <w:rPr>
                <w:rFonts w:asciiTheme="majorBidi" w:hAnsiTheme="majorBidi" w:cstheme="majorBidi"/>
                <w:sz w:val="20"/>
                <w:szCs w:val="20"/>
              </w:rPr>
              <w:t>and medium-term economic imbalances to the benefit of those countries still pursuing linear models of development? Can the Convention and/or Protocol be used to avoid such imbalances?</w:t>
            </w:r>
          </w:p>
          <w:p w14:paraId="76AC95EA" w14:textId="7BB7C554" w:rsidR="00FB152E" w:rsidRPr="00E54415" w:rsidRDefault="007D0D55" w:rsidP="007D0D55">
            <w:pPr>
              <w:pStyle w:val="NormalWeb"/>
              <w:shd w:val="clear" w:color="auto" w:fill="FFFFFF"/>
              <w:spacing w:after="120" w:line="240" w:lineRule="auto"/>
              <w:ind w:left="788" w:right="420" w:hanging="357"/>
              <w:jc w:val="both"/>
              <w:rPr>
                <w:sz w:val="20"/>
                <w:szCs w:val="20"/>
              </w:rPr>
            </w:pPr>
            <w:r w:rsidRPr="00E54415">
              <w:rPr>
                <w:sz w:val="20"/>
                <w:szCs w:val="20"/>
              </w:rPr>
              <w:t>4.</w:t>
            </w:r>
            <w:r w:rsidRPr="00E54415">
              <w:rPr>
                <w:sz w:val="20"/>
                <w:szCs w:val="20"/>
              </w:rPr>
              <w:tab/>
            </w:r>
            <w:r w:rsidR="00F93D3E" w:rsidRPr="00E54415">
              <w:rPr>
                <w:sz w:val="20"/>
                <w:szCs w:val="20"/>
              </w:rPr>
              <w:t>Should</w:t>
            </w:r>
            <w:r w:rsidR="000B14D8" w:rsidRPr="00E54415">
              <w:rPr>
                <w:rFonts w:asciiTheme="majorBidi" w:hAnsiTheme="majorBidi" w:cstheme="majorBidi"/>
                <w:sz w:val="20"/>
                <w:szCs w:val="20"/>
              </w:rPr>
              <w:t xml:space="preserve"> </w:t>
            </w:r>
            <w:r w:rsidR="00DC6F8C" w:rsidRPr="00E54415">
              <w:rPr>
                <w:rFonts w:asciiTheme="majorBidi" w:hAnsiTheme="majorBidi" w:cstheme="majorBidi"/>
                <w:sz w:val="20"/>
                <w:szCs w:val="20"/>
              </w:rPr>
              <w:t xml:space="preserve">environmental reports (under the Protocol) and </w:t>
            </w:r>
            <w:r w:rsidR="00D02A16">
              <w:rPr>
                <w:rFonts w:asciiTheme="majorBidi" w:hAnsiTheme="majorBidi" w:cstheme="majorBidi"/>
                <w:sz w:val="20"/>
                <w:szCs w:val="20"/>
              </w:rPr>
              <w:t>e</w:t>
            </w:r>
            <w:r w:rsidR="009B3C93" w:rsidRPr="00E54415">
              <w:rPr>
                <w:rFonts w:asciiTheme="majorBidi" w:hAnsiTheme="majorBidi" w:cstheme="majorBidi"/>
                <w:sz w:val="20"/>
                <w:szCs w:val="20"/>
              </w:rPr>
              <w:t xml:space="preserve">nvironmental </w:t>
            </w:r>
            <w:r w:rsidR="003B6D46">
              <w:rPr>
                <w:rFonts w:asciiTheme="majorBidi" w:hAnsiTheme="majorBidi" w:cstheme="majorBidi"/>
                <w:sz w:val="20"/>
                <w:szCs w:val="20"/>
              </w:rPr>
              <w:t>i</w:t>
            </w:r>
            <w:r w:rsidR="009B3C93" w:rsidRPr="00E54415">
              <w:rPr>
                <w:rFonts w:asciiTheme="majorBidi" w:hAnsiTheme="majorBidi" w:cstheme="majorBidi"/>
                <w:sz w:val="20"/>
                <w:szCs w:val="20"/>
              </w:rPr>
              <w:t xml:space="preserve">mpact </w:t>
            </w:r>
            <w:r w:rsidR="003B6D46">
              <w:rPr>
                <w:rFonts w:asciiTheme="majorBidi" w:hAnsiTheme="majorBidi" w:cstheme="majorBidi"/>
                <w:sz w:val="20"/>
                <w:szCs w:val="20"/>
              </w:rPr>
              <w:t>a</w:t>
            </w:r>
            <w:r w:rsidR="009B3C93" w:rsidRPr="00E54415">
              <w:rPr>
                <w:rFonts w:asciiTheme="majorBidi" w:hAnsiTheme="majorBidi" w:cstheme="majorBidi"/>
                <w:sz w:val="20"/>
                <w:szCs w:val="20"/>
              </w:rPr>
              <w:t>ssessment</w:t>
            </w:r>
            <w:r w:rsidR="00E85E55" w:rsidRPr="00E54415">
              <w:rPr>
                <w:rFonts w:asciiTheme="majorBidi" w:hAnsiTheme="majorBidi" w:cstheme="majorBidi"/>
                <w:sz w:val="20"/>
                <w:szCs w:val="20"/>
              </w:rPr>
              <w:t xml:space="preserve"> documentation (under the </w:t>
            </w:r>
            <w:r w:rsidR="00482E3B" w:rsidRPr="00E54415">
              <w:rPr>
                <w:rFonts w:asciiTheme="majorBidi" w:hAnsiTheme="majorBidi" w:cstheme="majorBidi"/>
                <w:sz w:val="20"/>
                <w:szCs w:val="20"/>
              </w:rPr>
              <w:t xml:space="preserve">Convention) be required to include </w:t>
            </w:r>
            <w:r w:rsidR="000B14D8" w:rsidRPr="00E54415">
              <w:rPr>
                <w:rFonts w:asciiTheme="majorBidi" w:hAnsiTheme="majorBidi" w:cstheme="majorBidi"/>
                <w:sz w:val="20"/>
                <w:szCs w:val="20"/>
              </w:rPr>
              <w:t>circular economy alternatives</w:t>
            </w:r>
            <w:r w:rsidR="00482E3B" w:rsidRPr="00E54415">
              <w:rPr>
                <w:rFonts w:asciiTheme="majorBidi" w:hAnsiTheme="majorBidi" w:cstheme="majorBidi"/>
                <w:sz w:val="20"/>
                <w:szCs w:val="20"/>
              </w:rPr>
              <w:t xml:space="preserve"> as part of the consideration of reasonable alternatives?</w:t>
            </w:r>
            <w:r w:rsidR="004C4D42" w:rsidRPr="00E54415">
              <w:rPr>
                <w:rFonts w:asciiTheme="majorBidi" w:hAnsiTheme="majorBidi" w:cstheme="majorBidi"/>
                <w:sz w:val="20"/>
                <w:szCs w:val="20"/>
              </w:rPr>
              <w:t xml:space="preserve"> </w:t>
            </w:r>
            <w:r w:rsidR="00482E3B" w:rsidRPr="00E54415">
              <w:rPr>
                <w:rFonts w:asciiTheme="majorBidi" w:hAnsiTheme="majorBidi" w:cstheme="majorBidi"/>
                <w:sz w:val="20"/>
                <w:szCs w:val="20"/>
              </w:rPr>
              <w:t>A</w:t>
            </w:r>
            <w:r w:rsidR="004C4D42" w:rsidRPr="00E54415">
              <w:rPr>
                <w:rFonts w:asciiTheme="majorBidi" w:hAnsiTheme="majorBidi" w:cstheme="majorBidi"/>
                <w:sz w:val="20"/>
                <w:szCs w:val="20"/>
              </w:rPr>
              <w:t xml:space="preserve">nd how can </w:t>
            </w:r>
            <w:r w:rsidR="00482E3B" w:rsidRPr="00E54415">
              <w:rPr>
                <w:rFonts w:asciiTheme="majorBidi" w:hAnsiTheme="majorBidi" w:cstheme="majorBidi"/>
                <w:sz w:val="20"/>
                <w:szCs w:val="20"/>
              </w:rPr>
              <w:t>such a require</w:t>
            </w:r>
            <w:r w:rsidR="001C26DD" w:rsidRPr="00E54415">
              <w:rPr>
                <w:rFonts w:asciiTheme="majorBidi" w:hAnsiTheme="majorBidi" w:cstheme="majorBidi"/>
                <w:sz w:val="20"/>
                <w:szCs w:val="20"/>
              </w:rPr>
              <w:t>ment</w:t>
            </w:r>
            <w:r w:rsidR="00482E3B" w:rsidRPr="00E54415">
              <w:rPr>
                <w:rFonts w:asciiTheme="majorBidi" w:hAnsiTheme="majorBidi" w:cstheme="majorBidi"/>
                <w:sz w:val="20"/>
                <w:szCs w:val="20"/>
              </w:rPr>
              <w:t xml:space="preserve"> be</w:t>
            </w:r>
            <w:r w:rsidR="004C4D42" w:rsidRPr="00E54415">
              <w:rPr>
                <w:rFonts w:asciiTheme="majorBidi" w:hAnsiTheme="majorBidi" w:cstheme="majorBidi"/>
                <w:sz w:val="20"/>
                <w:szCs w:val="20"/>
              </w:rPr>
              <w:t xml:space="preserve"> defined</w:t>
            </w:r>
            <w:r w:rsidR="003613A8">
              <w:rPr>
                <w:rFonts w:asciiTheme="majorBidi" w:hAnsiTheme="majorBidi" w:cstheme="majorBidi"/>
                <w:sz w:val="20"/>
                <w:szCs w:val="20"/>
              </w:rPr>
              <w:t>,</w:t>
            </w:r>
            <w:r w:rsidR="00482E3B" w:rsidRPr="00E54415">
              <w:rPr>
                <w:rFonts w:asciiTheme="majorBidi" w:hAnsiTheme="majorBidi" w:cstheme="majorBidi"/>
                <w:sz w:val="20"/>
                <w:szCs w:val="20"/>
              </w:rPr>
              <w:t xml:space="preserve"> codified</w:t>
            </w:r>
            <w:r w:rsidR="003613A8">
              <w:rPr>
                <w:rFonts w:asciiTheme="majorBidi" w:hAnsiTheme="majorBidi" w:cstheme="majorBidi"/>
                <w:sz w:val="20"/>
                <w:szCs w:val="20"/>
              </w:rPr>
              <w:t xml:space="preserve"> and implemented</w:t>
            </w:r>
            <w:r w:rsidR="00482E3B" w:rsidRPr="00E54415">
              <w:rPr>
                <w:rFonts w:asciiTheme="majorBidi" w:hAnsiTheme="majorBidi" w:cstheme="majorBidi"/>
                <w:sz w:val="20"/>
                <w:szCs w:val="20"/>
              </w:rPr>
              <w:t>?</w:t>
            </w:r>
          </w:p>
          <w:p w14:paraId="1495E3BF" w14:textId="20FF42F0" w:rsidR="00BA1B79" w:rsidRPr="00F9298F" w:rsidRDefault="007D0D55" w:rsidP="007D0D55">
            <w:pPr>
              <w:pStyle w:val="NormalWeb"/>
              <w:shd w:val="clear" w:color="auto" w:fill="FFFFFF"/>
              <w:spacing w:after="120" w:line="240" w:lineRule="auto"/>
              <w:ind w:left="788" w:right="420" w:hanging="357"/>
              <w:jc w:val="both"/>
              <w:rPr>
                <w:sz w:val="22"/>
                <w:szCs w:val="22"/>
              </w:rPr>
            </w:pPr>
            <w:r w:rsidRPr="00F9298F">
              <w:rPr>
                <w:sz w:val="22"/>
                <w:szCs w:val="22"/>
              </w:rPr>
              <w:t>5.</w:t>
            </w:r>
            <w:r w:rsidRPr="00F9298F">
              <w:rPr>
                <w:sz w:val="22"/>
                <w:szCs w:val="22"/>
              </w:rPr>
              <w:tab/>
            </w:r>
            <w:r w:rsidR="00B5246F" w:rsidRPr="00E54415">
              <w:rPr>
                <w:rFonts w:asciiTheme="majorBidi" w:hAnsiTheme="majorBidi" w:cstheme="majorBidi"/>
                <w:sz w:val="20"/>
                <w:szCs w:val="20"/>
              </w:rPr>
              <w:t xml:space="preserve">How can the Convention and Protocol be used to stimulate best practice approaches to </w:t>
            </w:r>
            <w:r w:rsidR="00280C05" w:rsidRPr="00E54415">
              <w:rPr>
                <w:rFonts w:asciiTheme="majorBidi" w:hAnsiTheme="majorBidi" w:cstheme="majorBidi"/>
                <w:sz w:val="20"/>
                <w:szCs w:val="20"/>
              </w:rPr>
              <w:t xml:space="preserve">the </w:t>
            </w:r>
            <w:r w:rsidR="00EC3562">
              <w:rPr>
                <w:rFonts w:asciiTheme="majorBidi" w:hAnsiTheme="majorBidi" w:cstheme="majorBidi"/>
                <w:sz w:val="20"/>
                <w:szCs w:val="20"/>
              </w:rPr>
              <w:t>circular economy</w:t>
            </w:r>
            <w:r w:rsidR="00280C05" w:rsidRPr="00E54415">
              <w:rPr>
                <w:rFonts w:asciiTheme="majorBidi" w:hAnsiTheme="majorBidi" w:cstheme="majorBidi"/>
                <w:sz w:val="20"/>
                <w:szCs w:val="20"/>
              </w:rPr>
              <w:t>, encompassing both vertical and horizontal integration and civil society engagement?</w:t>
            </w:r>
          </w:p>
        </w:tc>
      </w:tr>
    </w:tbl>
    <w:p w14:paraId="12D36397" w14:textId="7C605278" w:rsidR="00A455A7" w:rsidRPr="00F9298F" w:rsidRDefault="008E5769" w:rsidP="008E5769">
      <w:pPr>
        <w:pStyle w:val="H1G"/>
      </w:pPr>
      <w:r>
        <w:rPr>
          <w:rFonts w:asciiTheme="majorBidi" w:hAnsiTheme="majorBidi" w:cstheme="majorBidi"/>
        </w:rPr>
        <w:tab/>
      </w:r>
      <w:r>
        <w:rPr>
          <w:rFonts w:asciiTheme="majorBidi" w:hAnsiTheme="majorBidi" w:cstheme="majorBidi"/>
        </w:rPr>
        <w:tab/>
      </w:r>
      <w:r w:rsidR="00786A48" w:rsidRPr="00F9298F">
        <w:rPr>
          <w:rFonts w:asciiTheme="majorBidi" w:hAnsiTheme="majorBidi" w:cstheme="majorBidi"/>
        </w:rPr>
        <w:t>E</w:t>
      </w:r>
      <w:r w:rsidR="00A455A7" w:rsidRPr="00F9298F">
        <w:rPr>
          <w:rFonts w:asciiTheme="majorBidi" w:hAnsiTheme="majorBidi" w:cstheme="majorBidi"/>
        </w:rPr>
        <w:t>.</w:t>
      </w:r>
      <w:r w:rsidR="00A455A7" w:rsidRPr="00F9298F">
        <w:rPr>
          <w:rFonts w:asciiTheme="majorBidi" w:hAnsiTheme="majorBidi" w:cstheme="majorBidi"/>
        </w:rPr>
        <w:tab/>
      </w:r>
      <w:r w:rsidR="00A455A7" w:rsidRPr="00F9298F">
        <w:t>Green Financing</w:t>
      </w:r>
    </w:p>
    <w:p w14:paraId="6A0E4183" w14:textId="781A38BB" w:rsidR="000823AA" w:rsidRPr="00355C6A" w:rsidRDefault="007D0D55" w:rsidP="008E5769">
      <w:pPr>
        <w:pStyle w:val="SingleTxtG"/>
      </w:pPr>
      <w:r w:rsidRPr="00355C6A">
        <w:t>25.</w:t>
      </w:r>
      <w:r w:rsidRPr="00355C6A">
        <w:tab/>
      </w:r>
      <w:r w:rsidR="004E330C" w:rsidRPr="004E330C">
        <w:t xml:space="preserve">The issues under the topic of </w:t>
      </w:r>
      <w:r w:rsidR="00B2517C">
        <w:t>green financing</w:t>
      </w:r>
      <w:r w:rsidR="004E330C" w:rsidRPr="004E330C">
        <w:t xml:space="preserve"> will be introduced under three headings as set out below, with an initial introduction to the key areas of focus</w:t>
      </w:r>
      <w:r w:rsidR="004E330C">
        <w:t>.</w:t>
      </w:r>
    </w:p>
    <w:p w14:paraId="3FF43281" w14:textId="0AE83BF9" w:rsidR="000823AA" w:rsidRPr="00355C6A" w:rsidRDefault="00116A68" w:rsidP="00116A68">
      <w:pPr>
        <w:pStyle w:val="H23G"/>
      </w:pPr>
      <w:r>
        <w:tab/>
        <w:t>1</w:t>
      </w:r>
      <w:r w:rsidR="007D0D55" w:rsidRPr="00355C6A">
        <w:t>.</w:t>
      </w:r>
      <w:r w:rsidR="007D0D55" w:rsidRPr="00355C6A">
        <w:tab/>
      </w:r>
      <w:r w:rsidR="000823AA" w:rsidRPr="00355C6A">
        <w:t xml:space="preserve">What is green financing? /Introduction to the concept </w:t>
      </w:r>
    </w:p>
    <w:p w14:paraId="3DEB4F4E" w14:textId="14D21AEB" w:rsidR="004E330C" w:rsidRPr="004E330C" w:rsidRDefault="007D0D55" w:rsidP="008E5769">
      <w:pPr>
        <w:pStyle w:val="SingleTxtG"/>
      </w:pPr>
      <w:r w:rsidRPr="004E330C">
        <w:t>26.</w:t>
      </w:r>
      <w:r w:rsidRPr="004E330C">
        <w:tab/>
      </w:r>
      <w:r w:rsidR="004E330C" w:rsidRPr="004E330C">
        <w:t>Green financing involves the alignment of financial investments with climate and sustainability goals. Such financing can be subject to voluntary high-level principles such as those agreed at the G20 Sustainable Finance Working Group:</w:t>
      </w:r>
    </w:p>
    <w:p w14:paraId="074E3802" w14:textId="77777777" w:rsidR="004E330C" w:rsidRPr="004E330C" w:rsidRDefault="004E330C" w:rsidP="008E5769">
      <w:pPr>
        <w:pStyle w:val="SingleTxtG"/>
        <w:rPr>
          <w:color w:val="000000"/>
        </w:rPr>
      </w:pPr>
      <w:r w:rsidRPr="004E330C">
        <w:rPr>
          <w:color w:val="000000"/>
        </w:rPr>
        <w:t>Principle 1: Ensure material positive contributions to sustainability goals and focus on outcomes;</w:t>
      </w:r>
    </w:p>
    <w:p w14:paraId="5EC761F1" w14:textId="246BBB05" w:rsidR="004E330C" w:rsidRPr="004E330C" w:rsidRDefault="004E330C" w:rsidP="008E5769">
      <w:pPr>
        <w:pStyle w:val="SingleTxtG"/>
        <w:rPr>
          <w:color w:val="000000"/>
        </w:rPr>
      </w:pPr>
      <w:r w:rsidRPr="004E330C">
        <w:rPr>
          <w:color w:val="000000"/>
        </w:rPr>
        <w:t>Principle 2: Avoid negative contribution to other sustainability goals (e.g., through “do no significant harm” principle to any sustainability goal requirements);</w:t>
      </w:r>
    </w:p>
    <w:p w14:paraId="220543C1" w14:textId="77777777" w:rsidR="004E330C" w:rsidRPr="004E330C" w:rsidRDefault="004E330C" w:rsidP="008E5769">
      <w:pPr>
        <w:pStyle w:val="SingleTxtG"/>
        <w:rPr>
          <w:color w:val="000000"/>
        </w:rPr>
      </w:pPr>
      <w:r w:rsidRPr="004E330C">
        <w:rPr>
          <w:color w:val="000000"/>
        </w:rPr>
        <w:t>Principle 3: Be dynamic in adjustments reflecting changes in policies, technologies, and state of the transition;</w:t>
      </w:r>
    </w:p>
    <w:p w14:paraId="3F04F77D" w14:textId="77777777" w:rsidR="004E330C" w:rsidRPr="004E330C" w:rsidRDefault="004E330C" w:rsidP="008E5769">
      <w:pPr>
        <w:pStyle w:val="SingleTxtG"/>
        <w:rPr>
          <w:color w:val="000000"/>
        </w:rPr>
      </w:pPr>
      <w:r w:rsidRPr="004E330C">
        <w:rPr>
          <w:color w:val="000000"/>
        </w:rPr>
        <w:lastRenderedPageBreak/>
        <w:t>Principle 4: Reflect good governance and transparency;</w:t>
      </w:r>
    </w:p>
    <w:p w14:paraId="3C974EFA" w14:textId="77777777" w:rsidR="004E330C" w:rsidRPr="004E330C" w:rsidRDefault="004E330C" w:rsidP="008E5769">
      <w:pPr>
        <w:pStyle w:val="SingleTxtG"/>
        <w:rPr>
          <w:color w:val="000000"/>
        </w:rPr>
      </w:pPr>
      <w:r w:rsidRPr="004E330C">
        <w:rPr>
          <w:color w:val="000000"/>
        </w:rPr>
        <w:t>Principle 5: Be science-based for environmental goals and science or evidence-based for other sustainability issues; and</w:t>
      </w:r>
    </w:p>
    <w:p w14:paraId="13BD9B20" w14:textId="0C6BA9A5" w:rsidR="004E330C" w:rsidRPr="004E330C" w:rsidRDefault="004E330C" w:rsidP="004E330C">
      <w:pPr>
        <w:autoSpaceDE w:val="0"/>
        <w:autoSpaceDN w:val="0"/>
        <w:adjustRightInd w:val="0"/>
        <w:spacing w:after="200" w:line="240" w:lineRule="auto"/>
        <w:ind w:left="1491" w:hanging="357"/>
        <w:jc w:val="both"/>
        <w:rPr>
          <w:color w:val="000000"/>
        </w:rPr>
      </w:pPr>
      <w:r w:rsidRPr="004E330C">
        <w:rPr>
          <w:color w:val="000000"/>
        </w:rPr>
        <w:t>Principle 6: Address transition considerations</w:t>
      </w:r>
      <w:r w:rsidRPr="004E330C">
        <w:rPr>
          <w:rStyle w:val="FootnoteReference"/>
          <w:color w:val="000000"/>
          <w:sz w:val="20"/>
        </w:rPr>
        <w:footnoteReference w:id="39"/>
      </w:r>
      <w:r w:rsidR="00331B6D">
        <w:rPr>
          <w:color w:val="000000"/>
        </w:rPr>
        <w:t>.</w:t>
      </w:r>
    </w:p>
    <w:p w14:paraId="7E0E7022" w14:textId="046E4177" w:rsidR="004E330C" w:rsidRDefault="007D0D55" w:rsidP="00116A68">
      <w:pPr>
        <w:pStyle w:val="SingleTxtG"/>
      </w:pPr>
      <w:r>
        <w:t>27.</w:t>
      </w:r>
      <w:r>
        <w:tab/>
      </w:r>
      <w:r w:rsidR="004E330C" w:rsidRPr="004E330C">
        <w:t xml:space="preserve">More than 30 different taxonomies are known to exist globally, each with different definitions of what does or does not constitute a green investment.  </w:t>
      </w:r>
    </w:p>
    <w:p w14:paraId="223C8948" w14:textId="50AE6D03" w:rsidR="0026511F" w:rsidRPr="00845BF9" w:rsidRDefault="00116A68" w:rsidP="00116A68">
      <w:pPr>
        <w:pStyle w:val="H23G"/>
        <w:rPr>
          <w:color w:val="000000"/>
        </w:rPr>
      </w:pPr>
      <w:r>
        <w:rPr>
          <w:color w:val="000000"/>
        </w:rPr>
        <w:tab/>
        <w:t>2</w:t>
      </w:r>
      <w:r w:rsidR="007D0D55" w:rsidRPr="00845BF9">
        <w:rPr>
          <w:color w:val="000000"/>
        </w:rPr>
        <w:t>.</w:t>
      </w:r>
      <w:r w:rsidR="007D0D55" w:rsidRPr="00845BF9">
        <w:rPr>
          <w:color w:val="000000"/>
        </w:rPr>
        <w:tab/>
      </w:r>
      <w:r w:rsidR="000823AA" w:rsidRPr="00845BF9">
        <w:t xml:space="preserve">Policy frameworks for </w:t>
      </w:r>
      <w:r w:rsidR="00386AF4" w:rsidRPr="00845BF9">
        <w:t>green financing</w:t>
      </w:r>
      <w:r w:rsidR="00EC3562" w:rsidRPr="00845BF9">
        <w:t xml:space="preserve"> </w:t>
      </w:r>
      <w:r w:rsidR="000823AA" w:rsidRPr="00845BF9">
        <w:t>and implementation status</w:t>
      </w:r>
    </w:p>
    <w:p w14:paraId="1EAF385E" w14:textId="36A3B6FB" w:rsidR="00331B6D" w:rsidRPr="004E330C" w:rsidRDefault="007D0D55" w:rsidP="00116A68">
      <w:pPr>
        <w:pStyle w:val="SingleTxtG"/>
        <w:rPr>
          <w:rFonts w:eastAsia="MyriadPro-Regular"/>
        </w:rPr>
      </w:pPr>
      <w:r w:rsidRPr="004E330C">
        <w:rPr>
          <w:rFonts w:eastAsia="MyriadPro-Regular"/>
        </w:rPr>
        <w:t>28.</w:t>
      </w:r>
      <w:r w:rsidRPr="004E330C">
        <w:rPr>
          <w:rFonts w:eastAsia="MyriadPro-Regular"/>
        </w:rPr>
        <w:tab/>
      </w:r>
      <w:r w:rsidR="00331B6D" w:rsidRPr="004E330C">
        <w:t xml:space="preserve">An example of one of the many green taxonomies being developed is the </w:t>
      </w:r>
      <w:r w:rsidR="00331B6D" w:rsidRPr="004E330C">
        <w:rPr>
          <w:rFonts w:eastAsia="MyriadPro-Regular"/>
        </w:rPr>
        <w:t xml:space="preserve">European Union Regulation 2020/852 on the establishment of a framework to facilitate (environmentally) sustainable investment, commonly referred to as the </w:t>
      </w:r>
      <w:r w:rsidR="00331B6D">
        <w:rPr>
          <w:rFonts w:eastAsia="MyriadPro-Regular"/>
        </w:rPr>
        <w:t>European Union</w:t>
      </w:r>
      <w:r w:rsidR="00331B6D" w:rsidRPr="004E330C">
        <w:rPr>
          <w:rFonts w:eastAsia="MyriadPro-Regular"/>
        </w:rPr>
        <w:t xml:space="preserve"> Taxonomy for sustainable activities</w:t>
      </w:r>
      <w:bookmarkStart w:id="4" w:name="_Ref133325422"/>
      <w:r w:rsidR="00331B6D" w:rsidRPr="004E330C">
        <w:rPr>
          <w:rStyle w:val="FootnoteReference"/>
          <w:rFonts w:eastAsia="MyriadPro-Regular"/>
          <w:sz w:val="20"/>
        </w:rPr>
        <w:footnoteReference w:id="40"/>
      </w:r>
      <w:bookmarkEnd w:id="4"/>
      <w:r w:rsidR="00331B6D" w:rsidRPr="004E330C">
        <w:rPr>
          <w:rFonts w:eastAsia="MyriadPro-Regular"/>
        </w:rPr>
        <w:t>. This has six policy objectives including: climate change mitigation; climate change adaptation; the sustainable use and protection of water and marine resources; the transition to a circular economy; pollution prevention and control; the protection and restoration of biodiversity and ecosystems. It defines economic activity as being sustainable only where it:</w:t>
      </w:r>
    </w:p>
    <w:p w14:paraId="43123016" w14:textId="64307A5D" w:rsidR="00331B6D" w:rsidRPr="004E330C" w:rsidRDefault="00331B6D" w:rsidP="00116A68">
      <w:pPr>
        <w:pStyle w:val="Bullet1G"/>
      </w:pPr>
      <w:r w:rsidRPr="004E330C">
        <w:t xml:space="preserve">Makes a substantial contribution to at least one of these environmental objectives; </w:t>
      </w:r>
    </w:p>
    <w:p w14:paraId="2BCB8FD7" w14:textId="69AC25B7" w:rsidR="00331B6D" w:rsidRPr="004E330C" w:rsidRDefault="00331B6D" w:rsidP="00116A68">
      <w:pPr>
        <w:pStyle w:val="Bullet1G"/>
      </w:pPr>
      <w:r w:rsidRPr="004E330C">
        <w:t xml:space="preserve">Does no significant harm to any other environmental objectives; </w:t>
      </w:r>
    </w:p>
    <w:p w14:paraId="3B59E866" w14:textId="2058D6C7" w:rsidR="00331B6D" w:rsidRPr="004E330C" w:rsidRDefault="00331B6D" w:rsidP="00116A68">
      <w:pPr>
        <w:pStyle w:val="Bullet1G"/>
      </w:pPr>
      <w:r w:rsidRPr="004E330C">
        <w:t>Complies with minimum social safeguards; and</w:t>
      </w:r>
    </w:p>
    <w:p w14:paraId="03355ADD" w14:textId="72F2A1E0" w:rsidR="00331B6D" w:rsidRPr="004E330C" w:rsidRDefault="00331B6D" w:rsidP="00116A68">
      <w:pPr>
        <w:pStyle w:val="Bullet1G"/>
      </w:pPr>
      <w:r w:rsidRPr="004E330C">
        <w:t>Complies with technical screening criteria established by the European Commission through Delegated Acts.</w:t>
      </w:r>
    </w:p>
    <w:p w14:paraId="30EB808A" w14:textId="30FEC7EC" w:rsidR="00331B6D" w:rsidRPr="004E330C" w:rsidRDefault="007D0D55" w:rsidP="00116A68">
      <w:pPr>
        <w:pStyle w:val="SingleTxtG"/>
      </w:pPr>
      <w:r w:rsidRPr="004E330C">
        <w:t>29.</w:t>
      </w:r>
      <w:r w:rsidRPr="004E330C">
        <w:tab/>
      </w:r>
      <w:r w:rsidR="00331B6D" w:rsidRPr="004E330C">
        <w:t xml:space="preserve">The </w:t>
      </w:r>
      <w:r w:rsidR="00331B6D">
        <w:t>European Union</w:t>
      </w:r>
      <w:r w:rsidR="00331B6D" w:rsidRPr="004E330C">
        <w:t xml:space="preserve"> sustainable finance taxonomy sets out “</w:t>
      </w:r>
      <w:r w:rsidR="00331B6D" w:rsidRPr="004E330C">
        <w:rPr>
          <w:i/>
          <w:iCs/>
        </w:rPr>
        <w:t>substantial requirements</w:t>
      </w:r>
      <w:r w:rsidR="00331B6D" w:rsidRPr="004E330C">
        <w:t xml:space="preserve">” in relation to each of the six policy objectives listed in paragraph 32 in </w:t>
      </w:r>
      <w:r w:rsidR="001F269D">
        <w:t>a</w:t>
      </w:r>
      <w:r w:rsidR="00331B6D" w:rsidRPr="004E330C">
        <w:t>rticles 10-15</w:t>
      </w:r>
      <w:r w:rsidR="00331B6D" w:rsidRPr="004E330C">
        <w:rPr>
          <w:vertAlign w:val="superscript"/>
        </w:rPr>
        <w:fldChar w:fldCharType="begin"/>
      </w:r>
      <w:r w:rsidR="00331B6D" w:rsidRPr="004E330C">
        <w:rPr>
          <w:vertAlign w:val="superscript"/>
        </w:rPr>
        <w:instrText xml:space="preserve"> NOTEREF _Ref133325422 \h  \* MERGEFORMAT </w:instrText>
      </w:r>
      <w:r w:rsidR="00331B6D" w:rsidRPr="004E330C">
        <w:rPr>
          <w:vertAlign w:val="superscript"/>
        </w:rPr>
      </w:r>
      <w:r w:rsidR="00331B6D" w:rsidRPr="004E330C">
        <w:rPr>
          <w:vertAlign w:val="superscript"/>
        </w:rPr>
        <w:fldChar w:fldCharType="separate"/>
      </w:r>
      <w:r>
        <w:rPr>
          <w:vertAlign w:val="superscript"/>
        </w:rPr>
        <w:t>39</w:t>
      </w:r>
      <w:r w:rsidR="00331B6D" w:rsidRPr="004E330C">
        <w:rPr>
          <w:vertAlign w:val="superscript"/>
        </w:rPr>
        <w:fldChar w:fldCharType="end"/>
      </w:r>
      <w:r w:rsidR="00331B6D" w:rsidRPr="004E330C">
        <w:t xml:space="preserve">. As such, there is a need to ensure consistency between the taxonomy and the assessment of significance in transboundary </w:t>
      </w:r>
      <w:r w:rsidR="00151F93">
        <w:t>e</w:t>
      </w:r>
      <w:r w:rsidR="00331B6D">
        <w:t xml:space="preserve">nvironmental </w:t>
      </w:r>
      <w:r w:rsidR="00151F93">
        <w:t>i</w:t>
      </w:r>
      <w:r w:rsidR="00331B6D">
        <w:t xml:space="preserve">mpact </w:t>
      </w:r>
      <w:r w:rsidR="00151F93">
        <w:t>a</w:t>
      </w:r>
      <w:r w:rsidR="00331B6D">
        <w:t>ssessment</w:t>
      </w:r>
      <w:r w:rsidR="00331B6D" w:rsidRPr="004E330C">
        <w:t xml:space="preserve"> under the Convention, and in </w:t>
      </w:r>
      <w:r w:rsidR="00151F93">
        <w:t>s</w:t>
      </w:r>
      <w:r w:rsidR="00331B6D">
        <w:t xml:space="preserve">trategic </w:t>
      </w:r>
      <w:r w:rsidR="00151F93">
        <w:t>e</w:t>
      </w:r>
      <w:r w:rsidR="00331B6D">
        <w:t xml:space="preserve">nvironmental </w:t>
      </w:r>
      <w:r w:rsidR="00151F93">
        <w:t>a</w:t>
      </w:r>
      <w:r w:rsidR="00331B6D">
        <w:t>ssessment</w:t>
      </w:r>
      <w:r w:rsidR="00331B6D" w:rsidRPr="004E330C">
        <w:t xml:space="preserve"> under the Protocol, in relation to evaluation of impacts and to reflect the taxonomy policy objectives to make a substantial contribution to climate (climate change mitigation, and adaptation)</w:t>
      </w:r>
      <w:r w:rsidR="00331B6D" w:rsidRPr="004E330C">
        <w:rPr>
          <w:rFonts w:eastAsia="MyriadPro-Regular"/>
        </w:rPr>
        <w:t>,</w:t>
      </w:r>
      <w:r w:rsidR="00331B6D" w:rsidRPr="004E330C">
        <w:t xml:space="preserve"> water (the </w:t>
      </w:r>
      <w:r w:rsidR="00331B6D" w:rsidRPr="004E330C">
        <w:rPr>
          <w:rFonts w:eastAsia="MyriadPro-Regular"/>
        </w:rPr>
        <w:t>protection of water and marine resources)</w:t>
      </w:r>
      <w:r w:rsidR="00331B6D" w:rsidRPr="004E330C">
        <w:t>, soil and air (</w:t>
      </w:r>
      <w:r w:rsidR="00331B6D" w:rsidRPr="004E330C">
        <w:rPr>
          <w:rFonts w:eastAsia="MyriadPro-Regular"/>
        </w:rPr>
        <w:t>pollution prevention and control), biodiversity (Protocol only) and fauna and flora (</w:t>
      </w:r>
      <w:r w:rsidR="00331B6D" w:rsidRPr="004E330C">
        <w:t xml:space="preserve">the </w:t>
      </w:r>
      <w:r w:rsidR="00331B6D" w:rsidRPr="004E330C">
        <w:rPr>
          <w:rFonts w:eastAsia="MyriadPro-Regular"/>
        </w:rPr>
        <w:t>protection and restoration of biodiversity and ecosystems).</w:t>
      </w:r>
    </w:p>
    <w:p w14:paraId="5BB39B60" w14:textId="59E49396" w:rsidR="005C4D70" w:rsidRPr="00355C6A" w:rsidRDefault="007D0D55" w:rsidP="00116A68">
      <w:pPr>
        <w:pStyle w:val="SingleTxtG"/>
        <w:rPr>
          <w:color w:val="000000"/>
        </w:rPr>
      </w:pPr>
      <w:r w:rsidRPr="00355C6A">
        <w:rPr>
          <w:color w:val="000000"/>
        </w:rPr>
        <w:t>30.</w:t>
      </w:r>
      <w:r w:rsidRPr="00355C6A">
        <w:rPr>
          <w:color w:val="000000"/>
        </w:rPr>
        <w:tab/>
      </w:r>
      <w:r w:rsidR="00331B6D" w:rsidRPr="00355C6A">
        <w:rPr>
          <w:rFonts w:eastAsia="MyriadPro-Regular"/>
        </w:rPr>
        <w:t xml:space="preserve">The European Union Taxonomy is supported by Delegated Acts which set out technical screening criteria which must be satisfied in order for an economic activity to be considered sustainable. </w:t>
      </w:r>
    </w:p>
    <w:p w14:paraId="3B446EDA" w14:textId="76E56870" w:rsidR="00980A12" w:rsidRPr="00820E96" w:rsidRDefault="007D0D55" w:rsidP="00116A68">
      <w:pPr>
        <w:pStyle w:val="SingleTxtG"/>
        <w:rPr>
          <w:color w:val="000000"/>
        </w:rPr>
      </w:pPr>
      <w:r w:rsidRPr="00820E96">
        <w:rPr>
          <w:color w:val="000000"/>
        </w:rPr>
        <w:t>31.</w:t>
      </w:r>
      <w:r w:rsidRPr="00820E96">
        <w:rPr>
          <w:color w:val="000000"/>
        </w:rPr>
        <w:tab/>
      </w:r>
      <w:r w:rsidR="00980A12" w:rsidRPr="005C4D70">
        <w:rPr>
          <w:rFonts w:eastAsia="MyriadPro-Regular"/>
        </w:rPr>
        <w:t>In January 2023 the Corporate Sustainability Directive</w:t>
      </w:r>
      <w:r w:rsidR="00980A12" w:rsidRPr="005C4D70">
        <w:rPr>
          <w:rStyle w:val="FootnoteReference"/>
          <w:rFonts w:eastAsia="MyriadPro-Regular"/>
          <w:sz w:val="20"/>
        </w:rPr>
        <w:footnoteReference w:id="41"/>
      </w:r>
      <w:r w:rsidR="00980A12" w:rsidRPr="005C4D70">
        <w:rPr>
          <w:rFonts w:eastAsia="MyriadPro-Regular"/>
        </w:rPr>
        <w:t xml:space="preserve"> entered into force and requires sustainability reporting by businesses of a certain size. Reporting will </w:t>
      </w:r>
      <w:r w:rsidR="00820E96">
        <w:rPr>
          <w:rFonts w:eastAsia="MyriadPro-Regular"/>
        </w:rPr>
        <w:t xml:space="preserve">be </w:t>
      </w:r>
      <w:r w:rsidR="00980A12" w:rsidRPr="005C4D70">
        <w:rPr>
          <w:rFonts w:eastAsia="MyriadPro-Regular"/>
        </w:rPr>
        <w:t>governed by European Sustainability Reporting Standards (the first draft set has been published</w:t>
      </w:r>
      <w:r w:rsidR="00980A12" w:rsidRPr="005C4D70">
        <w:rPr>
          <w:rStyle w:val="FootnoteReference"/>
          <w:rFonts w:eastAsia="MyriadPro-Regular"/>
          <w:sz w:val="20"/>
        </w:rPr>
        <w:footnoteReference w:id="42"/>
      </w:r>
      <w:r w:rsidR="00980A12" w:rsidRPr="005C4D70">
        <w:rPr>
          <w:rFonts w:eastAsia="MyriadPro-Regular"/>
        </w:rPr>
        <w:t>) produced by</w:t>
      </w:r>
      <w:r w:rsidR="003F3F75">
        <w:rPr>
          <w:rFonts w:eastAsia="MyriadPro-Regular"/>
        </w:rPr>
        <w:t xml:space="preserve"> </w:t>
      </w:r>
      <w:r w:rsidR="008D451B">
        <w:rPr>
          <w:rFonts w:eastAsia="MyriadPro-Regular"/>
        </w:rPr>
        <w:t xml:space="preserve">the </w:t>
      </w:r>
      <w:r w:rsidR="003F3F75" w:rsidRPr="003F3F75">
        <w:rPr>
          <w:rFonts w:eastAsia="MyriadPro-Regular"/>
        </w:rPr>
        <w:t>European Financial Reporting Advisory Group</w:t>
      </w:r>
      <w:r w:rsidR="00980A12" w:rsidRPr="005C4D70">
        <w:rPr>
          <w:rFonts w:eastAsia="MyriadPro-Regular"/>
        </w:rPr>
        <w:t xml:space="preserve">, an independent body which is also building on, and contributing to, international </w:t>
      </w:r>
      <w:r w:rsidR="00980A12" w:rsidRPr="005C4D70">
        <w:rPr>
          <w:rFonts w:eastAsia="MyriadPro-Regular"/>
        </w:rPr>
        <w:lastRenderedPageBreak/>
        <w:t xml:space="preserve">sustainability reporting standards being produced by the </w:t>
      </w:r>
      <w:r w:rsidR="00980A12" w:rsidRPr="005C4D70">
        <w:rPr>
          <w:shd w:val="clear" w:color="auto" w:fill="FFFFFF"/>
        </w:rPr>
        <w:t>International Sustainability Standards Board (launched on 3 November 2021 at </w:t>
      </w:r>
      <w:r w:rsidR="005C4D70" w:rsidRPr="005C4D70">
        <w:rPr>
          <w:color w:val="24292E"/>
        </w:rPr>
        <w:t xml:space="preserve">26th </w:t>
      </w:r>
      <w:r w:rsidR="00377120">
        <w:rPr>
          <w:color w:val="24292E"/>
        </w:rPr>
        <w:t>United Nations</w:t>
      </w:r>
      <w:r w:rsidR="005C4D70" w:rsidRPr="005C4D70">
        <w:rPr>
          <w:color w:val="24292E"/>
        </w:rPr>
        <w:t xml:space="preserve"> </w:t>
      </w:r>
      <w:r w:rsidR="005C4D70" w:rsidRPr="00820E96">
        <w:rPr>
          <w:color w:val="24292E"/>
        </w:rPr>
        <w:t>Climate Change Conference of the Parties</w:t>
      </w:r>
      <w:r w:rsidR="00820E96" w:rsidRPr="00820E96">
        <w:rPr>
          <w:color w:val="24292E"/>
        </w:rPr>
        <w:t xml:space="preserve"> held in Glasgow). </w:t>
      </w:r>
      <w:r w:rsidR="00980A12" w:rsidRPr="00820E96">
        <w:rPr>
          <w:shd w:val="clear" w:color="auto" w:fill="FFFFFF"/>
        </w:rPr>
        <w:t xml:space="preserve">These reporting standards </w:t>
      </w:r>
      <w:r w:rsidR="005C4D70" w:rsidRPr="00820E96">
        <w:rPr>
          <w:shd w:val="clear" w:color="auto" w:fill="FFFFFF"/>
        </w:rPr>
        <w:t>incorporate the concept of ‘double materiality’, which means that both the impact of the business (and its activities) on sustainability matters should be considered (called impact materiality), but also how sustainability matters affect the business and its activities (called financial materiality).</w:t>
      </w:r>
      <w:r w:rsidR="005C4D70" w:rsidRPr="00355C6A">
        <w:rPr>
          <w:shd w:val="clear" w:color="auto" w:fill="FFFFFF"/>
        </w:rPr>
        <w:t xml:space="preserve"> </w:t>
      </w:r>
    </w:p>
    <w:p w14:paraId="3F8BFA29" w14:textId="28959A97" w:rsidR="002D2E14" w:rsidRPr="00EC3562" w:rsidRDefault="00116A68" w:rsidP="00116A68">
      <w:pPr>
        <w:pStyle w:val="H23G"/>
        <w:rPr>
          <w:color w:val="000000"/>
        </w:rPr>
      </w:pPr>
      <w:r>
        <w:rPr>
          <w:color w:val="000000"/>
        </w:rPr>
        <w:tab/>
        <w:t>3</w:t>
      </w:r>
      <w:r w:rsidR="007D0D55" w:rsidRPr="00EC3562">
        <w:rPr>
          <w:color w:val="000000"/>
        </w:rPr>
        <w:t>.</w:t>
      </w:r>
      <w:r w:rsidR="007D0D55" w:rsidRPr="00EC3562">
        <w:rPr>
          <w:color w:val="000000"/>
        </w:rPr>
        <w:tab/>
      </w:r>
      <w:r w:rsidR="000823AA" w:rsidRPr="00EC3562">
        <w:t xml:space="preserve">Role, benefits and further potential of the Convention and Protocol in promoting </w:t>
      </w:r>
      <w:r w:rsidR="004F700A" w:rsidRPr="00EC3562">
        <w:t>green financing</w:t>
      </w:r>
    </w:p>
    <w:p w14:paraId="7426810A" w14:textId="6161FEBF" w:rsidR="00B2517C" w:rsidRPr="00B2517C" w:rsidRDefault="007D0D55" w:rsidP="00116A68">
      <w:pPr>
        <w:pStyle w:val="SingleTxtG"/>
      </w:pPr>
      <w:r w:rsidRPr="00B2517C">
        <w:t>32.</w:t>
      </w:r>
      <w:r w:rsidRPr="00B2517C">
        <w:tab/>
      </w:r>
      <w:r w:rsidR="00B2517C" w:rsidRPr="00B2517C">
        <w:t xml:space="preserve">There is an expectation of increasing conditionality of financing based on the sustainability performance of proposed investments, for example, </w:t>
      </w:r>
      <w:r w:rsidR="004F5E6E">
        <w:t>the European Bank for Reconstruction and Development</w:t>
      </w:r>
      <w:r w:rsidR="00B2517C" w:rsidRPr="00B2517C">
        <w:t xml:space="preserve"> raised its target to achieving a green finance ratio of at least 50% of annual investments by 2025</w:t>
      </w:r>
      <w:r w:rsidR="00B2517C" w:rsidRPr="00B2517C">
        <w:rPr>
          <w:rStyle w:val="FootnoteReference"/>
          <w:sz w:val="20"/>
        </w:rPr>
        <w:footnoteReference w:id="43"/>
      </w:r>
      <w:r w:rsidR="00B2517C" w:rsidRPr="00B2517C">
        <w:t xml:space="preserve">. Therefore, it is anticipated that green taxonomies will become increasingly important benchmarks underpinning investment decisions. This raises the potential for projects subject to transboundary </w:t>
      </w:r>
      <w:r w:rsidR="000C2B8B">
        <w:t>e</w:t>
      </w:r>
      <w:r w:rsidR="004F5E6E">
        <w:t xml:space="preserve">nvironmental </w:t>
      </w:r>
      <w:r w:rsidR="000C2B8B">
        <w:t>i</w:t>
      </w:r>
      <w:r w:rsidR="004F5E6E">
        <w:t xml:space="preserve">mpact </w:t>
      </w:r>
      <w:r w:rsidR="000C2B8B">
        <w:t>a</w:t>
      </w:r>
      <w:r w:rsidR="004F5E6E">
        <w:t>ssessment</w:t>
      </w:r>
      <w:r w:rsidR="00B2517C" w:rsidRPr="00B2517C">
        <w:t xml:space="preserve">, or plans and/or programmes subject to </w:t>
      </w:r>
      <w:r w:rsidR="000C2B8B">
        <w:t>s</w:t>
      </w:r>
      <w:r w:rsidR="004F5E6E">
        <w:t xml:space="preserve">trategic </w:t>
      </w:r>
      <w:r w:rsidR="000C2B8B">
        <w:t>e</w:t>
      </w:r>
      <w:r w:rsidR="004F5E6E">
        <w:t xml:space="preserve">nvironmental </w:t>
      </w:r>
      <w:r w:rsidR="000C2B8B">
        <w:t>a</w:t>
      </w:r>
      <w:r w:rsidR="004F5E6E">
        <w:t>ssessment</w:t>
      </w:r>
      <w:r w:rsidR="00B2517C" w:rsidRPr="00B2517C">
        <w:t xml:space="preserve">, being adopted based on acceptance of the competent authorities of the impacts </w:t>
      </w:r>
      <w:r w:rsidR="004F5E6E">
        <w:t xml:space="preserve">and mitigation measures </w:t>
      </w:r>
      <w:r w:rsidR="00B2517C" w:rsidRPr="00B2517C">
        <w:t>identified; but then the same interventions may be refused finance if they cannot demonstrate DNSH and/or a positive contribution.</w:t>
      </w:r>
    </w:p>
    <w:p w14:paraId="04314C5B" w14:textId="0CC44A45" w:rsidR="00B2517C" w:rsidRPr="00B2517C" w:rsidRDefault="007D0D55" w:rsidP="00116A68">
      <w:pPr>
        <w:pStyle w:val="SingleTxtG"/>
      </w:pPr>
      <w:r w:rsidRPr="00B2517C">
        <w:t>33.</w:t>
      </w:r>
      <w:r w:rsidRPr="00B2517C">
        <w:tab/>
      </w:r>
      <w:r w:rsidR="00B2517C" w:rsidRPr="00B2517C">
        <w:t xml:space="preserve">Suggestions have already been made that </w:t>
      </w:r>
      <w:r w:rsidR="00753B0E">
        <w:t>e</w:t>
      </w:r>
      <w:r w:rsidR="004F5E6E">
        <w:t xml:space="preserve">nvironmental </w:t>
      </w:r>
      <w:r w:rsidR="00753B0E">
        <w:t>i</w:t>
      </w:r>
      <w:r w:rsidR="004F5E6E">
        <w:t xml:space="preserve">mpact </w:t>
      </w:r>
      <w:r w:rsidR="00753B0E">
        <w:t>a</w:t>
      </w:r>
      <w:r w:rsidR="004F5E6E">
        <w:t>ssessment</w:t>
      </w:r>
      <w:r w:rsidR="00B2517C" w:rsidRPr="00B2517C">
        <w:t xml:space="preserve"> can have a significant role in examining whether proposed investments meet the requirements of the </w:t>
      </w:r>
      <w:r w:rsidR="004F5E6E">
        <w:t>European Union</w:t>
      </w:r>
      <w:r w:rsidR="00B2517C" w:rsidRPr="00B2517C">
        <w:t xml:space="preserve"> Taxonomy during several stages of the </w:t>
      </w:r>
      <w:r w:rsidR="00010E7A">
        <w:t>e</w:t>
      </w:r>
      <w:r w:rsidR="00871A50">
        <w:t xml:space="preserve">nvironmental </w:t>
      </w:r>
      <w:r w:rsidR="00010E7A">
        <w:t>i</w:t>
      </w:r>
      <w:r w:rsidR="00871A50">
        <w:t xml:space="preserve">mpact </w:t>
      </w:r>
      <w:r w:rsidR="00010E7A">
        <w:t>a</w:t>
      </w:r>
      <w:r w:rsidR="00871A50">
        <w:t>ssessment</w:t>
      </w:r>
      <w:r w:rsidR="00B2517C" w:rsidRPr="00B2517C">
        <w:t xml:space="preserve"> process</w:t>
      </w:r>
      <w:bookmarkStart w:id="5" w:name="_Ref134968236"/>
      <w:r w:rsidR="00D3368C">
        <w:rPr>
          <w:rStyle w:val="FootnoteReference"/>
        </w:rPr>
        <w:footnoteReference w:id="44"/>
      </w:r>
      <w:bookmarkEnd w:id="5"/>
      <w:r w:rsidR="00B2517C" w:rsidRPr="00B2517C">
        <w:t xml:space="preserve">, including the consideration of alternatives and mitigation measures (Article 4/Appendix II); </w:t>
      </w:r>
      <w:r w:rsidR="004F5E6E">
        <w:t>Environmental Impact Assessment</w:t>
      </w:r>
      <w:r w:rsidR="00B2517C" w:rsidRPr="00B2517C">
        <w:t xml:space="preserve"> review/</w:t>
      </w:r>
      <w:r w:rsidR="004F5E6E">
        <w:t>Environmental Impact Statement</w:t>
      </w:r>
      <w:r w:rsidR="00B2517C" w:rsidRPr="00B2517C">
        <w:t xml:space="preserve"> publication (Article 4/Appendix II). </w:t>
      </w:r>
      <w:r w:rsidR="004F5E6E" w:rsidRPr="00B2517C">
        <w:t>It</w:t>
      </w:r>
      <w:r w:rsidR="00B2517C" w:rsidRPr="00B2517C">
        <w:t xml:space="preserve"> is argued that the evidence-based nature of </w:t>
      </w:r>
      <w:r w:rsidR="00010E7A">
        <w:t>e</w:t>
      </w:r>
      <w:r w:rsidR="00871A50">
        <w:t xml:space="preserve">nvironmental </w:t>
      </w:r>
      <w:r w:rsidR="00010E7A">
        <w:t>i</w:t>
      </w:r>
      <w:r w:rsidR="00871A50">
        <w:t xml:space="preserve">mpact </w:t>
      </w:r>
      <w:r w:rsidR="00010E7A">
        <w:t>a</w:t>
      </w:r>
      <w:r w:rsidR="00871A50">
        <w:t>ssessment</w:t>
      </w:r>
      <w:r w:rsidR="00B2517C" w:rsidRPr="00B2517C">
        <w:t xml:space="preserve"> is ideally suited to assessing whether a proposed activity meets the criteria laid down </w:t>
      </w:r>
      <w:r w:rsidR="00B2517C" w:rsidRPr="000D679D">
        <w:t xml:space="preserve">in the </w:t>
      </w:r>
      <w:r w:rsidR="000D679D" w:rsidRPr="000D679D">
        <w:t>Taxonomy</w:t>
      </w:r>
      <w:r w:rsidR="00D3368C" w:rsidRPr="00D3368C">
        <w:rPr>
          <w:vertAlign w:val="superscript"/>
        </w:rPr>
        <w:fldChar w:fldCharType="begin"/>
      </w:r>
      <w:r w:rsidR="00D3368C" w:rsidRPr="00D3368C">
        <w:rPr>
          <w:vertAlign w:val="superscript"/>
        </w:rPr>
        <w:instrText xml:space="preserve"> NOTEREF _Ref134968236 \h </w:instrText>
      </w:r>
      <w:r w:rsidR="00D3368C">
        <w:rPr>
          <w:vertAlign w:val="superscript"/>
        </w:rPr>
        <w:instrText xml:space="preserve"> \* MERGEFORMAT </w:instrText>
      </w:r>
      <w:r w:rsidR="00D3368C" w:rsidRPr="00D3368C">
        <w:rPr>
          <w:vertAlign w:val="superscript"/>
        </w:rPr>
      </w:r>
      <w:r w:rsidR="00D3368C" w:rsidRPr="00D3368C">
        <w:rPr>
          <w:vertAlign w:val="superscript"/>
        </w:rPr>
        <w:fldChar w:fldCharType="separate"/>
      </w:r>
      <w:r>
        <w:rPr>
          <w:vertAlign w:val="superscript"/>
        </w:rPr>
        <w:t>43</w:t>
      </w:r>
      <w:r w:rsidR="00D3368C" w:rsidRPr="00D3368C">
        <w:rPr>
          <w:vertAlign w:val="superscript"/>
        </w:rPr>
        <w:fldChar w:fldCharType="end"/>
      </w:r>
      <w:r w:rsidR="000D679D" w:rsidRPr="000D679D">
        <w:t>.</w:t>
      </w:r>
      <w:r w:rsidR="00B2517C" w:rsidRPr="00B2517C">
        <w:t xml:space="preserve"> </w:t>
      </w:r>
    </w:p>
    <w:p w14:paraId="7F1C21B9" w14:textId="3114F9EA" w:rsidR="00B2517C" w:rsidRPr="00B2517C" w:rsidRDefault="007D0D55" w:rsidP="00116A68">
      <w:pPr>
        <w:pStyle w:val="SingleTxtG"/>
      </w:pPr>
      <w:r w:rsidRPr="00B2517C">
        <w:t>34.</w:t>
      </w:r>
      <w:r w:rsidRPr="00B2517C">
        <w:tab/>
      </w:r>
      <w:r w:rsidR="00B2517C" w:rsidRPr="00B2517C">
        <w:t xml:space="preserve">Sustainable financing directly overlaps with both energy transition (through the climate change mitigation and adaptation objectives) and with the transition to a circular economy. The policy objectives overlap also with the environmental components that are the focus of both transboundary </w:t>
      </w:r>
      <w:r w:rsidR="00ED0E66">
        <w:t>e</w:t>
      </w:r>
      <w:r w:rsidR="004F5E6E">
        <w:t xml:space="preserve">nvironmental </w:t>
      </w:r>
      <w:r w:rsidR="00ED0E66">
        <w:t>i</w:t>
      </w:r>
      <w:r w:rsidR="004F5E6E">
        <w:t xml:space="preserve">mpact </w:t>
      </w:r>
      <w:r w:rsidR="004D3C6F">
        <w:t>a</w:t>
      </w:r>
      <w:r w:rsidR="004F5E6E">
        <w:t>ssessment</w:t>
      </w:r>
      <w:r w:rsidR="00B2517C" w:rsidRPr="00B2517C">
        <w:t xml:space="preserve"> under the Convention and </w:t>
      </w:r>
      <w:r w:rsidR="00ED0E66">
        <w:t>s</w:t>
      </w:r>
      <w:r w:rsidR="004F5E6E">
        <w:t xml:space="preserve">trategic </w:t>
      </w:r>
      <w:r w:rsidR="00ED0E66">
        <w:t>e</w:t>
      </w:r>
      <w:r w:rsidR="004F5E6E">
        <w:t xml:space="preserve">nvironmental </w:t>
      </w:r>
      <w:r w:rsidR="00ED0E66">
        <w:t>a</w:t>
      </w:r>
      <w:r w:rsidR="004F5E6E">
        <w:t>ssessment</w:t>
      </w:r>
      <w:r w:rsidR="00B2517C" w:rsidRPr="00B2517C">
        <w:t xml:space="preserve"> </w:t>
      </w:r>
      <w:r w:rsidR="00FD79D5">
        <w:t xml:space="preserve">under </w:t>
      </w:r>
      <w:r w:rsidR="00896D55">
        <w:t xml:space="preserve">the </w:t>
      </w:r>
      <w:r w:rsidR="00FD79D5" w:rsidRPr="00B2517C">
        <w:t>Protocol</w:t>
      </w:r>
      <w:r w:rsidR="00FD79D5">
        <w:t xml:space="preserve"> </w:t>
      </w:r>
      <w:r w:rsidR="00B2517C" w:rsidRPr="00B2517C">
        <w:t xml:space="preserve">and will likely involve significant planning and project development to implement. </w:t>
      </w:r>
    </w:p>
    <w:p w14:paraId="59578A1D" w14:textId="5CD6A215" w:rsidR="00A455A7" w:rsidRPr="00355C6A" w:rsidRDefault="007D0D55" w:rsidP="00116A68">
      <w:pPr>
        <w:pStyle w:val="SingleTxtG"/>
      </w:pPr>
      <w:r w:rsidRPr="00355C6A">
        <w:t>35.</w:t>
      </w:r>
      <w:r w:rsidRPr="00355C6A">
        <w:tab/>
      </w:r>
      <w:r w:rsidR="00B2517C" w:rsidRPr="00FD79D5">
        <w:t xml:space="preserve">As the Sustainable Finance Taxonomy is relatively new, there is little in the way of case applications that have explored the overlap between the application of a green taxonomy and the practice of either </w:t>
      </w:r>
      <w:r w:rsidR="00D91D88">
        <w:t>s</w:t>
      </w:r>
      <w:r w:rsidR="00871A50">
        <w:t xml:space="preserve">trategic </w:t>
      </w:r>
      <w:r w:rsidR="00D91D88">
        <w:t>e</w:t>
      </w:r>
      <w:r w:rsidR="00871A50">
        <w:t xml:space="preserve">nvironmental </w:t>
      </w:r>
      <w:r w:rsidR="00D91D88">
        <w:t>a</w:t>
      </w:r>
      <w:r w:rsidR="00871A50">
        <w:t>ssessment</w:t>
      </w:r>
      <w:r w:rsidR="00B2517C" w:rsidRPr="00FD79D5">
        <w:t xml:space="preserve"> or </w:t>
      </w:r>
      <w:r w:rsidR="00D91D88">
        <w:t>e</w:t>
      </w:r>
      <w:r w:rsidR="00871A50">
        <w:t xml:space="preserve">nvironmental </w:t>
      </w:r>
      <w:r w:rsidR="00D91D88">
        <w:t>i</w:t>
      </w:r>
      <w:r w:rsidR="00871A50">
        <w:t xml:space="preserve">mpact </w:t>
      </w:r>
      <w:r w:rsidR="00D91D88" w:rsidRPr="00D91D88">
        <w:t>a</w:t>
      </w:r>
      <w:r w:rsidR="00871A50" w:rsidRPr="00355C6A">
        <w:t>ssessment</w:t>
      </w:r>
      <w:r w:rsidR="00B2517C" w:rsidRPr="00355C6A">
        <w:t xml:space="preserve">. One example reported from Czechia concluded that a proposed systematic alignment between the </w:t>
      </w:r>
      <w:r w:rsidR="00D91D88" w:rsidRPr="00355C6A">
        <w:t>s</w:t>
      </w:r>
      <w:r w:rsidR="00871A50" w:rsidRPr="00355C6A">
        <w:t xml:space="preserve">trategic </w:t>
      </w:r>
      <w:r w:rsidR="00D91D88" w:rsidRPr="00355C6A">
        <w:t>e</w:t>
      </w:r>
      <w:r w:rsidR="00871A50" w:rsidRPr="00355C6A">
        <w:t xml:space="preserve">nvironmental </w:t>
      </w:r>
      <w:r w:rsidR="00D91D88">
        <w:t>a</w:t>
      </w:r>
      <w:r w:rsidR="00871A50" w:rsidRPr="00355C6A">
        <w:t>ssessment</w:t>
      </w:r>
      <w:r w:rsidR="00B2517C" w:rsidRPr="00355C6A">
        <w:t xml:space="preserve"> for an operational programme and the technical screening criteria associated with the </w:t>
      </w:r>
      <w:r w:rsidR="00A54BF2" w:rsidRPr="00355C6A">
        <w:t>European Union</w:t>
      </w:r>
      <w:r w:rsidR="00B2517C" w:rsidRPr="00355C6A">
        <w:t xml:space="preserve"> sustainable finance Taxonomy “is indeed useful”</w:t>
      </w:r>
      <w:r w:rsidR="00D3368C" w:rsidRPr="00355C6A">
        <w:rPr>
          <w:rStyle w:val="FootnoteReference"/>
          <w:sz w:val="20"/>
        </w:rPr>
        <w:footnoteReference w:id="45"/>
      </w:r>
      <w:r w:rsidR="000D679D" w:rsidRPr="00355C6A">
        <w:t>.</w:t>
      </w:r>
    </w:p>
    <w:p w14:paraId="48D68325" w14:textId="3344434D" w:rsidR="00820E96" w:rsidRPr="00FD79D5" w:rsidRDefault="007D0D55" w:rsidP="00116A68">
      <w:pPr>
        <w:pStyle w:val="SingleTxtG"/>
      </w:pPr>
      <w:r w:rsidRPr="00FD79D5">
        <w:t>36.</w:t>
      </w:r>
      <w:r w:rsidRPr="00FD79D5">
        <w:tab/>
      </w:r>
      <w:r w:rsidR="00820E96">
        <w:t>Sustainability Reporting Standards will require evidence to be gather</w:t>
      </w:r>
      <w:r w:rsidR="005359D4">
        <w:t>ed</w:t>
      </w:r>
      <w:r w:rsidR="00820E96">
        <w:t xml:space="preserve"> on sustainability matters, and assessments conducted under the Convention and Protocol </w:t>
      </w:r>
      <w:r w:rsidR="005359D4">
        <w:t>are</w:t>
      </w:r>
      <w:r w:rsidR="00820E96">
        <w:t xml:space="preserve"> likely to be able to contribute to this reporting obligation, improving the efficiency of the process. The focus on double materiality is not reflected in the text of the Convention or Protocol.</w:t>
      </w:r>
    </w:p>
    <w:tbl>
      <w:tblPr>
        <w:tblW w:w="7933"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7933"/>
      </w:tblGrid>
      <w:tr w:rsidR="00E31590" w:rsidRPr="00F9298F" w14:paraId="58AAA4CE" w14:textId="77777777" w:rsidTr="00D72021">
        <w:trPr>
          <w:jc w:val="center"/>
        </w:trPr>
        <w:tc>
          <w:tcPr>
            <w:tcW w:w="7933" w:type="dxa"/>
            <w:shd w:val="clear" w:color="auto" w:fill="auto"/>
          </w:tcPr>
          <w:p w14:paraId="622602BD" w14:textId="77777777" w:rsidR="00E31590" w:rsidRPr="00EC3562" w:rsidRDefault="00E31590" w:rsidP="00E31590">
            <w:pPr>
              <w:pStyle w:val="SingleTxtG"/>
              <w:ind w:left="431" w:right="420"/>
              <w:rPr>
                <w:rFonts w:asciiTheme="majorBidi" w:hAnsiTheme="majorBidi" w:cstheme="majorBidi"/>
                <w:i/>
                <w:iCs/>
              </w:rPr>
            </w:pPr>
            <w:r w:rsidRPr="00EC3562">
              <w:rPr>
                <w:rFonts w:asciiTheme="majorBidi" w:hAnsiTheme="majorBidi" w:cstheme="majorBidi"/>
                <w:i/>
                <w:iCs/>
              </w:rPr>
              <w:lastRenderedPageBreak/>
              <w:t>Suggested points of discussion/key guiding questions</w:t>
            </w:r>
          </w:p>
          <w:p w14:paraId="1F70826C" w14:textId="7769DCB0" w:rsidR="008E090D" w:rsidRPr="00FD79D5" w:rsidRDefault="007D0D55" w:rsidP="007D0D55">
            <w:pPr>
              <w:pStyle w:val="SingleTxtG"/>
              <w:spacing w:line="240" w:lineRule="auto"/>
              <w:ind w:left="788" w:right="420" w:hanging="357"/>
              <w:rPr>
                <w:rFonts w:asciiTheme="majorBidi" w:hAnsiTheme="majorBidi" w:cstheme="majorBidi"/>
              </w:rPr>
            </w:pPr>
            <w:r w:rsidRPr="00FD79D5">
              <w:rPr>
                <w:rFonts w:asciiTheme="majorBidi" w:hAnsiTheme="majorBidi" w:cstheme="majorBidi"/>
              </w:rPr>
              <w:t>1.</w:t>
            </w:r>
            <w:r w:rsidRPr="00FD79D5">
              <w:rPr>
                <w:rFonts w:asciiTheme="majorBidi" w:hAnsiTheme="majorBidi" w:cstheme="majorBidi"/>
              </w:rPr>
              <w:tab/>
            </w:r>
            <w:r w:rsidR="00FD79D5" w:rsidRPr="00FD79D5">
              <w:rPr>
                <w:rFonts w:asciiTheme="majorBidi" w:hAnsiTheme="majorBidi" w:cstheme="majorBidi"/>
              </w:rPr>
              <w:t>How should the key concepts of green taxonomies (notably, “Do No Significant Harm” and “</w:t>
            </w:r>
            <w:r w:rsidR="00FD79D5" w:rsidRPr="00FD79D5">
              <w:t>Makes a substantial contribution to at least one of these environmental objectives”</w:t>
            </w:r>
            <w:r w:rsidR="00BA2217">
              <w:t xml:space="preserve"> [</w:t>
            </w:r>
            <w:r w:rsidR="00BA2217">
              <w:rPr>
                <w:rFonts w:asciiTheme="majorBidi" w:hAnsiTheme="majorBidi" w:cstheme="majorBidi"/>
              </w:rPr>
              <w:t xml:space="preserve">on </w:t>
            </w:r>
            <w:r w:rsidR="00BA2217" w:rsidRPr="00F9298F">
              <w:rPr>
                <w:rFonts w:eastAsia="MyriadPro-Regular"/>
              </w:rPr>
              <w:t>climate change mitigation</w:t>
            </w:r>
            <w:r w:rsidR="00BA2217">
              <w:rPr>
                <w:rFonts w:eastAsia="MyriadPro-Regular"/>
              </w:rPr>
              <w:t>,</w:t>
            </w:r>
            <w:r w:rsidR="00BA2217" w:rsidRPr="00F9298F">
              <w:rPr>
                <w:rFonts w:eastAsia="MyriadPro-Regular"/>
              </w:rPr>
              <w:t xml:space="preserve"> climate change adaptation</w:t>
            </w:r>
            <w:r w:rsidR="00BA2217">
              <w:rPr>
                <w:rFonts w:eastAsia="MyriadPro-Regular"/>
              </w:rPr>
              <w:t>,</w:t>
            </w:r>
            <w:r w:rsidR="00BA2217" w:rsidRPr="00F9298F">
              <w:rPr>
                <w:rFonts w:eastAsia="MyriadPro-Regular"/>
              </w:rPr>
              <w:t xml:space="preserve"> the sustainable use and protection of water and marine resources</w:t>
            </w:r>
            <w:r w:rsidR="00BA2217">
              <w:rPr>
                <w:rFonts w:eastAsia="MyriadPro-Regular"/>
              </w:rPr>
              <w:t>,</w:t>
            </w:r>
            <w:r w:rsidR="00BA2217" w:rsidRPr="00F9298F">
              <w:rPr>
                <w:rFonts w:eastAsia="MyriadPro-Regular"/>
              </w:rPr>
              <w:t xml:space="preserve"> the transition to a circular economy</w:t>
            </w:r>
            <w:r w:rsidR="00BA2217">
              <w:rPr>
                <w:rFonts w:eastAsia="MyriadPro-Regular"/>
              </w:rPr>
              <w:t>,</w:t>
            </w:r>
            <w:r w:rsidR="00BA2217" w:rsidRPr="00F9298F">
              <w:rPr>
                <w:rFonts w:eastAsia="MyriadPro-Regular"/>
              </w:rPr>
              <w:t xml:space="preserve"> pollution prevention and control</w:t>
            </w:r>
            <w:r w:rsidR="00BA2217">
              <w:rPr>
                <w:rFonts w:eastAsia="MyriadPro-Regular"/>
              </w:rPr>
              <w:t>, and</w:t>
            </w:r>
            <w:r w:rsidR="00BA2217" w:rsidRPr="00F9298F">
              <w:rPr>
                <w:rFonts w:eastAsia="MyriadPro-Regular"/>
              </w:rPr>
              <w:t xml:space="preserve"> the protection and</w:t>
            </w:r>
            <w:r w:rsidR="00BA2217" w:rsidRPr="00F9298F">
              <w:rPr>
                <w:rFonts w:eastAsia="MyriadPro-Regular"/>
                <w:color w:val="000000"/>
              </w:rPr>
              <w:t xml:space="preserve"> </w:t>
            </w:r>
            <w:r w:rsidR="00BA2217" w:rsidRPr="00F9298F">
              <w:rPr>
                <w:rFonts w:eastAsia="MyriadPro-Regular"/>
              </w:rPr>
              <w:t>restoration of biodiversity and ecosystems</w:t>
            </w:r>
            <w:r w:rsidR="00BA2217">
              <w:rPr>
                <w:rFonts w:eastAsia="MyriadPro-Regular"/>
              </w:rPr>
              <w:t>]</w:t>
            </w:r>
            <w:r w:rsidR="00FD79D5" w:rsidRPr="00FD79D5">
              <w:t xml:space="preserve">) </w:t>
            </w:r>
            <w:r w:rsidR="00FD79D5" w:rsidRPr="00FD79D5">
              <w:rPr>
                <w:rFonts w:asciiTheme="majorBidi" w:hAnsiTheme="majorBidi" w:cstheme="majorBidi"/>
              </w:rPr>
              <w:t xml:space="preserve">be best aligned with the Convention and the </w:t>
            </w:r>
            <w:r w:rsidR="00AC332D">
              <w:rPr>
                <w:rFonts w:asciiTheme="majorBidi" w:hAnsiTheme="majorBidi" w:cstheme="majorBidi"/>
              </w:rPr>
              <w:t xml:space="preserve">Protocol </w:t>
            </w:r>
            <w:r w:rsidR="00FD79D5" w:rsidRPr="00FD79D5">
              <w:rPr>
                <w:rFonts w:asciiTheme="majorBidi" w:hAnsiTheme="majorBidi" w:cstheme="majorBidi"/>
              </w:rPr>
              <w:t>to ensure consistent decision-making throughout planning and financing stages?</w:t>
            </w:r>
          </w:p>
          <w:p w14:paraId="0D7CF7FE" w14:textId="239A743C" w:rsidR="00284EFD" w:rsidRPr="009B3C93" w:rsidRDefault="007D0D55" w:rsidP="007D0D55">
            <w:pPr>
              <w:pStyle w:val="SingleTxtG"/>
              <w:spacing w:line="240" w:lineRule="auto"/>
              <w:ind w:left="788" w:right="420" w:hanging="357"/>
              <w:rPr>
                <w:rFonts w:asciiTheme="majorBidi" w:hAnsiTheme="majorBidi" w:cstheme="majorBidi"/>
              </w:rPr>
            </w:pPr>
            <w:r w:rsidRPr="009B3C93">
              <w:rPr>
                <w:rFonts w:asciiTheme="majorBidi" w:hAnsiTheme="majorBidi" w:cstheme="majorBidi"/>
              </w:rPr>
              <w:t>2.</w:t>
            </w:r>
            <w:r w:rsidRPr="009B3C93">
              <w:rPr>
                <w:rFonts w:asciiTheme="majorBidi" w:hAnsiTheme="majorBidi" w:cstheme="majorBidi"/>
              </w:rPr>
              <w:tab/>
            </w:r>
            <w:r w:rsidR="00284EFD" w:rsidRPr="00EC3562">
              <w:rPr>
                <w:rFonts w:asciiTheme="majorBidi" w:hAnsiTheme="majorBidi" w:cstheme="majorBidi"/>
              </w:rPr>
              <w:t xml:space="preserve">Is there merit in </w:t>
            </w:r>
            <w:r w:rsidR="00AC332D">
              <w:rPr>
                <w:rFonts w:asciiTheme="majorBidi" w:hAnsiTheme="majorBidi" w:cstheme="majorBidi"/>
              </w:rPr>
              <w:t>determining commonalities between emerging taxonomies as a basis for better understanding</w:t>
            </w:r>
            <w:r w:rsidR="00284EFD" w:rsidRPr="00EC3562">
              <w:rPr>
                <w:rFonts w:asciiTheme="majorBidi" w:hAnsiTheme="majorBidi" w:cstheme="majorBidi"/>
              </w:rPr>
              <w:t xml:space="preserve"> how </w:t>
            </w:r>
            <w:r w:rsidR="00AC332D">
              <w:rPr>
                <w:rFonts w:asciiTheme="majorBidi" w:hAnsiTheme="majorBidi" w:cstheme="majorBidi"/>
              </w:rPr>
              <w:t>any</w:t>
            </w:r>
            <w:r w:rsidR="00284EFD" w:rsidRPr="00EC3562">
              <w:rPr>
                <w:rFonts w:asciiTheme="majorBidi" w:hAnsiTheme="majorBidi" w:cstheme="majorBidi"/>
              </w:rPr>
              <w:t xml:space="preserve"> screening criteria </w:t>
            </w:r>
            <w:r w:rsidR="00AC332D">
              <w:rPr>
                <w:rFonts w:asciiTheme="majorBidi" w:hAnsiTheme="majorBidi" w:cstheme="majorBidi"/>
              </w:rPr>
              <w:t xml:space="preserve">supporting their application </w:t>
            </w:r>
            <w:r w:rsidR="009B4881">
              <w:rPr>
                <w:rFonts w:asciiTheme="majorBidi" w:hAnsiTheme="majorBidi" w:cstheme="majorBidi"/>
              </w:rPr>
              <w:t xml:space="preserve">can be aligned with </w:t>
            </w:r>
            <w:r w:rsidR="00DF41D6">
              <w:rPr>
                <w:rFonts w:asciiTheme="majorBidi" w:hAnsiTheme="majorBidi" w:cstheme="majorBidi"/>
              </w:rPr>
              <w:t xml:space="preserve">assessment </w:t>
            </w:r>
            <w:r w:rsidR="00F818B2">
              <w:rPr>
                <w:rFonts w:asciiTheme="majorBidi" w:hAnsiTheme="majorBidi" w:cstheme="majorBidi"/>
              </w:rPr>
              <w:t>obligations under the Convention and the Protocol</w:t>
            </w:r>
            <w:r w:rsidR="00284EFD" w:rsidRPr="00EC3562">
              <w:rPr>
                <w:rFonts w:asciiTheme="majorBidi" w:hAnsiTheme="majorBidi" w:cstheme="majorBidi"/>
              </w:rPr>
              <w:t>?</w:t>
            </w:r>
          </w:p>
          <w:p w14:paraId="5424E0A3" w14:textId="1DC4D7E0" w:rsidR="0027434C" w:rsidRPr="007F72E4" w:rsidRDefault="007D0D55" w:rsidP="007D0D55">
            <w:pPr>
              <w:pStyle w:val="SingleTxtG"/>
              <w:spacing w:line="240" w:lineRule="auto"/>
              <w:ind w:left="788" w:right="420" w:hanging="357"/>
              <w:rPr>
                <w:rFonts w:asciiTheme="majorBidi" w:hAnsiTheme="majorBidi" w:cstheme="majorBidi"/>
              </w:rPr>
            </w:pPr>
            <w:r w:rsidRPr="007F72E4">
              <w:rPr>
                <w:rFonts w:asciiTheme="majorBidi" w:hAnsiTheme="majorBidi" w:cstheme="majorBidi"/>
              </w:rPr>
              <w:t>3.</w:t>
            </w:r>
            <w:r w:rsidRPr="007F72E4">
              <w:rPr>
                <w:rFonts w:asciiTheme="majorBidi" w:hAnsiTheme="majorBidi" w:cstheme="majorBidi"/>
              </w:rPr>
              <w:tab/>
            </w:r>
            <w:r w:rsidR="000012B1" w:rsidRPr="00EC3562">
              <w:t xml:space="preserve">In line with question </w:t>
            </w:r>
            <w:r w:rsidR="00B22B3E">
              <w:t>2</w:t>
            </w:r>
            <w:r w:rsidR="000012B1" w:rsidRPr="00EC3562">
              <w:t xml:space="preserve"> from the energy transition topic, does the meaning of ‘climate’ under the Convention and Protocol need to be harmonized with the understanding under </w:t>
            </w:r>
            <w:r w:rsidR="00362D80">
              <w:t>other green financ</w:t>
            </w:r>
            <w:r w:rsidR="00E120EE">
              <w:t>e</w:t>
            </w:r>
            <w:r w:rsidR="00362D80">
              <w:t xml:space="preserve"> taxonomies</w:t>
            </w:r>
            <w:r w:rsidR="000012B1" w:rsidRPr="00EC3562">
              <w:t>?</w:t>
            </w:r>
          </w:p>
          <w:p w14:paraId="43C621E5" w14:textId="7FACA863" w:rsidR="00820E96" w:rsidRDefault="007D0D55" w:rsidP="007D0D55">
            <w:pPr>
              <w:pStyle w:val="SingleTxtG"/>
              <w:spacing w:line="240" w:lineRule="auto"/>
              <w:ind w:left="788" w:right="420" w:hanging="357"/>
              <w:rPr>
                <w:rFonts w:asciiTheme="majorBidi" w:hAnsiTheme="majorBidi" w:cstheme="majorBidi"/>
              </w:rPr>
            </w:pPr>
            <w:r>
              <w:rPr>
                <w:rFonts w:asciiTheme="majorBidi" w:hAnsiTheme="majorBidi" w:cstheme="majorBidi"/>
              </w:rPr>
              <w:t>4.</w:t>
            </w:r>
            <w:r>
              <w:rPr>
                <w:rFonts w:asciiTheme="majorBidi" w:hAnsiTheme="majorBidi" w:cstheme="majorBidi"/>
              </w:rPr>
              <w:tab/>
            </w:r>
            <w:r w:rsidR="00820E96">
              <w:rPr>
                <w:rFonts w:asciiTheme="majorBidi" w:hAnsiTheme="majorBidi" w:cstheme="majorBidi"/>
              </w:rPr>
              <w:t>What role can</w:t>
            </w:r>
            <w:r w:rsidR="009355C2">
              <w:rPr>
                <w:rFonts w:asciiTheme="majorBidi" w:hAnsiTheme="majorBidi" w:cstheme="majorBidi"/>
              </w:rPr>
              <w:t xml:space="preserve"> the Convention and the Protocol </w:t>
            </w:r>
            <w:r w:rsidR="001E1D64">
              <w:rPr>
                <w:rFonts w:asciiTheme="majorBidi" w:hAnsiTheme="majorBidi" w:cstheme="majorBidi"/>
              </w:rPr>
              <w:t xml:space="preserve">play </w:t>
            </w:r>
            <w:r w:rsidR="009355C2">
              <w:rPr>
                <w:rFonts w:asciiTheme="majorBidi" w:hAnsiTheme="majorBidi" w:cstheme="majorBidi"/>
              </w:rPr>
              <w:t xml:space="preserve">in assisting with </w:t>
            </w:r>
            <w:r w:rsidR="00820E96">
              <w:rPr>
                <w:rFonts w:asciiTheme="majorBidi" w:hAnsiTheme="majorBidi" w:cstheme="majorBidi"/>
              </w:rPr>
              <w:t>emerging sustainability reporting standards?</w:t>
            </w:r>
          </w:p>
          <w:p w14:paraId="34CA8705" w14:textId="7245ED47" w:rsidR="009355C2" w:rsidRPr="00F9298F" w:rsidRDefault="007D0D55" w:rsidP="007D0D55">
            <w:pPr>
              <w:pStyle w:val="SingleTxtG"/>
              <w:spacing w:line="240" w:lineRule="auto"/>
              <w:ind w:left="788" w:right="420" w:hanging="357"/>
              <w:rPr>
                <w:rFonts w:asciiTheme="majorBidi" w:hAnsiTheme="majorBidi" w:cstheme="majorBidi"/>
              </w:rPr>
            </w:pPr>
            <w:r w:rsidRPr="00F9298F">
              <w:rPr>
                <w:rFonts w:asciiTheme="majorBidi" w:hAnsiTheme="majorBidi" w:cstheme="majorBidi"/>
              </w:rPr>
              <w:t>5.</w:t>
            </w:r>
            <w:r w:rsidRPr="00F9298F">
              <w:rPr>
                <w:rFonts w:asciiTheme="majorBidi" w:hAnsiTheme="majorBidi" w:cstheme="majorBidi"/>
              </w:rPr>
              <w:tab/>
            </w:r>
            <w:r w:rsidR="00AB4DA6">
              <w:rPr>
                <w:rFonts w:asciiTheme="majorBidi" w:hAnsiTheme="majorBidi" w:cstheme="majorBidi"/>
              </w:rPr>
              <w:t>Is the concept of</w:t>
            </w:r>
            <w:r w:rsidR="00820E96">
              <w:rPr>
                <w:rFonts w:asciiTheme="majorBidi" w:hAnsiTheme="majorBidi" w:cstheme="majorBidi"/>
              </w:rPr>
              <w:t xml:space="preserve"> </w:t>
            </w:r>
            <w:r w:rsidR="009355C2">
              <w:rPr>
                <w:rFonts w:asciiTheme="majorBidi" w:hAnsiTheme="majorBidi" w:cstheme="majorBidi"/>
              </w:rPr>
              <w:t xml:space="preserve">double materiality </w:t>
            </w:r>
            <w:r w:rsidR="00820E96">
              <w:rPr>
                <w:rFonts w:asciiTheme="majorBidi" w:hAnsiTheme="majorBidi" w:cstheme="majorBidi"/>
              </w:rPr>
              <w:t xml:space="preserve">as </w:t>
            </w:r>
            <w:r w:rsidR="00F9158D">
              <w:rPr>
                <w:rFonts w:asciiTheme="majorBidi" w:hAnsiTheme="majorBidi" w:cstheme="majorBidi"/>
              </w:rPr>
              <w:t xml:space="preserve">embedded </w:t>
            </w:r>
            <w:r w:rsidR="009355C2">
              <w:rPr>
                <w:rFonts w:asciiTheme="majorBidi" w:hAnsiTheme="majorBidi" w:cstheme="majorBidi"/>
              </w:rPr>
              <w:t xml:space="preserve">in </w:t>
            </w:r>
            <w:r w:rsidR="00F9158D">
              <w:rPr>
                <w:rFonts w:asciiTheme="majorBidi" w:hAnsiTheme="majorBidi" w:cstheme="majorBidi"/>
              </w:rPr>
              <w:t xml:space="preserve">sustainability reporting </w:t>
            </w:r>
            <w:r w:rsidR="009355C2">
              <w:rPr>
                <w:rFonts w:asciiTheme="majorBidi" w:hAnsiTheme="majorBidi" w:cstheme="majorBidi"/>
              </w:rPr>
              <w:t>standards</w:t>
            </w:r>
            <w:r w:rsidR="00AB4DA6">
              <w:rPr>
                <w:rFonts w:asciiTheme="majorBidi" w:hAnsiTheme="majorBidi" w:cstheme="majorBidi"/>
              </w:rPr>
              <w:t xml:space="preserve"> relevant to transboundary </w:t>
            </w:r>
            <w:r w:rsidR="00A53066">
              <w:rPr>
                <w:rFonts w:asciiTheme="majorBidi" w:hAnsiTheme="majorBidi" w:cstheme="majorBidi"/>
              </w:rPr>
              <w:t>e</w:t>
            </w:r>
            <w:r w:rsidR="00AB4DA6">
              <w:rPr>
                <w:rFonts w:asciiTheme="majorBidi" w:hAnsiTheme="majorBidi" w:cstheme="majorBidi"/>
              </w:rPr>
              <w:t xml:space="preserve">nvironmental </w:t>
            </w:r>
            <w:r w:rsidR="00A53066">
              <w:rPr>
                <w:rFonts w:asciiTheme="majorBidi" w:hAnsiTheme="majorBidi" w:cstheme="majorBidi"/>
              </w:rPr>
              <w:t>i</w:t>
            </w:r>
            <w:r w:rsidR="00AB4DA6">
              <w:rPr>
                <w:rFonts w:asciiTheme="majorBidi" w:hAnsiTheme="majorBidi" w:cstheme="majorBidi"/>
              </w:rPr>
              <w:t xml:space="preserve">mpact </w:t>
            </w:r>
            <w:r w:rsidR="00A53066">
              <w:rPr>
                <w:rFonts w:asciiTheme="majorBidi" w:hAnsiTheme="majorBidi" w:cstheme="majorBidi"/>
              </w:rPr>
              <w:t>a</w:t>
            </w:r>
            <w:r w:rsidR="00AB4DA6">
              <w:rPr>
                <w:rFonts w:asciiTheme="majorBidi" w:hAnsiTheme="majorBidi" w:cstheme="majorBidi"/>
              </w:rPr>
              <w:t xml:space="preserve">ssessment conducted under the Convention, and </w:t>
            </w:r>
            <w:r w:rsidR="00A53066">
              <w:rPr>
                <w:rFonts w:asciiTheme="majorBidi" w:hAnsiTheme="majorBidi" w:cstheme="majorBidi"/>
              </w:rPr>
              <w:t>s</w:t>
            </w:r>
            <w:r w:rsidR="00AB4DA6">
              <w:rPr>
                <w:rFonts w:asciiTheme="majorBidi" w:hAnsiTheme="majorBidi" w:cstheme="majorBidi"/>
              </w:rPr>
              <w:t xml:space="preserve">trategic </w:t>
            </w:r>
            <w:r w:rsidR="00A53066">
              <w:rPr>
                <w:rFonts w:asciiTheme="majorBidi" w:hAnsiTheme="majorBidi" w:cstheme="majorBidi"/>
              </w:rPr>
              <w:t>e</w:t>
            </w:r>
            <w:r w:rsidR="00AB4DA6">
              <w:rPr>
                <w:rFonts w:asciiTheme="majorBidi" w:hAnsiTheme="majorBidi" w:cstheme="majorBidi"/>
              </w:rPr>
              <w:t xml:space="preserve">nvironmental </w:t>
            </w:r>
            <w:r w:rsidR="00A53066">
              <w:rPr>
                <w:rFonts w:asciiTheme="majorBidi" w:hAnsiTheme="majorBidi" w:cstheme="majorBidi"/>
              </w:rPr>
              <w:t>a</w:t>
            </w:r>
            <w:r w:rsidR="00AB4DA6">
              <w:rPr>
                <w:rFonts w:asciiTheme="majorBidi" w:hAnsiTheme="majorBidi" w:cstheme="majorBidi"/>
              </w:rPr>
              <w:t xml:space="preserve">ssessment conducted under the Protocol? If so, what can be done to improve the linkages between the operation of these instruments and sustainability </w:t>
            </w:r>
            <w:r w:rsidR="007E1A6B">
              <w:rPr>
                <w:rFonts w:asciiTheme="majorBidi" w:hAnsiTheme="majorBidi" w:cstheme="majorBidi"/>
              </w:rPr>
              <w:t>rep</w:t>
            </w:r>
            <w:r w:rsidR="00DA7073">
              <w:rPr>
                <w:rFonts w:asciiTheme="majorBidi" w:hAnsiTheme="majorBidi" w:cstheme="majorBidi"/>
              </w:rPr>
              <w:t xml:space="preserve">orting </w:t>
            </w:r>
            <w:r w:rsidR="00AB4DA6">
              <w:rPr>
                <w:rFonts w:asciiTheme="majorBidi" w:hAnsiTheme="majorBidi" w:cstheme="majorBidi"/>
              </w:rPr>
              <w:t>standards requirements?</w:t>
            </w:r>
          </w:p>
        </w:tc>
      </w:tr>
    </w:tbl>
    <w:p w14:paraId="38017583" w14:textId="1C594BA3" w:rsidR="00E1638C" w:rsidRDefault="00E1638C" w:rsidP="00116A68">
      <w:pPr>
        <w:pStyle w:val="HChG"/>
      </w:pPr>
      <w:r>
        <w:br w:type="page"/>
      </w:r>
    </w:p>
    <w:p w14:paraId="557B8685" w14:textId="00B1972E" w:rsidR="00753E26" w:rsidRDefault="00753E26" w:rsidP="00116A68">
      <w:pPr>
        <w:pStyle w:val="HChG"/>
      </w:pPr>
      <w:r w:rsidRPr="00F9298F">
        <w:lastRenderedPageBreak/>
        <w:t>Conclu</w:t>
      </w:r>
      <w:r w:rsidR="00E96FBE" w:rsidRPr="00F9298F">
        <w:t>sions</w:t>
      </w:r>
    </w:p>
    <w:p w14:paraId="73214C87" w14:textId="3717A26F" w:rsidR="00E96FBE" w:rsidRPr="00020911" w:rsidRDefault="00020911" w:rsidP="00116A68">
      <w:pPr>
        <w:pStyle w:val="SingleTxtG"/>
        <w:jc w:val="left"/>
      </w:pPr>
      <w:r w:rsidRPr="00020911">
        <w:t xml:space="preserve">Table 1. </w:t>
      </w:r>
      <w:r w:rsidR="00116A68">
        <w:br/>
      </w:r>
      <w:r w:rsidRPr="00116A68">
        <w:rPr>
          <w:b/>
          <w:bCs/>
        </w:rPr>
        <w:t xml:space="preserve">Summary of benefits, further potential and implementation challenges of the Convention and Protocol in relation to energy </w:t>
      </w:r>
      <w:r w:rsidR="006E7358" w:rsidRPr="00116A68">
        <w:rPr>
          <w:b/>
          <w:bCs/>
        </w:rPr>
        <w:t>transition</w:t>
      </w:r>
      <w:r w:rsidRPr="00116A68">
        <w:rPr>
          <w:b/>
          <w:bCs/>
        </w:rPr>
        <w:t xml:space="preserve">, </w:t>
      </w:r>
      <w:r w:rsidR="00EC3562" w:rsidRPr="00116A68">
        <w:rPr>
          <w:b/>
          <w:bCs/>
        </w:rPr>
        <w:t>circular economy</w:t>
      </w:r>
      <w:r w:rsidRPr="00116A68">
        <w:rPr>
          <w:b/>
          <w:bCs/>
        </w:rPr>
        <w:t xml:space="preserve"> and green financing</w:t>
      </w:r>
    </w:p>
    <w:tbl>
      <w:tblPr>
        <w:tblStyle w:val="TableGrid"/>
        <w:tblW w:w="9067" w:type="dxa"/>
        <w:tblCellMar>
          <w:left w:w="57" w:type="dxa"/>
          <w:right w:w="57" w:type="dxa"/>
        </w:tblCellMar>
        <w:tblLook w:val="04A0" w:firstRow="1" w:lastRow="0" w:firstColumn="1" w:lastColumn="0" w:noHBand="0" w:noVBand="1"/>
      </w:tblPr>
      <w:tblGrid>
        <w:gridCol w:w="1026"/>
        <w:gridCol w:w="2778"/>
        <w:gridCol w:w="2778"/>
        <w:gridCol w:w="2485"/>
      </w:tblGrid>
      <w:tr w:rsidR="00E1638C" w14:paraId="61DF77DB" w14:textId="77777777" w:rsidTr="00E1638C">
        <w:tc>
          <w:tcPr>
            <w:tcW w:w="1026" w:type="dxa"/>
          </w:tcPr>
          <w:p w14:paraId="3A28C6D0" w14:textId="77777777" w:rsidR="00E1638C" w:rsidRPr="00B40950" w:rsidRDefault="00E1638C" w:rsidP="001C7407">
            <w:pPr>
              <w:suppressAutoHyphens w:val="0"/>
              <w:spacing w:after="240" w:line="240" w:lineRule="auto"/>
              <w:jc w:val="both"/>
              <w:rPr>
                <w:rFonts w:asciiTheme="majorBidi" w:hAnsiTheme="majorBidi" w:cstheme="majorBidi"/>
                <w:b/>
              </w:rPr>
            </w:pPr>
            <w:r w:rsidRPr="00B40950">
              <w:rPr>
                <w:rFonts w:asciiTheme="majorBidi" w:hAnsiTheme="majorBidi" w:cstheme="majorBidi"/>
                <w:b/>
              </w:rPr>
              <w:t>Topic</w:t>
            </w:r>
          </w:p>
        </w:tc>
        <w:tc>
          <w:tcPr>
            <w:tcW w:w="2778" w:type="dxa"/>
          </w:tcPr>
          <w:p w14:paraId="495FF49A" w14:textId="77777777" w:rsidR="00E1638C" w:rsidRPr="00B40950" w:rsidRDefault="00E1638C" w:rsidP="001C7407">
            <w:pPr>
              <w:suppressAutoHyphens w:val="0"/>
              <w:spacing w:after="240" w:line="240" w:lineRule="auto"/>
              <w:jc w:val="center"/>
              <w:rPr>
                <w:rFonts w:asciiTheme="majorBidi" w:hAnsiTheme="majorBidi" w:cstheme="majorBidi"/>
                <w:b/>
              </w:rPr>
            </w:pPr>
            <w:r w:rsidRPr="00B40950">
              <w:rPr>
                <w:rFonts w:asciiTheme="majorBidi" w:hAnsiTheme="majorBidi" w:cstheme="majorBidi"/>
                <w:b/>
              </w:rPr>
              <w:t>Benefits of the Convention and Protocol</w:t>
            </w:r>
          </w:p>
        </w:tc>
        <w:tc>
          <w:tcPr>
            <w:tcW w:w="2778" w:type="dxa"/>
          </w:tcPr>
          <w:p w14:paraId="01378606" w14:textId="77777777" w:rsidR="00E1638C" w:rsidRPr="00B40950" w:rsidRDefault="00E1638C" w:rsidP="001C7407">
            <w:pPr>
              <w:suppressAutoHyphens w:val="0"/>
              <w:spacing w:after="240" w:line="240" w:lineRule="auto"/>
              <w:jc w:val="center"/>
              <w:rPr>
                <w:rFonts w:asciiTheme="majorBidi" w:hAnsiTheme="majorBidi" w:cstheme="majorBidi"/>
                <w:b/>
              </w:rPr>
            </w:pPr>
            <w:r w:rsidRPr="00B40950">
              <w:rPr>
                <w:rFonts w:asciiTheme="majorBidi" w:hAnsiTheme="majorBidi" w:cstheme="majorBidi"/>
                <w:b/>
              </w:rPr>
              <w:t>Further potential</w:t>
            </w:r>
          </w:p>
        </w:tc>
        <w:tc>
          <w:tcPr>
            <w:tcW w:w="2485" w:type="dxa"/>
          </w:tcPr>
          <w:p w14:paraId="4A1D51FF" w14:textId="77777777" w:rsidR="00E1638C" w:rsidRPr="00B40950" w:rsidRDefault="00E1638C" w:rsidP="001C7407">
            <w:pPr>
              <w:suppressAutoHyphens w:val="0"/>
              <w:spacing w:after="240" w:line="240" w:lineRule="auto"/>
              <w:jc w:val="center"/>
              <w:rPr>
                <w:rFonts w:asciiTheme="majorBidi" w:hAnsiTheme="majorBidi" w:cstheme="majorBidi"/>
                <w:b/>
              </w:rPr>
            </w:pPr>
            <w:r w:rsidRPr="00B40950">
              <w:rPr>
                <w:rFonts w:asciiTheme="majorBidi" w:hAnsiTheme="majorBidi" w:cstheme="majorBidi"/>
                <w:b/>
              </w:rPr>
              <w:t>Implementation challenges</w:t>
            </w:r>
          </w:p>
        </w:tc>
      </w:tr>
      <w:tr w:rsidR="00E1638C" w14:paraId="15CF584D" w14:textId="77777777" w:rsidTr="00E1638C">
        <w:tc>
          <w:tcPr>
            <w:tcW w:w="1026" w:type="dxa"/>
          </w:tcPr>
          <w:p w14:paraId="5505F828" w14:textId="77777777" w:rsidR="00E1638C" w:rsidRPr="00020911" w:rsidRDefault="00E1638C" w:rsidP="001C7407">
            <w:pPr>
              <w:suppressAutoHyphens w:val="0"/>
              <w:spacing w:after="240" w:line="240" w:lineRule="auto"/>
              <w:jc w:val="both"/>
              <w:rPr>
                <w:rFonts w:asciiTheme="majorBidi" w:hAnsiTheme="majorBidi" w:cstheme="majorBidi"/>
                <w:b/>
              </w:rPr>
            </w:pPr>
            <w:r w:rsidRPr="00020911">
              <w:rPr>
                <w:rFonts w:asciiTheme="majorBidi" w:hAnsiTheme="majorBidi" w:cstheme="majorBidi"/>
                <w:b/>
              </w:rPr>
              <w:t xml:space="preserve">Energy </w:t>
            </w:r>
            <w:r>
              <w:rPr>
                <w:rFonts w:asciiTheme="majorBidi" w:hAnsiTheme="majorBidi" w:cstheme="majorBidi"/>
                <w:b/>
              </w:rPr>
              <w:t>transition</w:t>
            </w:r>
          </w:p>
        </w:tc>
        <w:tc>
          <w:tcPr>
            <w:tcW w:w="2778" w:type="dxa"/>
          </w:tcPr>
          <w:p w14:paraId="610DEA13" w14:textId="77777777" w:rsidR="00E1638C" w:rsidRPr="00355C6A" w:rsidRDefault="00E1638C" w:rsidP="001C7407">
            <w:pPr>
              <w:pStyle w:val="ListParagraph"/>
              <w:numPr>
                <w:ilvl w:val="0"/>
                <w:numId w:val="24"/>
              </w:numPr>
              <w:spacing w:after="120" w:line="240" w:lineRule="auto"/>
              <w:ind w:left="113" w:hanging="113"/>
              <w:jc w:val="both"/>
              <w:rPr>
                <w:rFonts w:asciiTheme="majorBidi" w:hAnsiTheme="majorBidi" w:cstheme="majorBidi"/>
                <w:bCs/>
                <w:sz w:val="20"/>
                <w:szCs w:val="20"/>
                <w:lang w:val="en-GB"/>
              </w:rPr>
            </w:pPr>
            <w:r w:rsidRPr="00355C6A">
              <w:rPr>
                <w:rFonts w:asciiTheme="majorBidi" w:hAnsiTheme="majorBidi" w:cstheme="majorBidi"/>
                <w:bCs/>
                <w:sz w:val="20"/>
                <w:szCs w:val="20"/>
                <w:lang w:val="en-GB"/>
              </w:rPr>
              <w:t>Operational frameworks that cover energy transition plans, programmes and projects: data indicate that the Convention is playing an active role in securing transboundary consultations for renewable energy projects.</w:t>
            </w:r>
          </w:p>
          <w:p w14:paraId="6DD9C90B" w14:textId="77777777" w:rsidR="00E1638C" w:rsidRPr="00D92973" w:rsidRDefault="00E1638C" w:rsidP="001C7407">
            <w:pPr>
              <w:pStyle w:val="ListParagraph"/>
              <w:numPr>
                <w:ilvl w:val="0"/>
                <w:numId w:val="24"/>
              </w:numPr>
              <w:spacing w:after="120" w:line="240" w:lineRule="auto"/>
              <w:ind w:left="113" w:hanging="113"/>
              <w:jc w:val="both"/>
              <w:rPr>
                <w:rFonts w:asciiTheme="majorBidi" w:hAnsiTheme="majorBidi" w:cstheme="majorBidi"/>
                <w:bCs/>
                <w:sz w:val="20"/>
                <w:szCs w:val="20"/>
                <w:lang w:val="en-GB"/>
              </w:rPr>
            </w:pPr>
            <w:r w:rsidRPr="00355C6A">
              <w:rPr>
                <w:rFonts w:asciiTheme="majorBidi" w:hAnsiTheme="majorBidi" w:cstheme="majorBidi"/>
                <w:bCs/>
                <w:sz w:val="20"/>
                <w:szCs w:val="20"/>
                <w:lang w:val="en-GB"/>
              </w:rPr>
              <w:t xml:space="preserve">Comprehensive provisions for </w:t>
            </w:r>
            <w:r w:rsidRPr="00D92973">
              <w:rPr>
                <w:rFonts w:asciiTheme="majorBidi" w:hAnsiTheme="majorBidi" w:cstheme="majorBidi"/>
                <w:bCs/>
                <w:sz w:val="20"/>
                <w:szCs w:val="20"/>
                <w:lang w:val="en-GB"/>
              </w:rPr>
              <w:t>consultation and public participation exist, and there is associated guidance.</w:t>
            </w:r>
          </w:p>
          <w:p w14:paraId="5702ABA6" w14:textId="77777777" w:rsidR="00E1638C" w:rsidRDefault="00E1638C" w:rsidP="001C7407">
            <w:pPr>
              <w:pStyle w:val="ListParagraph"/>
              <w:numPr>
                <w:ilvl w:val="0"/>
                <w:numId w:val="24"/>
              </w:numPr>
              <w:spacing w:after="120" w:line="240" w:lineRule="auto"/>
              <w:ind w:left="113" w:hanging="113"/>
              <w:jc w:val="both"/>
              <w:rPr>
                <w:rFonts w:asciiTheme="majorBidi" w:hAnsiTheme="majorBidi" w:cstheme="majorBidi"/>
                <w:bCs/>
                <w:sz w:val="20"/>
                <w:szCs w:val="20"/>
                <w:lang w:val="en-GB"/>
              </w:rPr>
            </w:pPr>
            <w:r w:rsidRPr="00D92973">
              <w:rPr>
                <w:rFonts w:asciiTheme="majorBidi" w:hAnsiTheme="majorBidi" w:cstheme="majorBidi"/>
                <w:bCs/>
                <w:sz w:val="20"/>
                <w:szCs w:val="20"/>
                <w:lang w:val="en-GB"/>
              </w:rPr>
              <w:t>Strong emphasis on health (especially in the Protocol).</w:t>
            </w:r>
          </w:p>
          <w:p w14:paraId="1C7FD480" w14:textId="77777777" w:rsidR="00E1638C" w:rsidRPr="00D92973" w:rsidRDefault="00E1638C" w:rsidP="001C7407">
            <w:pPr>
              <w:pStyle w:val="ListParagraph"/>
              <w:numPr>
                <w:ilvl w:val="0"/>
                <w:numId w:val="24"/>
              </w:numPr>
              <w:spacing w:after="120" w:line="240" w:lineRule="auto"/>
              <w:ind w:left="113" w:hanging="113"/>
              <w:jc w:val="both"/>
              <w:rPr>
                <w:rFonts w:asciiTheme="majorBidi" w:hAnsiTheme="majorBidi" w:cstheme="majorBidi"/>
                <w:bCs/>
                <w:sz w:val="20"/>
                <w:szCs w:val="20"/>
                <w:lang w:val="en-GB"/>
              </w:rPr>
            </w:pPr>
            <w:r>
              <w:rPr>
                <w:rFonts w:asciiTheme="majorBidi" w:hAnsiTheme="majorBidi" w:cstheme="majorBidi"/>
                <w:bCs/>
                <w:sz w:val="20"/>
                <w:szCs w:val="20"/>
                <w:lang w:val="en-GB"/>
              </w:rPr>
              <w:t>Existence of bi- and multi-lateral implementation agreements provides an opportunity for efficient and effective implementation of best practices.</w:t>
            </w:r>
          </w:p>
        </w:tc>
        <w:tc>
          <w:tcPr>
            <w:tcW w:w="2778" w:type="dxa"/>
          </w:tcPr>
          <w:p w14:paraId="6F07FA21" w14:textId="77777777" w:rsidR="00E1638C" w:rsidRPr="001A2B82" w:rsidRDefault="00E1638C" w:rsidP="001C7407">
            <w:pPr>
              <w:pStyle w:val="ListParagraph"/>
              <w:numPr>
                <w:ilvl w:val="0"/>
                <w:numId w:val="23"/>
              </w:numPr>
              <w:spacing w:after="120" w:line="240" w:lineRule="auto"/>
              <w:ind w:left="141" w:hanging="113"/>
              <w:jc w:val="both"/>
              <w:rPr>
                <w:rFonts w:asciiTheme="majorBidi" w:hAnsiTheme="majorBidi" w:cstheme="majorBidi"/>
                <w:bCs/>
                <w:sz w:val="20"/>
                <w:szCs w:val="20"/>
                <w:lang w:val="en-GB"/>
              </w:rPr>
            </w:pPr>
            <w:r w:rsidRPr="00D92973">
              <w:rPr>
                <w:rFonts w:asciiTheme="majorBidi" w:hAnsiTheme="majorBidi" w:cstheme="majorBidi"/>
                <w:bCs/>
                <w:sz w:val="20"/>
                <w:szCs w:val="20"/>
                <w:lang w:val="en-GB"/>
              </w:rPr>
              <w:t xml:space="preserve">More detailed consideration of climate change: e.g., a requirement to address climate </w:t>
            </w:r>
            <w:r>
              <w:rPr>
                <w:rFonts w:asciiTheme="majorBidi" w:hAnsiTheme="majorBidi" w:cstheme="majorBidi"/>
                <w:bCs/>
                <w:sz w:val="20"/>
                <w:szCs w:val="20"/>
                <w:lang w:val="en-GB"/>
              </w:rPr>
              <w:t xml:space="preserve">resilience (including </w:t>
            </w:r>
            <w:r w:rsidRPr="00D92973">
              <w:rPr>
                <w:rFonts w:asciiTheme="majorBidi" w:hAnsiTheme="majorBidi" w:cstheme="majorBidi"/>
                <w:bCs/>
                <w:sz w:val="20"/>
                <w:szCs w:val="20"/>
                <w:lang w:val="en-GB"/>
              </w:rPr>
              <w:t>adaptation and vulnerability</w:t>
            </w:r>
            <w:r>
              <w:rPr>
                <w:rFonts w:asciiTheme="majorBidi" w:hAnsiTheme="majorBidi" w:cstheme="majorBidi"/>
                <w:bCs/>
                <w:sz w:val="20"/>
                <w:szCs w:val="20"/>
                <w:lang w:val="en-GB"/>
              </w:rPr>
              <w:t xml:space="preserve"> to climate change)</w:t>
            </w:r>
            <w:r w:rsidRPr="001A2B82">
              <w:rPr>
                <w:rFonts w:asciiTheme="majorBidi" w:hAnsiTheme="majorBidi" w:cstheme="majorBidi"/>
                <w:bCs/>
                <w:sz w:val="20"/>
                <w:szCs w:val="20"/>
                <w:lang w:val="en-GB"/>
              </w:rPr>
              <w:t>.</w:t>
            </w:r>
          </w:p>
          <w:p w14:paraId="2013B6B5" w14:textId="77777777" w:rsidR="00E1638C" w:rsidRPr="001A2B82" w:rsidRDefault="00E1638C" w:rsidP="001C7407">
            <w:pPr>
              <w:pStyle w:val="ListParagraph"/>
              <w:numPr>
                <w:ilvl w:val="0"/>
                <w:numId w:val="23"/>
              </w:numPr>
              <w:spacing w:after="120" w:line="240" w:lineRule="auto"/>
              <w:ind w:left="141" w:hanging="113"/>
              <w:jc w:val="both"/>
              <w:rPr>
                <w:rFonts w:asciiTheme="majorBidi" w:hAnsiTheme="majorBidi" w:cstheme="majorBidi"/>
                <w:bCs/>
                <w:sz w:val="20"/>
                <w:szCs w:val="20"/>
                <w:lang w:val="en-GB"/>
              </w:rPr>
            </w:pPr>
            <w:r>
              <w:rPr>
                <w:rFonts w:asciiTheme="majorBidi" w:hAnsiTheme="majorBidi" w:cstheme="majorBidi"/>
                <w:bCs/>
                <w:sz w:val="20"/>
                <w:szCs w:val="20"/>
                <w:lang w:val="en-GB"/>
              </w:rPr>
              <w:t>Quantification of</w:t>
            </w:r>
            <w:r w:rsidRPr="001A2B82">
              <w:rPr>
                <w:rFonts w:asciiTheme="majorBidi" w:hAnsiTheme="majorBidi" w:cstheme="majorBidi"/>
                <w:bCs/>
                <w:sz w:val="20"/>
                <w:szCs w:val="20"/>
                <w:lang w:val="en-GB"/>
              </w:rPr>
              <w:t xml:space="preserve"> direct and indirect transboundary carbon emissions (including Scope 3 emissions in particular).</w:t>
            </w:r>
          </w:p>
          <w:p w14:paraId="2F54F4D4" w14:textId="77777777" w:rsidR="00E1638C" w:rsidRPr="001A2B82" w:rsidRDefault="00E1638C" w:rsidP="001C7407">
            <w:pPr>
              <w:pStyle w:val="ListParagraph"/>
              <w:numPr>
                <w:ilvl w:val="0"/>
                <w:numId w:val="23"/>
              </w:numPr>
              <w:spacing w:after="120" w:line="240" w:lineRule="auto"/>
              <w:ind w:left="141"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Inclusion of compensation and offsetting measures, alongside mitigation measures (</w:t>
            </w:r>
            <w:r>
              <w:rPr>
                <w:rFonts w:asciiTheme="majorBidi" w:hAnsiTheme="majorBidi" w:cstheme="majorBidi"/>
                <w:bCs/>
                <w:sz w:val="20"/>
                <w:szCs w:val="20"/>
                <w:lang w:val="en-GB"/>
              </w:rPr>
              <w:t>e.g.</w:t>
            </w:r>
            <w:r w:rsidRPr="001A2B82">
              <w:rPr>
                <w:rFonts w:asciiTheme="majorBidi" w:hAnsiTheme="majorBidi" w:cstheme="majorBidi"/>
                <w:bCs/>
                <w:sz w:val="20"/>
                <w:szCs w:val="20"/>
                <w:lang w:val="en-GB"/>
              </w:rPr>
              <w:t>, in appendix II &amp; IV of the Convention).</w:t>
            </w:r>
          </w:p>
          <w:p w14:paraId="69412FE5" w14:textId="77777777" w:rsidR="00E1638C" w:rsidRPr="001A2B82" w:rsidRDefault="00E1638C" w:rsidP="001C7407">
            <w:pPr>
              <w:pStyle w:val="ListParagraph"/>
              <w:numPr>
                <w:ilvl w:val="0"/>
                <w:numId w:val="23"/>
              </w:numPr>
              <w:spacing w:after="120" w:line="240" w:lineRule="auto"/>
              <w:ind w:left="141" w:hanging="113"/>
              <w:jc w:val="both"/>
              <w:rPr>
                <w:rFonts w:asciiTheme="majorBidi" w:hAnsiTheme="majorBidi" w:cstheme="majorBidi"/>
                <w:bCs/>
                <w:sz w:val="20"/>
                <w:szCs w:val="20"/>
                <w:lang w:val="en-GB"/>
              </w:rPr>
            </w:pPr>
            <w:r>
              <w:rPr>
                <w:rFonts w:asciiTheme="majorBidi" w:hAnsiTheme="majorBidi" w:cstheme="majorBidi"/>
                <w:bCs/>
                <w:sz w:val="20"/>
                <w:szCs w:val="20"/>
                <w:lang w:val="en-GB"/>
              </w:rPr>
              <w:t>Faster, more focussed assessments</w:t>
            </w:r>
            <w:r w:rsidRPr="001A2B82">
              <w:rPr>
                <w:rFonts w:asciiTheme="majorBidi" w:hAnsiTheme="majorBidi" w:cstheme="majorBidi"/>
                <w:bCs/>
                <w:sz w:val="20"/>
                <w:szCs w:val="20"/>
                <w:lang w:val="en-GB"/>
              </w:rPr>
              <w:t xml:space="preserve"> to facilitate more timely transition planning and consent.</w:t>
            </w:r>
          </w:p>
          <w:p w14:paraId="04D75DF4" w14:textId="77777777" w:rsidR="00E1638C" w:rsidRPr="001A2B82" w:rsidRDefault="00E1638C" w:rsidP="001C7407">
            <w:pPr>
              <w:pStyle w:val="ListParagraph"/>
              <w:numPr>
                <w:ilvl w:val="0"/>
                <w:numId w:val="23"/>
              </w:numPr>
              <w:spacing w:after="120" w:line="240" w:lineRule="auto"/>
              <w:ind w:left="141"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 xml:space="preserve">Direct reference to SDG7 targets and indicators in consideration of impacts </w:t>
            </w:r>
            <w:r>
              <w:rPr>
                <w:rFonts w:asciiTheme="majorBidi" w:hAnsiTheme="majorBidi" w:cstheme="majorBidi"/>
                <w:bCs/>
                <w:sz w:val="20"/>
                <w:szCs w:val="20"/>
                <w:lang w:val="en-GB"/>
              </w:rPr>
              <w:t>when applying</w:t>
            </w:r>
            <w:r w:rsidRPr="001A2B82">
              <w:rPr>
                <w:rFonts w:asciiTheme="majorBidi" w:hAnsiTheme="majorBidi" w:cstheme="majorBidi"/>
                <w:bCs/>
                <w:sz w:val="20"/>
                <w:szCs w:val="20"/>
                <w:lang w:val="en-GB"/>
              </w:rPr>
              <w:t xml:space="preserve"> the Convention &amp; Protocol.</w:t>
            </w:r>
          </w:p>
        </w:tc>
        <w:tc>
          <w:tcPr>
            <w:tcW w:w="2485" w:type="dxa"/>
          </w:tcPr>
          <w:p w14:paraId="553C137C" w14:textId="77777777" w:rsidR="00E1638C" w:rsidRPr="001A2B82" w:rsidRDefault="00E1638C" w:rsidP="001C7407">
            <w:pPr>
              <w:pStyle w:val="ListParagraph"/>
              <w:numPr>
                <w:ilvl w:val="0"/>
                <w:numId w:val="23"/>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Political resistance to extending the factors to be considered under the Convention &amp; Protocol.</w:t>
            </w:r>
          </w:p>
          <w:p w14:paraId="7CC45E93" w14:textId="77777777" w:rsidR="00E1638C" w:rsidRPr="001A2B82" w:rsidRDefault="00E1638C" w:rsidP="001C7407">
            <w:pPr>
              <w:pStyle w:val="ListParagraph"/>
              <w:numPr>
                <w:ilvl w:val="0"/>
                <w:numId w:val="23"/>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Methodological challenges in quantifying indirect emissions.</w:t>
            </w:r>
          </w:p>
          <w:p w14:paraId="146D2823" w14:textId="77777777" w:rsidR="00E1638C" w:rsidRPr="001A2B82" w:rsidRDefault="00E1638C" w:rsidP="001C7407">
            <w:pPr>
              <w:pStyle w:val="ListParagraph"/>
              <w:numPr>
                <w:ilvl w:val="0"/>
                <w:numId w:val="23"/>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Capacity development requirements to ensure adequate practice.</w:t>
            </w:r>
          </w:p>
          <w:p w14:paraId="3AA98E92" w14:textId="77777777" w:rsidR="00E1638C" w:rsidRPr="001A2B82" w:rsidRDefault="00E1638C" w:rsidP="001C7407">
            <w:pPr>
              <w:pStyle w:val="ListParagraph"/>
              <w:numPr>
                <w:ilvl w:val="0"/>
                <w:numId w:val="23"/>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Fast pace of related policy change (e.g., overlapping requirements for green finance and circular economy, Kyoto Protocol implications for countries, etc.).</w:t>
            </w:r>
          </w:p>
        </w:tc>
      </w:tr>
      <w:tr w:rsidR="00E1638C" w14:paraId="75899C56" w14:textId="77777777" w:rsidTr="00E1638C">
        <w:tc>
          <w:tcPr>
            <w:tcW w:w="1026" w:type="dxa"/>
          </w:tcPr>
          <w:p w14:paraId="4E7B2C9B" w14:textId="77777777" w:rsidR="00E1638C" w:rsidRPr="00020911" w:rsidRDefault="00E1638C" w:rsidP="001C7407">
            <w:pPr>
              <w:suppressAutoHyphens w:val="0"/>
              <w:spacing w:after="240" w:line="240" w:lineRule="auto"/>
              <w:jc w:val="both"/>
              <w:rPr>
                <w:rFonts w:asciiTheme="majorBidi" w:hAnsiTheme="majorBidi" w:cstheme="majorBidi"/>
                <w:b/>
              </w:rPr>
            </w:pPr>
            <w:r w:rsidRPr="00020911">
              <w:rPr>
                <w:rFonts w:asciiTheme="majorBidi" w:hAnsiTheme="majorBidi" w:cstheme="majorBidi"/>
                <w:b/>
              </w:rPr>
              <w:t>Circular economy</w:t>
            </w:r>
          </w:p>
        </w:tc>
        <w:tc>
          <w:tcPr>
            <w:tcW w:w="2778" w:type="dxa"/>
          </w:tcPr>
          <w:p w14:paraId="666B1DB5" w14:textId="77777777" w:rsidR="00E1638C" w:rsidRPr="001A2B82" w:rsidRDefault="00E1638C" w:rsidP="001C7407">
            <w:pPr>
              <w:pStyle w:val="ListParagraph"/>
              <w:numPr>
                <w:ilvl w:val="0"/>
                <w:numId w:val="25"/>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 xml:space="preserve">Convention and Protocol already embedded vertically and horizontally in State Parties – clear pathway exists to influence development of circular economy in plans, programmes and projects. </w:t>
            </w:r>
          </w:p>
          <w:p w14:paraId="365F9C12" w14:textId="77777777" w:rsidR="00E1638C" w:rsidRPr="001A2B82" w:rsidRDefault="00E1638C" w:rsidP="001C7407">
            <w:pPr>
              <w:pStyle w:val="ListParagraph"/>
              <w:numPr>
                <w:ilvl w:val="0"/>
                <w:numId w:val="25"/>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Comprehensive provisions for consultation and public participation, and associated guidance all help to deliver the necessary civil society involvement.</w:t>
            </w:r>
          </w:p>
          <w:p w14:paraId="0CF326EC" w14:textId="77777777" w:rsidR="00E1638C" w:rsidRPr="001A2B82" w:rsidRDefault="00E1638C" w:rsidP="001C7407">
            <w:pPr>
              <w:pStyle w:val="ListParagraph"/>
              <w:numPr>
                <w:ilvl w:val="0"/>
                <w:numId w:val="25"/>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WHO recogni</w:t>
            </w:r>
            <w:r>
              <w:rPr>
                <w:rFonts w:asciiTheme="majorBidi" w:hAnsiTheme="majorBidi" w:cstheme="majorBidi"/>
                <w:bCs/>
                <w:sz w:val="20"/>
                <w:szCs w:val="20"/>
                <w:lang w:val="en-GB"/>
              </w:rPr>
              <w:t>z</w:t>
            </w:r>
            <w:r w:rsidRPr="001A2B82">
              <w:rPr>
                <w:rFonts w:asciiTheme="majorBidi" w:hAnsiTheme="majorBidi" w:cstheme="majorBidi"/>
                <w:bCs/>
                <w:sz w:val="20"/>
                <w:szCs w:val="20"/>
                <w:lang w:val="en-GB"/>
              </w:rPr>
              <w:t>e</w:t>
            </w:r>
            <w:r>
              <w:rPr>
                <w:rFonts w:asciiTheme="majorBidi" w:hAnsiTheme="majorBidi" w:cstheme="majorBidi"/>
                <w:bCs/>
                <w:sz w:val="20"/>
                <w:szCs w:val="20"/>
                <w:lang w:val="en-GB"/>
              </w:rPr>
              <w:t>s</w:t>
            </w:r>
            <w:r w:rsidRPr="001A2B82">
              <w:rPr>
                <w:rFonts w:asciiTheme="majorBidi" w:hAnsiTheme="majorBidi" w:cstheme="majorBidi"/>
                <w:bCs/>
                <w:sz w:val="20"/>
                <w:szCs w:val="20"/>
                <w:lang w:val="en-GB"/>
              </w:rPr>
              <w:t xml:space="preserve"> role of </w:t>
            </w:r>
            <w:r>
              <w:rPr>
                <w:rFonts w:asciiTheme="majorBidi" w:hAnsiTheme="majorBidi" w:cstheme="majorBidi"/>
                <w:bCs/>
                <w:sz w:val="20"/>
                <w:szCs w:val="20"/>
                <w:lang w:val="en-GB"/>
              </w:rPr>
              <w:t>e</w:t>
            </w:r>
            <w:r w:rsidRPr="001A2B82">
              <w:rPr>
                <w:rFonts w:asciiTheme="majorBidi" w:hAnsiTheme="majorBidi" w:cstheme="majorBidi"/>
                <w:bCs/>
                <w:sz w:val="20"/>
                <w:szCs w:val="20"/>
                <w:lang w:val="en-GB"/>
              </w:rPr>
              <w:t xml:space="preserve">nvironmental </w:t>
            </w:r>
            <w:r>
              <w:rPr>
                <w:rFonts w:asciiTheme="majorBidi" w:hAnsiTheme="majorBidi" w:cstheme="majorBidi"/>
                <w:bCs/>
                <w:sz w:val="20"/>
                <w:szCs w:val="20"/>
                <w:lang w:val="en-GB"/>
              </w:rPr>
              <w:t>i</w:t>
            </w:r>
            <w:r w:rsidRPr="001A2B82">
              <w:rPr>
                <w:rFonts w:asciiTheme="majorBidi" w:hAnsiTheme="majorBidi" w:cstheme="majorBidi"/>
                <w:bCs/>
                <w:sz w:val="20"/>
                <w:szCs w:val="20"/>
                <w:lang w:val="en-GB"/>
              </w:rPr>
              <w:t xml:space="preserve">mpact </w:t>
            </w:r>
            <w:r>
              <w:rPr>
                <w:rFonts w:asciiTheme="majorBidi" w:hAnsiTheme="majorBidi" w:cstheme="majorBidi"/>
                <w:bCs/>
                <w:sz w:val="20"/>
                <w:szCs w:val="20"/>
                <w:lang w:val="en-GB"/>
              </w:rPr>
              <w:t>a</w:t>
            </w:r>
            <w:r w:rsidRPr="001A2B82">
              <w:rPr>
                <w:rFonts w:asciiTheme="majorBidi" w:hAnsiTheme="majorBidi" w:cstheme="majorBidi"/>
                <w:bCs/>
                <w:sz w:val="20"/>
                <w:szCs w:val="20"/>
                <w:lang w:val="en-GB"/>
              </w:rPr>
              <w:t xml:space="preserve">ssessment and </w:t>
            </w:r>
            <w:r>
              <w:rPr>
                <w:rFonts w:asciiTheme="majorBidi" w:hAnsiTheme="majorBidi" w:cstheme="majorBidi"/>
                <w:bCs/>
                <w:sz w:val="20"/>
                <w:szCs w:val="20"/>
                <w:lang w:val="en-GB"/>
              </w:rPr>
              <w:t>s</w:t>
            </w:r>
            <w:r w:rsidRPr="001A2B82">
              <w:rPr>
                <w:rFonts w:asciiTheme="majorBidi" w:hAnsiTheme="majorBidi" w:cstheme="majorBidi"/>
                <w:bCs/>
                <w:sz w:val="20"/>
                <w:szCs w:val="20"/>
                <w:lang w:val="en-GB"/>
              </w:rPr>
              <w:t xml:space="preserve">trategic </w:t>
            </w:r>
            <w:r>
              <w:rPr>
                <w:rFonts w:asciiTheme="majorBidi" w:hAnsiTheme="majorBidi" w:cstheme="majorBidi"/>
                <w:bCs/>
                <w:sz w:val="20"/>
                <w:szCs w:val="20"/>
                <w:lang w:val="en-GB"/>
              </w:rPr>
              <w:t>e</w:t>
            </w:r>
            <w:r w:rsidRPr="001A2B82">
              <w:rPr>
                <w:rFonts w:asciiTheme="majorBidi" w:hAnsiTheme="majorBidi" w:cstheme="majorBidi"/>
                <w:bCs/>
                <w:sz w:val="20"/>
                <w:szCs w:val="20"/>
                <w:lang w:val="en-GB"/>
              </w:rPr>
              <w:t xml:space="preserve">nvironmental </w:t>
            </w:r>
            <w:r>
              <w:rPr>
                <w:rFonts w:asciiTheme="majorBidi" w:hAnsiTheme="majorBidi" w:cstheme="majorBidi"/>
                <w:bCs/>
                <w:sz w:val="20"/>
                <w:szCs w:val="20"/>
                <w:lang w:val="en-GB"/>
              </w:rPr>
              <w:t>a</w:t>
            </w:r>
            <w:r w:rsidRPr="001A2B82">
              <w:rPr>
                <w:rFonts w:asciiTheme="majorBidi" w:hAnsiTheme="majorBidi" w:cstheme="majorBidi"/>
                <w:bCs/>
                <w:sz w:val="20"/>
                <w:szCs w:val="20"/>
                <w:lang w:val="en-GB"/>
              </w:rPr>
              <w:t>ssessment in delivering health opportunities through circular economy.</w:t>
            </w:r>
          </w:p>
          <w:p w14:paraId="6728F10A" w14:textId="77777777" w:rsidR="00E1638C" w:rsidRPr="001A2B82" w:rsidRDefault="00E1638C" w:rsidP="001C7407">
            <w:pPr>
              <w:pStyle w:val="ListParagraph"/>
              <w:numPr>
                <w:ilvl w:val="0"/>
                <w:numId w:val="25"/>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 xml:space="preserve">Convention and Protocol already require assessments of impacts on a broad range of environmental components, and health, which are fundamental to delivering three key circular economy principles. </w:t>
            </w:r>
          </w:p>
        </w:tc>
        <w:tc>
          <w:tcPr>
            <w:tcW w:w="2778" w:type="dxa"/>
          </w:tcPr>
          <w:p w14:paraId="28B40D83" w14:textId="77777777" w:rsidR="00E1638C" w:rsidRPr="001A2B82" w:rsidRDefault="00E1638C" w:rsidP="001C7407">
            <w:pPr>
              <w:pStyle w:val="ListParagraph"/>
              <w:numPr>
                <w:ilvl w:val="0"/>
                <w:numId w:val="25"/>
              </w:numPr>
              <w:spacing w:after="120" w:line="240" w:lineRule="auto"/>
              <w:ind w:left="113" w:hanging="113"/>
              <w:jc w:val="both"/>
              <w:rPr>
                <w:rFonts w:asciiTheme="majorBidi" w:hAnsiTheme="majorBidi" w:cstheme="majorBidi"/>
                <w:bCs/>
                <w:sz w:val="20"/>
                <w:szCs w:val="20"/>
                <w:lang w:val="en-GB"/>
              </w:rPr>
            </w:pPr>
            <w:r>
              <w:rPr>
                <w:rFonts w:asciiTheme="majorBidi" w:hAnsiTheme="majorBidi" w:cstheme="majorBidi"/>
                <w:bCs/>
                <w:sz w:val="20"/>
                <w:szCs w:val="20"/>
                <w:lang w:val="en-GB"/>
              </w:rPr>
              <w:t>Evaluation of</w:t>
            </w:r>
            <w:r w:rsidRPr="001A2B82">
              <w:rPr>
                <w:rFonts w:asciiTheme="majorBidi" w:hAnsiTheme="majorBidi" w:cstheme="majorBidi"/>
                <w:bCs/>
                <w:sz w:val="20"/>
                <w:szCs w:val="20"/>
                <w:lang w:val="en-GB"/>
              </w:rPr>
              <w:t xml:space="preserve"> circularity of proposed plans, programmes and/or projects to ensure maximum carbon reductions.</w:t>
            </w:r>
          </w:p>
          <w:p w14:paraId="1E771E41" w14:textId="77777777" w:rsidR="00E1638C" w:rsidRPr="00355C6A" w:rsidRDefault="00E1638C" w:rsidP="001C7407">
            <w:pPr>
              <w:pStyle w:val="ListParagraph"/>
              <w:numPr>
                <w:ilvl w:val="0"/>
                <w:numId w:val="25"/>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More consideration of circularity opportunities across borders (especially using transboundary provisions of Convention).</w:t>
            </w:r>
          </w:p>
          <w:p w14:paraId="5AD057E9" w14:textId="77777777" w:rsidR="00E1638C" w:rsidRPr="001A2B82" w:rsidRDefault="00E1638C" w:rsidP="001C7407">
            <w:pPr>
              <w:pStyle w:val="ListParagraph"/>
              <w:numPr>
                <w:ilvl w:val="0"/>
                <w:numId w:val="25"/>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 xml:space="preserve">Opportunity to deliver more consistent </w:t>
            </w:r>
            <w:r>
              <w:rPr>
                <w:rFonts w:asciiTheme="majorBidi" w:hAnsiTheme="majorBidi" w:cstheme="majorBidi"/>
                <w:bCs/>
                <w:sz w:val="20"/>
                <w:szCs w:val="20"/>
                <w:lang w:val="en-GB"/>
              </w:rPr>
              <w:t xml:space="preserve">and timely </w:t>
            </w:r>
            <w:r w:rsidRPr="001A2B82">
              <w:rPr>
                <w:rFonts w:asciiTheme="majorBidi" w:hAnsiTheme="majorBidi" w:cstheme="majorBidi"/>
                <w:bCs/>
                <w:sz w:val="20"/>
                <w:szCs w:val="20"/>
                <w:lang w:val="en-GB"/>
              </w:rPr>
              <w:t>adoption of circular economy principles across Parties.</w:t>
            </w:r>
          </w:p>
          <w:p w14:paraId="05C97D9C" w14:textId="77777777" w:rsidR="00E1638C" w:rsidRPr="00AB4DA6" w:rsidRDefault="00E1638C" w:rsidP="001C7407">
            <w:pPr>
              <w:pStyle w:val="ListParagraph"/>
              <w:numPr>
                <w:ilvl w:val="0"/>
                <w:numId w:val="25"/>
              </w:numPr>
              <w:spacing w:after="120" w:line="240" w:lineRule="auto"/>
              <w:ind w:left="113" w:hanging="113"/>
              <w:jc w:val="both"/>
              <w:rPr>
                <w:rFonts w:asciiTheme="majorBidi" w:hAnsiTheme="majorBidi" w:cstheme="majorBidi"/>
                <w:bCs/>
                <w:sz w:val="20"/>
                <w:szCs w:val="20"/>
                <w:lang w:val="en-GB"/>
              </w:rPr>
            </w:pPr>
            <w:r w:rsidRPr="00355C6A">
              <w:rPr>
                <w:rFonts w:asciiTheme="majorBidi" w:hAnsiTheme="majorBidi" w:cstheme="majorBidi"/>
                <w:bCs/>
                <w:sz w:val="20"/>
                <w:szCs w:val="20"/>
                <w:lang w:val="en-GB"/>
              </w:rPr>
              <w:t xml:space="preserve">Potential to change the mindset over </w:t>
            </w:r>
            <w:r w:rsidRPr="00AB4DA6">
              <w:rPr>
                <w:rFonts w:asciiTheme="majorBidi" w:hAnsiTheme="majorBidi" w:cstheme="majorBidi"/>
                <w:bCs/>
                <w:sz w:val="20"/>
                <w:szCs w:val="20"/>
                <w:lang w:val="en-GB"/>
              </w:rPr>
              <w:t>linear models of development to them being an action of last resort.</w:t>
            </w:r>
          </w:p>
          <w:p w14:paraId="1DE475BB" w14:textId="77777777" w:rsidR="00E1638C" w:rsidRPr="00355C6A" w:rsidRDefault="00E1638C" w:rsidP="001C7407">
            <w:pPr>
              <w:pStyle w:val="ListParagraph"/>
              <w:numPr>
                <w:ilvl w:val="0"/>
                <w:numId w:val="25"/>
              </w:numPr>
              <w:spacing w:after="120" w:line="240" w:lineRule="auto"/>
              <w:ind w:left="113" w:hanging="113"/>
              <w:jc w:val="both"/>
              <w:rPr>
                <w:rFonts w:asciiTheme="majorBidi" w:hAnsiTheme="majorBidi" w:cstheme="majorBidi"/>
                <w:bCs/>
                <w:sz w:val="20"/>
                <w:szCs w:val="20"/>
                <w:lang w:val="en-GB"/>
              </w:rPr>
            </w:pPr>
            <w:r w:rsidRPr="00AB4DA6">
              <w:rPr>
                <w:rFonts w:asciiTheme="majorBidi" w:hAnsiTheme="majorBidi" w:cstheme="majorBidi"/>
                <w:bCs/>
                <w:sz w:val="20"/>
                <w:szCs w:val="20"/>
                <w:lang w:val="en-GB"/>
              </w:rPr>
              <w:t>Double materiality requirements of sustainability reporting standards (see green financing) has potential for identifying circularity opportunities associated with financial risks to businesses.</w:t>
            </w:r>
          </w:p>
        </w:tc>
        <w:tc>
          <w:tcPr>
            <w:tcW w:w="2485" w:type="dxa"/>
          </w:tcPr>
          <w:p w14:paraId="60855947" w14:textId="77777777" w:rsidR="00E1638C" w:rsidRPr="001A2B82" w:rsidRDefault="00E1638C" w:rsidP="001C7407">
            <w:pPr>
              <w:pStyle w:val="ListParagraph"/>
              <w:numPr>
                <w:ilvl w:val="0"/>
                <w:numId w:val="23"/>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Uneven progress towards development of circular economy in Parties and future Parties could lead to political resistance to a more formal mandate.</w:t>
            </w:r>
          </w:p>
          <w:p w14:paraId="76BEEA88" w14:textId="77777777" w:rsidR="00E1638C" w:rsidRPr="001A2B82" w:rsidRDefault="00E1638C" w:rsidP="001C7407">
            <w:pPr>
              <w:pStyle w:val="ListParagraph"/>
              <w:numPr>
                <w:ilvl w:val="0"/>
                <w:numId w:val="23"/>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Scope 3 emissions certification system would potentially need to be agreed.</w:t>
            </w:r>
          </w:p>
          <w:p w14:paraId="15385945" w14:textId="77777777" w:rsidR="00E1638C" w:rsidRPr="001A2B82" w:rsidRDefault="00E1638C" w:rsidP="001C7407">
            <w:pPr>
              <w:pStyle w:val="ListParagraph"/>
              <w:numPr>
                <w:ilvl w:val="0"/>
                <w:numId w:val="23"/>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Arguments over the short-term cost implications of moving towards a circular economy threatening the achievement of energy transition target deadlines.</w:t>
            </w:r>
          </w:p>
          <w:p w14:paraId="2DC57B44" w14:textId="77777777" w:rsidR="00E1638C" w:rsidRPr="001A2B82" w:rsidRDefault="00E1638C" w:rsidP="001C7407">
            <w:pPr>
              <w:pStyle w:val="ListParagraph"/>
              <w:numPr>
                <w:ilvl w:val="0"/>
                <w:numId w:val="23"/>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 xml:space="preserve">Lack of experience in embedding circular economy principles into </w:t>
            </w:r>
            <w:r>
              <w:rPr>
                <w:rFonts w:asciiTheme="majorBidi" w:hAnsiTheme="majorBidi" w:cstheme="majorBidi"/>
                <w:bCs/>
                <w:sz w:val="20"/>
                <w:szCs w:val="20"/>
                <w:lang w:val="en-GB"/>
              </w:rPr>
              <w:t>e</w:t>
            </w:r>
            <w:r w:rsidRPr="001A2B82">
              <w:rPr>
                <w:rFonts w:asciiTheme="majorBidi" w:hAnsiTheme="majorBidi" w:cstheme="majorBidi"/>
                <w:bCs/>
                <w:sz w:val="20"/>
                <w:szCs w:val="20"/>
                <w:lang w:val="en-GB"/>
              </w:rPr>
              <w:t xml:space="preserve">nvironmental </w:t>
            </w:r>
            <w:r>
              <w:rPr>
                <w:rFonts w:asciiTheme="majorBidi" w:hAnsiTheme="majorBidi" w:cstheme="majorBidi"/>
                <w:bCs/>
                <w:sz w:val="20"/>
                <w:szCs w:val="20"/>
                <w:lang w:val="en-GB"/>
              </w:rPr>
              <w:t>i</w:t>
            </w:r>
            <w:r w:rsidRPr="001A2B82">
              <w:rPr>
                <w:rFonts w:asciiTheme="majorBidi" w:hAnsiTheme="majorBidi" w:cstheme="majorBidi"/>
                <w:bCs/>
                <w:sz w:val="20"/>
                <w:szCs w:val="20"/>
                <w:lang w:val="en-GB"/>
              </w:rPr>
              <w:t xml:space="preserve">mpact </w:t>
            </w:r>
            <w:r>
              <w:rPr>
                <w:rFonts w:asciiTheme="majorBidi" w:hAnsiTheme="majorBidi" w:cstheme="majorBidi"/>
                <w:bCs/>
                <w:sz w:val="20"/>
                <w:szCs w:val="20"/>
                <w:lang w:val="en-GB"/>
              </w:rPr>
              <w:t>a</w:t>
            </w:r>
            <w:r w:rsidRPr="001A2B82">
              <w:rPr>
                <w:rFonts w:asciiTheme="majorBidi" w:hAnsiTheme="majorBidi" w:cstheme="majorBidi"/>
                <w:bCs/>
                <w:sz w:val="20"/>
                <w:szCs w:val="20"/>
                <w:lang w:val="en-GB"/>
              </w:rPr>
              <w:t xml:space="preserve">ssessment and </w:t>
            </w:r>
            <w:r>
              <w:rPr>
                <w:rFonts w:asciiTheme="majorBidi" w:hAnsiTheme="majorBidi" w:cstheme="majorBidi"/>
                <w:bCs/>
                <w:sz w:val="20"/>
                <w:szCs w:val="20"/>
                <w:lang w:val="en-GB"/>
              </w:rPr>
              <w:t>s</w:t>
            </w:r>
            <w:r w:rsidRPr="001A2B82">
              <w:rPr>
                <w:rFonts w:asciiTheme="majorBidi" w:hAnsiTheme="majorBidi" w:cstheme="majorBidi"/>
                <w:bCs/>
                <w:sz w:val="20"/>
                <w:szCs w:val="20"/>
                <w:lang w:val="en-GB"/>
              </w:rPr>
              <w:t xml:space="preserve">trategic </w:t>
            </w:r>
            <w:r>
              <w:rPr>
                <w:rFonts w:asciiTheme="majorBidi" w:hAnsiTheme="majorBidi" w:cstheme="majorBidi"/>
                <w:bCs/>
                <w:sz w:val="20"/>
                <w:szCs w:val="20"/>
                <w:lang w:val="en-GB"/>
              </w:rPr>
              <w:t>e</w:t>
            </w:r>
            <w:r w:rsidRPr="001A2B82">
              <w:rPr>
                <w:rFonts w:asciiTheme="majorBidi" w:hAnsiTheme="majorBidi" w:cstheme="majorBidi"/>
                <w:bCs/>
                <w:sz w:val="20"/>
                <w:szCs w:val="20"/>
                <w:lang w:val="en-GB"/>
              </w:rPr>
              <w:t xml:space="preserve">nvironmental </w:t>
            </w:r>
            <w:r>
              <w:rPr>
                <w:rFonts w:asciiTheme="majorBidi" w:hAnsiTheme="majorBidi" w:cstheme="majorBidi"/>
                <w:bCs/>
                <w:sz w:val="20"/>
                <w:szCs w:val="20"/>
                <w:lang w:val="en-GB"/>
              </w:rPr>
              <w:t>a</w:t>
            </w:r>
            <w:r w:rsidRPr="001A2B82">
              <w:rPr>
                <w:rFonts w:asciiTheme="majorBidi" w:hAnsiTheme="majorBidi" w:cstheme="majorBidi"/>
                <w:bCs/>
                <w:sz w:val="20"/>
                <w:szCs w:val="20"/>
                <w:lang w:val="en-GB"/>
              </w:rPr>
              <w:t>ssessment.</w:t>
            </w:r>
          </w:p>
          <w:p w14:paraId="0C16B952" w14:textId="77777777" w:rsidR="00E1638C" w:rsidRPr="001A2B82" w:rsidRDefault="00E1638C" w:rsidP="001C7407">
            <w:pPr>
              <w:pStyle w:val="ListParagraph"/>
              <w:numPr>
                <w:ilvl w:val="0"/>
                <w:numId w:val="23"/>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 xml:space="preserve">Lack of current supply chain solutions for delivering the circular economy. </w:t>
            </w:r>
          </w:p>
          <w:p w14:paraId="5ED03B8E" w14:textId="77777777" w:rsidR="00E1638C" w:rsidRPr="001A2B82" w:rsidRDefault="00E1638C" w:rsidP="001C7407">
            <w:pPr>
              <w:suppressAutoHyphens w:val="0"/>
              <w:spacing w:after="120" w:line="240" w:lineRule="auto"/>
              <w:jc w:val="both"/>
              <w:rPr>
                <w:rFonts w:asciiTheme="majorBidi" w:hAnsiTheme="majorBidi" w:cstheme="majorBidi"/>
                <w:bCs/>
              </w:rPr>
            </w:pPr>
          </w:p>
        </w:tc>
      </w:tr>
      <w:tr w:rsidR="00E1638C" w14:paraId="69D73E34" w14:textId="77777777" w:rsidTr="00E1638C">
        <w:tc>
          <w:tcPr>
            <w:tcW w:w="1026" w:type="dxa"/>
          </w:tcPr>
          <w:p w14:paraId="3B3F82B5" w14:textId="77777777" w:rsidR="00E1638C" w:rsidRPr="00020911" w:rsidRDefault="00E1638C" w:rsidP="001C7407">
            <w:pPr>
              <w:suppressAutoHyphens w:val="0"/>
              <w:spacing w:after="240" w:line="240" w:lineRule="auto"/>
              <w:jc w:val="both"/>
              <w:rPr>
                <w:rFonts w:asciiTheme="majorBidi" w:hAnsiTheme="majorBidi" w:cstheme="majorBidi"/>
                <w:b/>
              </w:rPr>
            </w:pPr>
            <w:r w:rsidRPr="00020911">
              <w:rPr>
                <w:rFonts w:asciiTheme="majorBidi" w:hAnsiTheme="majorBidi" w:cstheme="majorBidi"/>
                <w:b/>
              </w:rPr>
              <w:lastRenderedPageBreak/>
              <w:t>Green financing</w:t>
            </w:r>
          </w:p>
        </w:tc>
        <w:tc>
          <w:tcPr>
            <w:tcW w:w="2778" w:type="dxa"/>
          </w:tcPr>
          <w:p w14:paraId="0E863026" w14:textId="77777777" w:rsidR="00E1638C" w:rsidRPr="001A2B82" w:rsidRDefault="00E1638C" w:rsidP="001C7407">
            <w:pPr>
              <w:pStyle w:val="ListParagraph"/>
              <w:numPr>
                <w:ilvl w:val="0"/>
                <w:numId w:val="26"/>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 xml:space="preserve">Transboundary </w:t>
            </w:r>
            <w:r>
              <w:rPr>
                <w:rFonts w:asciiTheme="majorBidi" w:hAnsiTheme="majorBidi" w:cstheme="majorBidi"/>
                <w:bCs/>
                <w:sz w:val="20"/>
                <w:szCs w:val="20"/>
                <w:lang w:val="en-GB"/>
              </w:rPr>
              <w:t>e</w:t>
            </w:r>
            <w:r w:rsidRPr="001A2B82">
              <w:rPr>
                <w:rFonts w:asciiTheme="majorBidi" w:hAnsiTheme="majorBidi" w:cstheme="majorBidi"/>
                <w:bCs/>
                <w:sz w:val="20"/>
                <w:szCs w:val="20"/>
                <w:lang w:val="en-GB"/>
              </w:rPr>
              <w:t xml:space="preserve">nvironmental </w:t>
            </w:r>
            <w:r>
              <w:rPr>
                <w:rFonts w:asciiTheme="majorBidi" w:hAnsiTheme="majorBidi" w:cstheme="majorBidi"/>
                <w:bCs/>
                <w:sz w:val="20"/>
                <w:szCs w:val="20"/>
                <w:lang w:val="en-GB"/>
              </w:rPr>
              <w:t>i</w:t>
            </w:r>
            <w:r w:rsidRPr="001A2B82">
              <w:rPr>
                <w:rFonts w:asciiTheme="majorBidi" w:hAnsiTheme="majorBidi" w:cstheme="majorBidi"/>
                <w:bCs/>
                <w:sz w:val="20"/>
                <w:szCs w:val="20"/>
                <w:lang w:val="en-GB"/>
              </w:rPr>
              <w:t xml:space="preserve">mpact </w:t>
            </w:r>
            <w:r>
              <w:rPr>
                <w:rFonts w:asciiTheme="majorBidi" w:hAnsiTheme="majorBidi" w:cstheme="majorBidi"/>
                <w:bCs/>
                <w:sz w:val="20"/>
                <w:szCs w:val="20"/>
                <w:lang w:val="en-GB"/>
              </w:rPr>
              <w:t>a</w:t>
            </w:r>
            <w:r w:rsidRPr="001A2B82">
              <w:rPr>
                <w:rFonts w:asciiTheme="majorBidi" w:hAnsiTheme="majorBidi" w:cstheme="majorBidi"/>
                <w:bCs/>
                <w:sz w:val="20"/>
                <w:szCs w:val="20"/>
                <w:lang w:val="en-GB"/>
              </w:rPr>
              <w:t xml:space="preserve">ssessment under the Convention and </w:t>
            </w:r>
            <w:r>
              <w:rPr>
                <w:rFonts w:asciiTheme="majorBidi" w:hAnsiTheme="majorBidi" w:cstheme="majorBidi"/>
                <w:bCs/>
                <w:sz w:val="20"/>
                <w:szCs w:val="20"/>
                <w:lang w:val="en-GB"/>
              </w:rPr>
              <w:t>s</w:t>
            </w:r>
            <w:r w:rsidRPr="001A2B82">
              <w:rPr>
                <w:rFonts w:asciiTheme="majorBidi" w:hAnsiTheme="majorBidi" w:cstheme="majorBidi"/>
                <w:bCs/>
                <w:sz w:val="20"/>
                <w:szCs w:val="20"/>
                <w:lang w:val="en-GB"/>
              </w:rPr>
              <w:t xml:space="preserve">trategic </w:t>
            </w:r>
            <w:r>
              <w:rPr>
                <w:rFonts w:asciiTheme="majorBidi" w:hAnsiTheme="majorBidi" w:cstheme="majorBidi"/>
                <w:bCs/>
                <w:sz w:val="20"/>
                <w:szCs w:val="20"/>
                <w:lang w:val="en-GB"/>
              </w:rPr>
              <w:t>e</w:t>
            </w:r>
            <w:r w:rsidRPr="001A2B82">
              <w:rPr>
                <w:rFonts w:asciiTheme="majorBidi" w:hAnsiTheme="majorBidi" w:cstheme="majorBidi"/>
                <w:bCs/>
                <w:sz w:val="20"/>
                <w:szCs w:val="20"/>
                <w:lang w:val="en-GB"/>
              </w:rPr>
              <w:t xml:space="preserve">nvironmental </w:t>
            </w:r>
            <w:r>
              <w:rPr>
                <w:rFonts w:asciiTheme="majorBidi" w:hAnsiTheme="majorBidi" w:cstheme="majorBidi"/>
                <w:bCs/>
                <w:sz w:val="20"/>
                <w:szCs w:val="20"/>
                <w:lang w:val="en-GB"/>
              </w:rPr>
              <w:t>a</w:t>
            </w:r>
            <w:r w:rsidRPr="001A2B82">
              <w:rPr>
                <w:rFonts w:asciiTheme="majorBidi" w:hAnsiTheme="majorBidi" w:cstheme="majorBidi"/>
                <w:bCs/>
                <w:sz w:val="20"/>
                <w:szCs w:val="20"/>
                <w:lang w:val="en-GB"/>
              </w:rPr>
              <w:t>ssessment under the Protocol potentially have a</w:t>
            </w:r>
            <w:r>
              <w:rPr>
                <w:rFonts w:asciiTheme="majorBidi" w:hAnsiTheme="majorBidi" w:cstheme="majorBidi"/>
                <w:bCs/>
                <w:sz w:val="20"/>
                <w:szCs w:val="20"/>
                <w:lang w:val="en-GB"/>
              </w:rPr>
              <w:t>n important</w:t>
            </w:r>
            <w:r w:rsidRPr="001A2B82">
              <w:rPr>
                <w:rFonts w:asciiTheme="majorBidi" w:hAnsiTheme="majorBidi" w:cstheme="majorBidi"/>
                <w:bCs/>
                <w:sz w:val="20"/>
                <w:szCs w:val="20"/>
                <w:lang w:val="en-GB"/>
              </w:rPr>
              <w:t xml:space="preserve"> role to play in certifying</w:t>
            </w:r>
            <w:r>
              <w:rPr>
                <w:rFonts w:asciiTheme="majorBidi" w:hAnsiTheme="majorBidi" w:cstheme="majorBidi"/>
                <w:bCs/>
                <w:sz w:val="20"/>
                <w:szCs w:val="20"/>
                <w:lang w:val="en-GB"/>
              </w:rPr>
              <w:t xml:space="preserve"> the sustainability</w:t>
            </w:r>
            <w:r w:rsidRPr="001A2B82">
              <w:rPr>
                <w:rFonts w:asciiTheme="majorBidi" w:hAnsiTheme="majorBidi" w:cstheme="majorBidi"/>
                <w:bCs/>
                <w:sz w:val="20"/>
                <w:szCs w:val="20"/>
                <w:lang w:val="en-GB"/>
              </w:rPr>
              <w:t xml:space="preserve"> </w:t>
            </w:r>
            <w:r>
              <w:rPr>
                <w:rFonts w:asciiTheme="majorBidi" w:hAnsiTheme="majorBidi" w:cstheme="majorBidi"/>
                <w:bCs/>
                <w:sz w:val="20"/>
                <w:szCs w:val="20"/>
                <w:lang w:val="en-GB"/>
              </w:rPr>
              <w:t xml:space="preserve">of investments </w:t>
            </w:r>
            <w:r w:rsidRPr="001A2B82">
              <w:rPr>
                <w:rFonts w:asciiTheme="majorBidi" w:hAnsiTheme="majorBidi" w:cstheme="majorBidi"/>
                <w:bCs/>
                <w:sz w:val="20"/>
                <w:szCs w:val="20"/>
                <w:lang w:val="en-GB"/>
              </w:rPr>
              <w:t xml:space="preserve">against green finance </w:t>
            </w:r>
            <w:r>
              <w:rPr>
                <w:rFonts w:asciiTheme="majorBidi" w:hAnsiTheme="majorBidi" w:cstheme="majorBidi"/>
                <w:bCs/>
                <w:sz w:val="20"/>
                <w:szCs w:val="20"/>
                <w:lang w:val="en-GB"/>
              </w:rPr>
              <w:t xml:space="preserve">taxonomies’ </w:t>
            </w:r>
            <w:r w:rsidRPr="001A2B82">
              <w:rPr>
                <w:rFonts w:asciiTheme="majorBidi" w:hAnsiTheme="majorBidi" w:cstheme="majorBidi"/>
                <w:bCs/>
                <w:sz w:val="20"/>
                <w:szCs w:val="20"/>
                <w:lang w:val="en-GB"/>
              </w:rPr>
              <w:t>technical screening criteria.</w:t>
            </w:r>
          </w:p>
          <w:p w14:paraId="4CF1E5D7" w14:textId="77777777" w:rsidR="00E1638C" w:rsidRPr="001A2B82" w:rsidRDefault="00E1638C" w:rsidP="001C7407">
            <w:pPr>
              <w:pStyle w:val="ListParagraph"/>
              <w:numPr>
                <w:ilvl w:val="0"/>
                <w:numId w:val="26"/>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 xml:space="preserve">The Convention and Protocol already have requirements to investigate impacts on </w:t>
            </w:r>
            <w:r>
              <w:rPr>
                <w:rFonts w:asciiTheme="majorBidi" w:hAnsiTheme="majorBidi" w:cstheme="majorBidi"/>
                <w:bCs/>
                <w:sz w:val="20"/>
                <w:szCs w:val="20"/>
                <w:lang w:val="en-GB"/>
              </w:rPr>
              <w:t xml:space="preserve">specific environmental components which green financing requirements list as being protected from harm, including </w:t>
            </w:r>
            <w:r w:rsidRPr="001A2B82">
              <w:rPr>
                <w:rFonts w:asciiTheme="majorBidi" w:hAnsiTheme="majorBidi" w:cstheme="majorBidi"/>
                <w:bCs/>
                <w:sz w:val="20"/>
                <w:szCs w:val="20"/>
                <w:lang w:val="en-GB"/>
              </w:rPr>
              <w:t>climate, water, biodiversity and the implications of pollution on a variety of additional environmental components.</w:t>
            </w:r>
          </w:p>
          <w:p w14:paraId="770B403E" w14:textId="77777777" w:rsidR="00E1638C" w:rsidRPr="001A2B82" w:rsidRDefault="00E1638C" w:rsidP="001C7407">
            <w:pPr>
              <w:pStyle w:val="ListParagraph"/>
              <w:numPr>
                <w:ilvl w:val="0"/>
                <w:numId w:val="26"/>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 xml:space="preserve">Early attempts at alignment of </w:t>
            </w:r>
            <w:r>
              <w:rPr>
                <w:rFonts w:asciiTheme="majorBidi" w:hAnsiTheme="majorBidi" w:cstheme="majorBidi"/>
                <w:bCs/>
                <w:sz w:val="20"/>
                <w:szCs w:val="20"/>
                <w:lang w:val="en-GB"/>
              </w:rPr>
              <w:t>s</w:t>
            </w:r>
            <w:r w:rsidRPr="001A2B82">
              <w:rPr>
                <w:rFonts w:asciiTheme="majorBidi" w:hAnsiTheme="majorBidi" w:cstheme="majorBidi"/>
                <w:bCs/>
                <w:sz w:val="20"/>
                <w:szCs w:val="20"/>
                <w:lang w:val="en-GB"/>
              </w:rPr>
              <w:t xml:space="preserve">trategic </w:t>
            </w:r>
            <w:r>
              <w:rPr>
                <w:rFonts w:asciiTheme="majorBidi" w:hAnsiTheme="majorBidi" w:cstheme="majorBidi"/>
                <w:bCs/>
                <w:sz w:val="20"/>
                <w:szCs w:val="20"/>
                <w:lang w:val="en-GB"/>
              </w:rPr>
              <w:t>e</w:t>
            </w:r>
            <w:r w:rsidRPr="001A2B82">
              <w:rPr>
                <w:rFonts w:asciiTheme="majorBidi" w:hAnsiTheme="majorBidi" w:cstheme="majorBidi"/>
                <w:bCs/>
                <w:sz w:val="20"/>
                <w:szCs w:val="20"/>
                <w:lang w:val="en-GB"/>
              </w:rPr>
              <w:t xml:space="preserve">nvironmental </w:t>
            </w:r>
            <w:r>
              <w:rPr>
                <w:rFonts w:asciiTheme="majorBidi" w:hAnsiTheme="majorBidi" w:cstheme="majorBidi"/>
                <w:bCs/>
                <w:sz w:val="20"/>
                <w:szCs w:val="20"/>
                <w:lang w:val="en-GB"/>
              </w:rPr>
              <w:t>a</w:t>
            </w:r>
            <w:r w:rsidRPr="001A2B82">
              <w:rPr>
                <w:rFonts w:asciiTheme="majorBidi" w:hAnsiTheme="majorBidi" w:cstheme="majorBidi"/>
                <w:bCs/>
                <w:sz w:val="20"/>
                <w:szCs w:val="20"/>
                <w:lang w:val="en-GB"/>
              </w:rPr>
              <w:t xml:space="preserve">ssessment and the </w:t>
            </w:r>
            <w:r>
              <w:rPr>
                <w:rFonts w:asciiTheme="majorBidi" w:hAnsiTheme="majorBidi" w:cstheme="majorBidi"/>
                <w:bCs/>
                <w:sz w:val="20"/>
                <w:szCs w:val="20"/>
                <w:lang w:val="en-GB"/>
              </w:rPr>
              <w:t>European Union</w:t>
            </w:r>
            <w:r w:rsidRPr="001A2B82">
              <w:rPr>
                <w:rFonts w:asciiTheme="majorBidi" w:hAnsiTheme="majorBidi" w:cstheme="majorBidi"/>
                <w:bCs/>
                <w:sz w:val="20"/>
                <w:szCs w:val="20"/>
                <w:lang w:val="en-GB"/>
              </w:rPr>
              <w:t xml:space="preserve"> Taxonomy have been found to be useful.</w:t>
            </w:r>
          </w:p>
        </w:tc>
        <w:tc>
          <w:tcPr>
            <w:tcW w:w="2778" w:type="dxa"/>
          </w:tcPr>
          <w:p w14:paraId="05AC943F" w14:textId="77777777" w:rsidR="00E1638C" w:rsidRPr="001A2B82" w:rsidRDefault="00E1638C" w:rsidP="001C7407">
            <w:pPr>
              <w:pStyle w:val="ListParagraph"/>
              <w:numPr>
                <w:ilvl w:val="0"/>
                <w:numId w:val="26"/>
              </w:numPr>
              <w:spacing w:after="120" w:line="240" w:lineRule="auto"/>
              <w:ind w:left="113" w:hanging="113"/>
              <w:jc w:val="both"/>
              <w:rPr>
                <w:rFonts w:asciiTheme="majorBidi" w:hAnsiTheme="majorBidi" w:cstheme="majorBidi"/>
                <w:bCs/>
                <w:sz w:val="20"/>
                <w:szCs w:val="20"/>
                <w:lang w:val="en-GB"/>
              </w:rPr>
            </w:pPr>
            <w:r>
              <w:rPr>
                <w:rFonts w:asciiTheme="majorBidi" w:hAnsiTheme="majorBidi" w:cstheme="majorBidi"/>
                <w:bCs/>
                <w:sz w:val="20"/>
                <w:szCs w:val="20"/>
                <w:lang w:val="en-GB"/>
              </w:rPr>
              <w:t>The Convention and the Protocol can help provide the data to help comply with the</w:t>
            </w:r>
            <w:r w:rsidRPr="001A2B82">
              <w:rPr>
                <w:rFonts w:asciiTheme="majorBidi" w:hAnsiTheme="majorBidi" w:cstheme="majorBidi"/>
                <w:bCs/>
                <w:sz w:val="20"/>
                <w:szCs w:val="20"/>
                <w:lang w:val="en-GB"/>
              </w:rPr>
              <w:t xml:space="preserve"> “do no significant harm” and “positive contribution” requirements from green financing </w:t>
            </w:r>
          </w:p>
          <w:p w14:paraId="48BFE2F8" w14:textId="77777777" w:rsidR="00E1638C" w:rsidRDefault="00E1638C" w:rsidP="001C7407">
            <w:pPr>
              <w:pStyle w:val="ListParagraph"/>
              <w:numPr>
                <w:ilvl w:val="0"/>
                <w:numId w:val="26"/>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 xml:space="preserve">Assessments under the Convention and </w:t>
            </w:r>
            <w:r>
              <w:rPr>
                <w:rFonts w:asciiTheme="majorBidi" w:hAnsiTheme="majorBidi" w:cstheme="majorBidi"/>
                <w:bCs/>
                <w:sz w:val="20"/>
                <w:szCs w:val="20"/>
                <w:lang w:val="en-GB"/>
              </w:rPr>
              <w:t xml:space="preserve">the </w:t>
            </w:r>
            <w:r w:rsidRPr="001A2B82">
              <w:rPr>
                <w:rFonts w:asciiTheme="majorBidi" w:hAnsiTheme="majorBidi" w:cstheme="majorBidi"/>
                <w:bCs/>
                <w:sz w:val="20"/>
                <w:szCs w:val="20"/>
                <w:lang w:val="en-GB"/>
              </w:rPr>
              <w:t xml:space="preserve">Protocol can potentially provide </w:t>
            </w:r>
            <w:r>
              <w:rPr>
                <w:rFonts w:asciiTheme="majorBidi" w:hAnsiTheme="majorBidi" w:cstheme="majorBidi"/>
                <w:bCs/>
                <w:sz w:val="20"/>
                <w:szCs w:val="20"/>
                <w:lang w:val="en-GB"/>
              </w:rPr>
              <w:t xml:space="preserve">some of </w:t>
            </w:r>
            <w:r w:rsidRPr="001A2B82">
              <w:rPr>
                <w:rFonts w:asciiTheme="majorBidi" w:hAnsiTheme="majorBidi" w:cstheme="majorBidi"/>
                <w:bCs/>
                <w:sz w:val="20"/>
                <w:szCs w:val="20"/>
                <w:lang w:val="en-GB"/>
              </w:rPr>
              <w:t>the data needed by businesses obliged to report under sustainability reporting standards</w:t>
            </w:r>
            <w:r>
              <w:rPr>
                <w:rFonts w:asciiTheme="majorBidi" w:hAnsiTheme="majorBidi" w:cstheme="majorBidi"/>
                <w:bCs/>
                <w:sz w:val="20"/>
                <w:szCs w:val="20"/>
                <w:lang w:val="en-GB"/>
              </w:rPr>
              <w:t>.</w:t>
            </w:r>
          </w:p>
          <w:p w14:paraId="047312C6" w14:textId="77777777" w:rsidR="00E1638C" w:rsidRPr="001A2B82" w:rsidRDefault="00E1638C" w:rsidP="001C7407">
            <w:pPr>
              <w:pStyle w:val="ListParagraph"/>
              <w:numPr>
                <w:ilvl w:val="0"/>
                <w:numId w:val="26"/>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w:t>
            </w:r>
            <w:r>
              <w:rPr>
                <w:rFonts w:asciiTheme="majorBidi" w:hAnsiTheme="majorBidi" w:cstheme="majorBidi"/>
                <w:bCs/>
                <w:sz w:val="20"/>
                <w:szCs w:val="20"/>
                <w:lang w:val="en-GB"/>
              </w:rPr>
              <w:t>D</w:t>
            </w:r>
            <w:r w:rsidRPr="001A2B82">
              <w:rPr>
                <w:rFonts w:asciiTheme="majorBidi" w:hAnsiTheme="majorBidi" w:cstheme="majorBidi"/>
                <w:bCs/>
                <w:sz w:val="20"/>
                <w:szCs w:val="20"/>
                <w:lang w:val="en-GB"/>
              </w:rPr>
              <w:t xml:space="preserve">o no significant harm” and “positive contribution” requirements from green financing </w:t>
            </w:r>
            <w:r>
              <w:rPr>
                <w:rFonts w:asciiTheme="majorBidi" w:hAnsiTheme="majorBidi" w:cstheme="majorBidi"/>
                <w:bCs/>
                <w:sz w:val="20"/>
                <w:szCs w:val="20"/>
                <w:lang w:val="en-GB"/>
              </w:rPr>
              <w:t xml:space="preserve">could enhance environmental protection. </w:t>
            </w:r>
          </w:p>
        </w:tc>
        <w:tc>
          <w:tcPr>
            <w:tcW w:w="2485" w:type="dxa"/>
          </w:tcPr>
          <w:p w14:paraId="4DA3DEC4" w14:textId="77777777" w:rsidR="00E1638C" w:rsidRPr="001A2B82" w:rsidRDefault="00E1638C" w:rsidP="001C7407">
            <w:pPr>
              <w:pStyle w:val="ListParagraph"/>
              <w:numPr>
                <w:ilvl w:val="0"/>
                <w:numId w:val="26"/>
              </w:numPr>
              <w:spacing w:after="120" w:line="240" w:lineRule="auto"/>
              <w:ind w:left="113" w:hanging="113"/>
              <w:jc w:val="both"/>
              <w:rPr>
                <w:rFonts w:asciiTheme="majorBidi" w:hAnsiTheme="majorBidi" w:cstheme="majorBidi"/>
                <w:bCs/>
                <w:sz w:val="20"/>
                <w:szCs w:val="20"/>
                <w:lang w:val="en-GB"/>
              </w:rPr>
            </w:pPr>
            <w:r>
              <w:rPr>
                <w:rFonts w:asciiTheme="majorBidi" w:hAnsiTheme="majorBidi" w:cstheme="majorBidi"/>
                <w:bCs/>
                <w:sz w:val="20"/>
                <w:szCs w:val="20"/>
                <w:lang w:val="en-GB"/>
              </w:rPr>
              <w:t>Lack of understanding of how environmental impact assessment and strategic environmental assessment can support implementation of Taxonomies, and sustainability reporting standards, jeopardises their effectiveness.</w:t>
            </w:r>
          </w:p>
          <w:p w14:paraId="22A5DED2" w14:textId="77777777" w:rsidR="00E1638C" w:rsidRPr="001A2B82" w:rsidRDefault="00E1638C" w:rsidP="001C7407">
            <w:pPr>
              <w:pStyle w:val="ListParagraph"/>
              <w:numPr>
                <w:ilvl w:val="0"/>
                <w:numId w:val="26"/>
              </w:numPr>
              <w:spacing w:after="120" w:line="240" w:lineRule="auto"/>
              <w:ind w:left="113" w:hanging="113"/>
              <w:jc w:val="both"/>
              <w:rPr>
                <w:rFonts w:asciiTheme="majorBidi" w:hAnsiTheme="majorBidi" w:cstheme="majorBidi"/>
                <w:bCs/>
                <w:sz w:val="20"/>
                <w:szCs w:val="20"/>
                <w:lang w:val="en-GB"/>
              </w:rPr>
            </w:pPr>
            <w:r w:rsidRPr="001A2B82">
              <w:rPr>
                <w:rFonts w:asciiTheme="majorBidi" w:hAnsiTheme="majorBidi" w:cstheme="majorBidi"/>
                <w:bCs/>
                <w:sz w:val="20"/>
                <w:szCs w:val="20"/>
                <w:lang w:val="en-GB"/>
              </w:rPr>
              <w:t xml:space="preserve">Accounting firms may develop their own </w:t>
            </w:r>
            <w:r>
              <w:rPr>
                <w:rFonts w:asciiTheme="majorBidi" w:hAnsiTheme="majorBidi" w:cstheme="majorBidi"/>
                <w:bCs/>
                <w:sz w:val="20"/>
                <w:szCs w:val="20"/>
                <w:lang w:val="en-GB"/>
              </w:rPr>
              <w:t>systems for reporting on sustainability reporting standards which are not aligned with the requirements of the Convention and the Protocol. This could create inefficiencies and may potentially exclude more rigorous scientific evidence gathered under the UNECE instruments</w:t>
            </w:r>
            <w:r w:rsidRPr="001A2B82">
              <w:rPr>
                <w:rFonts w:asciiTheme="majorBidi" w:hAnsiTheme="majorBidi" w:cstheme="majorBidi"/>
                <w:bCs/>
                <w:sz w:val="20"/>
                <w:szCs w:val="20"/>
                <w:lang w:val="en-GB"/>
              </w:rPr>
              <w:t>.</w:t>
            </w:r>
          </w:p>
          <w:p w14:paraId="5061DB0E" w14:textId="77777777" w:rsidR="00E1638C" w:rsidRPr="001A2B82" w:rsidRDefault="00E1638C" w:rsidP="001C7407">
            <w:pPr>
              <w:pStyle w:val="ListParagraph"/>
              <w:numPr>
                <w:ilvl w:val="0"/>
                <w:numId w:val="26"/>
              </w:numPr>
              <w:spacing w:after="120" w:line="240" w:lineRule="auto"/>
              <w:ind w:left="113" w:hanging="113"/>
              <w:jc w:val="both"/>
              <w:rPr>
                <w:rFonts w:asciiTheme="majorBidi" w:hAnsiTheme="majorBidi" w:cstheme="majorBidi"/>
                <w:bCs/>
                <w:sz w:val="20"/>
                <w:szCs w:val="20"/>
                <w:lang w:val="en-GB"/>
              </w:rPr>
            </w:pPr>
            <w:r>
              <w:rPr>
                <w:rFonts w:asciiTheme="majorBidi" w:hAnsiTheme="majorBidi" w:cstheme="majorBidi"/>
                <w:bCs/>
                <w:sz w:val="20"/>
                <w:szCs w:val="20"/>
                <w:lang w:val="en-GB"/>
              </w:rPr>
              <w:t xml:space="preserve">Emerging conditionality requirement for sustainable funding (i.e., target percentage of funding to be classed as sustainable under the taxonomies) could mean financing is harder to achieve (given </w:t>
            </w:r>
            <w:r w:rsidRPr="001A2B82">
              <w:rPr>
                <w:rFonts w:asciiTheme="majorBidi" w:hAnsiTheme="majorBidi" w:cstheme="majorBidi"/>
                <w:bCs/>
                <w:sz w:val="20"/>
                <w:szCs w:val="20"/>
                <w:lang w:val="en-GB"/>
              </w:rPr>
              <w:t>“</w:t>
            </w:r>
            <w:r>
              <w:rPr>
                <w:rFonts w:asciiTheme="majorBidi" w:hAnsiTheme="majorBidi" w:cstheme="majorBidi"/>
                <w:bCs/>
                <w:sz w:val="20"/>
                <w:szCs w:val="20"/>
                <w:lang w:val="en-GB"/>
              </w:rPr>
              <w:t>d</w:t>
            </w:r>
            <w:r w:rsidRPr="001A2B82">
              <w:rPr>
                <w:rFonts w:asciiTheme="majorBidi" w:hAnsiTheme="majorBidi" w:cstheme="majorBidi"/>
                <w:bCs/>
                <w:sz w:val="20"/>
                <w:szCs w:val="20"/>
                <w:lang w:val="en-GB"/>
              </w:rPr>
              <w:t>o no significant harm” and “positive contribution” requirements</w:t>
            </w:r>
            <w:r>
              <w:rPr>
                <w:rFonts w:asciiTheme="majorBidi" w:hAnsiTheme="majorBidi" w:cstheme="majorBidi"/>
                <w:bCs/>
                <w:sz w:val="20"/>
                <w:szCs w:val="20"/>
                <w:lang w:val="en-GB"/>
              </w:rPr>
              <w:t>)</w:t>
            </w:r>
            <w:r w:rsidRPr="001A2B82">
              <w:rPr>
                <w:rFonts w:asciiTheme="majorBidi" w:hAnsiTheme="majorBidi" w:cstheme="majorBidi"/>
                <w:bCs/>
                <w:sz w:val="20"/>
                <w:szCs w:val="20"/>
                <w:lang w:val="en-GB"/>
              </w:rPr>
              <w:t xml:space="preserve"> </w:t>
            </w:r>
            <w:r>
              <w:rPr>
                <w:rFonts w:asciiTheme="majorBidi" w:hAnsiTheme="majorBidi" w:cstheme="majorBidi"/>
                <w:bCs/>
                <w:sz w:val="20"/>
                <w:szCs w:val="20"/>
                <w:lang w:val="en-GB"/>
              </w:rPr>
              <w:t>than development consent or plan approval under the</w:t>
            </w:r>
            <w:r w:rsidRPr="001A2B82">
              <w:rPr>
                <w:rFonts w:asciiTheme="majorBidi" w:hAnsiTheme="majorBidi" w:cstheme="majorBidi"/>
                <w:bCs/>
                <w:sz w:val="20"/>
                <w:szCs w:val="20"/>
                <w:lang w:val="en-GB"/>
              </w:rPr>
              <w:t xml:space="preserve"> Convention </w:t>
            </w:r>
            <w:r>
              <w:rPr>
                <w:rFonts w:asciiTheme="majorBidi" w:hAnsiTheme="majorBidi" w:cstheme="majorBidi"/>
                <w:bCs/>
                <w:sz w:val="20"/>
                <w:szCs w:val="20"/>
                <w:lang w:val="en-GB"/>
              </w:rPr>
              <w:t>or</w:t>
            </w:r>
            <w:r w:rsidRPr="001A2B82">
              <w:rPr>
                <w:rFonts w:asciiTheme="majorBidi" w:hAnsiTheme="majorBidi" w:cstheme="majorBidi"/>
                <w:bCs/>
                <w:sz w:val="20"/>
                <w:szCs w:val="20"/>
                <w:lang w:val="en-GB"/>
              </w:rPr>
              <w:t xml:space="preserve"> Protocol </w:t>
            </w:r>
            <w:r>
              <w:rPr>
                <w:rFonts w:asciiTheme="majorBidi" w:hAnsiTheme="majorBidi" w:cstheme="majorBidi"/>
                <w:bCs/>
                <w:sz w:val="20"/>
                <w:szCs w:val="20"/>
                <w:lang w:val="en-GB"/>
              </w:rPr>
              <w:t xml:space="preserve">– this could create </w:t>
            </w:r>
            <w:r w:rsidRPr="001A2B82">
              <w:rPr>
                <w:rFonts w:asciiTheme="majorBidi" w:hAnsiTheme="majorBidi" w:cstheme="majorBidi"/>
                <w:bCs/>
                <w:sz w:val="20"/>
                <w:szCs w:val="20"/>
                <w:lang w:val="en-GB"/>
              </w:rPr>
              <w:t xml:space="preserve">inconsistencies </w:t>
            </w:r>
            <w:r>
              <w:rPr>
                <w:rFonts w:asciiTheme="majorBidi" w:hAnsiTheme="majorBidi" w:cstheme="majorBidi"/>
                <w:bCs/>
                <w:sz w:val="20"/>
                <w:szCs w:val="20"/>
                <w:lang w:val="en-GB"/>
              </w:rPr>
              <w:t>in decision-making</w:t>
            </w:r>
            <w:r w:rsidRPr="001A2B82">
              <w:rPr>
                <w:rFonts w:asciiTheme="majorBidi" w:hAnsiTheme="majorBidi" w:cstheme="majorBidi"/>
                <w:bCs/>
                <w:sz w:val="20"/>
                <w:szCs w:val="20"/>
                <w:lang w:val="en-GB"/>
              </w:rPr>
              <w:t>.</w:t>
            </w:r>
          </w:p>
          <w:p w14:paraId="551D8DD6" w14:textId="77777777" w:rsidR="00E1638C" w:rsidRPr="00AB4DA6" w:rsidRDefault="00E1638C" w:rsidP="001C7407">
            <w:pPr>
              <w:pStyle w:val="ListParagraph"/>
              <w:spacing w:after="120" w:line="240" w:lineRule="auto"/>
              <w:ind w:left="113"/>
              <w:jc w:val="both"/>
              <w:rPr>
                <w:rFonts w:asciiTheme="majorBidi" w:hAnsiTheme="majorBidi" w:cstheme="majorBidi"/>
                <w:bCs/>
                <w:sz w:val="20"/>
                <w:szCs w:val="20"/>
                <w:lang w:val="en-GB"/>
              </w:rPr>
            </w:pPr>
          </w:p>
        </w:tc>
      </w:tr>
    </w:tbl>
    <w:p w14:paraId="55A4DF9A" w14:textId="271FA24D" w:rsidR="00E1638C" w:rsidRDefault="00E1638C" w:rsidP="00E1638C">
      <w:pPr>
        <w:pStyle w:val="HChG"/>
      </w:pPr>
      <w:r>
        <w:br w:type="page"/>
      </w:r>
    </w:p>
    <w:p w14:paraId="4984B1EE" w14:textId="5A359BBF" w:rsidR="00DA1509" w:rsidRDefault="00E1638C" w:rsidP="00E1638C">
      <w:pPr>
        <w:pStyle w:val="HChG"/>
      </w:pPr>
      <w:r>
        <w:lastRenderedPageBreak/>
        <w:tab/>
      </w:r>
      <w:r w:rsidR="007D0D55">
        <w:t>II.</w:t>
      </w:r>
      <w:r w:rsidR="007D0D55">
        <w:tab/>
      </w:r>
      <w:r w:rsidR="00DA1509" w:rsidRPr="00F9298F">
        <w:t xml:space="preserve">An initial outline of the programme for the </w:t>
      </w:r>
      <w:r w:rsidR="00E5457D" w:rsidRPr="00F9298F">
        <w:t xml:space="preserve">high-level </w:t>
      </w:r>
      <w:r w:rsidR="00DA1509" w:rsidRPr="00F9298F">
        <w:t>thematic event</w:t>
      </w:r>
    </w:p>
    <w:p w14:paraId="0D907EEF" w14:textId="03A17176" w:rsidR="00153C8A" w:rsidRPr="00E90BEA" w:rsidRDefault="00E330D3" w:rsidP="00E90BEA">
      <w:pPr>
        <w:pStyle w:val="ListParagraph"/>
        <w:rPr>
          <w:rFonts w:asciiTheme="majorBidi" w:hAnsiTheme="majorBidi" w:cstheme="majorBidi"/>
          <w:bCs/>
          <w:sz w:val="20"/>
          <w:szCs w:val="20"/>
          <w:lang w:val="en-GB"/>
        </w:rPr>
      </w:pPr>
      <w:r w:rsidRPr="00EE68EC">
        <w:rPr>
          <w:rFonts w:asciiTheme="majorBidi" w:hAnsiTheme="majorBidi" w:cstheme="majorBidi"/>
          <w:bCs/>
          <w:sz w:val="20"/>
          <w:szCs w:val="20"/>
          <w:lang w:val="en-GB"/>
        </w:rPr>
        <w:t>Tentative timing: Thursday, 14 December 3.30</w:t>
      </w:r>
      <w:r w:rsidR="00097670" w:rsidRPr="00EE68EC">
        <w:rPr>
          <w:rFonts w:asciiTheme="majorBidi" w:hAnsiTheme="majorBidi" w:cstheme="majorBidi"/>
          <w:bCs/>
          <w:sz w:val="20"/>
          <w:szCs w:val="20"/>
          <w:lang w:val="en-GB"/>
        </w:rPr>
        <w:t>-5.30 p.m.</w:t>
      </w:r>
    </w:p>
    <w:tbl>
      <w:tblPr>
        <w:tblStyle w:val="TableGrid"/>
        <w:tblW w:w="8642" w:type="dxa"/>
        <w:tblInd w:w="279" w:type="dxa"/>
        <w:tblLayout w:type="fixed"/>
        <w:tblLook w:val="04A0" w:firstRow="1" w:lastRow="0" w:firstColumn="1" w:lastColumn="0" w:noHBand="0" w:noVBand="1"/>
      </w:tblPr>
      <w:tblGrid>
        <w:gridCol w:w="7591"/>
        <w:gridCol w:w="1051"/>
      </w:tblGrid>
      <w:tr w:rsidR="001B7B5F" w:rsidRPr="00F9298F" w14:paraId="5B9D644E" w14:textId="62353AA3" w:rsidTr="00E1638C">
        <w:tc>
          <w:tcPr>
            <w:tcW w:w="7591" w:type="dxa"/>
            <w:shd w:val="clear" w:color="auto" w:fill="D9D9D9" w:themeFill="background1" w:themeFillShade="D9"/>
          </w:tcPr>
          <w:p w14:paraId="67F8EB38" w14:textId="1F4FE4ED" w:rsidR="00BF43B2" w:rsidRPr="00F9298F" w:rsidRDefault="00BF43B2" w:rsidP="00D43769">
            <w:pPr>
              <w:ind w:left="147" w:right="17"/>
              <w:rPr>
                <w:rFonts w:asciiTheme="majorBidi" w:hAnsiTheme="majorBidi" w:cstheme="majorBidi"/>
                <w:b/>
                <w:sz w:val="22"/>
                <w:szCs w:val="22"/>
              </w:rPr>
            </w:pPr>
            <w:r w:rsidRPr="00F9298F">
              <w:rPr>
                <w:rFonts w:asciiTheme="majorBidi" w:hAnsiTheme="majorBidi" w:cstheme="majorBidi"/>
                <w:b/>
                <w:sz w:val="22"/>
                <w:szCs w:val="22"/>
              </w:rPr>
              <w:t>Activity</w:t>
            </w:r>
          </w:p>
        </w:tc>
        <w:tc>
          <w:tcPr>
            <w:tcW w:w="1051" w:type="dxa"/>
            <w:shd w:val="clear" w:color="auto" w:fill="D9D9D9" w:themeFill="background1" w:themeFillShade="D9"/>
          </w:tcPr>
          <w:p w14:paraId="5364C318" w14:textId="178FFC9F" w:rsidR="00BF43B2" w:rsidRPr="00F9298F" w:rsidRDefault="00BF43B2" w:rsidP="00D43769">
            <w:pPr>
              <w:ind w:left="147" w:right="17"/>
              <w:rPr>
                <w:rFonts w:asciiTheme="majorBidi" w:hAnsiTheme="majorBidi" w:cstheme="majorBidi"/>
                <w:b/>
                <w:sz w:val="22"/>
                <w:szCs w:val="22"/>
              </w:rPr>
            </w:pPr>
            <w:r w:rsidRPr="00F9298F">
              <w:rPr>
                <w:rFonts w:asciiTheme="majorBidi" w:hAnsiTheme="majorBidi" w:cstheme="majorBidi"/>
                <w:b/>
                <w:sz w:val="22"/>
                <w:szCs w:val="22"/>
              </w:rPr>
              <w:t>Timing</w:t>
            </w:r>
          </w:p>
        </w:tc>
      </w:tr>
      <w:tr w:rsidR="001B7B5F" w:rsidRPr="00F9298F" w14:paraId="09005BAF" w14:textId="3BC0130D" w:rsidTr="00E1638C">
        <w:tc>
          <w:tcPr>
            <w:tcW w:w="7591" w:type="dxa"/>
          </w:tcPr>
          <w:p w14:paraId="0D8CA9B8" w14:textId="6907C37B" w:rsidR="00BF43B2" w:rsidRPr="00B95627" w:rsidRDefault="00BF43B2" w:rsidP="00E90BEA">
            <w:pPr>
              <w:spacing w:after="200"/>
              <w:ind w:left="147" w:right="17"/>
              <w:rPr>
                <w:bCs/>
              </w:rPr>
            </w:pPr>
            <w:r w:rsidRPr="00B95627">
              <w:rPr>
                <w:bCs/>
              </w:rPr>
              <w:t xml:space="preserve">Introduction to the structure of high-level event by moderator </w:t>
            </w:r>
          </w:p>
        </w:tc>
        <w:tc>
          <w:tcPr>
            <w:tcW w:w="1051" w:type="dxa"/>
          </w:tcPr>
          <w:p w14:paraId="6857BD26" w14:textId="4B3434AF" w:rsidR="00BF43B2" w:rsidRPr="00B95627" w:rsidRDefault="00082DB1" w:rsidP="00D43769">
            <w:pPr>
              <w:ind w:left="147" w:right="17"/>
              <w:rPr>
                <w:bCs/>
              </w:rPr>
            </w:pPr>
            <w:r>
              <w:rPr>
                <w:bCs/>
              </w:rPr>
              <w:t>15.</w:t>
            </w:r>
            <w:r w:rsidR="00ED3FFA">
              <w:rPr>
                <w:bCs/>
              </w:rPr>
              <w:t>30</w:t>
            </w:r>
          </w:p>
        </w:tc>
      </w:tr>
      <w:tr w:rsidR="001B7B5F" w:rsidRPr="00F9298F" w14:paraId="49A44CAC" w14:textId="07A7EE5F" w:rsidTr="00E1638C">
        <w:tc>
          <w:tcPr>
            <w:tcW w:w="7591" w:type="dxa"/>
          </w:tcPr>
          <w:p w14:paraId="0422C811" w14:textId="003CF477" w:rsidR="00BF43B2" w:rsidRPr="00122F83" w:rsidRDefault="001B7B5F" w:rsidP="008E4AD4">
            <w:pPr>
              <w:ind w:left="147" w:right="17"/>
              <w:rPr>
                <w:bCs/>
              </w:rPr>
            </w:pPr>
            <w:r w:rsidRPr="00122F83">
              <w:rPr>
                <w:bCs/>
              </w:rPr>
              <w:t xml:space="preserve">Introduction to </w:t>
            </w:r>
            <w:r w:rsidR="00B95627" w:rsidRPr="00122F83">
              <w:rPr>
                <w:bCs/>
              </w:rPr>
              <w:t>t</w:t>
            </w:r>
            <w:r w:rsidR="00BF43B2" w:rsidRPr="00122F83">
              <w:rPr>
                <w:bCs/>
              </w:rPr>
              <w:t>he [six] panellists by the moderator</w:t>
            </w:r>
          </w:p>
          <w:p w14:paraId="5D77E88B" w14:textId="4447F25D" w:rsidR="00BF43B2" w:rsidRPr="00122F83" w:rsidRDefault="00BF43B2" w:rsidP="008E4AD4">
            <w:pPr>
              <w:ind w:left="147" w:right="17"/>
              <w:rPr>
                <w:bCs/>
              </w:rPr>
            </w:pPr>
          </w:p>
          <w:p w14:paraId="35466D42" w14:textId="66F51206" w:rsidR="00CB3614" w:rsidRPr="00122F83" w:rsidRDefault="007D0D55" w:rsidP="007D0D55">
            <w:pPr>
              <w:pStyle w:val="ListParagraph"/>
              <w:ind w:left="507" w:right="17" w:hanging="360"/>
              <w:rPr>
                <w:rFonts w:ascii="Times New Roman" w:hAnsi="Times New Roman" w:cs="Times New Roman"/>
                <w:bCs/>
                <w:sz w:val="20"/>
                <w:szCs w:val="20"/>
                <w:lang w:val="en-GB"/>
              </w:rPr>
            </w:pPr>
            <w:r w:rsidRPr="00122F83">
              <w:rPr>
                <w:rFonts w:ascii="Times New Roman" w:hAnsi="Times New Roman" w:cs="Times New Roman"/>
                <w:bCs/>
                <w:sz w:val="20"/>
                <w:szCs w:val="20"/>
                <w:lang w:val="en-GB"/>
              </w:rPr>
              <w:t>1.</w:t>
            </w:r>
            <w:r w:rsidRPr="00122F83">
              <w:rPr>
                <w:rFonts w:ascii="Times New Roman" w:hAnsi="Times New Roman" w:cs="Times New Roman"/>
                <w:bCs/>
                <w:sz w:val="20"/>
                <w:szCs w:val="20"/>
                <w:lang w:val="en-GB"/>
              </w:rPr>
              <w:tab/>
            </w:r>
            <w:r w:rsidR="00CB3614" w:rsidRPr="00122F83">
              <w:rPr>
                <w:rFonts w:ascii="Times New Roman" w:hAnsi="Times New Roman" w:cs="Times New Roman"/>
                <w:bCs/>
                <w:sz w:val="20"/>
                <w:szCs w:val="20"/>
                <w:lang w:val="en-GB"/>
              </w:rPr>
              <w:t>…. (</w:t>
            </w:r>
            <w:r w:rsidR="009A71D5">
              <w:rPr>
                <w:rFonts w:ascii="Times New Roman" w:hAnsi="Times New Roman" w:cs="Times New Roman"/>
                <w:bCs/>
                <w:sz w:val="20"/>
                <w:szCs w:val="20"/>
                <w:lang w:val="en-GB"/>
              </w:rPr>
              <w:t>Italy</w:t>
            </w:r>
            <w:r w:rsidR="00CB3614" w:rsidRPr="00122F83">
              <w:rPr>
                <w:rFonts w:ascii="Times New Roman" w:hAnsi="Times New Roman" w:cs="Times New Roman"/>
                <w:bCs/>
                <w:sz w:val="20"/>
                <w:szCs w:val="20"/>
                <w:lang w:val="en-GB"/>
              </w:rPr>
              <w:t>)</w:t>
            </w:r>
          </w:p>
          <w:p w14:paraId="69DA5E02" w14:textId="5EAB269C" w:rsidR="00CB3614" w:rsidRPr="00122F83" w:rsidRDefault="007D0D55" w:rsidP="007D0D55">
            <w:pPr>
              <w:pStyle w:val="ListParagraph"/>
              <w:ind w:left="507" w:right="17" w:hanging="360"/>
              <w:rPr>
                <w:rFonts w:ascii="Times New Roman" w:hAnsi="Times New Roman" w:cs="Times New Roman"/>
                <w:bCs/>
                <w:sz w:val="20"/>
                <w:szCs w:val="20"/>
                <w:lang w:val="en-GB"/>
              </w:rPr>
            </w:pPr>
            <w:r w:rsidRPr="00122F83">
              <w:rPr>
                <w:rFonts w:ascii="Times New Roman" w:hAnsi="Times New Roman" w:cs="Times New Roman"/>
                <w:bCs/>
                <w:sz w:val="20"/>
                <w:szCs w:val="20"/>
                <w:lang w:val="en-GB"/>
              </w:rPr>
              <w:t>2.</w:t>
            </w:r>
            <w:r w:rsidRPr="00122F83">
              <w:rPr>
                <w:rFonts w:ascii="Times New Roman" w:hAnsi="Times New Roman" w:cs="Times New Roman"/>
                <w:bCs/>
                <w:sz w:val="20"/>
                <w:szCs w:val="20"/>
                <w:lang w:val="en-GB"/>
              </w:rPr>
              <w:tab/>
            </w:r>
            <w:r w:rsidR="00CB3614" w:rsidRPr="00122F83">
              <w:rPr>
                <w:rFonts w:ascii="Times New Roman" w:hAnsi="Times New Roman" w:cs="Times New Roman"/>
                <w:bCs/>
                <w:sz w:val="20"/>
                <w:szCs w:val="20"/>
                <w:lang w:val="en-GB"/>
              </w:rPr>
              <w:t>H.E Ms Iordanov, Environment Minster, (Republic of Moldova)</w:t>
            </w:r>
          </w:p>
          <w:p w14:paraId="7955552E" w14:textId="2194A5D8" w:rsidR="00CB3614" w:rsidRPr="00122F83" w:rsidRDefault="007D0D55" w:rsidP="007D0D55">
            <w:pPr>
              <w:pStyle w:val="ListParagraph"/>
              <w:ind w:left="504" w:right="17" w:hanging="357"/>
              <w:rPr>
                <w:rFonts w:ascii="Times New Roman" w:hAnsi="Times New Roman" w:cs="Times New Roman"/>
                <w:bCs/>
                <w:sz w:val="20"/>
                <w:szCs w:val="20"/>
                <w:lang w:val="en-GB"/>
              </w:rPr>
            </w:pPr>
            <w:r w:rsidRPr="00122F83">
              <w:rPr>
                <w:rFonts w:ascii="Times New Roman" w:hAnsi="Times New Roman" w:cs="Times New Roman"/>
                <w:bCs/>
                <w:sz w:val="20"/>
                <w:szCs w:val="20"/>
                <w:lang w:val="en-GB"/>
              </w:rPr>
              <w:t>3.</w:t>
            </w:r>
            <w:r w:rsidRPr="00122F83">
              <w:rPr>
                <w:rFonts w:ascii="Times New Roman" w:hAnsi="Times New Roman" w:cs="Times New Roman"/>
                <w:bCs/>
                <w:sz w:val="20"/>
                <w:szCs w:val="20"/>
                <w:lang w:val="en-GB"/>
              </w:rPr>
              <w:tab/>
            </w:r>
            <w:r w:rsidR="00CB3614" w:rsidRPr="00122F83">
              <w:rPr>
                <w:rFonts w:ascii="Times New Roman" w:hAnsi="Times New Roman" w:cs="Times New Roman"/>
                <w:bCs/>
                <w:sz w:val="20"/>
                <w:szCs w:val="20"/>
                <w:lang w:val="en-GB"/>
              </w:rPr>
              <w:t>….. (Spain)</w:t>
            </w:r>
          </w:p>
          <w:p w14:paraId="59B1B979" w14:textId="21E9CE1B" w:rsidR="00CB3614" w:rsidRPr="00122F83" w:rsidRDefault="007D0D55" w:rsidP="007D0D55">
            <w:pPr>
              <w:pStyle w:val="ListParagraph"/>
              <w:ind w:left="507" w:right="17" w:hanging="360"/>
              <w:rPr>
                <w:rFonts w:ascii="Times New Roman" w:hAnsi="Times New Roman" w:cs="Times New Roman"/>
                <w:bCs/>
                <w:sz w:val="20"/>
                <w:szCs w:val="20"/>
                <w:lang w:val="en-GB"/>
              </w:rPr>
            </w:pPr>
            <w:r w:rsidRPr="00122F83">
              <w:rPr>
                <w:rFonts w:ascii="Times New Roman" w:hAnsi="Times New Roman" w:cs="Times New Roman"/>
                <w:bCs/>
                <w:sz w:val="20"/>
                <w:szCs w:val="20"/>
                <w:lang w:val="en-GB"/>
              </w:rPr>
              <w:t>4.</w:t>
            </w:r>
            <w:r w:rsidRPr="00122F83">
              <w:rPr>
                <w:rFonts w:ascii="Times New Roman" w:hAnsi="Times New Roman" w:cs="Times New Roman"/>
                <w:bCs/>
                <w:sz w:val="20"/>
                <w:szCs w:val="20"/>
                <w:lang w:val="en-GB"/>
              </w:rPr>
              <w:tab/>
            </w:r>
            <w:r w:rsidR="00CB3614" w:rsidRPr="00122F83">
              <w:rPr>
                <w:rFonts w:ascii="Times New Roman" w:hAnsi="Times New Roman" w:cs="Times New Roman"/>
                <w:bCs/>
                <w:sz w:val="20"/>
                <w:szCs w:val="20"/>
                <w:lang w:val="en-GB"/>
              </w:rPr>
              <w:t>….. (High-level representative of a non-UNECE country)</w:t>
            </w:r>
          </w:p>
          <w:p w14:paraId="1225493A" w14:textId="0C472F2F" w:rsidR="00CB3614" w:rsidRPr="00122F83" w:rsidRDefault="007D0D55" w:rsidP="007D0D55">
            <w:pPr>
              <w:pStyle w:val="ListParagraph"/>
              <w:ind w:left="507" w:right="17" w:hanging="360"/>
              <w:rPr>
                <w:rFonts w:ascii="Times New Roman" w:hAnsi="Times New Roman" w:cs="Times New Roman"/>
                <w:bCs/>
                <w:sz w:val="20"/>
                <w:szCs w:val="20"/>
                <w:lang w:val="en-GB"/>
              </w:rPr>
            </w:pPr>
            <w:r w:rsidRPr="00122F83">
              <w:rPr>
                <w:rFonts w:ascii="Times New Roman" w:hAnsi="Times New Roman" w:cs="Times New Roman"/>
                <w:bCs/>
                <w:sz w:val="20"/>
                <w:szCs w:val="20"/>
                <w:lang w:val="en-GB"/>
              </w:rPr>
              <w:t>5.</w:t>
            </w:r>
            <w:r w:rsidRPr="00122F83">
              <w:rPr>
                <w:rFonts w:ascii="Times New Roman" w:hAnsi="Times New Roman" w:cs="Times New Roman"/>
                <w:bCs/>
                <w:sz w:val="20"/>
                <w:szCs w:val="20"/>
                <w:lang w:val="en-GB"/>
              </w:rPr>
              <w:tab/>
            </w:r>
            <w:r w:rsidR="00CB3614" w:rsidRPr="00122F83">
              <w:rPr>
                <w:rFonts w:ascii="Times New Roman" w:hAnsi="Times New Roman" w:cs="Times New Roman"/>
                <w:bCs/>
                <w:sz w:val="20"/>
                <w:szCs w:val="20"/>
                <w:lang w:val="en-GB"/>
              </w:rPr>
              <w:t>….  (High-level representative of a State Party)</w:t>
            </w:r>
          </w:p>
          <w:p w14:paraId="520E8D03" w14:textId="731F2123" w:rsidR="00BF43B2" w:rsidRPr="00122F83" w:rsidRDefault="007D0D55" w:rsidP="007D0D55">
            <w:pPr>
              <w:pStyle w:val="ListParagraph"/>
              <w:ind w:left="504" w:right="17" w:hanging="357"/>
              <w:contextualSpacing w:val="0"/>
              <w:rPr>
                <w:rFonts w:ascii="Times New Roman" w:hAnsi="Times New Roman" w:cs="Times New Roman"/>
                <w:bCs/>
                <w:sz w:val="20"/>
                <w:szCs w:val="20"/>
                <w:lang w:val="en-GB"/>
              </w:rPr>
            </w:pPr>
            <w:r w:rsidRPr="00122F83">
              <w:rPr>
                <w:rFonts w:ascii="Times New Roman" w:hAnsi="Times New Roman" w:cs="Times New Roman"/>
                <w:bCs/>
                <w:sz w:val="20"/>
                <w:szCs w:val="20"/>
                <w:lang w:val="en-GB"/>
              </w:rPr>
              <w:t>6.</w:t>
            </w:r>
            <w:r w:rsidRPr="00122F83">
              <w:rPr>
                <w:rFonts w:ascii="Times New Roman" w:hAnsi="Times New Roman" w:cs="Times New Roman"/>
                <w:bCs/>
                <w:sz w:val="20"/>
                <w:szCs w:val="20"/>
                <w:lang w:val="en-GB"/>
              </w:rPr>
              <w:tab/>
            </w:r>
            <w:r w:rsidR="00CB3614" w:rsidRPr="00122F83">
              <w:rPr>
                <w:rFonts w:ascii="Times New Roman" w:hAnsi="Times New Roman" w:cs="Times New Roman"/>
                <w:bCs/>
                <w:sz w:val="20"/>
                <w:szCs w:val="20"/>
                <w:lang w:val="en-GB"/>
              </w:rPr>
              <w:t>….. (NGO representative to present coordinated views of NGOs active under the treaties</w:t>
            </w:r>
          </w:p>
        </w:tc>
        <w:tc>
          <w:tcPr>
            <w:tcW w:w="1051" w:type="dxa"/>
          </w:tcPr>
          <w:p w14:paraId="134498BD" w14:textId="27A70B93" w:rsidR="00BF43B2" w:rsidRPr="002D7390" w:rsidRDefault="00C96287" w:rsidP="008943C8">
            <w:pPr>
              <w:ind w:left="147" w:right="17"/>
              <w:rPr>
                <w:bCs/>
              </w:rPr>
            </w:pPr>
            <w:r>
              <w:rPr>
                <w:bCs/>
              </w:rPr>
              <w:t>15.</w:t>
            </w:r>
            <w:r w:rsidR="00ED3FFA">
              <w:rPr>
                <w:bCs/>
              </w:rPr>
              <w:t>34</w:t>
            </w:r>
          </w:p>
        </w:tc>
      </w:tr>
      <w:tr w:rsidR="001B7B5F" w:rsidRPr="00F9298F" w14:paraId="60BEF796" w14:textId="77777777" w:rsidTr="00E1638C">
        <w:tc>
          <w:tcPr>
            <w:tcW w:w="7591" w:type="dxa"/>
          </w:tcPr>
          <w:p w14:paraId="698AFFEA" w14:textId="55F8FCAA" w:rsidR="001B7B5F" w:rsidRPr="00122F83" w:rsidRDefault="001B7B5F" w:rsidP="00BF43B2">
            <w:pPr>
              <w:ind w:left="147" w:right="17"/>
              <w:rPr>
                <w:bCs/>
              </w:rPr>
            </w:pPr>
            <w:r w:rsidRPr="00122F83">
              <w:rPr>
                <w:bCs/>
              </w:rPr>
              <w:t xml:space="preserve">Presentations from </w:t>
            </w:r>
            <w:r w:rsidR="00C96287">
              <w:rPr>
                <w:bCs/>
              </w:rPr>
              <w:t>two</w:t>
            </w:r>
            <w:r w:rsidRPr="00122F83">
              <w:rPr>
                <w:bCs/>
              </w:rPr>
              <w:t xml:space="preserve"> [</w:t>
            </w:r>
            <w:r w:rsidR="00C96287">
              <w:rPr>
                <w:bCs/>
              </w:rPr>
              <w:t xml:space="preserve">of the </w:t>
            </w:r>
            <w:r w:rsidRPr="00122F83">
              <w:rPr>
                <w:bCs/>
              </w:rPr>
              <w:t>six] panellists</w:t>
            </w:r>
            <w:r w:rsidR="00487146">
              <w:rPr>
                <w:bCs/>
              </w:rPr>
              <w:t xml:space="preserve"> illustrating good practice </w:t>
            </w:r>
            <w:r w:rsidR="00CB118D">
              <w:rPr>
                <w:bCs/>
              </w:rPr>
              <w:t>and setting out key points in relation to the topics of energy transition, circular economy and green financing</w:t>
            </w:r>
          </w:p>
          <w:p w14:paraId="29CE25C6" w14:textId="77777777" w:rsidR="001B7B5F" w:rsidRPr="00122F83" w:rsidRDefault="001B7B5F" w:rsidP="00BF43B2">
            <w:pPr>
              <w:ind w:left="147" w:right="17"/>
              <w:rPr>
                <w:bCs/>
              </w:rPr>
            </w:pPr>
          </w:p>
          <w:p w14:paraId="34E0E20E" w14:textId="51BA4CBF" w:rsidR="001B7B5F" w:rsidRPr="00122F83" w:rsidRDefault="007D0D55" w:rsidP="007D0D55">
            <w:pPr>
              <w:pStyle w:val="ListParagraph"/>
              <w:ind w:left="504" w:right="17" w:hanging="357"/>
              <w:rPr>
                <w:rFonts w:ascii="Times New Roman" w:hAnsi="Times New Roman" w:cs="Times New Roman"/>
                <w:bCs/>
                <w:sz w:val="20"/>
                <w:szCs w:val="20"/>
                <w:lang w:val="en-GB"/>
              </w:rPr>
            </w:pPr>
            <w:r w:rsidRPr="00122F83">
              <w:rPr>
                <w:rFonts w:ascii="Times New Roman" w:hAnsi="Times New Roman" w:cs="Times New Roman"/>
                <w:bCs/>
                <w:sz w:val="20"/>
                <w:szCs w:val="20"/>
                <w:lang w:val="en-GB"/>
              </w:rPr>
              <w:t>1.</w:t>
            </w:r>
            <w:r w:rsidRPr="00122F83">
              <w:rPr>
                <w:rFonts w:ascii="Times New Roman" w:hAnsi="Times New Roman" w:cs="Times New Roman"/>
                <w:bCs/>
                <w:sz w:val="20"/>
                <w:szCs w:val="20"/>
                <w:lang w:val="en-GB"/>
              </w:rPr>
              <w:tab/>
            </w:r>
            <w:r w:rsidR="001B7B5F" w:rsidRPr="00122F83">
              <w:rPr>
                <w:rFonts w:ascii="Times New Roman" w:hAnsi="Times New Roman" w:cs="Times New Roman"/>
                <w:bCs/>
                <w:sz w:val="20"/>
                <w:szCs w:val="20"/>
                <w:lang w:val="en-GB"/>
              </w:rPr>
              <w:t>…. (</w:t>
            </w:r>
            <w:r w:rsidR="009A71D5">
              <w:rPr>
                <w:rFonts w:ascii="Times New Roman" w:hAnsi="Times New Roman" w:cs="Times New Roman"/>
                <w:bCs/>
                <w:sz w:val="20"/>
                <w:szCs w:val="20"/>
                <w:lang w:val="en-GB"/>
              </w:rPr>
              <w:t>Spain</w:t>
            </w:r>
            <w:r w:rsidR="001B7B5F" w:rsidRPr="00122F83">
              <w:rPr>
                <w:rFonts w:ascii="Times New Roman" w:hAnsi="Times New Roman" w:cs="Times New Roman"/>
                <w:bCs/>
                <w:sz w:val="20"/>
                <w:szCs w:val="20"/>
                <w:lang w:val="en-GB"/>
              </w:rPr>
              <w:t>)</w:t>
            </w:r>
          </w:p>
          <w:p w14:paraId="30B4B10F" w14:textId="16017A37" w:rsidR="001B7B5F" w:rsidRPr="003B7764" w:rsidRDefault="007D0D55" w:rsidP="007D0D55">
            <w:pPr>
              <w:pStyle w:val="ListParagraph"/>
              <w:ind w:left="504" w:right="17" w:hanging="357"/>
              <w:rPr>
                <w:rFonts w:ascii="Times New Roman" w:hAnsi="Times New Roman" w:cs="Times New Roman"/>
                <w:bCs/>
                <w:sz w:val="20"/>
                <w:szCs w:val="20"/>
                <w:lang w:val="en-GB"/>
              </w:rPr>
            </w:pPr>
            <w:r w:rsidRPr="003B7764">
              <w:rPr>
                <w:rFonts w:ascii="Times New Roman" w:hAnsi="Times New Roman" w:cs="Times New Roman"/>
                <w:bCs/>
                <w:sz w:val="20"/>
                <w:szCs w:val="20"/>
                <w:lang w:val="en-GB"/>
              </w:rPr>
              <w:t>2.</w:t>
            </w:r>
            <w:r w:rsidRPr="003B7764">
              <w:rPr>
                <w:rFonts w:ascii="Times New Roman" w:hAnsi="Times New Roman" w:cs="Times New Roman"/>
                <w:bCs/>
                <w:sz w:val="20"/>
                <w:szCs w:val="20"/>
                <w:lang w:val="en-GB"/>
              </w:rPr>
              <w:tab/>
            </w:r>
            <w:r w:rsidR="001B7B5F" w:rsidRPr="00122F83">
              <w:rPr>
                <w:rFonts w:ascii="Times New Roman" w:hAnsi="Times New Roman" w:cs="Times New Roman"/>
                <w:bCs/>
                <w:sz w:val="20"/>
                <w:szCs w:val="20"/>
                <w:lang w:val="en-GB"/>
              </w:rPr>
              <w:t>H.E Ms Iordanov, Environment Minster, (Republic of Moldova)</w:t>
            </w:r>
          </w:p>
        </w:tc>
        <w:tc>
          <w:tcPr>
            <w:tcW w:w="1051" w:type="dxa"/>
          </w:tcPr>
          <w:p w14:paraId="1EF965B1" w14:textId="4E73D719" w:rsidR="001B7B5F" w:rsidRPr="001B7B5F" w:rsidRDefault="003B7764" w:rsidP="008943C8">
            <w:pPr>
              <w:ind w:left="147" w:right="17"/>
              <w:rPr>
                <w:bCs/>
              </w:rPr>
            </w:pPr>
            <w:r>
              <w:rPr>
                <w:bCs/>
              </w:rPr>
              <w:t>15.</w:t>
            </w:r>
            <w:r w:rsidR="00ED3FFA">
              <w:rPr>
                <w:bCs/>
              </w:rPr>
              <w:t>37</w:t>
            </w:r>
          </w:p>
        </w:tc>
      </w:tr>
      <w:tr w:rsidR="001B7B5F" w:rsidRPr="00F9298F" w14:paraId="246955F6" w14:textId="77777777" w:rsidTr="00E1638C">
        <w:tc>
          <w:tcPr>
            <w:tcW w:w="7591" w:type="dxa"/>
          </w:tcPr>
          <w:p w14:paraId="18C706F2" w14:textId="0293C1E7" w:rsidR="00B95627" w:rsidRPr="009A71D5" w:rsidDel="00E330D3" w:rsidRDefault="002D7390" w:rsidP="009A71D5">
            <w:pPr>
              <w:ind w:left="147" w:right="17"/>
              <w:rPr>
                <w:bCs/>
              </w:rPr>
            </w:pPr>
            <w:r w:rsidRPr="00B95627">
              <w:rPr>
                <w:bCs/>
              </w:rPr>
              <w:t>F</w:t>
            </w:r>
            <w:r w:rsidR="00BF43B2" w:rsidRPr="00B95627">
              <w:rPr>
                <w:bCs/>
              </w:rPr>
              <w:t xml:space="preserve">acilitated </w:t>
            </w:r>
            <w:r w:rsidRPr="00B95627">
              <w:rPr>
                <w:bCs/>
              </w:rPr>
              <w:t xml:space="preserve">panel </w:t>
            </w:r>
            <w:r w:rsidR="00BF43B2" w:rsidRPr="00B95627">
              <w:rPr>
                <w:bCs/>
              </w:rPr>
              <w:t>discussions on pre-agreed questions</w:t>
            </w:r>
            <w:r w:rsidR="003B7764">
              <w:rPr>
                <w:bCs/>
              </w:rPr>
              <w:t xml:space="preserve"> on energy transition</w:t>
            </w:r>
          </w:p>
        </w:tc>
        <w:tc>
          <w:tcPr>
            <w:tcW w:w="1051" w:type="dxa"/>
          </w:tcPr>
          <w:p w14:paraId="26622F48" w14:textId="4D0FCBF9" w:rsidR="002D7390" w:rsidRPr="00B95627" w:rsidRDefault="00F1104C" w:rsidP="008943C8">
            <w:pPr>
              <w:pStyle w:val="ListParagraph"/>
              <w:ind w:left="147" w:right="17"/>
              <w:rPr>
                <w:rFonts w:ascii="Times New Roman" w:hAnsi="Times New Roman" w:cs="Times New Roman"/>
                <w:bCs/>
                <w:sz w:val="20"/>
                <w:szCs w:val="20"/>
                <w:lang w:val="en-GB"/>
              </w:rPr>
            </w:pPr>
            <w:r>
              <w:rPr>
                <w:rFonts w:ascii="Times New Roman" w:hAnsi="Times New Roman" w:cs="Times New Roman"/>
                <w:bCs/>
                <w:sz w:val="20"/>
                <w:szCs w:val="20"/>
                <w:lang w:val="en-GB"/>
              </w:rPr>
              <w:t>15.</w:t>
            </w:r>
            <w:r w:rsidR="00ED3FFA">
              <w:rPr>
                <w:rFonts w:ascii="Times New Roman" w:hAnsi="Times New Roman" w:cs="Times New Roman"/>
                <w:bCs/>
                <w:sz w:val="20"/>
                <w:szCs w:val="20"/>
                <w:lang w:val="en-GB"/>
              </w:rPr>
              <w:t>51</w:t>
            </w:r>
          </w:p>
        </w:tc>
      </w:tr>
      <w:tr w:rsidR="00F1104C" w:rsidRPr="00F9298F" w14:paraId="7B26800F" w14:textId="77777777" w:rsidTr="00E1638C">
        <w:tc>
          <w:tcPr>
            <w:tcW w:w="7591" w:type="dxa"/>
          </w:tcPr>
          <w:p w14:paraId="59F5E3B7" w14:textId="3AB14B08" w:rsidR="00F1104C" w:rsidRPr="00122F83" w:rsidRDefault="00F1104C" w:rsidP="00196DEE">
            <w:pPr>
              <w:spacing w:after="200"/>
              <w:ind w:left="147" w:right="17"/>
              <w:contextualSpacing/>
              <w:rPr>
                <w:bCs/>
              </w:rPr>
            </w:pPr>
            <w:r w:rsidRPr="00B95627">
              <w:rPr>
                <w:bCs/>
              </w:rPr>
              <w:t>Statements and questions from the floor</w:t>
            </w:r>
            <w:r w:rsidR="004B7A3C">
              <w:rPr>
                <w:bCs/>
              </w:rPr>
              <w:t xml:space="preserve"> related to energy transition</w:t>
            </w:r>
            <w:r w:rsidRPr="00B95627">
              <w:rPr>
                <w:bCs/>
              </w:rPr>
              <w:t xml:space="preserve">. Two </w:t>
            </w:r>
            <w:r w:rsidR="004B7A3C">
              <w:rPr>
                <w:bCs/>
              </w:rPr>
              <w:t>statements and/or questions</w:t>
            </w:r>
          </w:p>
        </w:tc>
        <w:tc>
          <w:tcPr>
            <w:tcW w:w="1051" w:type="dxa"/>
          </w:tcPr>
          <w:p w14:paraId="492DBFDE" w14:textId="7210ECE4" w:rsidR="00F1104C" w:rsidRPr="00B95627" w:rsidRDefault="004B7A3C" w:rsidP="008943C8">
            <w:pPr>
              <w:pStyle w:val="ListParagraph"/>
              <w:ind w:left="147" w:right="17"/>
              <w:rPr>
                <w:rFonts w:ascii="Times New Roman" w:hAnsi="Times New Roman" w:cs="Times New Roman"/>
                <w:bCs/>
                <w:sz w:val="20"/>
                <w:szCs w:val="20"/>
                <w:lang w:val="en-GB"/>
              </w:rPr>
            </w:pPr>
            <w:r>
              <w:rPr>
                <w:rFonts w:ascii="Times New Roman" w:hAnsi="Times New Roman" w:cs="Times New Roman"/>
                <w:bCs/>
                <w:sz w:val="20"/>
                <w:szCs w:val="20"/>
                <w:lang w:val="en-GB"/>
              </w:rPr>
              <w:t>16.</w:t>
            </w:r>
            <w:r w:rsidR="00ED3FFA">
              <w:rPr>
                <w:rFonts w:ascii="Times New Roman" w:hAnsi="Times New Roman" w:cs="Times New Roman"/>
                <w:bCs/>
                <w:sz w:val="20"/>
                <w:szCs w:val="20"/>
                <w:lang w:val="en-GB"/>
              </w:rPr>
              <w:t>01</w:t>
            </w:r>
          </w:p>
        </w:tc>
      </w:tr>
      <w:tr w:rsidR="003B7764" w:rsidRPr="00F9298F" w14:paraId="32F0C5B0" w14:textId="77777777" w:rsidTr="00E1638C">
        <w:tc>
          <w:tcPr>
            <w:tcW w:w="7591" w:type="dxa"/>
          </w:tcPr>
          <w:p w14:paraId="5F5E990C" w14:textId="1F71EECA" w:rsidR="003B7764" w:rsidRPr="00122F83" w:rsidRDefault="003B7764" w:rsidP="00987216">
            <w:pPr>
              <w:spacing w:after="200"/>
              <w:ind w:left="147" w:right="17"/>
              <w:contextualSpacing/>
              <w:rPr>
                <w:bCs/>
              </w:rPr>
            </w:pPr>
            <w:r w:rsidRPr="00122F83">
              <w:rPr>
                <w:bCs/>
              </w:rPr>
              <w:t xml:space="preserve">Presentations from </w:t>
            </w:r>
            <w:r>
              <w:rPr>
                <w:bCs/>
              </w:rPr>
              <w:t>two</w:t>
            </w:r>
            <w:r w:rsidRPr="00122F83">
              <w:rPr>
                <w:bCs/>
              </w:rPr>
              <w:t xml:space="preserve"> [</w:t>
            </w:r>
            <w:r>
              <w:rPr>
                <w:bCs/>
              </w:rPr>
              <w:t xml:space="preserve">of the </w:t>
            </w:r>
            <w:r w:rsidRPr="00122F83">
              <w:rPr>
                <w:bCs/>
              </w:rPr>
              <w:t>six] panellists</w:t>
            </w:r>
            <w:r w:rsidR="00CB118D">
              <w:rPr>
                <w:bCs/>
              </w:rPr>
              <w:t xml:space="preserve"> illustrating good practice and setting out key points in relation to the topics of energy transition, circular economy and green financing</w:t>
            </w:r>
          </w:p>
          <w:p w14:paraId="2FD634BF" w14:textId="7910D67D" w:rsidR="003B7764" w:rsidRPr="00122F83" w:rsidRDefault="007D0D55" w:rsidP="007D0D55">
            <w:pPr>
              <w:pStyle w:val="ListParagraph"/>
              <w:ind w:left="504" w:right="17" w:hanging="357"/>
              <w:rPr>
                <w:rFonts w:ascii="Times New Roman" w:hAnsi="Times New Roman" w:cs="Times New Roman"/>
                <w:bCs/>
                <w:sz w:val="20"/>
                <w:szCs w:val="20"/>
                <w:lang w:val="en-GB"/>
              </w:rPr>
            </w:pPr>
            <w:r w:rsidRPr="00122F83">
              <w:rPr>
                <w:rFonts w:ascii="Times New Roman" w:hAnsi="Times New Roman" w:cs="Times New Roman"/>
                <w:bCs/>
                <w:sz w:val="20"/>
                <w:szCs w:val="20"/>
                <w:lang w:val="en-GB"/>
              </w:rPr>
              <w:t>3.</w:t>
            </w:r>
            <w:r w:rsidRPr="00122F83">
              <w:rPr>
                <w:rFonts w:ascii="Times New Roman" w:hAnsi="Times New Roman" w:cs="Times New Roman"/>
                <w:bCs/>
                <w:sz w:val="20"/>
                <w:szCs w:val="20"/>
                <w:lang w:val="en-GB"/>
              </w:rPr>
              <w:tab/>
            </w:r>
            <w:r w:rsidR="003B7764" w:rsidRPr="00122F83">
              <w:rPr>
                <w:rFonts w:ascii="Times New Roman" w:hAnsi="Times New Roman" w:cs="Times New Roman"/>
                <w:bCs/>
                <w:sz w:val="20"/>
                <w:szCs w:val="20"/>
                <w:lang w:val="en-GB"/>
              </w:rPr>
              <w:t>….. (</w:t>
            </w:r>
            <w:r w:rsidR="00E35258" w:rsidRPr="00355C6A">
              <w:rPr>
                <w:rFonts w:ascii="Times New Roman" w:hAnsi="Times New Roman" w:cs="Times New Roman"/>
                <w:bCs/>
                <w:sz w:val="20"/>
                <w:szCs w:val="20"/>
                <w:lang w:val="en-GB"/>
              </w:rPr>
              <w:t>High-level representative of a State Party</w:t>
            </w:r>
            <w:r w:rsidR="003B7764" w:rsidRPr="00122F83">
              <w:rPr>
                <w:rFonts w:ascii="Times New Roman" w:hAnsi="Times New Roman" w:cs="Times New Roman"/>
                <w:bCs/>
                <w:sz w:val="20"/>
                <w:szCs w:val="20"/>
                <w:lang w:val="en-GB"/>
              </w:rPr>
              <w:t>)</w:t>
            </w:r>
          </w:p>
          <w:p w14:paraId="64481258" w14:textId="30DF140C" w:rsidR="003B7764" w:rsidRPr="00602C64" w:rsidRDefault="007D0D55" w:rsidP="007D0D55">
            <w:pPr>
              <w:pStyle w:val="ListParagraph"/>
              <w:ind w:left="504" w:right="17" w:hanging="357"/>
              <w:contextualSpacing w:val="0"/>
              <w:rPr>
                <w:rFonts w:ascii="Times New Roman" w:hAnsi="Times New Roman" w:cs="Times New Roman"/>
                <w:bCs/>
                <w:sz w:val="20"/>
                <w:szCs w:val="20"/>
                <w:lang w:val="en-GB"/>
              </w:rPr>
            </w:pPr>
            <w:r w:rsidRPr="00602C64">
              <w:rPr>
                <w:rFonts w:ascii="Times New Roman" w:hAnsi="Times New Roman" w:cs="Times New Roman"/>
                <w:bCs/>
                <w:sz w:val="20"/>
                <w:szCs w:val="20"/>
                <w:lang w:val="en-GB"/>
              </w:rPr>
              <w:t>4.</w:t>
            </w:r>
            <w:r w:rsidRPr="00602C64">
              <w:rPr>
                <w:rFonts w:ascii="Times New Roman" w:hAnsi="Times New Roman" w:cs="Times New Roman"/>
                <w:bCs/>
                <w:sz w:val="20"/>
                <w:szCs w:val="20"/>
                <w:lang w:val="en-GB"/>
              </w:rPr>
              <w:tab/>
            </w:r>
            <w:r w:rsidR="003B7764" w:rsidRPr="00122F83">
              <w:rPr>
                <w:rFonts w:ascii="Times New Roman" w:hAnsi="Times New Roman" w:cs="Times New Roman"/>
                <w:bCs/>
                <w:sz w:val="20"/>
                <w:szCs w:val="20"/>
                <w:lang w:val="en-GB"/>
              </w:rPr>
              <w:t xml:space="preserve">….. </w:t>
            </w:r>
            <w:r w:rsidR="002A5BF9" w:rsidRPr="00987216">
              <w:rPr>
                <w:rFonts w:ascii="Times New Roman" w:hAnsi="Times New Roman" w:cs="Times New Roman"/>
                <w:bCs/>
                <w:sz w:val="20"/>
                <w:szCs w:val="20"/>
                <w:lang w:val="en-GB"/>
              </w:rPr>
              <w:t>(NGO representative to present coordinated views of NGOs active under the treaties</w:t>
            </w:r>
            <w:r w:rsidR="002A5BF9" w:rsidRPr="00122F83">
              <w:rPr>
                <w:rFonts w:ascii="Times New Roman" w:hAnsi="Times New Roman" w:cs="Times New Roman"/>
                <w:bCs/>
                <w:sz w:val="20"/>
                <w:szCs w:val="20"/>
                <w:lang w:val="en-GB"/>
              </w:rPr>
              <w:t xml:space="preserve"> </w:t>
            </w:r>
          </w:p>
        </w:tc>
        <w:tc>
          <w:tcPr>
            <w:tcW w:w="1051" w:type="dxa"/>
          </w:tcPr>
          <w:p w14:paraId="3BF4A1D2" w14:textId="0E5CD414" w:rsidR="003B7764" w:rsidRPr="00B95627" w:rsidRDefault="000E398A" w:rsidP="008943C8">
            <w:pPr>
              <w:pStyle w:val="ListParagraph"/>
              <w:ind w:left="147" w:right="17"/>
              <w:rPr>
                <w:rFonts w:ascii="Times New Roman" w:hAnsi="Times New Roman" w:cs="Times New Roman"/>
                <w:bCs/>
                <w:sz w:val="20"/>
                <w:szCs w:val="20"/>
                <w:lang w:val="en-GB"/>
              </w:rPr>
            </w:pPr>
            <w:r>
              <w:rPr>
                <w:rFonts w:ascii="Times New Roman" w:hAnsi="Times New Roman" w:cs="Times New Roman"/>
                <w:bCs/>
                <w:sz w:val="20"/>
                <w:szCs w:val="20"/>
                <w:lang w:val="en-GB"/>
              </w:rPr>
              <w:t>16.</w:t>
            </w:r>
            <w:r w:rsidR="00ED3FFA">
              <w:rPr>
                <w:rFonts w:ascii="Times New Roman" w:hAnsi="Times New Roman" w:cs="Times New Roman"/>
                <w:bCs/>
                <w:sz w:val="20"/>
                <w:szCs w:val="20"/>
                <w:lang w:val="en-GB"/>
              </w:rPr>
              <w:t>08</w:t>
            </w:r>
          </w:p>
        </w:tc>
      </w:tr>
      <w:tr w:rsidR="00E86523" w:rsidRPr="00F9298F" w14:paraId="49BE645E" w14:textId="77777777" w:rsidTr="00E1638C">
        <w:tc>
          <w:tcPr>
            <w:tcW w:w="7591" w:type="dxa"/>
          </w:tcPr>
          <w:p w14:paraId="0387FD9E" w14:textId="31072AEF" w:rsidR="00E86523" w:rsidRPr="00B95627" w:rsidRDefault="00E86523" w:rsidP="00E86523">
            <w:pPr>
              <w:spacing w:after="200"/>
              <w:ind w:left="147" w:right="17"/>
              <w:rPr>
                <w:bCs/>
              </w:rPr>
            </w:pPr>
            <w:r w:rsidRPr="00B95627">
              <w:rPr>
                <w:bCs/>
              </w:rPr>
              <w:t>Facilitated panel discussions on pre-agreed questions</w:t>
            </w:r>
            <w:r>
              <w:rPr>
                <w:bCs/>
              </w:rPr>
              <w:t xml:space="preserve"> on the circular economy</w:t>
            </w:r>
          </w:p>
        </w:tc>
        <w:tc>
          <w:tcPr>
            <w:tcW w:w="1051" w:type="dxa"/>
          </w:tcPr>
          <w:p w14:paraId="13193978" w14:textId="1A40B073" w:rsidR="00E86523" w:rsidRPr="007733B8" w:rsidRDefault="00E86523" w:rsidP="007733B8">
            <w:pPr>
              <w:ind w:left="147" w:right="17"/>
              <w:rPr>
                <w:bCs/>
              </w:rPr>
            </w:pPr>
            <w:r>
              <w:rPr>
                <w:bCs/>
              </w:rPr>
              <w:t>16.</w:t>
            </w:r>
            <w:r w:rsidR="00ED3FFA">
              <w:rPr>
                <w:bCs/>
              </w:rPr>
              <w:t>22</w:t>
            </w:r>
          </w:p>
        </w:tc>
      </w:tr>
      <w:tr w:rsidR="001B7B5F" w:rsidRPr="00F9298F" w14:paraId="0690A5BD" w14:textId="06B0804B" w:rsidTr="00E1638C">
        <w:tc>
          <w:tcPr>
            <w:tcW w:w="7591" w:type="dxa"/>
          </w:tcPr>
          <w:p w14:paraId="6D63ABCE" w14:textId="514E0665" w:rsidR="002D7390" w:rsidRPr="0048446E" w:rsidRDefault="00BF43B2" w:rsidP="0048446E">
            <w:pPr>
              <w:spacing w:after="200"/>
              <w:ind w:left="147" w:right="17"/>
              <w:rPr>
                <w:bCs/>
              </w:rPr>
            </w:pPr>
            <w:r w:rsidRPr="00B95627">
              <w:rPr>
                <w:bCs/>
              </w:rPr>
              <w:t>Statements and questions from the floor</w:t>
            </w:r>
            <w:r w:rsidR="008943C8">
              <w:rPr>
                <w:bCs/>
              </w:rPr>
              <w:t xml:space="preserve"> related to </w:t>
            </w:r>
            <w:r w:rsidR="001D7350">
              <w:rPr>
                <w:bCs/>
              </w:rPr>
              <w:t>the circular economy</w:t>
            </w:r>
            <w:r w:rsidRPr="00B95627">
              <w:rPr>
                <w:bCs/>
              </w:rPr>
              <w:t>.</w:t>
            </w:r>
            <w:r w:rsidR="001B7B5F" w:rsidRPr="00B95627">
              <w:rPr>
                <w:bCs/>
              </w:rPr>
              <w:t xml:space="preserve"> </w:t>
            </w:r>
            <w:r w:rsidR="00B95627" w:rsidRPr="00B95627">
              <w:rPr>
                <w:bCs/>
              </w:rPr>
              <w:t>Two</w:t>
            </w:r>
            <w:r w:rsidR="001B7B5F" w:rsidRPr="00B95627">
              <w:rPr>
                <w:bCs/>
              </w:rPr>
              <w:t xml:space="preserve"> </w:t>
            </w:r>
            <w:r w:rsidR="00B95627" w:rsidRPr="00B95627">
              <w:rPr>
                <w:bCs/>
              </w:rPr>
              <w:t xml:space="preserve">statements </w:t>
            </w:r>
            <w:r w:rsidR="001D7350">
              <w:rPr>
                <w:bCs/>
              </w:rPr>
              <w:t>and/</w:t>
            </w:r>
            <w:r w:rsidR="00B95627" w:rsidRPr="00B95627">
              <w:rPr>
                <w:bCs/>
              </w:rPr>
              <w:t>or questions</w:t>
            </w:r>
          </w:p>
        </w:tc>
        <w:tc>
          <w:tcPr>
            <w:tcW w:w="1051" w:type="dxa"/>
          </w:tcPr>
          <w:p w14:paraId="23C2E324" w14:textId="18358F3E" w:rsidR="00BF43B2" w:rsidRPr="007733B8" w:rsidRDefault="007733B8" w:rsidP="007733B8">
            <w:pPr>
              <w:ind w:left="147" w:right="17"/>
              <w:rPr>
                <w:bCs/>
              </w:rPr>
            </w:pPr>
            <w:r w:rsidRPr="007733B8">
              <w:rPr>
                <w:bCs/>
              </w:rPr>
              <w:t>16.</w:t>
            </w:r>
            <w:r w:rsidR="00ED3FFA">
              <w:rPr>
                <w:bCs/>
              </w:rPr>
              <w:t>32</w:t>
            </w:r>
          </w:p>
        </w:tc>
      </w:tr>
      <w:tr w:rsidR="00FB12E0" w:rsidRPr="00F9298F" w14:paraId="24BED1B3" w14:textId="77777777" w:rsidTr="00E1638C">
        <w:tc>
          <w:tcPr>
            <w:tcW w:w="7591" w:type="dxa"/>
          </w:tcPr>
          <w:p w14:paraId="45A5D297" w14:textId="42C15D84" w:rsidR="00FB12E0" w:rsidRPr="00987216" w:rsidRDefault="00FB12E0" w:rsidP="00987216">
            <w:pPr>
              <w:spacing w:after="200"/>
              <w:ind w:left="147" w:right="17"/>
              <w:rPr>
                <w:bCs/>
              </w:rPr>
            </w:pPr>
            <w:r w:rsidRPr="00987216">
              <w:rPr>
                <w:bCs/>
              </w:rPr>
              <w:t>Presentations from two [of the six] panellists</w:t>
            </w:r>
            <w:r w:rsidR="00CB118D" w:rsidRPr="00987216">
              <w:rPr>
                <w:bCs/>
              </w:rPr>
              <w:t xml:space="preserve"> illustrating good practice and setting out key points in relation to the topics of energy transition, circular economy and green financing</w:t>
            </w:r>
          </w:p>
          <w:p w14:paraId="253D0E03" w14:textId="0ECB85F7" w:rsidR="00CB118D" w:rsidRPr="00987216" w:rsidRDefault="007D0D55" w:rsidP="007D0D55">
            <w:pPr>
              <w:pStyle w:val="ListParagraph"/>
              <w:ind w:left="504" w:right="17" w:hanging="357"/>
              <w:rPr>
                <w:rFonts w:ascii="Times New Roman" w:hAnsi="Times New Roman" w:cs="Times New Roman"/>
                <w:bCs/>
                <w:sz w:val="20"/>
                <w:szCs w:val="20"/>
              </w:rPr>
            </w:pPr>
            <w:r w:rsidRPr="00987216">
              <w:rPr>
                <w:rFonts w:ascii="Times New Roman" w:hAnsi="Times New Roman" w:cs="Times New Roman"/>
                <w:bCs/>
                <w:sz w:val="20"/>
                <w:szCs w:val="20"/>
              </w:rPr>
              <w:t>5.</w:t>
            </w:r>
            <w:r w:rsidRPr="00987216">
              <w:rPr>
                <w:rFonts w:ascii="Times New Roman" w:hAnsi="Times New Roman" w:cs="Times New Roman"/>
                <w:bCs/>
                <w:sz w:val="20"/>
                <w:szCs w:val="20"/>
              </w:rPr>
              <w:tab/>
            </w:r>
            <w:r w:rsidR="00FB12E0" w:rsidRPr="00987216">
              <w:rPr>
                <w:rFonts w:ascii="Times New Roman" w:hAnsi="Times New Roman" w:cs="Times New Roman"/>
                <w:bCs/>
                <w:sz w:val="20"/>
                <w:szCs w:val="20"/>
              </w:rPr>
              <w:t>….  (</w:t>
            </w:r>
            <w:r w:rsidR="002A5BF9">
              <w:rPr>
                <w:rFonts w:ascii="Times New Roman" w:hAnsi="Times New Roman" w:cs="Times New Roman"/>
                <w:bCs/>
                <w:sz w:val="20"/>
                <w:szCs w:val="20"/>
                <w:lang w:val="en-GB"/>
              </w:rPr>
              <w:t>Italy</w:t>
            </w:r>
            <w:r w:rsidR="00FB12E0" w:rsidRPr="00987216">
              <w:rPr>
                <w:rFonts w:ascii="Times New Roman" w:hAnsi="Times New Roman" w:cs="Times New Roman"/>
                <w:bCs/>
                <w:sz w:val="20"/>
                <w:szCs w:val="20"/>
              </w:rPr>
              <w:t>)</w:t>
            </w:r>
          </w:p>
          <w:p w14:paraId="51E27F9D" w14:textId="6B148F54" w:rsidR="00FB12E0" w:rsidRPr="00355C6A" w:rsidRDefault="007D0D55" w:rsidP="007D0D55">
            <w:pPr>
              <w:pStyle w:val="ListParagraph"/>
              <w:ind w:left="504" w:right="17" w:hanging="357"/>
              <w:rPr>
                <w:bCs/>
                <w:lang w:val="en-GB"/>
              </w:rPr>
            </w:pPr>
            <w:r w:rsidRPr="00355C6A">
              <w:rPr>
                <w:rFonts w:ascii="Times New Roman" w:hAnsi="Times New Roman"/>
                <w:bCs/>
                <w:sz w:val="20"/>
                <w:lang w:val="en-GB"/>
              </w:rPr>
              <w:t>6.</w:t>
            </w:r>
            <w:r w:rsidRPr="00355C6A">
              <w:rPr>
                <w:rFonts w:ascii="Times New Roman" w:hAnsi="Times New Roman"/>
                <w:bCs/>
                <w:sz w:val="20"/>
                <w:lang w:val="en-GB"/>
              </w:rPr>
              <w:tab/>
            </w:r>
            <w:r w:rsidR="00FB12E0" w:rsidRPr="00987216">
              <w:rPr>
                <w:rFonts w:ascii="Times New Roman" w:hAnsi="Times New Roman" w:cs="Times New Roman"/>
                <w:bCs/>
                <w:sz w:val="20"/>
                <w:szCs w:val="20"/>
                <w:lang w:val="en-GB"/>
              </w:rPr>
              <w:t xml:space="preserve">….. </w:t>
            </w:r>
            <w:r w:rsidR="002A5BF9" w:rsidRPr="00122F83">
              <w:rPr>
                <w:rFonts w:ascii="Times New Roman" w:hAnsi="Times New Roman" w:cs="Times New Roman"/>
                <w:bCs/>
                <w:sz w:val="20"/>
                <w:szCs w:val="20"/>
                <w:lang w:val="en-GB"/>
              </w:rPr>
              <w:t>(High-level representative of a non-UNECE country)</w:t>
            </w:r>
          </w:p>
        </w:tc>
        <w:tc>
          <w:tcPr>
            <w:tcW w:w="1051" w:type="dxa"/>
          </w:tcPr>
          <w:p w14:paraId="79469B40" w14:textId="59C4EC47" w:rsidR="00FB12E0" w:rsidRDefault="0094229F" w:rsidP="00A55C6E">
            <w:pPr>
              <w:ind w:left="147" w:right="17"/>
              <w:rPr>
                <w:bCs/>
              </w:rPr>
            </w:pPr>
            <w:r>
              <w:rPr>
                <w:bCs/>
              </w:rPr>
              <w:t>16.</w:t>
            </w:r>
            <w:r w:rsidR="00ED3FFA">
              <w:rPr>
                <w:bCs/>
              </w:rPr>
              <w:t>39</w:t>
            </w:r>
          </w:p>
        </w:tc>
      </w:tr>
      <w:tr w:rsidR="00FB12E0" w:rsidRPr="00F9298F" w14:paraId="57CE2EED" w14:textId="77777777" w:rsidTr="00E1638C">
        <w:tc>
          <w:tcPr>
            <w:tcW w:w="7591" w:type="dxa"/>
          </w:tcPr>
          <w:p w14:paraId="73C19F9D" w14:textId="655861BD" w:rsidR="00FB12E0" w:rsidRDefault="0094229F" w:rsidP="00196DEE">
            <w:pPr>
              <w:spacing w:after="200"/>
              <w:ind w:left="147" w:right="17"/>
              <w:rPr>
                <w:bCs/>
              </w:rPr>
            </w:pPr>
            <w:r w:rsidRPr="00B95627">
              <w:rPr>
                <w:bCs/>
              </w:rPr>
              <w:t>Facilitated panel discussions on pre-agreed questions</w:t>
            </w:r>
            <w:r>
              <w:rPr>
                <w:bCs/>
              </w:rPr>
              <w:t xml:space="preserve"> on green financing</w:t>
            </w:r>
          </w:p>
        </w:tc>
        <w:tc>
          <w:tcPr>
            <w:tcW w:w="1051" w:type="dxa"/>
          </w:tcPr>
          <w:p w14:paraId="66153CE6" w14:textId="72A946D1" w:rsidR="00FB12E0" w:rsidRDefault="0094229F" w:rsidP="00A55C6E">
            <w:pPr>
              <w:ind w:left="147" w:right="17"/>
              <w:rPr>
                <w:bCs/>
              </w:rPr>
            </w:pPr>
            <w:r>
              <w:rPr>
                <w:bCs/>
              </w:rPr>
              <w:t>16.</w:t>
            </w:r>
            <w:r w:rsidR="00ED3FFA">
              <w:rPr>
                <w:bCs/>
              </w:rPr>
              <w:t>53</w:t>
            </w:r>
          </w:p>
        </w:tc>
      </w:tr>
      <w:tr w:rsidR="00FB12E0" w:rsidRPr="00F9298F" w14:paraId="63CB6396" w14:textId="77777777" w:rsidTr="00E1638C">
        <w:tc>
          <w:tcPr>
            <w:tcW w:w="7591" w:type="dxa"/>
          </w:tcPr>
          <w:p w14:paraId="62EAAEEC" w14:textId="6FE428B2" w:rsidR="00FB12E0" w:rsidRDefault="00FB12E0" w:rsidP="00FB12E0">
            <w:pPr>
              <w:spacing w:after="200"/>
              <w:ind w:left="147" w:right="17"/>
              <w:rPr>
                <w:bCs/>
              </w:rPr>
            </w:pPr>
            <w:r w:rsidRPr="00B95627">
              <w:rPr>
                <w:bCs/>
              </w:rPr>
              <w:t>Statements and questions from the floor</w:t>
            </w:r>
            <w:r>
              <w:rPr>
                <w:bCs/>
              </w:rPr>
              <w:t xml:space="preserve"> related to green financing</w:t>
            </w:r>
            <w:r w:rsidRPr="00B95627">
              <w:rPr>
                <w:bCs/>
              </w:rPr>
              <w:t xml:space="preserve">. Two statements </w:t>
            </w:r>
            <w:r>
              <w:rPr>
                <w:bCs/>
              </w:rPr>
              <w:t>and/</w:t>
            </w:r>
            <w:r w:rsidRPr="00B95627">
              <w:rPr>
                <w:bCs/>
              </w:rPr>
              <w:t>or questions</w:t>
            </w:r>
          </w:p>
        </w:tc>
        <w:tc>
          <w:tcPr>
            <w:tcW w:w="1051" w:type="dxa"/>
          </w:tcPr>
          <w:p w14:paraId="604575F7" w14:textId="630EB6C3" w:rsidR="00FB12E0" w:rsidRDefault="00DF2A9B" w:rsidP="00A55C6E">
            <w:pPr>
              <w:ind w:left="147" w:right="17"/>
              <w:rPr>
                <w:bCs/>
              </w:rPr>
            </w:pPr>
            <w:r>
              <w:rPr>
                <w:bCs/>
              </w:rPr>
              <w:t>17.</w:t>
            </w:r>
            <w:r w:rsidR="00ED3FFA">
              <w:rPr>
                <w:bCs/>
              </w:rPr>
              <w:t>03</w:t>
            </w:r>
          </w:p>
        </w:tc>
      </w:tr>
      <w:tr w:rsidR="00DF2A9B" w:rsidRPr="00F9298F" w14:paraId="2305C45C" w14:textId="77777777" w:rsidTr="00E1638C">
        <w:tc>
          <w:tcPr>
            <w:tcW w:w="7591" w:type="dxa"/>
          </w:tcPr>
          <w:p w14:paraId="1016BB97" w14:textId="5D81F18B" w:rsidR="00DF2A9B" w:rsidRDefault="00580306" w:rsidP="00196DEE">
            <w:pPr>
              <w:spacing w:after="200"/>
              <w:ind w:left="147" w:right="17"/>
              <w:rPr>
                <w:bCs/>
              </w:rPr>
            </w:pPr>
            <w:r>
              <w:rPr>
                <w:bCs/>
              </w:rPr>
              <w:t xml:space="preserve">One </w:t>
            </w:r>
            <w:r w:rsidR="00D90CD1">
              <w:rPr>
                <w:bCs/>
              </w:rPr>
              <w:t xml:space="preserve">or two </w:t>
            </w:r>
            <w:r>
              <w:rPr>
                <w:bCs/>
              </w:rPr>
              <w:t>open question</w:t>
            </w:r>
            <w:r w:rsidR="00D90CD1">
              <w:rPr>
                <w:bCs/>
              </w:rPr>
              <w:t>s</w:t>
            </w:r>
            <w:r>
              <w:rPr>
                <w:bCs/>
              </w:rPr>
              <w:t>, or additional statement</w:t>
            </w:r>
            <w:r w:rsidR="00D90CD1">
              <w:rPr>
                <w:bCs/>
              </w:rPr>
              <w:t>s</w:t>
            </w:r>
            <w:r>
              <w:rPr>
                <w:bCs/>
              </w:rPr>
              <w:t xml:space="preserve"> from the floor, time permitting</w:t>
            </w:r>
          </w:p>
        </w:tc>
        <w:tc>
          <w:tcPr>
            <w:tcW w:w="1051" w:type="dxa"/>
          </w:tcPr>
          <w:p w14:paraId="53273AC0" w14:textId="468633FA" w:rsidR="00DF2A9B" w:rsidRDefault="00DF2A9B" w:rsidP="00A55C6E">
            <w:pPr>
              <w:ind w:left="147" w:right="17"/>
              <w:rPr>
                <w:bCs/>
              </w:rPr>
            </w:pPr>
            <w:r>
              <w:rPr>
                <w:bCs/>
              </w:rPr>
              <w:t>17.</w:t>
            </w:r>
            <w:r w:rsidR="00ED3FFA">
              <w:rPr>
                <w:bCs/>
              </w:rPr>
              <w:t>10</w:t>
            </w:r>
          </w:p>
        </w:tc>
      </w:tr>
      <w:tr w:rsidR="001B7B5F" w:rsidRPr="00F9298F" w14:paraId="4C29AA25" w14:textId="267CB746" w:rsidTr="00E1638C">
        <w:tc>
          <w:tcPr>
            <w:tcW w:w="7591" w:type="dxa"/>
          </w:tcPr>
          <w:p w14:paraId="352907D2" w14:textId="2B4E6326" w:rsidR="00BF43B2" w:rsidRPr="002D7390" w:rsidRDefault="002D7390" w:rsidP="00196DEE">
            <w:pPr>
              <w:spacing w:after="200"/>
              <w:ind w:left="147" w:right="17"/>
              <w:rPr>
                <w:bCs/>
              </w:rPr>
            </w:pPr>
            <w:r>
              <w:rPr>
                <w:bCs/>
              </w:rPr>
              <w:t xml:space="preserve">Moderator summarises </w:t>
            </w:r>
            <w:r w:rsidR="00BF43B2" w:rsidRPr="002D7390">
              <w:rPr>
                <w:bCs/>
              </w:rPr>
              <w:t>key points from the discussion, incorporating 1-2 key points from each presentation, and any critical issues raised in statements/questions</w:t>
            </w:r>
          </w:p>
        </w:tc>
        <w:tc>
          <w:tcPr>
            <w:tcW w:w="1051" w:type="dxa"/>
          </w:tcPr>
          <w:p w14:paraId="021DCC0C" w14:textId="2584CF32" w:rsidR="00BF43B2" w:rsidRPr="002D7390" w:rsidRDefault="00196DEE" w:rsidP="00A55C6E">
            <w:pPr>
              <w:ind w:left="147" w:right="17"/>
              <w:rPr>
                <w:bCs/>
              </w:rPr>
            </w:pPr>
            <w:r>
              <w:rPr>
                <w:bCs/>
              </w:rPr>
              <w:t>17.</w:t>
            </w:r>
            <w:r w:rsidR="00D90CD1">
              <w:rPr>
                <w:bCs/>
              </w:rPr>
              <w:t>17</w:t>
            </w:r>
          </w:p>
        </w:tc>
      </w:tr>
      <w:tr w:rsidR="001B7B5F" w:rsidRPr="00F9298F" w14:paraId="2396E861" w14:textId="5462A908" w:rsidTr="00E1638C">
        <w:tc>
          <w:tcPr>
            <w:tcW w:w="7591" w:type="dxa"/>
          </w:tcPr>
          <w:p w14:paraId="2D9A3669" w14:textId="7D46EF92" w:rsidR="00BF43B2" w:rsidRPr="002D7390" w:rsidRDefault="00196DEE" w:rsidP="00E90BEA">
            <w:pPr>
              <w:spacing w:after="200"/>
              <w:ind w:left="147" w:right="17"/>
              <w:rPr>
                <w:bCs/>
              </w:rPr>
            </w:pPr>
            <w:r>
              <w:rPr>
                <w:bCs/>
              </w:rPr>
              <w:t>Close</w:t>
            </w:r>
          </w:p>
        </w:tc>
        <w:tc>
          <w:tcPr>
            <w:tcW w:w="1051" w:type="dxa"/>
          </w:tcPr>
          <w:p w14:paraId="10262CF2" w14:textId="522CC73D" w:rsidR="00BF43B2" w:rsidRPr="002D7390" w:rsidRDefault="00196DEE" w:rsidP="00A55C6E">
            <w:pPr>
              <w:ind w:left="147" w:right="17"/>
              <w:rPr>
                <w:bCs/>
              </w:rPr>
            </w:pPr>
            <w:r>
              <w:rPr>
                <w:bCs/>
              </w:rPr>
              <w:t>17.30</w:t>
            </w:r>
          </w:p>
        </w:tc>
      </w:tr>
    </w:tbl>
    <w:p w14:paraId="715A316C" w14:textId="0ACE721C" w:rsidR="00CB4BE5" w:rsidRPr="00F9298F" w:rsidRDefault="00E1638C" w:rsidP="00E1638C">
      <w:pPr>
        <w:pStyle w:val="HChG"/>
      </w:pPr>
      <w:r>
        <w:lastRenderedPageBreak/>
        <w:tab/>
      </w:r>
      <w:r w:rsidR="007D0D55" w:rsidRPr="00F9298F">
        <w:t>III.</w:t>
      </w:r>
      <w:r w:rsidR="007D0D55" w:rsidRPr="00F9298F">
        <w:tab/>
      </w:r>
      <w:r w:rsidR="00DA1509" w:rsidRPr="00F9298F">
        <w:t xml:space="preserve">An indicative timeline for the preparatory steps for the </w:t>
      </w:r>
      <w:r w:rsidR="00F46D2C" w:rsidRPr="00F9298F">
        <w:t xml:space="preserve">thematic </w:t>
      </w:r>
      <w:r w:rsidR="00DA1509" w:rsidRPr="00F9298F">
        <w:t xml:space="preserve">event and its background paper </w:t>
      </w:r>
    </w:p>
    <w:tbl>
      <w:tblPr>
        <w:tblW w:w="848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9"/>
        <w:gridCol w:w="2535"/>
        <w:gridCol w:w="2617"/>
      </w:tblGrid>
      <w:tr w:rsidR="00704F37" w:rsidRPr="00F9298F" w14:paraId="0057EA70" w14:textId="77777777" w:rsidTr="003B0437">
        <w:tc>
          <w:tcPr>
            <w:tcW w:w="3329" w:type="dxa"/>
            <w:shd w:val="clear" w:color="auto" w:fill="D9D9D9"/>
          </w:tcPr>
          <w:p w14:paraId="4A09599E" w14:textId="77777777" w:rsidR="00704F37" w:rsidRPr="00F9298F" w:rsidRDefault="00687389" w:rsidP="00E20B60">
            <w:pPr>
              <w:spacing w:before="240"/>
              <w:ind w:right="1134"/>
              <w:jc w:val="center"/>
              <w:rPr>
                <w:rFonts w:asciiTheme="majorBidi" w:hAnsiTheme="majorBidi" w:cstheme="majorBidi"/>
                <w:b/>
              </w:rPr>
            </w:pPr>
            <w:r w:rsidRPr="00F9298F">
              <w:rPr>
                <w:rFonts w:asciiTheme="majorBidi" w:hAnsiTheme="majorBidi" w:cstheme="majorBidi"/>
                <w:b/>
              </w:rPr>
              <w:t>Activity</w:t>
            </w:r>
            <w:r w:rsidR="00B91296" w:rsidRPr="00F9298F">
              <w:rPr>
                <w:rFonts w:asciiTheme="majorBidi" w:hAnsiTheme="majorBidi" w:cstheme="majorBidi"/>
                <w:b/>
                <w:sz w:val="28"/>
                <w:szCs w:val="28"/>
              </w:rPr>
              <w:br/>
            </w:r>
          </w:p>
        </w:tc>
        <w:tc>
          <w:tcPr>
            <w:tcW w:w="2535" w:type="dxa"/>
            <w:shd w:val="clear" w:color="auto" w:fill="D9D9D9"/>
          </w:tcPr>
          <w:p w14:paraId="63BFEEF8" w14:textId="61CE4D90" w:rsidR="00704F37" w:rsidRPr="00F9298F" w:rsidRDefault="00E73EF6" w:rsidP="00E20B60">
            <w:pPr>
              <w:spacing w:before="240"/>
              <w:ind w:left="124" w:right="1134"/>
              <w:rPr>
                <w:rFonts w:asciiTheme="majorBidi" w:hAnsiTheme="majorBidi" w:cstheme="majorBidi"/>
                <w:b/>
              </w:rPr>
            </w:pPr>
            <w:r w:rsidRPr="00F9298F">
              <w:rPr>
                <w:rFonts w:asciiTheme="majorBidi" w:hAnsiTheme="majorBidi" w:cstheme="majorBidi"/>
                <w:b/>
              </w:rPr>
              <w:t xml:space="preserve">Responsible </w:t>
            </w:r>
          </w:p>
        </w:tc>
        <w:tc>
          <w:tcPr>
            <w:tcW w:w="2617" w:type="dxa"/>
            <w:shd w:val="clear" w:color="auto" w:fill="D9D9D9"/>
          </w:tcPr>
          <w:p w14:paraId="553F8180" w14:textId="3B251CD1" w:rsidR="00704F37" w:rsidRPr="00F9298F" w:rsidRDefault="00704F37" w:rsidP="00E20B60">
            <w:pPr>
              <w:spacing w:before="240"/>
              <w:ind w:right="1134"/>
              <w:jc w:val="center"/>
              <w:rPr>
                <w:rFonts w:asciiTheme="majorBidi" w:hAnsiTheme="majorBidi" w:cstheme="majorBidi"/>
                <w:b/>
              </w:rPr>
            </w:pPr>
            <w:r w:rsidRPr="00F9298F">
              <w:rPr>
                <w:rFonts w:asciiTheme="majorBidi" w:hAnsiTheme="majorBidi" w:cstheme="majorBidi"/>
                <w:b/>
              </w:rPr>
              <w:t>Deadline/Date</w:t>
            </w:r>
          </w:p>
        </w:tc>
      </w:tr>
      <w:tr w:rsidR="00391356" w:rsidRPr="00F9298F" w14:paraId="089DA7FD" w14:textId="77777777" w:rsidTr="00800A0A">
        <w:tc>
          <w:tcPr>
            <w:tcW w:w="8481" w:type="dxa"/>
            <w:gridSpan w:val="3"/>
            <w:shd w:val="clear" w:color="auto" w:fill="D9D9D9"/>
          </w:tcPr>
          <w:p w14:paraId="7E0B0A78" w14:textId="37DA1B8B" w:rsidR="00391356" w:rsidRPr="00F9298F" w:rsidRDefault="00391356" w:rsidP="001049A7">
            <w:pPr>
              <w:ind w:left="117" w:right="17"/>
              <w:jc w:val="center"/>
              <w:rPr>
                <w:rFonts w:asciiTheme="majorBidi" w:hAnsiTheme="majorBidi" w:cstheme="majorBidi"/>
              </w:rPr>
            </w:pPr>
            <w:r w:rsidRPr="00F9298F">
              <w:rPr>
                <w:rFonts w:asciiTheme="majorBidi" w:hAnsiTheme="majorBidi" w:cstheme="majorBidi"/>
                <w:b/>
                <w:bCs/>
              </w:rPr>
              <w:t>2022</w:t>
            </w:r>
          </w:p>
        </w:tc>
      </w:tr>
      <w:tr w:rsidR="00C62678" w:rsidRPr="00F9298F" w14:paraId="4348F508" w14:textId="77777777" w:rsidTr="003B0437">
        <w:trPr>
          <w:trHeight w:val="20"/>
        </w:trPr>
        <w:tc>
          <w:tcPr>
            <w:tcW w:w="3329" w:type="dxa"/>
            <w:shd w:val="clear" w:color="auto" w:fill="auto"/>
            <w:vAlign w:val="center"/>
          </w:tcPr>
          <w:p w14:paraId="568F9499" w14:textId="13AFB749" w:rsidR="00C62678" w:rsidRPr="00F9298F" w:rsidRDefault="00CB4C36" w:rsidP="00EE440B">
            <w:pPr>
              <w:ind w:left="119" w:right="17"/>
              <w:rPr>
                <w:rFonts w:asciiTheme="majorBidi" w:hAnsiTheme="majorBidi" w:cstheme="majorBidi"/>
                <w:b/>
                <w:bCs/>
              </w:rPr>
            </w:pPr>
            <w:r w:rsidRPr="00F9298F">
              <w:rPr>
                <w:rFonts w:asciiTheme="majorBidi" w:hAnsiTheme="majorBidi" w:cstheme="majorBidi"/>
                <w:b/>
                <w:bCs/>
              </w:rPr>
              <w:t>Working Group</w:t>
            </w:r>
            <w:r w:rsidR="007D6FFD" w:rsidRPr="00F9298F">
              <w:rPr>
                <w:rFonts w:asciiTheme="majorBidi" w:hAnsiTheme="majorBidi" w:cstheme="majorBidi"/>
                <w:b/>
                <w:bCs/>
              </w:rPr>
              <w:t xml:space="preserve"> on </w:t>
            </w:r>
            <w:r w:rsidR="009B3C93">
              <w:rPr>
                <w:rFonts w:asciiTheme="majorBidi" w:hAnsiTheme="majorBidi" w:cstheme="majorBidi"/>
                <w:b/>
                <w:bCs/>
              </w:rPr>
              <w:t>Environmental Impact Assessment</w:t>
            </w:r>
            <w:r w:rsidR="007D6FFD" w:rsidRPr="00F9298F">
              <w:rPr>
                <w:rFonts w:asciiTheme="majorBidi" w:hAnsiTheme="majorBidi" w:cstheme="majorBidi"/>
                <w:b/>
                <w:bCs/>
              </w:rPr>
              <w:t xml:space="preserve"> and </w:t>
            </w:r>
            <w:r w:rsidR="009B3C93">
              <w:rPr>
                <w:rFonts w:asciiTheme="majorBidi" w:hAnsiTheme="majorBidi" w:cstheme="majorBidi"/>
                <w:b/>
                <w:bCs/>
              </w:rPr>
              <w:t>Strategic Environmental Assessment</w:t>
            </w:r>
            <w:r w:rsidR="005774CB" w:rsidRPr="00F9298F">
              <w:rPr>
                <w:rFonts w:asciiTheme="majorBidi" w:hAnsiTheme="majorBidi" w:cstheme="majorBidi"/>
                <w:b/>
                <w:bCs/>
              </w:rPr>
              <w:t>,</w:t>
            </w:r>
            <w:r w:rsidR="0085545F" w:rsidRPr="00F9298F">
              <w:rPr>
                <w:rFonts w:asciiTheme="majorBidi" w:hAnsiTheme="majorBidi" w:cstheme="majorBidi"/>
                <w:b/>
                <w:bCs/>
              </w:rPr>
              <w:br/>
              <w:t>11</w:t>
            </w:r>
            <w:r w:rsidR="0085545F" w:rsidRPr="00F9298F">
              <w:rPr>
                <w:rFonts w:asciiTheme="majorBidi" w:hAnsiTheme="majorBidi" w:cstheme="majorBidi"/>
                <w:b/>
                <w:bCs/>
                <w:vertAlign w:val="superscript"/>
              </w:rPr>
              <w:t>th</w:t>
            </w:r>
            <w:r w:rsidR="0085545F" w:rsidRPr="00F9298F">
              <w:rPr>
                <w:rFonts w:asciiTheme="majorBidi" w:hAnsiTheme="majorBidi" w:cstheme="majorBidi"/>
                <w:b/>
                <w:bCs/>
              </w:rPr>
              <w:t xml:space="preserve"> meeting</w:t>
            </w:r>
            <w:r w:rsidR="00E5457D" w:rsidRPr="00F9298F">
              <w:rPr>
                <w:rFonts w:asciiTheme="majorBidi" w:hAnsiTheme="majorBidi" w:cstheme="majorBidi"/>
                <w:b/>
                <w:bCs/>
              </w:rPr>
              <w:t>:</w:t>
            </w:r>
            <w:r w:rsidR="009E5B89" w:rsidRPr="00F9298F">
              <w:rPr>
                <w:rFonts w:asciiTheme="majorBidi" w:hAnsiTheme="majorBidi" w:cstheme="majorBidi"/>
              </w:rPr>
              <w:t xml:space="preserve"> </w:t>
            </w:r>
            <w:r w:rsidR="0046341A" w:rsidRPr="00F9298F">
              <w:rPr>
                <w:rFonts w:asciiTheme="majorBidi" w:hAnsiTheme="majorBidi" w:cstheme="majorBidi"/>
              </w:rPr>
              <w:t xml:space="preserve">Conclusions on the thematic event and </w:t>
            </w:r>
            <w:r w:rsidR="00B4745E" w:rsidRPr="00F9298F">
              <w:rPr>
                <w:rFonts w:asciiTheme="majorBidi" w:hAnsiTheme="majorBidi" w:cstheme="majorBidi"/>
              </w:rPr>
              <w:t xml:space="preserve">offers of </w:t>
            </w:r>
            <w:r w:rsidR="006335D3" w:rsidRPr="00F9298F">
              <w:rPr>
                <w:rFonts w:asciiTheme="majorBidi" w:hAnsiTheme="majorBidi" w:cstheme="majorBidi"/>
              </w:rPr>
              <w:t xml:space="preserve">inputs by delegations </w:t>
            </w:r>
          </w:p>
        </w:tc>
        <w:tc>
          <w:tcPr>
            <w:tcW w:w="2535" w:type="dxa"/>
            <w:vAlign w:val="center"/>
          </w:tcPr>
          <w:p w14:paraId="2FB751A5" w14:textId="77777777" w:rsidR="006335D3" w:rsidRPr="00F9298F" w:rsidRDefault="0046341A" w:rsidP="00EE440B">
            <w:pPr>
              <w:ind w:left="119" w:right="17"/>
            </w:pPr>
            <w:r w:rsidRPr="00F9298F">
              <w:t xml:space="preserve">Working Group; </w:t>
            </w:r>
          </w:p>
          <w:p w14:paraId="5D448C8B" w14:textId="74DF3150" w:rsidR="00C62678" w:rsidRPr="00F9298F" w:rsidRDefault="0046341A" w:rsidP="00EE440B">
            <w:pPr>
              <w:ind w:left="119" w:right="17"/>
              <w:rPr>
                <w:rFonts w:asciiTheme="majorBidi" w:hAnsiTheme="majorBidi" w:cstheme="majorBidi"/>
              </w:rPr>
            </w:pPr>
            <w:r w:rsidRPr="00F9298F">
              <w:t xml:space="preserve">Spain, </w:t>
            </w:r>
            <w:r w:rsidR="006200E7" w:rsidRPr="00F9298F">
              <w:t xml:space="preserve">EIB, </w:t>
            </w:r>
            <w:r w:rsidRPr="00F9298F">
              <w:t>IAIA, WHO and Nuclear Transparency Watch</w:t>
            </w:r>
          </w:p>
        </w:tc>
        <w:tc>
          <w:tcPr>
            <w:tcW w:w="2617" w:type="dxa"/>
            <w:shd w:val="clear" w:color="auto" w:fill="auto"/>
            <w:vAlign w:val="center"/>
          </w:tcPr>
          <w:p w14:paraId="5EF6DE6C" w14:textId="57F33AD9" w:rsidR="00C62678" w:rsidRPr="00F9298F" w:rsidRDefault="004E3C6E" w:rsidP="00960671">
            <w:pPr>
              <w:ind w:left="119" w:right="17"/>
              <w:rPr>
                <w:rFonts w:asciiTheme="majorBidi" w:hAnsiTheme="majorBidi" w:cstheme="majorBidi"/>
                <w:b/>
                <w:bCs/>
              </w:rPr>
            </w:pPr>
            <w:r w:rsidRPr="00F9298F">
              <w:rPr>
                <w:rFonts w:asciiTheme="majorBidi" w:hAnsiTheme="majorBidi" w:cstheme="majorBidi"/>
                <w:b/>
                <w:bCs/>
              </w:rPr>
              <w:t>19–21 December</w:t>
            </w:r>
          </w:p>
          <w:p w14:paraId="29D09DF8" w14:textId="055DAB58" w:rsidR="001B36C7" w:rsidRPr="00F9298F" w:rsidRDefault="001B36C7" w:rsidP="00960671">
            <w:pPr>
              <w:ind w:left="119" w:right="17"/>
              <w:rPr>
                <w:rFonts w:asciiTheme="majorBidi" w:hAnsiTheme="majorBidi" w:cstheme="majorBidi"/>
              </w:rPr>
            </w:pPr>
            <w:r w:rsidRPr="00F9298F">
              <w:rPr>
                <w:rFonts w:asciiTheme="majorBidi" w:hAnsiTheme="majorBidi" w:cstheme="majorBidi"/>
                <w:i/>
                <w:iCs/>
              </w:rPr>
              <w:t xml:space="preserve"> </w:t>
            </w:r>
          </w:p>
        </w:tc>
      </w:tr>
      <w:tr w:rsidR="001049A7" w:rsidRPr="00F9298F" w14:paraId="49E41CE9" w14:textId="77777777" w:rsidTr="003B0437">
        <w:trPr>
          <w:trHeight w:val="20"/>
        </w:trPr>
        <w:tc>
          <w:tcPr>
            <w:tcW w:w="8481" w:type="dxa"/>
            <w:gridSpan w:val="3"/>
            <w:shd w:val="clear" w:color="auto" w:fill="E7E6E6"/>
            <w:vAlign w:val="center"/>
          </w:tcPr>
          <w:p w14:paraId="1D365EEB" w14:textId="4C367F2E" w:rsidR="001049A7" w:rsidRPr="00F9298F" w:rsidRDefault="001049A7" w:rsidP="00EE440B">
            <w:pPr>
              <w:ind w:left="119" w:right="17"/>
              <w:jc w:val="center"/>
              <w:rPr>
                <w:rFonts w:asciiTheme="majorBidi" w:hAnsiTheme="majorBidi" w:cstheme="majorBidi"/>
              </w:rPr>
            </w:pPr>
            <w:r w:rsidRPr="00F9298F">
              <w:rPr>
                <w:rFonts w:asciiTheme="majorBidi" w:hAnsiTheme="majorBidi" w:cstheme="majorBidi"/>
                <w:b/>
                <w:bCs/>
              </w:rPr>
              <w:t>2023</w:t>
            </w:r>
          </w:p>
        </w:tc>
      </w:tr>
      <w:tr w:rsidR="003D7DFF" w:rsidRPr="00F9298F" w14:paraId="4E4E5A10" w14:textId="77777777" w:rsidTr="003B0437">
        <w:trPr>
          <w:trHeight w:val="20"/>
        </w:trPr>
        <w:tc>
          <w:tcPr>
            <w:tcW w:w="3329" w:type="dxa"/>
            <w:shd w:val="clear" w:color="auto" w:fill="auto"/>
            <w:vAlign w:val="center"/>
          </w:tcPr>
          <w:p w14:paraId="6862F3D4" w14:textId="77777777" w:rsidR="00E954B2" w:rsidRPr="00F9298F" w:rsidRDefault="003D7DFF" w:rsidP="003D7DFF">
            <w:pPr>
              <w:ind w:left="117" w:right="17"/>
              <w:rPr>
                <w:rFonts w:asciiTheme="majorBidi" w:hAnsiTheme="majorBidi" w:cstheme="majorBidi"/>
              </w:rPr>
            </w:pPr>
            <w:r w:rsidRPr="00F9298F">
              <w:rPr>
                <w:rFonts w:asciiTheme="majorBidi" w:hAnsiTheme="majorBidi" w:cstheme="majorBidi"/>
                <w:b/>
                <w:bCs/>
              </w:rPr>
              <w:t xml:space="preserve">Bureau </w:t>
            </w:r>
            <w:r w:rsidR="005774CB" w:rsidRPr="00F9298F">
              <w:rPr>
                <w:rFonts w:asciiTheme="majorBidi" w:hAnsiTheme="majorBidi" w:cstheme="majorBidi"/>
                <w:b/>
                <w:bCs/>
              </w:rPr>
              <w:t>meeting</w:t>
            </w:r>
            <w:r w:rsidRPr="00F9298F">
              <w:rPr>
                <w:rFonts w:asciiTheme="majorBidi" w:hAnsiTheme="majorBidi" w:cstheme="majorBidi"/>
                <w:b/>
                <w:bCs/>
              </w:rPr>
              <w:br/>
            </w:r>
            <w:r w:rsidR="006200E7" w:rsidRPr="00F9298F">
              <w:rPr>
                <w:rFonts w:asciiTheme="majorBidi" w:hAnsiTheme="majorBidi" w:cstheme="majorBidi"/>
              </w:rPr>
              <w:t>Conclusions on the thematic event</w:t>
            </w:r>
            <w:r w:rsidR="00E954B2" w:rsidRPr="00F9298F">
              <w:rPr>
                <w:rFonts w:asciiTheme="majorBidi" w:hAnsiTheme="majorBidi" w:cstheme="majorBidi"/>
              </w:rPr>
              <w:t>;</w:t>
            </w:r>
          </w:p>
          <w:p w14:paraId="4A5028B6" w14:textId="2AC8CAF7" w:rsidR="003D7DFF" w:rsidRPr="00F9298F" w:rsidRDefault="006200E7" w:rsidP="003D7DFF">
            <w:pPr>
              <w:ind w:left="117" w:right="17"/>
              <w:rPr>
                <w:rFonts w:asciiTheme="majorBidi" w:hAnsiTheme="majorBidi" w:cstheme="majorBidi"/>
                <w:b/>
                <w:bCs/>
              </w:rPr>
            </w:pPr>
            <w:r w:rsidRPr="00F9298F">
              <w:rPr>
                <w:rFonts w:asciiTheme="majorBidi" w:hAnsiTheme="majorBidi" w:cstheme="majorBidi"/>
              </w:rPr>
              <w:t xml:space="preserve">and </w:t>
            </w:r>
            <w:r w:rsidR="001375D7">
              <w:rPr>
                <w:rFonts w:asciiTheme="majorBidi" w:hAnsiTheme="majorBidi" w:cstheme="majorBidi"/>
              </w:rPr>
              <w:t>further</w:t>
            </w:r>
            <w:r w:rsidRPr="00F9298F">
              <w:rPr>
                <w:rFonts w:asciiTheme="majorBidi" w:hAnsiTheme="majorBidi" w:cstheme="majorBidi"/>
              </w:rPr>
              <w:t xml:space="preserve"> offers of inputs to the event by </w:t>
            </w:r>
            <w:r w:rsidR="005E7844" w:rsidRPr="00F9298F">
              <w:rPr>
                <w:rFonts w:asciiTheme="majorBidi" w:hAnsiTheme="majorBidi" w:cstheme="majorBidi"/>
              </w:rPr>
              <w:t>Bureau members</w:t>
            </w:r>
          </w:p>
        </w:tc>
        <w:tc>
          <w:tcPr>
            <w:tcW w:w="2535" w:type="dxa"/>
            <w:vAlign w:val="center"/>
          </w:tcPr>
          <w:p w14:paraId="0036A08B" w14:textId="408136E8" w:rsidR="003D7DFF" w:rsidRPr="00F9298F" w:rsidRDefault="003D7DFF" w:rsidP="00235F56">
            <w:pPr>
              <w:ind w:left="119" w:right="17"/>
              <w:rPr>
                <w:rFonts w:asciiTheme="majorBidi" w:hAnsiTheme="majorBidi" w:cstheme="majorBidi"/>
              </w:rPr>
            </w:pPr>
            <w:r w:rsidRPr="00F9298F">
              <w:rPr>
                <w:rFonts w:asciiTheme="majorBidi" w:hAnsiTheme="majorBidi" w:cstheme="majorBidi"/>
              </w:rPr>
              <w:t>Bureau</w:t>
            </w:r>
            <w:r w:rsidR="005E7844" w:rsidRPr="00F9298F">
              <w:rPr>
                <w:rFonts w:asciiTheme="majorBidi" w:hAnsiTheme="majorBidi" w:cstheme="majorBidi"/>
              </w:rPr>
              <w:t xml:space="preserve">; </w:t>
            </w:r>
            <w:r w:rsidR="00E954B2" w:rsidRPr="00F9298F">
              <w:rPr>
                <w:rFonts w:asciiTheme="majorBidi" w:hAnsiTheme="majorBidi" w:cstheme="majorBidi"/>
              </w:rPr>
              <w:t xml:space="preserve">Italy; </w:t>
            </w:r>
            <w:r w:rsidR="005E7844" w:rsidRPr="00F9298F">
              <w:rPr>
                <w:rFonts w:asciiTheme="majorBidi" w:hAnsiTheme="majorBidi" w:cstheme="majorBidi"/>
              </w:rPr>
              <w:t>Switzerland</w:t>
            </w:r>
            <w:r w:rsidRPr="00F9298F">
              <w:rPr>
                <w:rFonts w:asciiTheme="majorBidi" w:hAnsiTheme="majorBidi" w:cstheme="majorBidi"/>
              </w:rPr>
              <w:t xml:space="preserve"> </w:t>
            </w:r>
          </w:p>
        </w:tc>
        <w:tc>
          <w:tcPr>
            <w:tcW w:w="2617" w:type="dxa"/>
            <w:shd w:val="clear" w:color="auto" w:fill="auto"/>
            <w:vAlign w:val="center"/>
          </w:tcPr>
          <w:p w14:paraId="4AB9A07B" w14:textId="725BEB00" w:rsidR="003D7DFF" w:rsidRPr="00F9298F" w:rsidRDefault="003D7DFF" w:rsidP="00960671">
            <w:pPr>
              <w:ind w:left="119" w:right="17"/>
              <w:rPr>
                <w:rFonts w:asciiTheme="majorBidi" w:hAnsiTheme="majorBidi" w:cstheme="majorBidi"/>
                <w:b/>
                <w:bCs/>
              </w:rPr>
            </w:pPr>
            <w:r w:rsidRPr="00F9298F">
              <w:rPr>
                <w:rFonts w:asciiTheme="majorBidi" w:hAnsiTheme="majorBidi" w:cstheme="majorBidi"/>
                <w:b/>
                <w:bCs/>
              </w:rPr>
              <w:t>22–23 February</w:t>
            </w:r>
          </w:p>
        </w:tc>
      </w:tr>
      <w:tr w:rsidR="008A531B" w:rsidRPr="00F9298F" w14:paraId="7F9BF84A" w14:textId="77777777" w:rsidTr="003B0437">
        <w:trPr>
          <w:trHeight w:val="20"/>
        </w:trPr>
        <w:tc>
          <w:tcPr>
            <w:tcW w:w="3329" w:type="dxa"/>
            <w:shd w:val="clear" w:color="auto" w:fill="auto"/>
            <w:vAlign w:val="center"/>
          </w:tcPr>
          <w:p w14:paraId="08EAA537" w14:textId="3F22F2BA" w:rsidR="008A531B" w:rsidRPr="00F9298F" w:rsidRDefault="008A531B" w:rsidP="008A531B">
            <w:pPr>
              <w:ind w:left="117" w:right="17"/>
              <w:rPr>
                <w:rFonts w:asciiTheme="majorBidi" w:hAnsiTheme="majorBidi" w:cstheme="majorBidi"/>
                <w:b/>
                <w:bCs/>
              </w:rPr>
            </w:pPr>
            <w:r w:rsidRPr="00F9298F">
              <w:rPr>
                <w:rFonts w:asciiTheme="majorBidi" w:hAnsiTheme="majorBidi" w:cstheme="majorBidi"/>
              </w:rPr>
              <w:t xml:space="preserve">Suggestions of further panellists and high-level representatives to deliver brief (max. 3-minute) statements from the floor </w:t>
            </w:r>
          </w:p>
        </w:tc>
        <w:tc>
          <w:tcPr>
            <w:tcW w:w="2535" w:type="dxa"/>
            <w:vAlign w:val="center"/>
          </w:tcPr>
          <w:p w14:paraId="2CD0D45F" w14:textId="22D1133A" w:rsidR="008A531B" w:rsidRPr="00F9298F" w:rsidRDefault="008A531B" w:rsidP="00EE440B">
            <w:pPr>
              <w:ind w:left="119" w:right="17"/>
              <w:jc w:val="both"/>
              <w:rPr>
                <w:rFonts w:asciiTheme="majorBidi" w:hAnsiTheme="majorBidi" w:cstheme="majorBidi"/>
              </w:rPr>
            </w:pPr>
            <w:r w:rsidRPr="00F9298F">
              <w:rPr>
                <w:rFonts w:asciiTheme="majorBidi" w:hAnsiTheme="majorBidi" w:cstheme="majorBidi"/>
              </w:rPr>
              <w:t>All delegations</w:t>
            </w:r>
          </w:p>
        </w:tc>
        <w:tc>
          <w:tcPr>
            <w:tcW w:w="2617" w:type="dxa"/>
            <w:shd w:val="clear" w:color="auto" w:fill="auto"/>
            <w:vAlign w:val="center"/>
          </w:tcPr>
          <w:p w14:paraId="62700C7D" w14:textId="4B5345F3" w:rsidR="008A531B" w:rsidRPr="00F9298F" w:rsidRDefault="008A531B" w:rsidP="00960671">
            <w:pPr>
              <w:ind w:left="119" w:right="17"/>
              <w:rPr>
                <w:rFonts w:asciiTheme="majorBidi" w:hAnsiTheme="majorBidi" w:cstheme="majorBidi"/>
                <w:b/>
                <w:bCs/>
              </w:rPr>
            </w:pPr>
            <w:r w:rsidRPr="00F9298F">
              <w:rPr>
                <w:rFonts w:asciiTheme="majorBidi" w:hAnsiTheme="majorBidi" w:cstheme="majorBidi"/>
              </w:rPr>
              <w:t>[15 May (proposals to the secretariat)]</w:t>
            </w:r>
          </w:p>
        </w:tc>
      </w:tr>
      <w:tr w:rsidR="008A531B" w:rsidRPr="00F9298F" w14:paraId="3D3EAEC0" w14:textId="77777777" w:rsidTr="003B0437">
        <w:trPr>
          <w:trHeight w:val="20"/>
        </w:trPr>
        <w:tc>
          <w:tcPr>
            <w:tcW w:w="3329" w:type="dxa"/>
            <w:shd w:val="clear" w:color="auto" w:fill="auto"/>
            <w:vAlign w:val="center"/>
          </w:tcPr>
          <w:p w14:paraId="4FADA15F" w14:textId="3E890417" w:rsidR="008A531B" w:rsidRPr="00F9298F" w:rsidRDefault="008A531B" w:rsidP="008A531B">
            <w:pPr>
              <w:ind w:left="117" w:right="17"/>
              <w:rPr>
                <w:rFonts w:asciiTheme="majorBidi" w:hAnsiTheme="majorBidi" w:cstheme="majorBidi"/>
              </w:rPr>
            </w:pPr>
            <w:r w:rsidRPr="00F9298F">
              <w:rPr>
                <w:rFonts w:asciiTheme="majorBidi" w:hAnsiTheme="majorBidi" w:cstheme="majorBidi"/>
              </w:rPr>
              <w:t xml:space="preserve">(The present) Informal </w:t>
            </w:r>
            <w:r w:rsidR="00E0353E" w:rsidRPr="00F9298F">
              <w:rPr>
                <w:rFonts w:asciiTheme="majorBidi" w:hAnsiTheme="majorBidi" w:cstheme="majorBidi"/>
              </w:rPr>
              <w:t xml:space="preserve">note </w:t>
            </w:r>
            <w:r w:rsidRPr="00F9298F">
              <w:rPr>
                <w:rFonts w:asciiTheme="majorBidi" w:hAnsiTheme="majorBidi" w:cstheme="majorBidi"/>
              </w:rPr>
              <w:t>on the event and its background document</w:t>
            </w:r>
          </w:p>
          <w:p w14:paraId="61F6B07A" w14:textId="78F7A624" w:rsidR="008A531B" w:rsidRPr="00F9298F" w:rsidRDefault="008A531B" w:rsidP="008A531B">
            <w:pPr>
              <w:ind w:left="117" w:right="17"/>
              <w:rPr>
                <w:rFonts w:asciiTheme="majorBidi" w:hAnsiTheme="majorBidi" w:cstheme="majorBidi"/>
                <w:b/>
                <w:bCs/>
              </w:rPr>
            </w:pPr>
          </w:p>
        </w:tc>
        <w:tc>
          <w:tcPr>
            <w:tcW w:w="2535" w:type="dxa"/>
            <w:vAlign w:val="center"/>
          </w:tcPr>
          <w:p w14:paraId="4FDD2A5C" w14:textId="0A728FDC" w:rsidR="008A531B" w:rsidRPr="00F9298F" w:rsidRDefault="008A531B" w:rsidP="00EE440B">
            <w:pPr>
              <w:ind w:left="119" w:right="17"/>
              <w:jc w:val="both"/>
              <w:rPr>
                <w:rFonts w:asciiTheme="majorBidi" w:hAnsiTheme="majorBidi" w:cstheme="majorBidi"/>
              </w:rPr>
            </w:pPr>
            <w:r w:rsidRPr="00F9298F">
              <w:rPr>
                <w:rFonts w:asciiTheme="majorBidi" w:hAnsiTheme="majorBidi" w:cstheme="majorBidi"/>
              </w:rPr>
              <w:t xml:space="preserve">Secretariat with support from a consultant and inputs from volunteering delegates </w:t>
            </w:r>
          </w:p>
        </w:tc>
        <w:tc>
          <w:tcPr>
            <w:tcW w:w="2617" w:type="dxa"/>
            <w:shd w:val="clear" w:color="auto" w:fill="auto"/>
            <w:vAlign w:val="center"/>
          </w:tcPr>
          <w:p w14:paraId="72AEF6CB" w14:textId="54AF6B4B" w:rsidR="008A531B" w:rsidRPr="00F9298F" w:rsidRDefault="008A531B" w:rsidP="00960671">
            <w:pPr>
              <w:ind w:left="119" w:right="17"/>
              <w:rPr>
                <w:rFonts w:asciiTheme="majorBidi" w:hAnsiTheme="majorBidi" w:cstheme="majorBidi"/>
                <w:b/>
                <w:bCs/>
              </w:rPr>
            </w:pPr>
            <w:r w:rsidRPr="00F9298F">
              <w:rPr>
                <w:rFonts w:asciiTheme="majorBidi" w:hAnsiTheme="majorBidi" w:cstheme="majorBidi"/>
                <w:b/>
                <w:bCs/>
              </w:rPr>
              <w:t>By 17 May</w:t>
            </w:r>
          </w:p>
        </w:tc>
      </w:tr>
      <w:tr w:rsidR="008A531B" w:rsidRPr="00F9298F" w14:paraId="0B3275ED" w14:textId="77777777" w:rsidTr="003B0437">
        <w:trPr>
          <w:trHeight w:val="20"/>
        </w:trPr>
        <w:tc>
          <w:tcPr>
            <w:tcW w:w="3329" w:type="dxa"/>
            <w:shd w:val="clear" w:color="auto" w:fill="auto"/>
            <w:vAlign w:val="center"/>
          </w:tcPr>
          <w:p w14:paraId="58A72AAE" w14:textId="53CCE2D4" w:rsidR="008A531B" w:rsidRPr="00F9298F" w:rsidRDefault="008A531B" w:rsidP="000E4C50">
            <w:pPr>
              <w:ind w:left="117" w:right="17"/>
              <w:rPr>
                <w:rFonts w:asciiTheme="majorBidi" w:hAnsiTheme="majorBidi" w:cstheme="majorBidi"/>
              </w:rPr>
            </w:pPr>
            <w:r w:rsidRPr="00F9298F">
              <w:rPr>
                <w:rFonts w:asciiTheme="majorBidi" w:hAnsiTheme="majorBidi" w:cstheme="majorBidi"/>
                <w:b/>
                <w:bCs/>
              </w:rPr>
              <w:t xml:space="preserve">Working Group on </w:t>
            </w:r>
            <w:r w:rsidR="009B3C93">
              <w:rPr>
                <w:rFonts w:asciiTheme="majorBidi" w:hAnsiTheme="majorBidi" w:cstheme="majorBidi"/>
                <w:b/>
                <w:bCs/>
              </w:rPr>
              <w:t>Environmental Impact Assessment</w:t>
            </w:r>
            <w:r w:rsidRPr="00F9298F">
              <w:rPr>
                <w:rFonts w:asciiTheme="majorBidi" w:hAnsiTheme="majorBidi" w:cstheme="majorBidi"/>
                <w:b/>
                <w:bCs/>
              </w:rPr>
              <w:t xml:space="preserve"> and </w:t>
            </w:r>
            <w:r w:rsidR="009B3C93">
              <w:rPr>
                <w:rFonts w:asciiTheme="majorBidi" w:hAnsiTheme="majorBidi" w:cstheme="majorBidi"/>
                <w:b/>
                <w:bCs/>
              </w:rPr>
              <w:t>Strategic Environmental Assessment</w:t>
            </w:r>
            <w:r w:rsidRPr="00F9298F">
              <w:rPr>
                <w:rFonts w:asciiTheme="majorBidi" w:hAnsiTheme="majorBidi" w:cstheme="majorBidi"/>
                <w:b/>
                <w:bCs/>
              </w:rPr>
              <w:t xml:space="preserve"> </w:t>
            </w:r>
            <w:r w:rsidRPr="00F9298F">
              <w:rPr>
                <w:rFonts w:asciiTheme="majorBidi" w:hAnsiTheme="majorBidi" w:cstheme="majorBidi"/>
                <w:b/>
                <w:bCs/>
              </w:rPr>
              <w:br/>
            </w:r>
            <w:r w:rsidRPr="00F9298F">
              <w:rPr>
                <w:rFonts w:asciiTheme="majorBidi" w:hAnsiTheme="majorBidi" w:cstheme="majorBidi"/>
              </w:rPr>
              <w:t>(12</w:t>
            </w:r>
            <w:r w:rsidRPr="00F9298F">
              <w:rPr>
                <w:rFonts w:asciiTheme="majorBidi" w:hAnsiTheme="majorBidi" w:cstheme="majorBidi"/>
                <w:vertAlign w:val="superscript"/>
              </w:rPr>
              <w:t>th</w:t>
            </w:r>
            <w:r w:rsidRPr="00F9298F">
              <w:rPr>
                <w:rFonts w:asciiTheme="majorBidi" w:hAnsiTheme="majorBidi" w:cstheme="majorBidi"/>
              </w:rPr>
              <w:t xml:space="preserve"> meeting) presentation of the </w:t>
            </w:r>
            <w:r w:rsidR="00E0353E" w:rsidRPr="00F9298F">
              <w:rPr>
                <w:rFonts w:asciiTheme="majorBidi" w:hAnsiTheme="majorBidi" w:cstheme="majorBidi"/>
              </w:rPr>
              <w:t>informal note</w:t>
            </w:r>
            <w:r w:rsidRPr="00F9298F">
              <w:rPr>
                <w:rFonts w:asciiTheme="majorBidi" w:hAnsiTheme="majorBidi" w:cstheme="majorBidi"/>
              </w:rPr>
              <w:t>; and guidance on the event and its background</w:t>
            </w:r>
          </w:p>
        </w:tc>
        <w:tc>
          <w:tcPr>
            <w:tcW w:w="2535" w:type="dxa"/>
            <w:vAlign w:val="center"/>
          </w:tcPr>
          <w:p w14:paraId="201D3A24" w14:textId="1448F32B" w:rsidR="008A531B" w:rsidRPr="00F9298F" w:rsidRDefault="008A531B" w:rsidP="00EE440B">
            <w:pPr>
              <w:ind w:left="119" w:right="17"/>
              <w:jc w:val="both"/>
              <w:rPr>
                <w:rFonts w:asciiTheme="majorBidi" w:hAnsiTheme="majorBidi" w:cstheme="majorBidi"/>
              </w:rPr>
            </w:pPr>
            <w:r w:rsidRPr="00F9298F">
              <w:rPr>
                <w:rFonts w:asciiTheme="majorBidi" w:hAnsiTheme="majorBidi" w:cstheme="majorBidi"/>
              </w:rPr>
              <w:t>Consultant to the secretariat; Working Group</w:t>
            </w:r>
          </w:p>
        </w:tc>
        <w:tc>
          <w:tcPr>
            <w:tcW w:w="2617" w:type="dxa"/>
            <w:shd w:val="clear" w:color="auto" w:fill="auto"/>
            <w:vAlign w:val="center"/>
          </w:tcPr>
          <w:p w14:paraId="1C4C4442" w14:textId="68B40B4A" w:rsidR="008A531B" w:rsidRPr="00F9298F" w:rsidRDefault="008A531B" w:rsidP="00960671">
            <w:pPr>
              <w:ind w:left="119" w:right="17"/>
              <w:rPr>
                <w:rFonts w:asciiTheme="majorBidi" w:hAnsiTheme="majorBidi" w:cstheme="majorBidi"/>
                <w:b/>
                <w:bCs/>
              </w:rPr>
            </w:pPr>
            <w:r w:rsidRPr="00F9298F">
              <w:rPr>
                <w:rFonts w:asciiTheme="majorBidi" w:hAnsiTheme="majorBidi" w:cstheme="majorBidi"/>
                <w:b/>
                <w:bCs/>
              </w:rPr>
              <w:t>13–15 June</w:t>
            </w:r>
          </w:p>
          <w:p w14:paraId="0F56ACDE" w14:textId="34FCF457" w:rsidR="008A531B" w:rsidRPr="00F9298F" w:rsidRDefault="008A531B" w:rsidP="00960671">
            <w:pPr>
              <w:ind w:left="119" w:right="17"/>
              <w:rPr>
                <w:rFonts w:asciiTheme="majorBidi" w:hAnsiTheme="majorBidi" w:cstheme="majorBidi"/>
              </w:rPr>
            </w:pPr>
            <w:r w:rsidRPr="00F9298F">
              <w:rPr>
                <w:rFonts w:asciiTheme="majorBidi" w:hAnsiTheme="majorBidi" w:cstheme="majorBidi"/>
                <w:i/>
                <w:iCs/>
              </w:rPr>
              <w:t xml:space="preserve"> </w:t>
            </w:r>
          </w:p>
        </w:tc>
      </w:tr>
      <w:tr w:rsidR="008A531B" w:rsidRPr="00F9298F" w14:paraId="79EC46E1" w14:textId="77777777" w:rsidTr="003B0437">
        <w:trPr>
          <w:trHeight w:val="20"/>
        </w:trPr>
        <w:tc>
          <w:tcPr>
            <w:tcW w:w="3329" w:type="dxa"/>
            <w:shd w:val="clear" w:color="auto" w:fill="auto"/>
            <w:vAlign w:val="center"/>
          </w:tcPr>
          <w:p w14:paraId="7B418BD3" w14:textId="3E95E11D" w:rsidR="008A531B" w:rsidRPr="00F9298F" w:rsidRDefault="000B70B8" w:rsidP="008A531B">
            <w:pPr>
              <w:ind w:left="117" w:right="17"/>
              <w:rPr>
                <w:rFonts w:asciiTheme="majorBidi" w:hAnsiTheme="majorBidi" w:cstheme="majorBidi"/>
                <w:b/>
                <w:bCs/>
              </w:rPr>
            </w:pPr>
            <w:r>
              <w:rPr>
                <w:rFonts w:asciiTheme="majorBidi" w:hAnsiTheme="majorBidi" w:cstheme="majorBidi"/>
                <w:b/>
                <w:bCs/>
              </w:rPr>
              <w:t>Background paper development</w:t>
            </w:r>
            <w:r w:rsidR="00D21B7C" w:rsidRPr="00F9298F">
              <w:rPr>
                <w:rFonts w:asciiTheme="majorBidi" w:hAnsiTheme="majorBidi" w:cstheme="majorBidi"/>
                <w:b/>
                <w:bCs/>
              </w:rPr>
              <w:t xml:space="preserve"> </w:t>
            </w:r>
            <w:r w:rsidR="00D21B7C" w:rsidRPr="00F9298F">
              <w:rPr>
                <w:rFonts w:asciiTheme="majorBidi" w:hAnsiTheme="majorBidi" w:cstheme="majorBidi"/>
              </w:rPr>
              <w:t>–</w:t>
            </w:r>
            <w:r w:rsidR="00D21B7C" w:rsidRPr="00F9298F">
              <w:rPr>
                <w:rFonts w:asciiTheme="majorBidi" w:hAnsiTheme="majorBidi" w:cstheme="majorBidi"/>
                <w:b/>
                <w:bCs/>
              </w:rPr>
              <w:t xml:space="preserve"> </w:t>
            </w:r>
            <w:r w:rsidR="00C42E87">
              <w:rPr>
                <w:rFonts w:asciiTheme="majorBidi" w:hAnsiTheme="majorBidi" w:cstheme="majorBidi"/>
              </w:rPr>
              <w:t>taking into consideration feedback from Working Group meeting</w:t>
            </w:r>
          </w:p>
        </w:tc>
        <w:tc>
          <w:tcPr>
            <w:tcW w:w="2535" w:type="dxa"/>
            <w:vAlign w:val="center"/>
          </w:tcPr>
          <w:p w14:paraId="1C9E1C5C" w14:textId="735187B6" w:rsidR="008A531B" w:rsidRPr="00F9298F" w:rsidRDefault="001C5011" w:rsidP="00EE440B">
            <w:pPr>
              <w:ind w:left="119" w:right="17"/>
              <w:jc w:val="both"/>
              <w:rPr>
                <w:rFonts w:asciiTheme="majorBidi" w:hAnsiTheme="majorBidi" w:cstheme="majorBidi"/>
              </w:rPr>
            </w:pPr>
            <w:r w:rsidRPr="00F9298F">
              <w:rPr>
                <w:rFonts w:asciiTheme="majorBidi" w:hAnsiTheme="majorBidi" w:cstheme="majorBidi"/>
              </w:rPr>
              <w:t>Consultant to the secretariat</w:t>
            </w:r>
            <w:r w:rsidR="000B70B8">
              <w:rPr>
                <w:rFonts w:asciiTheme="majorBidi" w:hAnsiTheme="majorBidi" w:cstheme="majorBidi"/>
              </w:rPr>
              <w:t>; secretariat; Bureau</w:t>
            </w:r>
          </w:p>
        </w:tc>
        <w:tc>
          <w:tcPr>
            <w:tcW w:w="2617" w:type="dxa"/>
            <w:shd w:val="clear" w:color="auto" w:fill="auto"/>
            <w:vAlign w:val="center"/>
          </w:tcPr>
          <w:p w14:paraId="78B2AEE4" w14:textId="5194063A" w:rsidR="008A531B" w:rsidRPr="00F9298F" w:rsidRDefault="000B70B8" w:rsidP="00960671">
            <w:pPr>
              <w:ind w:left="119" w:right="17"/>
              <w:rPr>
                <w:rFonts w:asciiTheme="majorBidi" w:hAnsiTheme="majorBidi" w:cstheme="majorBidi"/>
                <w:b/>
                <w:bCs/>
              </w:rPr>
            </w:pPr>
            <w:r>
              <w:rPr>
                <w:rFonts w:asciiTheme="majorBidi" w:hAnsiTheme="majorBidi" w:cstheme="majorBidi"/>
                <w:b/>
                <w:bCs/>
              </w:rPr>
              <w:t>16</w:t>
            </w:r>
            <w:r w:rsidRPr="00F9298F">
              <w:rPr>
                <w:rFonts w:asciiTheme="majorBidi" w:hAnsiTheme="majorBidi" w:cstheme="majorBidi"/>
                <w:b/>
                <w:bCs/>
              </w:rPr>
              <w:t xml:space="preserve"> </w:t>
            </w:r>
            <w:r w:rsidR="00FB05A3" w:rsidRPr="00F9298F">
              <w:rPr>
                <w:rFonts w:asciiTheme="majorBidi" w:hAnsiTheme="majorBidi" w:cstheme="majorBidi"/>
                <w:b/>
                <w:bCs/>
              </w:rPr>
              <w:t>June</w:t>
            </w:r>
            <w:r>
              <w:rPr>
                <w:rFonts w:asciiTheme="majorBidi" w:hAnsiTheme="majorBidi" w:cstheme="majorBidi"/>
                <w:b/>
                <w:bCs/>
              </w:rPr>
              <w:t xml:space="preserve"> – 14 August</w:t>
            </w:r>
          </w:p>
        </w:tc>
      </w:tr>
      <w:tr w:rsidR="00190C8A" w:rsidRPr="00F9298F" w14:paraId="148C6A2F" w14:textId="77777777" w:rsidTr="003B0437">
        <w:trPr>
          <w:trHeight w:val="20"/>
        </w:trPr>
        <w:tc>
          <w:tcPr>
            <w:tcW w:w="3329" w:type="dxa"/>
            <w:shd w:val="clear" w:color="auto" w:fill="auto"/>
            <w:vAlign w:val="center"/>
          </w:tcPr>
          <w:p w14:paraId="4C9FB5D1" w14:textId="751CA92D" w:rsidR="00190C8A" w:rsidRPr="00F9298F" w:rsidRDefault="00E07573" w:rsidP="008A531B">
            <w:pPr>
              <w:ind w:left="117" w:right="17"/>
              <w:rPr>
                <w:rFonts w:asciiTheme="majorBidi" w:hAnsiTheme="majorBidi" w:cstheme="majorBidi"/>
                <w:b/>
                <w:bCs/>
              </w:rPr>
            </w:pPr>
            <w:r w:rsidRPr="00F9298F">
              <w:rPr>
                <w:rFonts w:asciiTheme="majorBidi" w:hAnsiTheme="majorBidi" w:cstheme="majorBidi"/>
                <w:b/>
                <w:bCs/>
              </w:rPr>
              <w:t>Final draft paper</w:t>
            </w:r>
            <w:r w:rsidR="00973168">
              <w:rPr>
                <w:rFonts w:asciiTheme="majorBidi" w:hAnsiTheme="majorBidi" w:cstheme="majorBidi"/>
                <w:b/>
                <w:bCs/>
              </w:rPr>
              <w:t xml:space="preserve"> and draft questions for panellists</w:t>
            </w:r>
          </w:p>
        </w:tc>
        <w:tc>
          <w:tcPr>
            <w:tcW w:w="2535" w:type="dxa"/>
            <w:vAlign w:val="center"/>
          </w:tcPr>
          <w:p w14:paraId="260F0318" w14:textId="3CD154EE" w:rsidR="00190C8A" w:rsidRPr="00F9298F" w:rsidRDefault="00E07573" w:rsidP="00EE440B">
            <w:pPr>
              <w:ind w:left="119" w:right="17"/>
              <w:jc w:val="both"/>
              <w:rPr>
                <w:rFonts w:asciiTheme="majorBidi" w:hAnsiTheme="majorBidi" w:cstheme="majorBidi"/>
              </w:rPr>
            </w:pPr>
            <w:r w:rsidRPr="00F9298F">
              <w:rPr>
                <w:rFonts w:asciiTheme="majorBidi" w:hAnsiTheme="majorBidi" w:cstheme="majorBidi"/>
              </w:rPr>
              <w:t>Consultant to the secretariat</w:t>
            </w:r>
          </w:p>
        </w:tc>
        <w:tc>
          <w:tcPr>
            <w:tcW w:w="2617" w:type="dxa"/>
            <w:shd w:val="clear" w:color="auto" w:fill="auto"/>
            <w:vAlign w:val="center"/>
          </w:tcPr>
          <w:p w14:paraId="28F68656" w14:textId="2F919D30" w:rsidR="00190C8A" w:rsidRPr="00F9298F" w:rsidRDefault="00D96985" w:rsidP="00960671">
            <w:pPr>
              <w:ind w:left="119" w:right="17"/>
              <w:rPr>
                <w:rFonts w:asciiTheme="majorBidi" w:hAnsiTheme="majorBidi" w:cstheme="majorBidi"/>
                <w:b/>
                <w:bCs/>
              </w:rPr>
            </w:pPr>
            <w:r w:rsidRPr="00F9298F">
              <w:rPr>
                <w:rFonts w:asciiTheme="majorBidi" w:hAnsiTheme="majorBidi" w:cstheme="majorBidi"/>
                <w:b/>
                <w:bCs/>
              </w:rPr>
              <w:t>14</w:t>
            </w:r>
            <w:r w:rsidR="007D6558" w:rsidRPr="00F9298F">
              <w:rPr>
                <w:rFonts w:asciiTheme="majorBidi" w:hAnsiTheme="majorBidi" w:cstheme="majorBidi"/>
                <w:b/>
                <w:bCs/>
              </w:rPr>
              <w:t xml:space="preserve"> August</w:t>
            </w:r>
          </w:p>
        </w:tc>
      </w:tr>
      <w:tr w:rsidR="00D96985" w:rsidRPr="00F9298F" w14:paraId="71BB8D4A" w14:textId="77777777" w:rsidTr="003B0437">
        <w:trPr>
          <w:trHeight w:val="56"/>
        </w:trPr>
        <w:tc>
          <w:tcPr>
            <w:tcW w:w="3329" w:type="dxa"/>
            <w:shd w:val="clear" w:color="auto" w:fill="auto"/>
            <w:vAlign w:val="center"/>
          </w:tcPr>
          <w:p w14:paraId="2034268C" w14:textId="7CBED988" w:rsidR="00D96985" w:rsidRPr="00F9298F" w:rsidRDefault="000B70B8" w:rsidP="008A531B">
            <w:pPr>
              <w:ind w:left="117" w:right="17"/>
              <w:rPr>
                <w:rFonts w:asciiTheme="majorBidi" w:hAnsiTheme="majorBidi" w:cstheme="majorBidi"/>
                <w:b/>
                <w:bCs/>
              </w:rPr>
            </w:pPr>
            <w:r>
              <w:rPr>
                <w:rFonts w:asciiTheme="majorBidi" w:hAnsiTheme="majorBidi" w:cstheme="majorBidi"/>
                <w:b/>
                <w:bCs/>
              </w:rPr>
              <w:t>P</w:t>
            </w:r>
            <w:r w:rsidR="00D96985" w:rsidRPr="00F9298F">
              <w:rPr>
                <w:rFonts w:asciiTheme="majorBidi" w:hAnsiTheme="majorBidi" w:cstheme="majorBidi"/>
                <w:b/>
                <w:bCs/>
              </w:rPr>
              <w:t>rogramme and</w:t>
            </w:r>
            <w:r w:rsidR="00705BEC" w:rsidRPr="00F9298F">
              <w:rPr>
                <w:rFonts w:asciiTheme="majorBidi" w:hAnsiTheme="majorBidi" w:cstheme="majorBidi"/>
                <w:b/>
                <w:bCs/>
              </w:rPr>
              <w:t xml:space="preserve"> </w:t>
            </w:r>
            <w:r w:rsidR="00D96985" w:rsidRPr="00F9298F">
              <w:rPr>
                <w:rFonts w:asciiTheme="majorBidi" w:hAnsiTheme="majorBidi" w:cstheme="majorBidi"/>
                <w:b/>
                <w:bCs/>
              </w:rPr>
              <w:t xml:space="preserve">scenario </w:t>
            </w:r>
            <w:r>
              <w:rPr>
                <w:rFonts w:asciiTheme="majorBidi" w:hAnsiTheme="majorBidi" w:cstheme="majorBidi"/>
                <w:b/>
                <w:bCs/>
              </w:rPr>
              <w:t xml:space="preserve">development </w:t>
            </w:r>
            <w:r w:rsidR="00705BEC" w:rsidRPr="00F9298F">
              <w:rPr>
                <w:rFonts w:asciiTheme="majorBidi" w:hAnsiTheme="majorBidi" w:cstheme="majorBidi"/>
                <w:b/>
                <w:bCs/>
              </w:rPr>
              <w:t xml:space="preserve">- </w:t>
            </w:r>
            <w:r w:rsidR="00D96985" w:rsidRPr="00F9298F">
              <w:rPr>
                <w:rFonts w:asciiTheme="majorBidi" w:hAnsiTheme="majorBidi" w:cstheme="majorBidi"/>
              </w:rPr>
              <w:t>for high level event</w:t>
            </w:r>
            <w:r w:rsidR="00705BEC" w:rsidRPr="00F9298F">
              <w:rPr>
                <w:rFonts w:asciiTheme="majorBidi" w:hAnsiTheme="majorBidi" w:cstheme="majorBidi"/>
              </w:rPr>
              <w:t>, including suggested speakers</w:t>
            </w:r>
          </w:p>
        </w:tc>
        <w:tc>
          <w:tcPr>
            <w:tcW w:w="2535" w:type="dxa"/>
            <w:vAlign w:val="center"/>
          </w:tcPr>
          <w:p w14:paraId="0BB78135" w14:textId="432965D3" w:rsidR="00D96985" w:rsidRPr="00F9298F" w:rsidRDefault="000B70B8" w:rsidP="00EE440B">
            <w:pPr>
              <w:ind w:left="119" w:right="17"/>
              <w:rPr>
                <w:rFonts w:asciiTheme="majorBidi" w:hAnsiTheme="majorBidi" w:cstheme="majorBidi"/>
              </w:rPr>
            </w:pPr>
            <w:r w:rsidRPr="00F9298F">
              <w:rPr>
                <w:rFonts w:asciiTheme="majorBidi" w:hAnsiTheme="majorBidi" w:cstheme="majorBidi"/>
              </w:rPr>
              <w:t>Consultant to the secretariat</w:t>
            </w:r>
            <w:r>
              <w:rPr>
                <w:rFonts w:asciiTheme="majorBidi" w:hAnsiTheme="majorBidi" w:cstheme="majorBidi"/>
              </w:rPr>
              <w:t>; secretariat; Bureau</w:t>
            </w:r>
          </w:p>
        </w:tc>
        <w:tc>
          <w:tcPr>
            <w:tcW w:w="2617" w:type="dxa"/>
            <w:shd w:val="clear" w:color="auto" w:fill="auto"/>
            <w:vAlign w:val="center"/>
          </w:tcPr>
          <w:p w14:paraId="19E49883" w14:textId="0092EC5C" w:rsidR="00D96985" w:rsidRPr="00F9298F" w:rsidRDefault="00705BEC" w:rsidP="00960671">
            <w:pPr>
              <w:ind w:left="119" w:right="17"/>
              <w:rPr>
                <w:rFonts w:asciiTheme="majorBidi" w:hAnsiTheme="majorBidi" w:cstheme="majorBidi"/>
                <w:b/>
                <w:bCs/>
              </w:rPr>
            </w:pPr>
            <w:r w:rsidRPr="00F9298F">
              <w:rPr>
                <w:rFonts w:asciiTheme="majorBidi" w:hAnsiTheme="majorBidi" w:cstheme="majorBidi"/>
                <w:b/>
                <w:bCs/>
              </w:rPr>
              <w:t>31 August</w:t>
            </w:r>
            <w:r w:rsidR="000B70B8">
              <w:rPr>
                <w:rFonts w:asciiTheme="majorBidi" w:hAnsiTheme="majorBidi" w:cstheme="majorBidi"/>
                <w:b/>
                <w:bCs/>
              </w:rPr>
              <w:t xml:space="preserve"> – 26 September</w:t>
            </w:r>
          </w:p>
        </w:tc>
      </w:tr>
      <w:tr w:rsidR="008A531B" w:rsidRPr="00F9298F" w14:paraId="7D72E479" w14:textId="77777777" w:rsidTr="003B0437">
        <w:trPr>
          <w:trHeight w:val="56"/>
        </w:trPr>
        <w:tc>
          <w:tcPr>
            <w:tcW w:w="3329" w:type="dxa"/>
            <w:shd w:val="clear" w:color="auto" w:fill="auto"/>
            <w:vAlign w:val="center"/>
          </w:tcPr>
          <w:p w14:paraId="20C5E705" w14:textId="3542B11B" w:rsidR="008A531B" w:rsidRPr="00F9298F" w:rsidRDefault="00FB0FDD" w:rsidP="008A531B">
            <w:pPr>
              <w:ind w:left="117" w:right="17"/>
              <w:rPr>
                <w:rFonts w:asciiTheme="majorBidi" w:hAnsiTheme="majorBidi" w:cstheme="majorBidi"/>
              </w:rPr>
            </w:pPr>
            <w:r w:rsidRPr="00F9298F">
              <w:rPr>
                <w:rFonts w:asciiTheme="majorBidi" w:hAnsiTheme="majorBidi" w:cstheme="majorBidi"/>
                <w:b/>
                <w:bCs/>
              </w:rPr>
              <w:t>B</w:t>
            </w:r>
            <w:r w:rsidR="008A531B" w:rsidRPr="00F9298F">
              <w:rPr>
                <w:rFonts w:asciiTheme="majorBidi" w:hAnsiTheme="majorBidi" w:cstheme="majorBidi"/>
                <w:b/>
                <w:bCs/>
              </w:rPr>
              <w:t>ackground document for the event</w:t>
            </w:r>
            <w:r w:rsidR="00973168">
              <w:rPr>
                <w:rFonts w:asciiTheme="majorBidi" w:hAnsiTheme="majorBidi" w:cstheme="majorBidi"/>
                <w:b/>
                <w:bCs/>
              </w:rPr>
              <w:t xml:space="preserve"> and draft questions for panellists </w:t>
            </w:r>
            <w:r w:rsidRPr="00F9298F">
              <w:rPr>
                <w:rFonts w:asciiTheme="majorBidi" w:hAnsiTheme="majorBidi" w:cstheme="majorBidi"/>
                <w:b/>
                <w:bCs/>
              </w:rPr>
              <w:t>(as an official document)</w:t>
            </w:r>
            <w:r w:rsidR="008A531B" w:rsidRPr="00F9298F">
              <w:rPr>
                <w:rFonts w:asciiTheme="majorBidi" w:hAnsiTheme="majorBidi" w:cstheme="majorBidi"/>
                <w:b/>
                <w:bCs/>
              </w:rPr>
              <w:t xml:space="preserve"> </w:t>
            </w:r>
          </w:p>
        </w:tc>
        <w:tc>
          <w:tcPr>
            <w:tcW w:w="2535" w:type="dxa"/>
            <w:vAlign w:val="center"/>
          </w:tcPr>
          <w:p w14:paraId="633C5BBE" w14:textId="14CBFF08" w:rsidR="008A531B" w:rsidRPr="00F9298F" w:rsidRDefault="008A531B" w:rsidP="00EE440B">
            <w:pPr>
              <w:ind w:left="119" w:right="17"/>
              <w:rPr>
                <w:rFonts w:asciiTheme="majorBidi" w:hAnsiTheme="majorBidi" w:cstheme="majorBidi"/>
              </w:rPr>
            </w:pPr>
            <w:r w:rsidRPr="00F9298F">
              <w:rPr>
                <w:rFonts w:asciiTheme="majorBidi" w:hAnsiTheme="majorBidi" w:cstheme="majorBidi"/>
              </w:rPr>
              <w:t>Secretariat</w:t>
            </w:r>
            <w:r w:rsidR="005B765A" w:rsidRPr="00F9298F">
              <w:rPr>
                <w:rFonts w:asciiTheme="majorBidi" w:hAnsiTheme="majorBidi" w:cstheme="majorBidi"/>
              </w:rPr>
              <w:t xml:space="preserve"> supported by</w:t>
            </w:r>
            <w:r w:rsidR="00A752FE" w:rsidRPr="00F9298F">
              <w:rPr>
                <w:rFonts w:asciiTheme="majorBidi" w:hAnsiTheme="majorBidi" w:cstheme="majorBidi"/>
              </w:rPr>
              <w:t xml:space="preserve"> consultants </w:t>
            </w:r>
          </w:p>
        </w:tc>
        <w:tc>
          <w:tcPr>
            <w:tcW w:w="2617" w:type="dxa"/>
            <w:shd w:val="clear" w:color="auto" w:fill="auto"/>
            <w:vAlign w:val="center"/>
          </w:tcPr>
          <w:p w14:paraId="1D987951" w14:textId="6592419E" w:rsidR="008A531B" w:rsidRPr="00F9298F" w:rsidRDefault="008A531B" w:rsidP="00960671">
            <w:pPr>
              <w:ind w:left="119" w:right="17"/>
              <w:rPr>
                <w:rFonts w:asciiTheme="majorBidi" w:hAnsiTheme="majorBidi" w:cstheme="majorBidi"/>
                <w:b/>
                <w:bCs/>
                <w:i/>
                <w:iCs/>
              </w:rPr>
            </w:pPr>
            <w:r w:rsidRPr="00F9298F">
              <w:rPr>
                <w:rFonts w:asciiTheme="majorBidi" w:hAnsiTheme="majorBidi" w:cstheme="majorBidi"/>
                <w:b/>
                <w:bCs/>
                <w:i/>
                <w:iCs/>
              </w:rPr>
              <w:t xml:space="preserve">For editing by 19 September;  </w:t>
            </w:r>
            <w:r w:rsidRPr="00F9298F">
              <w:rPr>
                <w:rFonts w:asciiTheme="majorBidi" w:hAnsiTheme="majorBidi" w:cstheme="majorBidi"/>
                <w:b/>
                <w:bCs/>
                <w:i/>
                <w:iCs/>
              </w:rPr>
              <w:br/>
              <w:t>Available in English by 4 October</w:t>
            </w:r>
          </w:p>
        </w:tc>
      </w:tr>
      <w:tr w:rsidR="005A7929" w:rsidRPr="00F9298F" w14:paraId="0DEAD14B" w14:textId="77777777" w:rsidTr="003B0437">
        <w:trPr>
          <w:trHeight w:val="56"/>
        </w:trPr>
        <w:tc>
          <w:tcPr>
            <w:tcW w:w="3329" w:type="dxa"/>
            <w:shd w:val="clear" w:color="auto" w:fill="auto"/>
            <w:vAlign w:val="center"/>
          </w:tcPr>
          <w:p w14:paraId="3EF40FEE" w14:textId="6118E0E2" w:rsidR="005A7929" w:rsidRPr="00F9298F" w:rsidRDefault="005A7929" w:rsidP="005A7929">
            <w:pPr>
              <w:ind w:left="117" w:right="17"/>
              <w:rPr>
                <w:rFonts w:asciiTheme="majorBidi" w:hAnsiTheme="majorBidi" w:cstheme="majorBidi"/>
              </w:rPr>
            </w:pPr>
            <w:r w:rsidRPr="00F9298F">
              <w:rPr>
                <w:rFonts w:asciiTheme="majorBidi" w:hAnsiTheme="majorBidi" w:cstheme="majorBidi"/>
              </w:rPr>
              <w:t>Confirmation of panellists</w:t>
            </w:r>
            <w:r>
              <w:rPr>
                <w:rFonts w:asciiTheme="majorBidi" w:hAnsiTheme="majorBidi" w:cstheme="majorBidi"/>
              </w:rPr>
              <w:t xml:space="preserve"> with instructions including a request for short bios and interventions</w:t>
            </w:r>
            <w:r w:rsidR="000E4C50">
              <w:rPr>
                <w:rFonts w:asciiTheme="majorBidi" w:hAnsiTheme="majorBidi" w:cstheme="majorBidi"/>
              </w:rPr>
              <w:t xml:space="preserve"> in writing</w:t>
            </w:r>
            <w:r w:rsidR="003230B3">
              <w:rPr>
                <w:rFonts w:asciiTheme="majorBidi" w:hAnsiTheme="majorBidi" w:cstheme="majorBidi"/>
              </w:rPr>
              <w:t xml:space="preserve"> (including </w:t>
            </w:r>
            <w:r w:rsidR="003230B3" w:rsidRPr="00F9298F">
              <w:rPr>
                <w:rFonts w:asciiTheme="majorBidi" w:hAnsiTheme="majorBidi" w:cstheme="majorBidi"/>
              </w:rPr>
              <w:t>Key points/</w:t>
            </w:r>
            <w:r w:rsidR="003230B3">
              <w:rPr>
                <w:rFonts w:asciiTheme="majorBidi" w:hAnsiTheme="majorBidi" w:cstheme="majorBidi"/>
              </w:rPr>
              <w:t xml:space="preserve"> </w:t>
            </w:r>
            <w:r w:rsidR="003230B3" w:rsidRPr="00F9298F">
              <w:rPr>
                <w:rFonts w:asciiTheme="majorBidi" w:hAnsiTheme="majorBidi" w:cstheme="majorBidi"/>
              </w:rPr>
              <w:t>conclusions/</w:t>
            </w:r>
            <w:r w:rsidR="003230B3">
              <w:rPr>
                <w:rFonts w:asciiTheme="majorBidi" w:hAnsiTheme="majorBidi" w:cstheme="majorBidi"/>
              </w:rPr>
              <w:t xml:space="preserve"> </w:t>
            </w:r>
            <w:r w:rsidR="003230B3" w:rsidRPr="00F9298F">
              <w:rPr>
                <w:rFonts w:asciiTheme="majorBidi" w:hAnsiTheme="majorBidi" w:cstheme="majorBidi"/>
              </w:rPr>
              <w:t>take-aways by the speakers (max 2-3 bullet points)</w:t>
            </w:r>
            <w:r w:rsidR="003230B3">
              <w:rPr>
                <w:rFonts w:asciiTheme="majorBidi" w:hAnsiTheme="majorBidi" w:cstheme="majorBidi"/>
              </w:rPr>
              <w:t xml:space="preserve"> for moderator’s summary)</w:t>
            </w:r>
            <w:r w:rsidR="000E4C50">
              <w:rPr>
                <w:rFonts w:asciiTheme="majorBidi" w:hAnsiTheme="majorBidi" w:cstheme="majorBidi"/>
              </w:rPr>
              <w:t>,</w:t>
            </w:r>
            <w:r>
              <w:rPr>
                <w:rFonts w:asciiTheme="majorBidi" w:hAnsiTheme="majorBidi" w:cstheme="majorBidi"/>
              </w:rPr>
              <w:t xml:space="preserve"> based on questions sent</w:t>
            </w:r>
            <w:r w:rsidR="000E4C50">
              <w:rPr>
                <w:rFonts w:asciiTheme="majorBidi" w:hAnsiTheme="majorBidi" w:cstheme="majorBidi"/>
              </w:rPr>
              <w:t>,</w:t>
            </w:r>
            <w:r w:rsidR="003B1236">
              <w:t xml:space="preserve"> </w:t>
            </w:r>
            <w:r w:rsidR="003230B3">
              <w:t xml:space="preserve">to be received </w:t>
            </w:r>
            <w:r w:rsidR="003B1236">
              <w:t xml:space="preserve">by </w:t>
            </w:r>
            <w:r w:rsidR="003B1236" w:rsidRPr="003230B3">
              <w:rPr>
                <w:b/>
                <w:bCs/>
              </w:rPr>
              <w:t>23 November</w:t>
            </w:r>
          </w:p>
        </w:tc>
        <w:tc>
          <w:tcPr>
            <w:tcW w:w="2535" w:type="dxa"/>
            <w:vAlign w:val="center"/>
          </w:tcPr>
          <w:p w14:paraId="341403AA" w14:textId="221304B0" w:rsidR="005A7929" w:rsidRPr="00F9298F" w:rsidRDefault="005A7929" w:rsidP="005A7929">
            <w:pPr>
              <w:ind w:left="119" w:right="17"/>
              <w:rPr>
                <w:rFonts w:asciiTheme="majorBidi" w:hAnsiTheme="majorBidi" w:cstheme="majorBidi"/>
              </w:rPr>
            </w:pPr>
            <w:r w:rsidRPr="00F9298F">
              <w:rPr>
                <w:rFonts w:asciiTheme="majorBidi" w:hAnsiTheme="majorBidi" w:cstheme="majorBidi"/>
              </w:rPr>
              <w:t>Secretariat supported by consultants</w:t>
            </w:r>
          </w:p>
        </w:tc>
        <w:tc>
          <w:tcPr>
            <w:tcW w:w="2617" w:type="dxa"/>
            <w:shd w:val="clear" w:color="auto" w:fill="auto"/>
            <w:vAlign w:val="center"/>
          </w:tcPr>
          <w:p w14:paraId="7EDD614D" w14:textId="1977382D" w:rsidR="005A7929" w:rsidRPr="00F9298F" w:rsidRDefault="005A7929" w:rsidP="005A7929">
            <w:pPr>
              <w:ind w:left="119" w:right="17"/>
              <w:rPr>
                <w:rFonts w:asciiTheme="majorBidi" w:hAnsiTheme="majorBidi" w:cstheme="majorBidi"/>
                <w:b/>
                <w:bCs/>
              </w:rPr>
            </w:pPr>
            <w:r w:rsidRPr="00F9298F">
              <w:rPr>
                <w:rFonts w:asciiTheme="majorBidi" w:hAnsiTheme="majorBidi" w:cstheme="majorBidi"/>
                <w:b/>
                <w:bCs/>
              </w:rPr>
              <w:t>29 September</w:t>
            </w:r>
          </w:p>
        </w:tc>
      </w:tr>
      <w:tr w:rsidR="005A79D3" w:rsidRPr="00F9298F" w14:paraId="21F9EEAF" w14:textId="77777777" w:rsidTr="003B0437">
        <w:trPr>
          <w:trHeight w:val="56"/>
        </w:trPr>
        <w:tc>
          <w:tcPr>
            <w:tcW w:w="3329" w:type="dxa"/>
            <w:shd w:val="clear" w:color="auto" w:fill="auto"/>
            <w:vAlign w:val="center"/>
          </w:tcPr>
          <w:p w14:paraId="28930D1C" w14:textId="38D52637" w:rsidR="005A79D3" w:rsidRPr="00F9298F" w:rsidRDefault="005A79D3" w:rsidP="005A7929">
            <w:pPr>
              <w:ind w:left="117" w:right="17"/>
              <w:rPr>
                <w:rFonts w:asciiTheme="majorBidi" w:hAnsiTheme="majorBidi" w:cstheme="majorBidi"/>
              </w:rPr>
            </w:pPr>
            <w:r>
              <w:t xml:space="preserve">The preliminary programme </w:t>
            </w:r>
            <w:r w:rsidR="002D7495" w:rsidRPr="00F9298F">
              <w:rPr>
                <w:rFonts w:asciiTheme="majorBidi" w:hAnsiTheme="majorBidi" w:cstheme="majorBidi"/>
              </w:rPr>
              <w:t>(as an informal document)</w:t>
            </w:r>
            <w:r w:rsidR="002D7495">
              <w:rPr>
                <w:rFonts w:asciiTheme="majorBidi" w:hAnsiTheme="majorBidi" w:cstheme="majorBidi"/>
              </w:rPr>
              <w:t xml:space="preserve"> </w:t>
            </w:r>
            <w:r>
              <w:t>will be posted online</w:t>
            </w:r>
            <w:r w:rsidR="002D7495">
              <w:t xml:space="preserve"> </w:t>
            </w:r>
            <w:r w:rsidR="0020117C">
              <w:t xml:space="preserve"> </w:t>
            </w:r>
            <w:r w:rsidR="0020117C" w:rsidRPr="0020117C">
              <w:rPr>
                <w:i/>
                <w:iCs/>
              </w:rPr>
              <w:t>(updated as needed</w:t>
            </w:r>
            <w:r w:rsidR="003B1236">
              <w:rPr>
                <w:i/>
                <w:iCs/>
              </w:rPr>
              <w:t xml:space="preserve"> until the HL event</w:t>
            </w:r>
            <w:r w:rsidR="0020117C" w:rsidRPr="0020117C">
              <w:rPr>
                <w:i/>
                <w:iCs/>
              </w:rPr>
              <w:t>)</w:t>
            </w:r>
          </w:p>
        </w:tc>
        <w:tc>
          <w:tcPr>
            <w:tcW w:w="2535" w:type="dxa"/>
            <w:vAlign w:val="center"/>
          </w:tcPr>
          <w:p w14:paraId="2C6AA47E" w14:textId="0DD027ED" w:rsidR="005A79D3" w:rsidRPr="00F9298F" w:rsidRDefault="0020117C" w:rsidP="005A7929">
            <w:pPr>
              <w:ind w:left="119" w:right="17"/>
              <w:rPr>
                <w:rFonts w:asciiTheme="majorBidi" w:hAnsiTheme="majorBidi" w:cstheme="majorBidi"/>
              </w:rPr>
            </w:pPr>
            <w:r w:rsidRPr="0020117C">
              <w:rPr>
                <w:rFonts w:asciiTheme="majorBidi" w:hAnsiTheme="majorBidi" w:cstheme="majorBidi"/>
              </w:rPr>
              <w:t>Secretariat supported by consultants</w:t>
            </w:r>
          </w:p>
        </w:tc>
        <w:tc>
          <w:tcPr>
            <w:tcW w:w="2617" w:type="dxa"/>
            <w:shd w:val="clear" w:color="auto" w:fill="auto"/>
            <w:vAlign w:val="center"/>
          </w:tcPr>
          <w:p w14:paraId="12354DE4" w14:textId="105D8BFB" w:rsidR="005A79D3" w:rsidRPr="00F9298F" w:rsidRDefault="0020117C" w:rsidP="005A7929">
            <w:pPr>
              <w:ind w:left="119" w:right="17"/>
              <w:rPr>
                <w:rFonts w:asciiTheme="majorBidi" w:hAnsiTheme="majorBidi" w:cstheme="majorBidi"/>
                <w:b/>
                <w:bCs/>
              </w:rPr>
            </w:pPr>
            <w:r>
              <w:rPr>
                <w:rFonts w:asciiTheme="majorBidi" w:hAnsiTheme="majorBidi" w:cstheme="majorBidi"/>
                <w:b/>
                <w:bCs/>
              </w:rPr>
              <w:t>3 October</w:t>
            </w:r>
          </w:p>
        </w:tc>
      </w:tr>
      <w:tr w:rsidR="005A7929" w:rsidRPr="00F9298F" w14:paraId="74AF0C37" w14:textId="2674CBDD" w:rsidTr="001E2DEB">
        <w:trPr>
          <w:trHeight w:val="56"/>
        </w:trPr>
        <w:tc>
          <w:tcPr>
            <w:tcW w:w="3329" w:type="dxa"/>
            <w:shd w:val="clear" w:color="auto" w:fill="auto"/>
            <w:vAlign w:val="center"/>
          </w:tcPr>
          <w:p w14:paraId="6653B918" w14:textId="53D66422" w:rsidR="005A7929" w:rsidRPr="00F9298F" w:rsidRDefault="004D13D7" w:rsidP="003230B3">
            <w:pPr>
              <w:ind w:left="117" w:right="17"/>
              <w:rPr>
                <w:rFonts w:asciiTheme="majorBidi" w:hAnsiTheme="majorBidi" w:cstheme="majorBidi"/>
              </w:rPr>
            </w:pPr>
            <w:r>
              <w:rPr>
                <w:rFonts w:asciiTheme="majorBidi" w:hAnsiTheme="majorBidi" w:cstheme="majorBidi"/>
              </w:rPr>
              <w:lastRenderedPageBreak/>
              <w:t>R</w:t>
            </w:r>
            <w:r w:rsidR="005A7929">
              <w:rPr>
                <w:rFonts w:asciiTheme="majorBidi" w:hAnsiTheme="majorBidi" w:cstheme="majorBidi"/>
              </w:rPr>
              <w:t>equest for</w:t>
            </w:r>
            <w:r w:rsidR="005A7929" w:rsidRPr="00F9298F">
              <w:rPr>
                <w:rFonts w:asciiTheme="majorBidi" w:hAnsiTheme="majorBidi" w:cstheme="majorBidi"/>
              </w:rPr>
              <w:t xml:space="preserve"> </w:t>
            </w:r>
            <w:r w:rsidR="002434BD">
              <w:rPr>
                <w:rFonts w:asciiTheme="majorBidi" w:hAnsiTheme="majorBidi" w:cstheme="majorBidi"/>
              </w:rPr>
              <w:t xml:space="preserve">(max 3 min.) </w:t>
            </w:r>
            <w:r w:rsidR="005A7929" w:rsidRPr="00F9298F">
              <w:rPr>
                <w:rFonts w:asciiTheme="majorBidi" w:hAnsiTheme="majorBidi" w:cstheme="majorBidi"/>
              </w:rPr>
              <w:t>statements from the floor</w:t>
            </w:r>
            <w:r>
              <w:rPr>
                <w:rFonts w:asciiTheme="majorBidi" w:hAnsiTheme="majorBidi" w:cstheme="majorBidi"/>
              </w:rPr>
              <w:t xml:space="preserve"> including </w:t>
            </w:r>
            <w:r w:rsidR="003B1236">
              <w:rPr>
                <w:rFonts w:asciiTheme="majorBidi" w:hAnsiTheme="majorBidi" w:cstheme="majorBidi"/>
              </w:rPr>
              <w:t>i</w:t>
            </w:r>
            <w:r w:rsidR="003B1236" w:rsidRPr="005B765A">
              <w:rPr>
                <w:rFonts w:asciiTheme="majorBidi" w:hAnsiTheme="majorBidi" w:cstheme="majorBidi"/>
              </w:rPr>
              <w:t>nstructions for the speak</w:t>
            </w:r>
            <w:r w:rsidR="002434BD">
              <w:rPr>
                <w:rFonts w:asciiTheme="majorBidi" w:hAnsiTheme="majorBidi" w:cstheme="majorBidi"/>
              </w:rPr>
              <w:t>ers</w:t>
            </w:r>
            <w:r w:rsidR="003230B3">
              <w:rPr>
                <w:rFonts w:asciiTheme="majorBidi" w:hAnsiTheme="majorBidi" w:cstheme="majorBidi"/>
              </w:rPr>
              <w:t xml:space="preserve"> to be received </w:t>
            </w:r>
            <w:r>
              <w:rPr>
                <w:rFonts w:asciiTheme="majorBidi" w:hAnsiTheme="majorBidi" w:cstheme="majorBidi"/>
              </w:rPr>
              <w:t xml:space="preserve">by </w:t>
            </w:r>
            <w:r w:rsidRPr="003230B3">
              <w:rPr>
                <w:rFonts w:asciiTheme="majorBidi" w:hAnsiTheme="majorBidi" w:cstheme="majorBidi"/>
                <w:b/>
                <w:bCs/>
              </w:rPr>
              <w:t>30 November</w:t>
            </w:r>
          </w:p>
        </w:tc>
        <w:tc>
          <w:tcPr>
            <w:tcW w:w="2535" w:type="dxa"/>
            <w:shd w:val="clear" w:color="auto" w:fill="auto"/>
            <w:vAlign w:val="center"/>
          </w:tcPr>
          <w:p w14:paraId="34F0AF0D" w14:textId="56EDE24B" w:rsidR="005A7929" w:rsidRPr="00F9298F" w:rsidRDefault="005A7929" w:rsidP="005A7929">
            <w:pPr>
              <w:ind w:left="119" w:right="17"/>
              <w:rPr>
                <w:rFonts w:asciiTheme="majorBidi" w:hAnsiTheme="majorBidi" w:cstheme="majorBidi"/>
              </w:rPr>
            </w:pPr>
            <w:r w:rsidRPr="00F9298F">
              <w:rPr>
                <w:rFonts w:asciiTheme="majorBidi" w:hAnsiTheme="majorBidi" w:cstheme="majorBidi"/>
              </w:rPr>
              <w:t>All delegations</w:t>
            </w:r>
          </w:p>
        </w:tc>
        <w:tc>
          <w:tcPr>
            <w:tcW w:w="2617" w:type="dxa"/>
            <w:shd w:val="clear" w:color="auto" w:fill="auto"/>
            <w:vAlign w:val="center"/>
          </w:tcPr>
          <w:p w14:paraId="10785DB1" w14:textId="68DC6D9A" w:rsidR="005A7929" w:rsidRPr="00F9298F" w:rsidRDefault="004D13D7" w:rsidP="005A7929">
            <w:pPr>
              <w:ind w:left="119" w:right="17"/>
              <w:rPr>
                <w:rFonts w:asciiTheme="majorBidi" w:hAnsiTheme="majorBidi" w:cstheme="majorBidi"/>
                <w:b/>
                <w:bCs/>
              </w:rPr>
            </w:pPr>
            <w:r>
              <w:rPr>
                <w:rFonts w:asciiTheme="majorBidi" w:hAnsiTheme="majorBidi" w:cstheme="majorBidi"/>
                <w:b/>
                <w:bCs/>
              </w:rPr>
              <w:t>3</w:t>
            </w:r>
            <w:r w:rsidR="005A7929" w:rsidRPr="00F9298F">
              <w:rPr>
                <w:rFonts w:asciiTheme="majorBidi" w:hAnsiTheme="majorBidi" w:cstheme="majorBidi"/>
                <w:b/>
                <w:bCs/>
              </w:rPr>
              <w:t xml:space="preserve">0 </w:t>
            </w:r>
            <w:r>
              <w:rPr>
                <w:rFonts w:asciiTheme="majorBidi" w:hAnsiTheme="majorBidi" w:cstheme="majorBidi"/>
                <w:b/>
                <w:bCs/>
              </w:rPr>
              <w:t>October</w:t>
            </w:r>
          </w:p>
        </w:tc>
      </w:tr>
      <w:tr w:rsidR="005A7929" w:rsidRPr="00F9298F" w14:paraId="24CE5BD3" w14:textId="77777777" w:rsidTr="001E2DEB">
        <w:tc>
          <w:tcPr>
            <w:tcW w:w="3329" w:type="dxa"/>
            <w:shd w:val="clear" w:color="auto" w:fill="auto"/>
            <w:vAlign w:val="center"/>
          </w:tcPr>
          <w:p w14:paraId="1D8B8D8D" w14:textId="0EF0B14C" w:rsidR="005A7929" w:rsidRPr="00F9298F" w:rsidRDefault="002D7495" w:rsidP="005A7929">
            <w:pPr>
              <w:ind w:left="117" w:right="17"/>
              <w:rPr>
                <w:rFonts w:asciiTheme="majorBidi" w:hAnsiTheme="majorBidi" w:cstheme="majorBidi"/>
              </w:rPr>
            </w:pPr>
            <w:r>
              <w:rPr>
                <w:rFonts w:asciiTheme="majorBidi" w:hAnsiTheme="majorBidi" w:cstheme="majorBidi"/>
              </w:rPr>
              <w:t xml:space="preserve">Final </w:t>
            </w:r>
            <w:r w:rsidR="005A7929" w:rsidRPr="00F9298F">
              <w:rPr>
                <w:rFonts w:asciiTheme="majorBidi" w:hAnsiTheme="majorBidi" w:cstheme="majorBidi"/>
              </w:rPr>
              <w:t>programme for the event (as an informal document)</w:t>
            </w:r>
            <w:r w:rsidR="00C22F0F">
              <w:rPr>
                <w:rFonts w:asciiTheme="majorBidi" w:hAnsiTheme="majorBidi" w:cstheme="majorBidi"/>
              </w:rPr>
              <w:t xml:space="preserve"> uploaded</w:t>
            </w:r>
          </w:p>
        </w:tc>
        <w:tc>
          <w:tcPr>
            <w:tcW w:w="2535" w:type="dxa"/>
            <w:shd w:val="clear" w:color="auto" w:fill="auto"/>
            <w:vAlign w:val="center"/>
          </w:tcPr>
          <w:p w14:paraId="0DC20C0E" w14:textId="1EC3580F" w:rsidR="005A7929" w:rsidRPr="00F9298F" w:rsidRDefault="005A7929" w:rsidP="005A7929">
            <w:pPr>
              <w:ind w:left="119" w:right="17"/>
              <w:rPr>
                <w:rFonts w:asciiTheme="majorBidi" w:hAnsiTheme="majorBidi" w:cstheme="majorBidi"/>
              </w:rPr>
            </w:pPr>
            <w:r w:rsidRPr="00F9298F">
              <w:rPr>
                <w:rFonts w:asciiTheme="majorBidi" w:hAnsiTheme="majorBidi" w:cstheme="majorBidi"/>
              </w:rPr>
              <w:t>Secretariat supported by consultants</w:t>
            </w:r>
          </w:p>
        </w:tc>
        <w:tc>
          <w:tcPr>
            <w:tcW w:w="2617" w:type="dxa"/>
            <w:shd w:val="clear" w:color="auto" w:fill="auto"/>
            <w:vAlign w:val="center"/>
          </w:tcPr>
          <w:p w14:paraId="521218BD" w14:textId="38335242" w:rsidR="005A7929" w:rsidRPr="00F9298F" w:rsidRDefault="005A7929" w:rsidP="005A7929">
            <w:pPr>
              <w:ind w:left="119" w:right="17"/>
              <w:rPr>
                <w:rFonts w:asciiTheme="majorBidi" w:hAnsiTheme="majorBidi" w:cstheme="majorBidi"/>
                <w:b/>
                <w:bCs/>
              </w:rPr>
            </w:pPr>
            <w:r w:rsidRPr="00F9298F">
              <w:rPr>
                <w:rFonts w:asciiTheme="majorBidi" w:hAnsiTheme="majorBidi" w:cstheme="majorBidi"/>
                <w:b/>
                <w:bCs/>
              </w:rPr>
              <w:t>2</w:t>
            </w:r>
            <w:r w:rsidR="003B1236">
              <w:rPr>
                <w:rFonts w:asciiTheme="majorBidi" w:hAnsiTheme="majorBidi" w:cstheme="majorBidi"/>
                <w:b/>
                <w:bCs/>
              </w:rPr>
              <w:t>3</w:t>
            </w:r>
            <w:r w:rsidRPr="00F9298F">
              <w:rPr>
                <w:rFonts w:asciiTheme="majorBidi" w:hAnsiTheme="majorBidi" w:cstheme="majorBidi"/>
                <w:b/>
                <w:bCs/>
              </w:rPr>
              <w:t xml:space="preserve"> November</w:t>
            </w:r>
          </w:p>
          <w:p w14:paraId="6855208B" w14:textId="41A5322C" w:rsidR="005A7929" w:rsidRPr="00F9298F" w:rsidRDefault="005A7929" w:rsidP="005A7929">
            <w:pPr>
              <w:ind w:left="119" w:right="17"/>
              <w:rPr>
                <w:rFonts w:asciiTheme="majorBidi" w:hAnsiTheme="majorBidi" w:cstheme="majorBidi"/>
              </w:rPr>
            </w:pPr>
            <w:r w:rsidRPr="00F9298F">
              <w:rPr>
                <w:rFonts w:asciiTheme="majorBidi" w:hAnsiTheme="majorBidi" w:cstheme="majorBidi"/>
                <w:b/>
                <w:bCs/>
              </w:rPr>
              <w:t>(3 weeks before the MOPs)</w:t>
            </w:r>
          </w:p>
        </w:tc>
      </w:tr>
      <w:tr w:rsidR="005A7929" w:rsidRPr="00F9298F" w14:paraId="7038510D" w14:textId="77777777" w:rsidTr="003B0437">
        <w:tc>
          <w:tcPr>
            <w:tcW w:w="3329" w:type="dxa"/>
            <w:shd w:val="clear" w:color="auto" w:fill="auto"/>
            <w:vAlign w:val="center"/>
          </w:tcPr>
          <w:p w14:paraId="0796055E" w14:textId="49F2F7B5" w:rsidR="005A7929" w:rsidRPr="00F9298F" w:rsidRDefault="005A7929" w:rsidP="005A7929">
            <w:pPr>
              <w:tabs>
                <w:tab w:val="left" w:pos="3266"/>
              </w:tabs>
              <w:ind w:left="117" w:right="17"/>
              <w:rPr>
                <w:rFonts w:asciiTheme="majorBidi" w:hAnsiTheme="majorBidi" w:cstheme="majorBidi"/>
              </w:rPr>
            </w:pPr>
            <w:r w:rsidRPr="00F9298F">
              <w:rPr>
                <w:rFonts w:asciiTheme="majorBidi" w:hAnsiTheme="majorBidi" w:cstheme="majorBidi"/>
              </w:rPr>
              <w:t>Online meeting with panellists to discuss interventions</w:t>
            </w:r>
          </w:p>
        </w:tc>
        <w:tc>
          <w:tcPr>
            <w:tcW w:w="2535" w:type="dxa"/>
            <w:vAlign w:val="center"/>
          </w:tcPr>
          <w:p w14:paraId="21588C8A" w14:textId="082F7C6D" w:rsidR="005A7929" w:rsidRPr="00F9298F" w:rsidRDefault="005A7929" w:rsidP="005A7929">
            <w:pPr>
              <w:ind w:left="119" w:right="17"/>
              <w:jc w:val="both"/>
              <w:rPr>
                <w:rStyle w:val="CommentReference"/>
              </w:rPr>
            </w:pPr>
            <w:r w:rsidRPr="00F9298F">
              <w:rPr>
                <w:rFonts w:asciiTheme="majorBidi" w:hAnsiTheme="majorBidi" w:cstheme="majorBidi"/>
              </w:rPr>
              <w:t>Consultant to the secretariat</w:t>
            </w:r>
          </w:p>
        </w:tc>
        <w:tc>
          <w:tcPr>
            <w:tcW w:w="2617" w:type="dxa"/>
            <w:shd w:val="clear" w:color="auto" w:fill="auto"/>
            <w:vAlign w:val="center"/>
          </w:tcPr>
          <w:p w14:paraId="5D14561C" w14:textId="0FCD8D88" w:rsidR="005A7929" w:rsidRPr="00F9298F" w:rsidRDefault="005A7929" w:rsidP="005A7929">
            <w:pPr>
              <w:ind w:left="119" w:right="17"/>
              <w:rPr>
                <w:rFonts w:asciiTheme="majorBidi" w:hAnsiTheme="majorBidi" w:cstheme="majorBidi"/>
                <w:b/>
                <w:bCs/>
              </w:rPr>
            </w:pPr>
            <w:r w:rsidRPr="00F9298F">
              <w:rPr>
                <w:rFonts w:asciiTheme="majorBidi" w:hAnsiTheme="majorBidi" w:cstheme="majorBidi"/>
                <w:b/>
                <w:bCs/>
              </w:rPr>
              <w:t>30 November</w:t>
            </w:r>
          </w:p>
        </w:tc>
      </w:tr>
      <w:tr w:rsidR="005A7929" w:rsidRPr="00F9298F" w14:paraId="6F7A7BE1" w14:textId="77777777" w:rsidTr="003B0437">
        <w:tc>
          <w:tcPr>
            <w:tcW w:w="3329" w:type="dxa"/>
            <w:shd w:val="clear" w:color="auto" w:fill="auto"/>
            <w:vAlign w:val="center"/>
          </w:tcPr>
          <w:p w14:paraId="299FA490" w14:textId="3561F8E4" w:rsidR="005A7929" w:rsidRPr="00F9298F" w:rsidRDefault="005A7929" w:rsidP="005A7929">
            <w:pPr>
              <w:tabs>
                <w:tab w:val="left" w:pos="3266"/>
              </w:tabs>
              <w:ind w:left="117" w:right="17"/>
              <w:rPr>
                <w:rFonts w:asciiTheme="majorBidi" w:hAnsiTheme="majorBidi" w:cstheme="majorBidi"/>
              </w:rPr>
            </w:pPr>
            <w:r w:rsidRPr="00F9298F">
              <w:rPr>
                <w:rFonts w:asciiTheme="majorBidi" w:hAnsiTheme="majorBidi" w:cstheme="majorBidi"/>
              </w:rPr>
              <w:t xml:space="preserve">Prepare moderation script </w:t>
            </w:r>
          </w:p>
        </w:tc>
        <w:tc>
          <w:tcPr>
            <w:tcW w:w="2535" w:type="dxa"/>
            <w:vAlign w:val="center"/>
          </w:tcPr>
          <w:p w14:paraId="6C78E05B" w14:textId="4768D9C3" w:rsidR="005A7929" w:rsidRPr="00F9298F" w:rsidRDefault="005A7929" w:rsidP="005A7929">
            <w:pPr>
              <w:ind w:left="119" w:right="17"/>
              <w:jc w:val="both"/>
              <w:rPr>
                <w:rFonts w:asciiTheme="majorBidi" w:hAnsiTheme="majorBidi" w:cstheme="majorBidi"/>
              </w:rPr>
            </w:pPr>
            <w:r w:rsidRPr="00F9298F">
              <w:rPr>
                <w:rFonts w:asciiTheme="majorBidi" w:hAnsiTheme="majorBidi" w:cstheme="majorBidi"/>
              </w:rPr>
              <w:t>Consultant to the secretariat</w:t>
            </w:r>
            <w:r w:rsidR="002434BD">
              <w:rPr>
                <w:rFonts w:asciiTheme="majorBidi" w:hAnsiTheme="majorBidi" w:cstheme="majorBidi"/>
              </w:rPr>
              <w:t xml:space="preserve"> for comments by the secretariat</w:t>
            </w:r>
          </w:p>
        </w:tc>
        <w:tc>
          <w:tcPr>
            <w:tcW w:w="2617" w:type="dxa"/>
            <w:shd w:val="clear" w:color="auto" w:fill="auto"/>
            <w:vAlign w:val="center"/>
          </w:tcPr>
          <w:p w14:paraId="7443FE2A" w14:textId="5CD04AF2" w:rsidR="005A7929" w:rsidRPr="00F9298F" w:rsidRDefault="005A7929" w:rsidP="005A7929">
            <w:pPr>
              <w:ind w:left="119" w:right="17"/>
              <w:rPr>
                <w:rFonts w:asciiTheme="majorBidi" w:hAnsiTheme="majorBidi" w:cstheme="majorBidi"/>
                <w:b/>
                <w:bCs/>
              </w:rPr>
            </w:pPr>
            <w:r w:rsidRPr="00F9298F">
              <w:rPr>
                <w:rFonts w:asciiTheme="majorBidi" w:hAnsiTheme="majorBidi" w:cstheme="majorBidi"/>
                <w:b/>
                <w:bCs/>
              </w:rPr>
              <w:t>4 December</w:t>
            </w:r>
          </w:p>
        </w:tc>
      </w:tr>
      <w:tr w:rsidR="005A7929" w:rsidRPr="00F9298F" w14:paraId="2C14515B" w14:textId="77777777" w:rsidTr="003B0437">
        <w:tc>
          <w:tcPr>
            <w:tcW w:w="3329" w:type="dxa"/>
            <w:shd w:val="clear" w:color="auto" w:fill="auto"/>
            <w:vAlign w:val="center"/>
          </w:tcPr>
          <w:p w14:paraId="5BED2EC1" w14:textId="6E896EAE" w:rsidR="005A7929" w:rsidRPr="00F9298F" w:rsidRDefault="005A7929" w:rsidP="005A7929">
            <w:pPr>
              <w:tabs>
                <w:tab w:val="left" w:pos="3266"/>
              </w:tabs>
              <w:ind w:left="117" w:right="17"/>
              <w:rPr>
                <w:rFonts w:asciiTheme="majorBidi" w:hAnsiTheme="majorBidi" w:cstheme="majorBidi"/>
              </w:rPr>
            </w:pPr>
            <w:r w:rsidRPr="00F9298F">
              <w:rPr>
                <w:rFonts w:asciiTheme="majorBidi" w:hAnsiTheme="majorBidi" w:cstheme="majorBidi"/>
                <w:b/>
                <w:bCs/>
              </w:rPr>
              <w:t xml:space="preserve">Bureau meeting </w:t>
            </w:r>
            <w:r w:rsidRPr="00F9298F">
              <w:rPr>
                <w:rFonts w:asciiTheme="majorBidi" w:hAnsiTheme="majorBidi" w:cstheme="majorBidi"/>
              </w:rPr>
              <w:t>(addressing any possible last-minute issues regarding the event, as needed)</w:t>
            </w:r>
          </w:p>
        </w:tc>
        <w:tc>
          <w:tcPr>
            <w:tcW w:w="2535" w:type="dxa"/>
            <w:vAlign w:val="center"/>
          </w:tcPr>
          <w:p w14:paraId="35278F36" w14:textId="77777777" w:rsidR="005A7929" w:rsidRPr="00F9298F" w:rsidRDefault="005A7929" w:rsidP="005A7929">
            <w:pPr>
              <w:ind w:left="119" w:right="17"/>
              <w:jc w:val="both"/>
              <w:rPr>
                <w:rFonts w:asciiTheme="majorBidi" w:hAnsiTheme="majorBidi" w:cstheme="majorBidi"/>
              </w:rPr>
            </w:pPr>
            <w:r w:rsidRPr="00F9298F">
              <w:rPr>
                <w:rFonts w:asciiTheme="majorBidi" w:hAnsiTheme="majorBidi" w:cstheme="majorBidi"/>
              </w:rPr>
              <w:t>Bureau</w:t>
            </w:r>
          </w:p>
        </w:tc>
        <w:tc>
          <w:tcPr>
            <w:tcW w:w="2617" w:type="dxa"/>
            <w:shd w:val="clear" w:color="auto" w:fill="auto"/>
            <w:vAlign w:val="center"/>
          </w:tcPr>
          <w:p w14:paraId="49ADD013" w14:textId="741B6418" w:rsidR="005A7929" w:rsidRPr="00F9298F" w:rsidRDefault="005A7929" w:rsidP="005A7929">
            <w:pPr>
              <w:ind w:left="119" w:right="17"/>
              <w:rPr>
                <w:rFonts w:asciiTheme="majorBidi" w:hAnsiTheme="majorBidi" w:cstheme="majorBidi"/>
                <w:b/>
                <w:bCs/>
              </w:rPr>
            </w:pPr>
            <w:r w:rsidRPr="00F9298F">
              <w:rPr>
                <w:rFonts w:asciiTheme="majorBidi" w:hAnsiTheme="majorBidi" w:cstheme="majorBidi"/>
                <w:b/>
                <w:bCs/>
              </w:rPr>
              <w:t>Geneva, ½-1 day, 11 December 2023</w:t>
            </w:r>
          </w:p>
        </w:tc>
      </w:tr>
      <w:tr w:rsidR="005A7929" w:rsidRPr="00F9298F" w14:paraId="4E2A3DCF" w14:textId="77777777" w:rsidTr="003B0437">
        <w:tc>
          <w:tcPr>
            <w:tcW w:w="3329" w:type="dxa"/>
            <w:shd w:val="clear" w:color="auto" w:fill="D9D9D9"/>
            <w:vAlign w:val="center"/>
          </w:tcPr>
          <w:p w14:paraId="6867E2BB" w14:textId="0826A1C4" w:rsidR="005A7929" w:rsidRPr="00F9298F" w:rsidRDefault="005A7929" w:rsidP="005A7929">
            <w:pPr>
              <w:tabs>
                <w:tab w:val="left" w:pos="3266"/>
              </w:tabs>
              <w:ind w:left="117" w:right="17"/>
              <w:rPr>
                <w:rFonts w:asciiTheme="majorBidi" w:hAnsiTheme="majorBidi" w:cstheme="majorBidi"/>
                <w:b/>
              </w:rPr>
            </w:pPr>
            <w:r w:rsidRPr="00F9298F">
              <w:rPr>
                <w:rFonts w:asciiTheme="majorBidi" w:hAnsiTheme="majorBidi" w:cstheme="majorBidi"/>
                <w:b/>
              </w:rPr>
              <w:t>Meetings of the Parties to the Convention and the Protocol – high-level segment</w:t>
            </w:r>
          </w:p>
        </w:tc>
        <w:tc>
          <w:tcPr>
            <w:tcW w:w="2535" w:type="dxa"/>
            <w:shd w:val="clear" w:color="auto" w:fill="D9D9D9"/>
            <w:vAlign w:val="center"/>
          </w:tcPr>
          <w:p w14:paraId="747210D9" w14:textId="7F354299" w:rsidR="005A7929" w:rsidRPr="00F9298F" w:rsidRDefault="005A7929" w:rsidP="005A7929">
            <w:pPr>
              <w:ind w:left="117" w:right="17"/>
              <w:jc w:val="both"/>
              <w:rPr>
                <w:rFonts w:asciiTheme="majorBidi" w:hAnsiTheme="majorBidi" w:cstheme="majorBidi"/>
                <w:b/>
                <w:bCs/>
              </w:rPr>
            </w:pPr>
            <w:r w:rsidRPr="00F9298F">
              <w:rPr>
                <w:rFonts w:asciiTheme="majorBidi" w:hAnsiTheme="majorBidi" w:cstheme="majorBidi"/>
                <w:b/>
              </w:rPr>
              <w:t>MOP9 and MOP/MOP5</w:t>
            </w:r>
          </w:p>
        </w:tc>
        <w:tc>
          <w:tcPr>
            <w:tcW w:w="2617" w:type="dxa"/>
            <w:shd w:val="clear" w:color="auto" w:fill="D9D9D9"/>
            <w:vAlign w:val="center"/>
          </w:tcPr>
          <w:p w14:paraId="1B86A355" w14:textId="77777777" w:rsidR="005A7929" w:rsidRPr="00F9298F" w:rsidRDefault="005A7929" w:rsidP="005A7929">
            <w:pPr>
              <w:ind w:left="119" w:right="17"/>
              <w:rPr>
                <w:rFonts w:asciiTheme="majorBidi" w:hAnsiTheme="majorBidi" w:cstheme="majorBidi"/>
                <w:b/>
              </w:rPr>
            </w:pPr>
            <w:r w:rsidRPr="00F9298F">
              <w:rPr>
                <w:rFonts w:asciiTheme="majorBidi" w:hAnsiTheme="majorBidi" w:cstheme="majorBidi"/>
                <w:b/>
              </w:rPr>
              <w:t>Geneva, 12-15 December 2023;</w:t>
            </w:r>
          </w:p>
          <w:p w14:paraId="56FD4AC5" w14:textId="392F167B" w:rsidR="005A7929" w:rsidRPr="00F9298F" w:rsidRDefault="005A7929" w:rsidP="005A7929">
            <w:pPr>
              <w:ind w:left="119" w:right="17"/>
              <w:rPr>
                <w:rFonts w:asciiTheme="majorBidi" w:hAnsiTheme="majorBidi" w:cstheme="majorBidi"/>
              </w:rPr>
            </w:pPr>
            <w:r w:rsidRPr="00F9298F">
              <w:rPr>
                <w:rFonts w:asciiTheme="majorBidi" w:hAnsiTheme="majorBidi" w:cstheme="majorBidi"/>
                <w:b/>
              </w:rPr>
              <w:t>High-level segment event 14 December p.m.</w:t>
            </w:r>
          </w:p>
        </w:tc>
      </w:tr>
      <w:tr w:rsidR="005A7929" w:rsidRPr="00F9298F" w14:paraId="2A8CC4E1" w14:textId="77777777" w:rsidTr="00F41B23">
        <w:tc>
          <w:tcPr>
            <w:tcW w:w="3329" w:type="dxa"/>
            <w:shd w:val="clear" w:color="auto" w:fill="auto"/>
            <w:vAlign w:val="center"/>
          </w:tcPr>
          <w:p w14:paraId="0207172C" w14:textId="521958AE" w:rsidR="005A7929" w:rsidRPr="00F9298F" w:rsidRDefault="005A7929" w:rsidP="005A7929">
            <w:pPr>
              <w:tabs>
                <w:tab w:val="left" w:pos="3266"/>
              </w:tabs>
              <w:ind w:left="117" w:right="17"/>
              <w:rPr>
                <w:rFonts w:asciiTheme="majorBidi" w:hAnsiTheme="majorBidi" w:cstheme="majorBidi"/>
                <w:bCs/>
              </w:rPr>
            </w:pPr>
            <w:r w:rsidRPr="00F9298F">
              <w:rPr>
                <w:rFonts w:asciiTheme="majorBidi" w:hAnsiTheme="majorBidi" w:cstheme="majorBidi"/>
                <w:bCs/>
              </w:rPr>
              <w:t xml:space="preserve">Prepare 2–3-page summary of key points from </w:t>
            </w:r>
            <w:r w:rsidR="00E26EDB">
              <w:rPr>
                <w:rFonts w:asciiTheme="majorBidi" w:hAnsiTheme="majorBidi" w:cstheme="majorBidi"/>
                <w:bCs/>
              </w:rPr>
              <w:t xml:space="preserve">the </w:t>
            </w:r>
            <w:r w:rsidRPr="00F9298F">
              <w:rPr>
                <w:rFonts w:asciiTheme="majorBidi" w:hAnsiTheme="majorBidi" w:cstheme="majorBidi"/>
                <w:bCs/>
              </w:rPr>
              <w:t>high-level event</w:t>
            </w:r>
          </w:p>
        </w:tc>
        <w:tc>
          <w:tcPr>
            <w:tcW w:w="2535" w:type="dxa"/>
            <w:shd w:val="clear" w:color="auto" w:fill="auto"/>
            <w:vAlign w:val="center"/>
          </w:tcPr>
          <w:p w14:paraId="65109467" w14:textId="1A5DA291" w:rsidR="005A7929" w:rsidRPr="00F9298F" w:rsidRDefault="005A7929" w:rsidP="005A7929">
            <w:pPr>
              <w:ind w:left="117" w:right="17"/>
              <w:jc w:val="both"/>
              <w:rPr>
                <w:rFonts w:asciiTheme="majorBidi" w:hAnsiTheme="majorBidi" w:cstheme="majorBidi"/>
                <w:b/>
              </w:rPr>
            </w:pPr>
            <w:r w:rsidRPr="00F9298F">
              <w:rPr>
                <w:rFonts w:asciiTheme="majorBidi" w:hAnsiTheme="majorBidi" w:cstheme="majorBidi"/>
              </w:rPr>
              <w:t>Consultant to the secretariat</w:t>
            </w:r>
          </w:p>
        </w:tc>
        <w:tc>
          <w:tcPr>
            <w:tcW w:w="2617" w:type="dxa"/>
            <w:shd w:val="clear" w:color="auto" w:fill="auto"/>
            <w:vAlign w:val="center"/>
          </w:tcPr>
          <w:p w14:paraId="481A0DB5" w14:textId="1D9F203C" w:rsidR="005A7929" w:rsidRPr="00F9298F" w:rsidRDefault="005A7929" w:rsidP="005A7929">
            <w:pPr>
              <w:ind w:left="119" w:right="17"/>
              <w:rPr>
                <w:rFonts w:asciiTheme="majorBidi" w:hAnsiTheme="majorBidi" w:cstheme="majorBidi"/>
                <w:b/>
              </w:rPr>
            </w:pPr>
            <w:r w:rsidRPr="00F9298F">
              <w:rPr>
                <w:rFonts w:asciiTheme="majorBidi" w:hAnsiTheme="majorBidi" w:cstheme="majorBidi"/>
                <w:b/>
              </w:rPr>
              <w:t>22 December</w:t>
            </w:r>
          </w:p>
        </w:tc>
      </w:tr>
    </w:tbl>
    <w:p w14:paraId="19FE70BA" w14:textId="77777777" w:rsidR="00166693" w:rsidRPr="00F9298F" w:rsidRDefault="00166693" w:rsidP="004B527B">
      <w:pPr>
        <w:spacing w:before="120" w:line="240" w:lineRule="auto"/>
        <w:ind w:left="570" w:hanging="570"/>
        <w:rPr>
          <w:rFonts w:asciiTheme="majorBidi" w:hAnsiTheme="majorBidi" w:cstheme="majorBidi"/>
          <w:b/>
          <w:sz w:val="28"/>
          <w:szCs w:val="28"/>
        </w:rPr>
      </w:pPr>
    </w:p>
    <w:p w14:paraId="4E4834CA" w14:textId="77777777" w:rsidR="00684D94" w:rsidRPr="00F9298F" w:rsidRDefault="00684D94" w:rsidP="00BD3D33">
      <w:pPr>
        <w:spacing w:after="120"/>
        <w:ind w:right="1134"/>
        <w:jc w:val="both"/>
        <w:rPr>
          <w:rFonts w:asciiTheme="majorBidi" w:hAnsiTheme="majorBidi" w:cstheme="majorBidi"/>
          <w:highlight w:val="yellow"/>
        </w:rPr>
      </w:pPr>
    </w:p>
    <w:p w14:paraId="512147CF" w14:textId="60F49929" w:rsidR="009C3C8A" w:rsidRPr="00F9298F" w:rsidRDefault="00684D94" w:rsidP="00684D94">
      <w:pPr>
        <w:pStyle w:val="SingleTxtG"/>
        <w:ind w:left="567"/>
        <w:jc w:val="center"/>
        <w:rPr>
          <w:rFonts w:asciiTheme="majorBidi" w:hAnsiTheme="majorBidi" w:cstheme="majorBidi"/>
        </w:rPr>
      </w:pPr>
      <w:r w:rsidRPr="00F9298F">
        <w:rPr>
          <w:rFonts w:asciiTheme="majorBidi" w:hAnsiTheme="majorBidi" w:cstheme="majorBidi"/>
        </w:rPr>
        <w:t>____________</w:t>
      </w:r>
    </w:p>
    <w:sectPr w:rsidR="009C3C8A" w:rsidRPr="00F9298F" w:rsidSect="00E1638C">
      <w:headerReference w:type="even" r:id="rId11"/>
      <w:headerReference w:type="default" r:id="rId12"/>
      <w:footerReference w:type="default" r:id="rId13"/>
      <w:endnotePr>
        <w:numFmt w:val="decimal"/>
      </w:endnotePr>
      <w:pgSz w:w="11907" w:h="16840" w:code="9"/>
      <w:pgMar w:top="1440" w:right="1440" w:bottom="1134" w:left="1440" w:header="965"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170D" w14:textId="77777777" w:rsidR="00B71AC3" w:rsidRDefault="00B71AC3"/>
  </w:endnote>
  <w:endnote w:type="continuationSeparator" w:id="0">
    <w:p w14:paraId="5128F2AB" w14:textId="77777777" w:rsidR="00B71AC3" w:rsidRDefault="00B71AC3"/>
  </w:endnote>
  <w:endnote w:type="continuationNotice" w:id="1">
    <w:p w14:paraId="32A0A722" w14:textId="77777777" w:rsidR="00B71AC3" w:rsidRDefault="00B71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Yu Gothic"/>
    <w:panose1 w:val="00000000000000000000"/>
    <w:charset w:val="80"/>
    <w:family w:val="swiss"/>
    <w:notTrueType/>
    <w:pitch w:val="default"/>
    <w:sig w:usb0="00000201" w:usb1="08070000" w:usb2="00000010" w:usb3="00000000" w:csb0="00020004"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2209" w14:textId="77777777" w:rsidR="00132B29" w:rsidRPr="00072CC7" w:rsidRDefault="00132B29" w:rsidP="00072CC7">
    <w:pPr>
      <w:pStyle w:val="Footer"/>
      <w:tabs>
        <w:tab w:val="right" w:pos="9638"/>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D2A6" w14:textId="77777777" w:rsidR="00B71AC3" w:rsidRPr="000B175B" w:rsidRDefault="00B71AC3" w:rsidP="000B175B">
      <w:pPr>
        <w:tabs>
          <w:tab w:val="right" w:pos="2155"/>
        </w:tabs>
        <w:spacing w:after="80"/>
        <w:ind w:left="680"/>
        <w:rPr>
          <w:u w:val="single"/>
        </w:rPr>
      </w:pPr>
      <w:r>
        <w:rPr>
          <w:u w:val="single"/>
        </w:rPr>
        <w:tab/>
      </w:r>
    </w:p>
  </w:footnote>
  <w:footnote w:type="continuationSeparator" w:id="0">
    <w:p w14:paraId="24532728" w14:textId="77777777" w:rsidR="00B71AC3" w:rsidRPr="00FC68B7" w:rsidRDefault="00B71AC3" w:rsidP="00FC68B7">
      <w:pPr>
        <w:tabs>
          <w:tab w:val="left" w:pos="2155"/>
        </w:tabs>
        <w:spacing w:after="80"/>
        <w:ind w:left="680"/>
        <w:rPr>
          <w:u w:val="single"/>
        </w:rPr>
      </w:pPr>
      <w:r>
        <w:rPr>
          <w:u w:val="single"/>
        </w:rPr>
        <w:tab/>
      </w:r>
    </w:p>
  </w:footnote>
  <w:footnote w:type="continuationNotice" w:id="1">
    <w:p w14:paraId="3D7757F0" w14:textId="77777777" w:rsidR="00B71AC3" w:rsidRDefault="00B71AC3"/>
  </w:footnote>
  <w:footnote w:id="2">
    <w:p w14:paraId="573E2D80" w14:textId="0FB8805E" w:rsidR="007D7524" w:rsidRDefault="00240E74" w:rsidP="00240E74">
      <w:pPr>
        <w:pStyle w:val="FootnoteText"/>
      </w:pPr>
      <w:r>
        <w:tab/>
      </w:r>
      <w:r w:rsidR="007D7524">
        <w:rPr>
          <w:rStyle w:val="FootnoteReference"/>
        </w:rPr>
        <w:footnoteRef/>
      </w:r>
      <w:r>
        <w:tab/>
      </w:r>
      <w:r w:rsidR="007D7524" w:rsidRPr="00656AB8">
        <w:t>Report of the Working Group on its eleventh meeting (</w:t>
      </w:r>
      <w:r>
        <w:t>post-session</w:t>
      </w:r>
      <w:r w:rsidR="007D7524" w:rsidRPr="00656AB8">
        <w:t xml:space="preserve">). Accessed 29 March 2023 at </w:t>
      </w:r>
      <w:hyperlink r:id="rId1" w:history="1">
        <w:r w:rsidR="007D7524" w:rsidRPr="00656AB8">
          <w:rPr>
            <w:rStyle w:val="Hyperlink"/>
          </w:rPr>
          <w:t>https://unece.org/sites/default/files/2023-01/ece_mp.eia_wg.2_2022_2_adv_copy.pdf</w:t>
        </w:r>
      </w:hyperlink>
      <w:r w:rsidR="007D7524" w:rsidRPr="00656AB8">
        <w:t>, para 57-58.</w:t>
      </w:r>
    </w:p>
  </w:footnote>
  <w:footnote w:id="3">
    <w:p w14:paraId="65D9148D" w14:textId="07676095" w:rsidR="00FB0108" w:rsidRDefault="00240E74" w:rsidP="00355C6A">
      <w:pPr>
        <w:pStyle w:val="FootnoteText"/>
        <w:ind w:right="-45"/>
      </w:pPr>
      <w:r>
        <w:tab/>
      </w:r>
      <w:r w:rsidR="00FB0108">
        <w:rPr>
          <w:rStyle w:val="FootnoteReference"/>
        </w:rPr>
        <w:footnoteRef/>
      </w:r>
      <w:r>
        <w:tab/>
      </w:r>
      <w:r w:rsidR="00FB0108" w:rsidRPr="00F7218B">
        <w:rPr>
          <w:rFonts w:eastAsia="MyriadPro-Regular"/>
        </w:rPr>
        <w:t>ECE/MP.EIA/21/Amend.1</w:t>
      </w:r>
    </w:p>
  </w:footnote>
  <w:footnote w:id="4">
    <w:p w14:paraId="25B3E15A" w14:textId="2B025B92" w:rsidR="00FB0108" w:rsidRDefault="00240E74" w:rsidP="00355C6A">
      <w:pPr>
        <w:pStyle w:val="FootnoteText"/>
        <w:ind w:right="-45"/>
      </w:pPr>
      <w:r>
        <w:tab/>
      </w:r>
      <w:r w:rsidR="00FB0108">
        <w:rPr>
          <w:rStyle w:val="FootnoteReference"/>
        </w:rPr>
        <w:footnoteRef/>
      </w:r>
      <w:r>
        <w:tab/>
      </w:r>
      <w:r w:rsidR="00FB0108" w:rsidRPr="00064982">
        <w:t>ECE/MP.EIA/SEA/8</w:t>
      </w:r>
    </w:p>
  </w:footnote>
  <w:footnote w:id="5">
    <w:p w14:paraId="27BCC09F" w14:textId="1260A8B1" w:rsidR="00F131F5" w:rsidRDefault="006337FE" w:rsidP="00355C6A">
      <w:pPr>
        <w:pStyle w:val="FootnoteText"/>
        <w:ind w:right="-45"/>
      </w:pPr>
      <w:r>
        <w:tab/>
      </w:r>
      <w:r w:rsidR="00F131F5">
        <w:rPr>
          <w:rStyle w:val="FootnoteReference"/>
        </w:rPr>
        <w:footnoteRef/>
      </w:r>
      <w:r>
        <w:tab/>
      </w:r>
      <w:r w:rsidR="005E383F" w:rsidRPr="005E383F">
        <w:t>ECE.MP.EIA.WG2.2022.INF.10</w:t>
      </w:r>
    </w:p>
  </w:footnote>
  <w:footnote w:id="6">
    <w:p w14:paraId="403D1C3C" w14:textId="43AB4133" w:rsidR="00017506" w:rsidRPr="004D0D75" w:rsidRDefault="006337FE" w:rsidP="006337FE">
      <w:pPr>
        <w:pStyle w:val="FootnoteText"/>
      </w:pPr>
      <w:r>
        <w:tab/>
      </w:r>
      <w:r w:rsidR="00017506" w:rsidRPr="004D0D75">
        <w:rPr>
          <w:rStyle w:val="FootnoteReference"/>
          <w:szCs w:val="18"/>
        </w:rPr>
        <w:footnoteRef/>
      </w:r>
      <w:r>
        <w:tab/>
      </w:r>
      <w:r w:rsidR="00017506" w:rsidRPr="004D0D75">
        <w:t>IPCC, 2022: Annex I: Glossary. Cambridge University Press, Cambridge, UK and New York, NY, USA</w:t>
      </w:r>
    </w:p>
  </w:footnote>
  <w:footnote w:id="7">
    <w:p w14:paraId="0371079C" w14:textId="524DCDC9" w:rsidR="00017506" w:rsidRPr="004D0D75" w:rsidRDefault="006337FE" w:rsidP="006337FE">
      <w:pPr>
        <w:pStyle w:val="FootnoteText"/>
      </w:pPr>
      <w:r>
        <w:tab/>
      </w:r>
      <w:r w:rsidR="00017506" w:rsidRPr="004D0D75">
        <w:rPr>
          <w:rStyle w:val="FootnoteReference"/>
          <w:szCs w:val="18"/>
        </w:rPr>
        <w:footnoteRef/>
      </w:r>
      <w:r>
        <w:tab/>
      </w:r>
      <w:r w:rsidR="00017506" w:rsidRPr="004D0D75">
        <w:t xml:space="preserve">UN Sustainable Development Goal 7 Affordable and Clean Energy. Accessed 29 March 2023 at: </w:t>
      </w:r>
      <w:hyperlink r:id="rId2" w:history="1">
        <w:r w:rsidR="00017506" w:rsidRPr="004D0D75">
          <w:rPr>
            <w:rStyle w:val="Hyperlink"/>
            <w:szCs w:val="18"/>
          </w:rPr>
          <w:t>https://www.un.org/sustainabledevelopment/energy/</w:t>
        </w:r>
      </w:hyperlink>
      <w:r w:rsidR="00017506" w:rsidRPr="004D0D75">
        <w:t xml:space="preserve"> </w:t>
      </w:r>
    </w:p>
  </w:footnote>
  <w:footnote w:id="8">
    <w:p w14:paraId="2B9E602A" w14:textId="284C7533" w:rsidR="004D7581" w:rsidRPr="004D0D75" w:rsidRDefault="006337FE" w:rsidP="006337FE">
      <w:pPr>
        <w:pStyle w:val="FootnoteText"/>
      </w:pPr>
      <w:r>
        <w:tab/>
      </w:r>
      <w:r w:rsidR="004D7581" w:rsidRPr="004D0D75">
        <w:rPr>
          <w:rStyle w:val="FootnoteReference"/>
          <w:szCs w:val="18"/>
        </w:rPr>
        <w:footnoteRef/>
      </w:r>
      <w:r>
        <w:tab/>
      </w:r>
      <w:r w:rsidR="004D7581" w:rsidRPr="004D0D75">
        <w:t xml:space="preserve">The Paris Agreement. Accessed 29 March 2023 at: </w:t>
      </w:r>
      <w:hyperlink r:id="rId3" w:history="1">
        <w:r w:rsidR="004D7581" w:rsidRPr="004D0D75">
          <w:rPr>
            <w:rStyle w:val="Hyperlink"/>
            <w:szCs w:val="18"/>
          </w:rPr>
          <w:t>https://unfccc.int/process-and-meetings/the-paris-agreement</w:t>
        </w:r>
      </w:hyperlink>
      <w:r w:rsidR="004D7581" w:rsidRPr="004D0D75">
        <w:t xml:space="preserve"> </w:t>
      </w:r>
    </w:p>
  </w:footnote>
  <w:footnote w:id="9">
    <w:p w14:paraId="69DCA3C2" w14:textId="7BB789D0" w:rsidR="00017506" w:rsidRPr="004D0D75" w:rsidRDefault="006337FE" w:rsidP="006337FE">
      <w:pPr>
        <w:pStyle w:val="FootnoteText"/>
        <w:rPr>
          <w:lang w:eastAsia="zh-CN"/>
        </w:rPr>
      </w:pPr>
      <w:r>
        <w:tab/>
      </w:r>
      <w:r w:rsidR="00017506" w:rsidRPr="004D0D75">
        <w:rPr>
          <w:rStyle w:val="FootnoteReference"/>
          <w:szCs w:val="18"/>
        </w:rPr>
        <w:footnoteRef/>
      </w:r>
      <w:r>
        <w:tab/>
      </w:r>
      <w:r w:rsidR="00017506" w:rsidRPr="004D0D75">
        <w:rPr>
          <w:lang w:eastAsia="zh-CN"/>
        </w:rPr>
        <w:t>Energy Transitions Commission (2023), "Financing the Transition: How to Make the Money Flow for a Net-Zero Economy", available at &lt;https://www.energy-transitions.org/wp-content/uploads/2023/03/ETC-Financing-the-Transition_MainReport-.pdf&gt;, last accessed 19 April 2023.</w:t>
      </w:r>
    </w:p>
  </w:footnote>
  <w:footnote w:id="10">
    <w:p w14:paraId="50832856" w14:textId="1257C9E2" w:rsidR="00017506" w:rsidRPr="003C379F" w:rsidRDefault="006337FE" w:rsidP="006337FE">
      <w:pPr>
        <w:pStyle w:val="FootnoteText"/>
        <w:rPr>
          <w:rFonts w:ascii="Helvetica" w:hAnsi="Helvetica" w:cs="Helvetica"/>
          <w:lang w:eastAsia="zh-CN"/>
        </w:rPr>
      </w:pPr>
      <w:r>
        <w:rPr>
          <w:lang w:eastAsia="zh-CN"/>
        </w:rPr>
        <w:tab/>
      </w:r>
      <w:r w:rsidR="00017506" w:rsidRPr="004D0D75">
        <w:rPr>
          <w:rStyle w:val="FootnoteReference"/>
          <w:szCs w:val="18"/>
        </w:rPr>
        <w:footnoteRef/>
      </w:r>
      <w:r>
        <w:rPr>
          <w:lang w:eastAsia="zh-CN"/>
        </w:rPr>
        <w:tab/>
      </w:r>
      <w:r w:rsidR="00017506" w:rsidRPr="004D0D75">
        <w:rPr>
          <w:lang w:eastAsia="zh-CN"/>
        </w:rPr>
        <w:t>European Commission (2020), "Communication from the Commission to the European Parliament, the Council, the European Economic and Social Committee and the Committee of the Regions: A new Circular Economy Action Plan For a cleaner and more competitive Europe", available at &lt;https://eur-lex.europa.eu/resource.html?uri=cellar:9903b325-6388-11ea-b735-01aa75ed71a1.0017.02/DOC_1&amp;format=PDF&gt;, last accessed 19 April 2023.</w:t>
      </w:r>
    </w:p>
  </w:footnote>
  <w:footnote w:id="11">
    <w:p w14:paraId="0C8B02B5" w14:textId="30F7B8A3" w:rsidR="00852A8D" w:rsidRDefault="006337FE" w:rsidP="006337FE">
      <w:pPr>
        <w:pStyle w:val="FootnoteText"/>
      </w:pPr>
      <w:r>
        <w:tab/>
      </w:r>
      <w:r w:rsidR="00852A8D">
        <w:rPr>
          <w:rStyle w:val="FootnoteReference"/>
        </w:rPr>
        <w:footnoteRef/>
      </w:r>
      <w:r>
        <w:tab/>
      </w:r>
      <w:r w:rsidR="00852A8D" w:rsidRPr="00852A8D">
        <w:t>https://unece.org/sites/default/files/2022-11/ece_mp.eia_wg.2_2022_3_eng.pdf</w:t>
      </w:r>
    </w:p>
  </w:footnote>
  <w:footnote w:id="12">
    <w:p w14:paraId="0E0A9A9B" w14:textId="455D1B43" w:rsidR="006E7358" w:rsidRPr="00E16865" w:rsidRDefault="006337FE" w:rsidP="006337FE">
      <w:pPr>
        <w:pStyle w:val="FootnoteText"/>
        <w:rPr>
          <w:lang w:eastAsia="zh-CN"/>
        </w:rPr>
      </w:pPr>
      <w:r>
        <w:rPr>
          <w:lang w:eastAsia="zh-CN"/>
        </w:rPr>
        <w:tab/>
      </w:r>
      <w:r w:rsidR="006E7358" w:rsidRPr="00E16865">
        <w:rPr>
          <w:rStyle w:val="FootnoteReference"/>
          <w:szCs w:val="18"/>
        </w:rPr>
        <w:footnoteRef/>
      </w:r>
      <w:r>
        <w:rPr>
          <w:lang w:eastAsia="zh-CN"/>
        </w:rPr>
        <w:tab/>
      </w:r>
      <w:r w:rsidR="006E7358" w:rsidRPr="00E16865">
        <w:rPr>
          <w:lang w:eastAsia="zh-CN"/>
        </w:rPr>
        <w:t xml:space="preserve">European Parliament and the Council of the European Union (2014), "Directive 2014/52/EU of the European Parliament and of the Council of 16 April 2014 amending Directive 2011/92/EU on the assessment of the effects of certain public and private projects on the environment", </w:t>
      </w:r>
      <w:r w:rsidR="006E7358" w:rsidRPr="00E16865">
        <w:rPr>
          <w:i/>
          <w:iCs/>
          <w:lang w:eastAsia="zh-CN"/>
        </w:rPr>
        <w:t>Official Journal of the European Communities</w:t>
      </w:r>
      <w:r w:rsidR="006E7358" w:rsidRPr="00E16865">
        <w:rPr>
          <w:lang w:eastAsia="zh-CN"/>
        </w:rPr>
        <w:t xml:space="preserve">, </w:t>
      </w:r>
      <w:r w:rsidR="006E7358" w:rsidRPr="00E16865">
        <w:rPr>
          <w:b/>
          <w:bCs/>
          <w:lang w:eastAsia="zh-CN"/>
        </w:rPr>
        <w:t>L124</w:t>
      </w:r>
      <w:r w:rsidR="006E7358" w:rsidRPr="00E16865">
        <w:rPr>
          <w:lang w:eastAsia="zh-CN"/>
        </w:rPr>
        <w:t>, pages 1-18.</w:t>
      </w:r>
    </w:p>
  </w:footnote>
  <w:footnote w:id="13">
    <w:p w14:paraId="49D9E94D" w14:textId="55FFA507" w:rsidR="00467C98" w:rsidRDefault="006337FE" w:rsidP="006337FE">
      <w:pPr>
        <w:pStyle w:val="FootnoteText"/>
      </w:pPr>
      <w:r>
        <w:tab/>
      </w:r>
      <w:r w:rsidR="00467C98">
        <w:rPr>
          <w:rStyle w:val="FootnoteReference"/>
        </w:rPr>
        <w:footnoteRef/>
      </w:r>
      <w:r>
        <w:tab/>
      </w:r>
      <w:r w:rsidR="00467C98" w:rsidRPr="00181444">
        <w:rPr>
          <w:lang w:eastAsia="zh-CN"/>
        </w:rPr>
        <w:t xml:space="preserve">European Union (2020), "Regulation (EU) 2020/852 of the European Parliament and of the Council of 18 June 2020 on the establishment of a framework to facilitate sustainable investment, and amending Regulation (EU) 2019/2088", </w:t>
      </w:r>
      <w:r w:rsidR="00467C98" w:rsidRPr="00181444">
        <w:rPr>
          <w:i/>
          <w:iCs/>
          <w:lang w:eastAsia="zh-CN"/>
        </w:rPr>
        <w:t>Official Journal of the European Communities</w:t>
      </w:r>
      <w:r w:rsidR="00467C98" w:rsidRPr="00181444">
        <w:rPr>
          <w:lang w:eastAsia="zh-CN"/>
        </w:rPr>
        <w:t xml:space="preserve">, </w:t>
      </w:r>
      <w:r w:rsidR="00467C98" w:rsidRPr="00181444">
        <w:rPr>
          <w:b/>
          <w:bCs/>
          <w:lang w:eastAsia="zh-CN"/>
        </w:rPr>
        <w:t>L198</w:t>
      </w:r>
      <w:r w:rsidR="00467C98" w:rsidRPr="00181444">
        <w:rPr>
          <w:lang w:eastAsia="zh-CN"/>
        </w:rPr>
        <w:t>, pages 13-43</w:t>
      </w:r>
    </w:p>
  </w:footnote>
  <w:footnote w:id="14">
    <w:p w14:paraId="47D9ED32" w14:textId="19CAD1F9" w:rsidR="006E7358" w:rsidRDefault="006337FE" w:rsidP="00355C6A">
      <w:pPr>
        <w:pStyle w:val="FootnoteText"/>
        <w:ind w:right="-45"/>
      </w:pPr>
      <w:r>
        <w:tab/>
      </w:r>
      <w:r w:rsidR="006E7358">
        <w:rPr>
          <w:rStyle w:val="FootnoteReference"/>
        </w:rPr>
        <w:footnoteRef/>
      </w:r>
      <w:r>
        <w:tab/>
      </w:r>
      <w:r w:rsidR="006E7358" w:rsidRPr="00180B1E">
        <w:t>https://ghgprotocol.org/</w:t>
      </w:r>
    </w:p>
  </w:footnote>
  <w:footnote w:id="15">
    <w:p w14:paraId="194FB11F" w14:textId="0C987747" w:rsidR="006E7358" w:rsidRPr="00A415E1" w:rsidRDefault="006337FE" w:rsidP="006337FE">
      <w:pPr>
        <w:pStyle w:val="FootnoteText"/>
        <w:rPr>
          <w:lang w:eastAsia="zh-CN"/>
        </w:rPr>
      </w:pPr>
      <w:r>
        <w:rPr>
          <w:lang w:eastAsia="zh-CN"/>
        </w:rPr>
        <w:tab/>
      </w:r>
      <w:r w:rsidR="006E7358" w:rsidRPr="00A415E1">
        <w:rPr>
          <w:rStyle w:val="FootnoteReference"/>
          <w:szCs w:val="18"/>
        </w:rPr>
        <w:footnoteRef/>
      </w:r>
      <w:r>
        <w:rPr>
          <w:lang w:eastAsia="zh-CN"/>
        </w:rPr>
        <w:tab/>
      </w:r>
      <w:r w:rsidR="006E7358" w:rsidRPr="00A415E1">
        <w:rPr>
          <w:lang w:eastAsia="zh-CN"/>
        </w:rPr>
        <w:t xml:space="preserve">European Parliament and the Council of the European Union (2014), "Directive 2014/52/EU of the European Parliament and of the Council of 16 April 2014 amending Directive 2011/92/EU on the assessment of the effects of certain public and private projects on the environment", </w:t>
      </w:r>
      <w:r w:rsidR="006E7358" w:rsidRPr="00A415E1">
        <w:rPr>
          <w:i/>
          <w:iCs/>
          <w:lang w:eastAsia="zh-CN"/>
        </w:rPr>
        <w:t>Official Journal of the European Communities</w:t>
      </w:r>
      <w:r w:rsidR="006E7358" w:rsidRPr="00A415E1">
        <w:rPr>
          <w:lang w:eastAsia="zh-CN"/>
        </w:rPr>
        <w:t xml:space="preserve">, </w:t>
      </w:r>
      <w:r w:rsidR="006E7358" w:rsidRPr="00A415E1">
        <w:rPr>
          <w:b/>
          <w:bCs/>
          <w:lang w:eastAsia="zh-CN"/>
        </w:rPr>
        <w:t>L124</w:t>
      </w:r>
      <w:r w:rsidR="006E7358" w:rsidRPr="00A415E1">
        <w:rPr>
          <w:lang w:eastAsia="zh-CN"/>
        </w:rPr>
        <w:t>, 1-18.</w:t>
      </w:r>
    </w:p>
  </w:footnote>
  <w:footnote w:id="16">
    <w:p w14:paraId="4664B2D6" w14:textId="281DD6AD" w:rsidR="00FC5C1B" w:rsidRDefault="006337FE" w:rsidP="006337FE">
      <w:pPr>
        <w:pStyle w:val="FootnoteText"/>
      </w:pPr>
      <w:r>
        <w:tab/>
      </w:r>
      <w:r w:rsidR="00FC5C1B">
        <w:rPr>
          <w:rStyle w:val="FootnoteReference"/>
        </w:rPr>
        <w:footnoteRef/>
      </w:r>
      <w:r>
        <w:tab/>
      </w:r>
      <w:r w:rsidR="00FC5C1B" w:rsidRPr="008E3A24">
        <w:t>https://www.consilium.europa.eu/en/policies/green-deal/fit-for-55-the-eu-plan-for-a-green-transition/#:~:text=The%20European%20climate%20law%20makes,EU%20climate%2Dneutral%20by%202050.</w:t>
      </w:r>
    </w:p>
  </w:footnote>
  <w:footnote w:id="17">
    <w:p w14:paraId="214AB6D3" w14:textId="58EF79E1" w:rsidR="006E7358" w:rsidRDefault="006337FE" w:rsidP="006337FE">
      <w:pPr>
        <w:pStyle w:val="FootnoteText"/>
      </w:pPr>
      <w:r>
        <w:tab/>
      </w:r>
      <w:r w:rsidR="006E7358">
        <w:rPr>
          <w:rStyle w:val="FootnoteReference"/>
        </w:rPr>
        <w:footnoteRef/>
      </w:r>
      <w:r>
        <w:tab/>
      </w:r>
      <w:r w:rsidR="006E7358" w:rsidRPr="00856720">
        <w:t>https://www.europarl.europa.eu/doceo/document/TA-9-2023-0066_EN.html</w:t>
      </w:r>
    </w:p>
  </w:footnote>
  <w:footnote w:id="18">
    <w:p w14:paraId="4A5477D8" w14:textId="252FC198" w:rsidR="006E7358" w:rsidRDefault="006337FE" w:rsidP="006337FE">
      <w:pPr>
        <w:pStyle w:val="FootnoteText"/>
      </w:pPr>
      <w:r>
        <w:tab/>
      </w:r>
      <w:r w:rsidR="006E7358">
        <w:rPr>
          <w:rStyle w:val="FootnoteReference"/>
        </w:rPr>
        <w:footnoteRef/>
      </w:r>
      <w:r>
        <w:tab/>
      </w:r>
      <w:r w:rsidR="006E7358" w:rsidRPr="008721AF">
        <w:t>https://climate.ec.europa.eu/eu-action/eu-emissions-trading-system-eu-ets_en</w:t>
      </w:r>
    </w:p>
  </w:footnote>
  <w:footnote w:id="19">
    <w:p w14:paraId="25868657" w14:textId="3B6C2EAF" w:rsidR="006E7358" w:rsidRDefault="006337FE" w:rsidP="006E7358">
      <w:pPr>
        <w:pStyle w:val="FootnoteText"/>
      </w:pPr>
      <w:r>
        <w:tab/>
      </w:r>
      <w:r w:rsidR="006E7358">
        <w:rPr>
          <w:rStyle w:val="FootnoteReference"/>
        </w:rPr>
        <w:footnoteRef/>
      </w:r>
      <w:r>
        <w:tab/>
      </w:r>
      <w:r w:rsidR="006E7358" w:rsidRPr="005551DB">
        <w:t>https://environment.ec.europa.eu/strategy/biodiversity-strategy-2030_en</w:t>
      </w:r>
    </w:p>
  </w:footnote>
  <w:footnote w:id="20">
    <w:p w14:paraId="22B40515" w14:textId="74A6BA7A" w:rsidR="00215910" w:rsidRPr="00215910" w:rsidRDefault="006337FE" w:rsidP="006337FE">
      <w:pPr>
        <w:pStyle w:val="FootnoteText"/>
        <w:rPr>
          <w:lang w:eastAsia="zh-CN"/>
        </w:rPr>
      </w:pPr>
      <w:r>
        <w:rPr>
          <w:lang w:val="nb-NO" w:eastAsia="zh-CN"/>
        </w:rPr>
        <w:tab/>
      </w:r>
      <w:r w:rsidR="00215910" w:rsidRPr="00215910">
        <w:rPr>
          <w:rStyle w:val="FootnoteReference"/>
          <w:szCs w:val="18"/>
        </w:rPr>
        <w:footnoteRef/>
      </w:r>
      <w:r>
        <w:rPr>
          <w:lang w:val="nb-NO" w:eastAsia="zh-CN"/>
        </w:rPr>
        <w:tab/>
      </w:r>
      <w:r w:rsidR="00215910" w:rsidRPr="00355C6A">
        <w:rPr>
          <w:lang w:val="nb-NO" w:eastAsia="zh-CN"/>
        </w:rPr>
        <w:t xml:space="preserve">Fischer, T. B., et al. </w:t>
      </w:r>
      <w:r w:rsidR="00215910" w:rsidRPr="00215910">
        <w:rPr>
          <w:lang w:eastAsia="zh-CN"/>
        </w:rPr>
        <w:t xml:space="preserve">(2023). "Simplification of environmental and other impact assessments – results from an international online survey." </w:t>
      </w:r>
      <w:r w:rsidR="00215910" w:rsidRPr="00215910">
        <w:rPr>
          <w:i/>
          <w:iCs/>
          <w:lang w:eastAsia="zh-CN"/>
        </w:rPr>
        <w:t>Impact Assessment and Project Appraisal</w:t>
      </w:r>
      <w:r w:rsidR="00215910" w:rsidRPr="00215910">
        <w:rPr>
          <w:lang w:eastAsia="zh-CN"/>
        </w:rPr>
        <w:t xml:space="preserve"> </w:t>
      </w:r>
      <w:r w:rsidR="00215910" w:rsidRPr="00215910">
        <w:rPr>
          <w:b/>
          <w:bCs/>
          <w:lang w:eastAsia="zh-CN"/>
        </w:rPr>
        <w:t>41</w:t>
      </w:r>
      <w:r w:rsidR="00215910" w:rsidRPr="00215910">
        <w:rPr>
          <w:lang w:eastAsia="zh-CN"/>
        </w:rPr>
        <w:t>(3): 181-189.</w:t>
      </w:r>
    </w:p>
  </w:footnote>
  <w:footnote w:id="21">
    <w:p w14:paraId="1BAB1B61" w14:textId="158C87F6" w:rsidR="006E7358" w:rsidRPr="004D0D75" w:rsidRDefault="00772D55" w:rsidP="00772D55">
      <w:pPr>
        <w:pStyle w:val="FootnoteText"/>
        <w:rPr>
          <w:rFonts w:ascii="Helvetica" w:hAnsi="Helvetica" w:cs="Helvetica"/>
        </w:rPr>
      </w:pPr>
      <w:r>
        <w:tab/>
      </w:r>
      <w:r w:rsidR="006E7358" w:rsidRPr="004D0D75">
        <w:rPr>
          <w:rStyle w:val="FootnoteReference"/>
          <w:szCs w:val="18"/>
        </w:rPr>
        <w:footnoteRef/>
      </w:r>
      <w:r>
        <w:tab/>
      </w:r>
      <w:r w:rsidR="006E7358" w:rsidRPr="004D0D75">
        <w:t xml:space="preserve">Nwanekezie, K, B Noble and G Poelzer (2022), "Strategic assessment for energy transitions: A case study of renewable energy development in Saskatchewan, Canada", </w:t>
      </w:r>
      <w:r w:rsidR="006E7358" w:rsidRPr="004D0D75">
        <w:rPr>
          <w:i/>
          <w:iCs/>
        </w:rPr>
        <w:t>Environmental Impact Assessment Review</w:t>
      </w:r>
      <w:r w:rsidR="006E7358" w:rsidRPr="004D0D75">
        <w:t xml:space="preserve">, </w:t>
      </w:r>
      <w:r w:rsidR="006E7358" w:rsidRPr="004D0D75">
        <w:rPr>
          <w:b/>
          <w:bCs/>
        </w:rPr>
        <w:t>92</w:t>
      </w:r>
      <w:r w:rsidR="006E7358" w:rsidRPr="004D0D75">
        <w:t>.</w:t>
      </w:r>
    </w:p>
  </w:footnote>
  <w:footnote w:id="22">
    <w:p w14:paraId="0E462232" w14:textId="02F55CCA" w:rsidR="006E7358" w:rsidRPr="004D0D75" w:rsidRDefault="00772D55" w:rsidP="00772D55">
      <w:pPr>
        <w:pStyle w:val="FootnoteText"/>
        <w:rPr>
          <w:lang w:eastAsia="zh-CN"/>
        </w:rPr>
      </w:pPr>
      <w:r>
        <w:tab/>
      </w:r>
      <w:r w:rsidR="006E7358" w:rsidRPr="004D0D75">
        <w:rPr>
          <w:rStyle w:val="FootnoteReference"/>
          <w:szCs w:val="18"/>
        </w:rPr>
        <w:footnoteRef/>
      </w:r>
      <w:r>
        <w:tab/>
      </w:r>
      <w:r w:rsidR="006E7358" w:rsidRPr="004D0D75">
        <w:rPr>
          <w:lang w:eastAsia="zh-CN"/>
        </w:rPr>
        <w:t>Sadler, B, (editor). (2005), Strategic Environmental Assessment at the Policy Level: Recent progress, current status and future prospects. (Ministry of the Environment, Czech Republic, Prague).</w:t>
      </w:r>
    </w:p>
  </w:footnote>
  <w:footnote w:id="23">
    <w:p w14:paraId="283474C3" w14:textId="3EF4A97A" w:rsidR="00DB29CA" w:rsidRPr="004D0D75" w:rsidRDefault="00772D55" w:rsidP="00772D55">
      <w:pPr>
        <w:pStyle w:val="FootnoteText"/>
      </w:pPr>
      <w:r>
        <w:tab/>
      </w:r>
      <w:r w:rsidR="00DB29CA" w:rsidRPr="004D0D75">
        <w:rPr>
          <w:rStyle w:val="FootnoteReference"/>
          <w:szCs w:val="18"/>
        </w:rPr>
        <w:footnoteRef/>
      </w:r>
      <w:r>
        <w:tab/>
      </w:r>
      <w:r w:rsidR="00DB29CA" w:rsidRPr="004D0D75">
        <w:t>WHO Regional Office for Europe (2019), " Assessing the health impacts of a circular economy", available at &lt;https://apps.who.int/iris/bitstream/handle/10665/346222/WHO-EURO-2019-3504-43263-60634-eng.pdf?sequence=3&amp;isAllowed=y&gt;, last accessed 17 April 2023.</w:t>
      </w:r>
    </w:p>
  </w:footnote>
  <w:footnote w:id="24">
    <w:p w14:paraId="140D8C8B" w14:textId="55C54855" w:rsidR="007E50C7" w:rsidRDefault="00772D55" w:rsidP="00772D55">
      <w:pPr>
        <w:pStyle w:val="FootnoteText"/>
      </w:pPr>
      <w:r>
        <w:tab/>
      </w:r>
      <w:r w:rsidR="007E50C7">
        <w:rPr>
          <w:rStyle w:val="FootnoteReference"/>
        </w:rPr>
        <w:footnoteRef/>
      </w:r>
      <w:r>
        <w:tab/>
      </w:r>
      <w:r w:rsidR="007E50C7" w:rsidRPr="007E50C7">
        <w:t>https://openknowledge.worldbank.org/bitstream/handle/10986/30317/9781464813290.pdf</w:t>
      </w:r>
    </w:p>
  </w:footnote>
  <w:footnote w:id="25">
    <w:p w14:paraId="5B309A37" w14:textId="4553BA9F" w:rsidR="009829A2" w:rsidRPr="004D0D75" w:rsidRDefault="00772D55" w:rsidP="00772D55">
      <w:pPr>
        <w:pStyle w:val="FootnoteText"/>
        <w:rPr>
          <w:rFonts w:eastAsia="MyriadPro-Regular"/>
          <w:color w:val="000000"/>
        </w:rPr>
      </w:pPr>
      <w:r>
        <w:tab/>
      </w:r>
      <w:r w:rsidR="009829A2" w:rsidRPr="004D0D75">
        <w:rPr>
          <w:rStyle w:val="FootnoteReference"/>
          <w:szCs w:val="18"/>
        </w:rPr>
        <w:footnoteRef/>
      </w:r>
      <w:r>
        <w:tab/>
      </w:r>
      <w:r w:rsidR="009829A2" w:rsidRPr="004D0D75">
        <w:rPr>
          <w:rFonts w:eastAsia="MyriadPro-Regular"/>
          <w:color w:val="000000"/>
        </w:rPr>
        <w:t xml:space="preserve">UNCTAD (2018) Circular Economy: the new normal? Policy Brief No. 61, May 2018. Accessed 2023 March 28. </w:t>
      </w:r>
      <w:hyperlink r:id="rId4" w:history="1">
        <w:r w:rsidR="009829A2" w:rsidRPr="004D0D75">
          <w:rPr>
            <w:rStyle w:val="Hyperlink"/>
            <w:rFonts w:eastAsia="MyriadPro-Regular"/>
            <w:szCs w:val="18"/>
          </w:rPr>
          <w:t>https://unctad.org/system/files/official-document/presspb2017d10_en.pdf</w:t>
        </w:r>
      </w:hyperlink>
      <w:r w:rsidR="009829A2" w:rsidRPr="004D0D75">
        <w:rPr>
          <w:rFonts w:eastAsia="MyriadPro-Regular"/>
          <w:color w:val="000000"/>
        </w:rPr>
        <w:t xml:space="preserve"> </w:t>
      </w:r>
    </w:p>
  </w:footnote>
  <w:footnote w:id="26">
    <w:p w14:paraId="5C1E232F" w14:textId="5ACDB2B5" w:rsidR="000E7CBA" w:rsidRDefault="00772D55" w:rsidP="00772D55">
      <w:pPr>
        <w:pStyle w:val="FootnoteText"/>
      </w:pPr>
      <w:r>
        <w:tab/>
      </w:r>
      <w:r w:rsidR="000E7CBA">
        <w:rPr>
          <w:rStyle w:val="FootnoteReference"/>
        </w:rPr>
        <w:footnoteRef/>
      </w:r>
      <w:r>
        <w:tab/>
      </w:r>
      <w:hyperlink r:id="rId5" w:anchor=":~:text=The%20circular%20economy%20gives%20us,emissions%2C%20waste%2C%20and%20pollution" w:history="1">
        <w:r w:rsidRPr="00CD0AAA">
          <w:rPr>
            <w:rStyle w:val="Hyperlink"/>
          </w:rPr>
          <w:t>https://ellenmacarthurfoundation.org/topics/circular-economy-introduction/overview#:~:text=The%20circular%20economy%20gives%20us,emissions%2C%20waste%2C%20and%20pollution</w:t>
        </w:r>
      </w:hyperlink>
      <w:r w:rsidR="000E7CBA" w:rsidRPr="00D416A5">
        <w:t>.</w:t>
      </w:r>
      <w:r>
        <w:tab/>
      </w:r>
    </w:p>
  </w:footnote>
  <w:footnote w:id="27">
    <w:p w14:paraId="412387D2" w14:textId="5C756177" w:rsidR="00E61AFE" w:rsidRPr="004D0D75" w:rsidRDefault="00772D55" w:rsidP="00772D55">
      <w:pPr>
        <w:pStyle w:val="FootnoteText"/>
        <w:rPr>
          <w:rFonts w:ascii="Helvetica" w:hAnsi="Helvetica" w:cs="Helvetica"/>
          <w:lang w:eastAsia="zh-CN"/>
        </w:rPr>
      </w:pPr>
      <w:r>
        <w:rPr>
          <w:lang w:eastAsia="zh-CN"/>
        </w:rPr>
        <w:tab/>
      </w:r>
      <w:r w:rsidR="00E61AFE" w:rsidRPr="004D0D75">
        <w:rPr>
          <w:rStyle w:val="FootnoteReference"/>
          <w:szCs w:val="18"/>
        </w:rPr>
        <w:footnoteRef/>
      </w:r>
      <w:r>
        <w:rPr>
          <w:lang w:eastAsia="zh-CN"/>
        </w:rPr>
        <w:tab/>
      </w:r>
      <w:r w:rsidR="00E61AFE" w:rsidRPr="004D0D75">
        <w:rPr>
          <w:lang w:eastAsia="zh-CN"/>
        </w:rPr>
        <w:t>European Commission (2020), "Communication from the Commission to the European Parliament, the Council, the European Economic and Social Committee and the Committee of the Regions: A new Circular Economy Action Plan For a cleaner and more competitive Europe", available at &lt;https://eur-lex.europa.eu/resource.html?uri=cellar:9903b325-6388-11ea-b735-01aa75ed71a1.0017.02/DOC_1&amp;format=PDF&gt;, last accessed 19 April 2023.</w:t>
      </w:r>
    </w:p>
  </w:footnote>
  <w:footnote w:id="28">
    <w:p w14:paraId="0B1E4EAC" w14:textId="5992AB92" w:rsidR="00E61AFE" w:rsidRDefault="00772D55" w:rsidP="00772D55">
      <w:pPr>
        <w:pStyle w:val="FootnoteText"/>
      </w:pPr>
      <w:r>
        <w:tab/>
      </w:r>
      <w:r w:rsidR="00E61AFE">
        <w:rPr>
          <w:rStyle w:val="FootnoteReference"/>
        </w:rPr>
        <w:footnoteRef/>
      </w:r>
      <w:r>
        <w:tab/>
      </w:r>
      <w:r w:rsidR="00E61AFE" w:rsidRPr="001113C8">
        <w:t>https://commission.europa.eu/strategy-and-policy/priorities-2019-2024/european-green-deal/industry-and-green-deal_en</w:t>
      </w:r>
    </w:p>
  </w:footnote>
  <w:footnote w:id="29">
    <w:p w14:paraId="24BCC59F" w14:textId="4017ADBE" w:rsidR="00E61AFE" w:rsidRDefault="00772D55" w:rsidP="00772D55">
      <w:pPr>
        <w:pStyle w:val="FootnoteText"/>
      </w:pPr>
      <w:r>
        <w:tab/>
      </w:r>
      <w:r w:rsidR="00E61AFE">
        <w:rPr>
          <w:rStyle w:val="FootnoteReference"/>
        </w:rPr>
        <w:footnoteRef/>
      </w:r>
      <w:r>
        <w:tab/>
      </w:r>
      <w:r w:rsidR="00E61AFE" w:rsidRPr="00227A58">
        <w:t>https://oceans-and-fisheries.ec.europa.eu/ocean/blue-economy/sustainable-blue-economy_en</w:t>
      </w:r>
    </w:p>
  </w:footnote>
  <w:footnote w:id="30">
    <w:p w14:paraId="4D12155D" w14:textId="66C97B51" w:rsidR="00DF7E23" w:rsidRDefault="00772D55" w:rsidP="00772D55">
      <w:pPr>
        <w:pStyle w:val="FootnoteText"/>
      </w:pPr>
      <w:r>
        <w:tab/>
      </w:r>
      <w:r w:rsidR="00DF7E23">
        <w:rPr>
          <w:rStyle w:val="FootnoteReference"/>
        </w:rPr>
        <w:footnoteRef/>
      </w:r>
      <w:r>
        <w:tab/>
      </w:r>
      <w:r w:rsidR="00DF7E23" w:rsidRPr="00DF7E23">
        <w:t>https://eur-lex.europa.eu/resource.html?uri=cellar:903d35cc-c4a2-11ed-a05c-01aa75ed71a1.0001.02/DOC_1&amp;format=PDF</w:t>
      </w:r>
    </w:p>
  </w:footnote>
  <w:footnote w:id="31">
    <w:p w14:paraId="2E8954BC" w14:textId="34272D53" w:rsidR="00FE7F77" w:rsidRDefault="00772D55" w:rsidP="00772D55">
      <w:pPr>
        <w:pStyle w:val="FootnoteText"/>
      </w:pPr>
      <w:r>
        <w:tab/>
      </w:r>
      <w:r w:rsidR="00FE7F77">
        <w:rPr>
          <w:rStyle w:val="FootnoteReference"/>
        </w:rPr>
        <w:footnoteRef/>
      </w:r>
      <w:r>
        <w:tab/>
      </w:r>
      <w:r w:rsidR="00FE7F77" w:rsidRPr="00FE7F77">
        <w:t>https://www-oecd-ilibrary-org.uea.idm.oclc.org/docserver/ae4a2176-en.pdf?expires=1684071635&amp;id=id&amp;accname=oid033621&amp;checksum=C57DCC65998B6A61CAE871C5FBEAC8AC</w:t>
      </w:r>
    </w:p>
  </w:footnote>
  <w:footnote w:id="32">
    <w:p w14:paraId="78F633E2" w14:textId="133687FC" w:rsidR="00E61AFE" w:rsidRPr="004D0D75" w:rsidRDefault="00772D55" w:rsidP="00772D55">
      <w:pPr>
        <w:pStyle w:val="FootnoteText"/>
        <w:rPr>
          <w:rFonts w:ascii="Helvetica" w:hAnsi="Helvetica" w:cs="Helvetica"/>
          <w:lang w:eastAsia="zh-CN"/>
        </w:rPr>
      </w:pPr>
      <w:r>
        <w:tab/>
      </w:r>
      <w:r w:rsidR="00E61AFE" w:rsidRPr="004D0D75">
        <w:rPr>
          <w:rStyle w:val="FootnoteReference"/>
          <w:szCs w:val="18"/>
        </w:rPr>
        <w:footnoteRef/>
      </w:r>
      <w:r>
        <w:tab/>
      </w:r>
      <w:r w:rsidR="00E61AFE" w:rsidRPr="004D0D75">
        <w:rPr>
          <w:lang w:eastAsia="zh-CN"/>
        </w:rPr>
        <w:t>Circular City Funding Guide (undated), "Circular city initiative and resources", available at &lt;https://www.circularcityfundingguide.eu/circular-city-initiatives-and-resources/&gt;, last accessed 21 April 2023.</w:t>
      </w:r>
    </w:p>
  </w:footnote>
  <w:footnote w:id="33">
    <w:p w14:paraId="18315E1D" w14:textId="06715C08" w:rsidR="00E61AFE" w:rsidRPr="004D0D75" w:rsidRDefault="00772D55" w:rsidP="00772D55">
      <w:pPr>
        <w:pStyle w:val="FootnoteText"/>
        <w:rPr>
          <w:lang w:eastAsia="zh-CN"/>
        </w:rPr>
      </w:pPr>
      <w:r>
        <w:tab/>
      </w:r>
      <w:r w:rsidR="00E61AFE" w:rsidRPr="004D0D75">
        <w:rPr>
          <w:rStyle w:val="FootnoteReference"/>
          <w:szCs w:val="18"/>
        </w:rPr>
        <w:footnoteRef/>
      </w:r>
      <w:r>
        <w:tab/>
      </w:r>
      <w:r w:rsidR="00E61AFE" w:rsidRPr="004D0D75">
        <w:rPr>
          <w:lang w:eastAsia="zh-CN"/>
        </w:rPr>
        <w:t>bsi (2017), "The rise of the circular economy: BS8001", available at &lt;https://www.bsigroup.com/en-GB/standards/benefits-of-using-standards/becoming-more-sustainable-with-standards/BS8001-Circular-Economy/&gt;, last accessed 21 April 2023.</w:t>
      </w:r>
    </w:p>
  </w:footnote>
  <w:footnote w:id="34">
    <w:p w14:paraId="38F43F80" w14:textId="691C24F5" w:rsidR="00E61AFE" w:rsidRPr="004D0D75" w:rsidRDefault="00772D55" w:rsidP="00772D55">
      <w:pPr>
        <w:pStyle w:val="FootnoteText"/>
        <w:rPr>
          <w:rFonts w:ascii="Helvetica" w:hAnsi="Helvetica" w:cs="Helvetica"/>
          <w:lang w:eastAsia="zh-CN"/>
        </w:rPr>
      </w:pPr>
      <w:r>
        <w:tab/>
      </w:r>
      <w:r w:rsidR="00E61AFE" w:rsidRPr="004D0D75">
        <w:rPr>
          <w:rStyle w:val="FootnoteReference"/>
          <w:szCs w:val="18"/>
        </w:rPr>
        <w:footnoteRef/>
      </w:r>
      <w:r>
        <w:tab/>
      </w:r>
      <w:r w:rsidR="00E61AFE" w:rsidRPr="004D0D75">
        <w:rPr>
          <w:lang w:eastAsia="zh-CN"/>
        </w:rPr>
        <w:t>Groupe, a (2020), "A practical guide to getting into circular economy", available at &lt;https://www.afnor.org/en/news/practical-guide-circular-economy/&gt;, last accessed 21 April 2023.</w:t>
      </w:r>
    </w:p>
  </w:footnote>
  <w:footnote w:id="35">
    <w:p w14:paraId="1A4E48BB" w14:textId="5411E921" w:rsidR="002C409F" w:rsidRDefault="00772D55" w:rsidP="002C409F">
      <w:pPr>
        <w:pStyle w:val="FootnoteText"/>
      </w:pPr>
      <w:r>
        <w:tab/>
      </w:r>
      <w:r w:rsidR="002C409F">
        <w:rPr>
          <w:rStyle w:val="FootnoteReference"/>
        </w:rPr>
        <w:footnoteRef/>
      </w:r>
      <w:r>
        <w:tab/>
      </w:r>
      <w:r w:rsidR="002C409F" w:rsidRPr="003526A1">
        <w:t>https://www.eesc.europa.eu/sites/default/files/files/qe-01-19-425-en-n.pdf</w:t>
      </w:r>
    </w:p>
  </w:footnote>
  <w:footnote w:id="36">
    <w:p w14:paraId="4848F1BE" w14:textId="149B8BDC" w:rsidR="002C409F" w:rsidRPr="006848D9" w:rsidRDefault="00772D55" w:rsidP="00772D55">
      <w:pPr>
        <w:pStyle w:val="FootnoteText"/>
      </w:pPr>
      <w:r>
        <w:tab/>
      </w:r>
      <w:r w:rsidR="002C409F" w:rsidRPr="004D0D75">
        <w:rPr>
          <w:rStyle w:val="FootnoteReference"/>
          <w:szCs w:val="18"/>
        </w:rPr>
        <w:footnoteRef/>
      </w:r>
      <w:r>
        <w:tab/>
      </w:r>
      <w:r w:rsidR="002C409F" w:rsidRPr="004D0D75">
        <w:t xml:space="preserve">European Commission (2014), "Scoping study to identify potential circular economy actions, priority sectors, material flows and value chains", available at </w:t>
      </w:r>
      <w:r w:rsidR="002C409F" w:rsidRPr="006848D9">
        <w:t>&lt;file://ueahome/eressci19/e183/data/Downloads/scoping%20study%20to%20identify%20potential%20circular%20economy-KH0114775ENN.pdf&gt;, last accessed 17 April 2023.</w:t>
      </w:r>
    </w:p>
  </w:footnote>
  <w:footnote w:id="37">
    <w:p w14:paraId="343AF6DB" w14:textId="00CA79E4" w:rsidR="002C409F" w:rsidRPr="006848D9" w:rsidRDefault="00772D55" w:rsidP="00772D55">
      <w:pPr>
        <w:pStyle w:val="FootnoteText"/>
        <w:rPr>
          <w:lang w:eastAsia="zh-CN"/>
        </w:rPr>
      </w:pPr>
      <w:r>
        <w:tab/>
      </w:r>
      <w:r w:rsidR="002C409F" w:rsidRPr="006848D9">
        <w:rPr>
          <w:rStyle w:val="FootnoteReference"/>
          <w:szCs w:val="18"/>
        </w:rPr>
        <w:footnoteRef/>
      </w:r>
      <w:r>
        <w:tab/>
      </w:r>
      <w:r w:rsidR="002C409F" w:rsidRPr="006848D9">
        <w:rPr>
          <w:lang w:eastAsia="zh-CN"/>
        </w:rPr>
        <w:t>Fothergill, J and J Murphy (2021), "IAIA FasTips No.22: An Introduction to the Circular Economy for Impact Assessment Professionals", available at &lt;https://www.iaia.org/uploads/pdf/Fastips_22%20Circular%20Economy_5.pdf&gt;, last accessed 17 April 2023.</w:t>
      </w:r>
    </w:p>
  </w:footnote>
  <w:footnote w:id="38">
    <w:p w14:paraId="551CFADC" w14:textId="4E6F54AB" w:rsidR="002C409F" w:rsidRPr="0013712A" w:rsidRDefault="00116A68" w:rsidP="00116A68">
      <w:pPr>
        <w:pStyle w:val="FootnoteText"/>
        <w:rPr>
          <w:rFonts w:asciiTheme="minorHAnsi" w:hAnsiTheme="minorHAnsi" w:cstheme="minorHAnsi"/>
          <w:lang w:eastAsia="zh-CN"/>
        </w:rPr>
      </w:pPr>
      <w:r>
        <w:tab/>
      </w:r>
      <w:r w:rsidR="002C409F" w:rsidRPr="006848D9">
        <w:rPr>
          <w:rStyle w:val="FootnoteReference"/>
          <w:szCs w:val="18"/>
        </w:rPr>
        <w:footnoteRef/>
      </w:r>
      <w:r>
        <w:tab/>
      </w:r>
      <w:r w:rsidR="002C409F" w:rsidRPr="006848D9">
        <w:rPr>
          <w:lang w:eastAsia="zh-CN"/>
        </w:rPr>
        <w:t xml:space="preserve">Mazur-Wierzbicka, E (2021), "Circular economy: advancement of European Union countries", </w:t>
      </w:r>
      <w:r w:rsidR="002C409F" w:rsidRPr="006848D9">
        <w:rPr>
          <w:i/>
          <w:iCs/>
          <w:lang w:eastAsia="zh-CN"/>
        </w:rPr>
        <w:t>Environmental Sciences Europe</w:t>
      </w:r>
      <w:r w:rsidR="002C409F" w:rsidRPr="006848D9">
        <w:rPr>
          <w:lang w:eastAsia="zh-CN"/>
        </w:rPr>
        <w:t xml:space="preserve">, </w:t>
      </w:r>
      <w:r w:rsidR="002C409F" w:rsidRPr="006848D9">
        <w:rPr>
          <w:b/>
          <w:bCs/>
          <w:lang w:eastAsia="zh-CN"/>
        </w:rPr>
        <w:t>33(1)</w:t>
      </w:r>
      <w:r w:rsidR="002C409F" w:rsidRPr="006848D9">
        <w:rPr>
          <w:lang w:eastAsia="zh-CN"/>
        </w:rPr>
        <w:t>, pages 111.</w:t>
      </w:r>
    </w:p>
  </w:footnote>
  <w:footnote w:id="39">
    <w:p w14:paraId="08B9AFEC" w14:textId="505E14EF" w:rsidR="004E330C" w:rsidRPr="004D0D75" w:rsidRDefault="00116A68" w:rsidP="00116A68">
      <w:pPr>
        <w:pStyle w:val="FootnoteText"/>
        <w:rPr>
          <w:rFonts w:eastAsia="MyriadPro-Regular"/>
          <w:color w:val="000000"/>
        </w:rPr>
      </w:pPr>
      <w:r>
        <w:tab/>
      </w:r>
      <w:r w:rsidR="004E330C" w:rsidRPr="004D0D75">
        <w:rPr>
          <w:rStyle w:val="FootnoteReference"/>
          <w:szCs w:val="18"/>
        </w:rPr>
        <w:footnoteRef/>
      </w:r>
      <w:r>
        <w:tab/>
      </w:r>
      <w:r w:rsidR="004E330C" w:rsidRPr="004D0D75">
        <w:rPr>
          <w:rFonts w:eastAsia="MyriadPro-Regular"/>
          <w:color w:val="000000"/>
        </w:rPr>
        <w:t>SFWG (</w:t>
      </w:r>
      <w:r w:rsidR="004E330C" w:rsidRPr="004D0D75">
        <w:rPr>
          <w:rFonts w:eastAsia="MyriadPro-Regular"/>
          <w:color w:val="000080"/>
        </w:rPr>
        <w:t>2021)</w:t>
      </w:r>
      <w:r w:rsidR="004E330C" w:rsidRPr="004D0D75">
        <w:rPr>
          <w:rFonts w:eastAsia="MyriadPro-Regular"/>
          <w:color w:val="000000"/>
        </w:rPr>
        <w:t xml:space="preserve">. ‘G20 sustainable finance working group – 2021 synthesis report. 2021 Oct 7, Accessed 2021 Oct 27. </w:t>
      </w:r>
      <w:hyperlink r:id="rId6" w:history="1">
        <w:r w:rsidR="004E330C" w:rsidRPr="004D0D75">
          <w:rPr>
            <w:rStyle w:val="Hyperlink"/>
            <w:rFonts w:eastAsia="MyriadPro-Regular"/>
            <w:szCs w:val="18"/>
          </w:rPr>
          <w:t>https://g20sfwg.org/wp-content/uploads/2021/10/G20-SFWG-Synthesis-Report.pdf</w:t>
        </w:r>
      </w:hyperlink>
      <w:r w:rsidR="004E330C" w:rsidRPr="004D0D75">
        <w:rPr>
          <w:rFonts w:eastAsia="MyriadPro-Regular"/>
          <w:color w:val="000000"/>
        </w:rPr>
        <w:t>.</w:t>
      </w:r>
    </w:p>
  </w:footnote>
  <w:footnote w:id="40">
    <w:p w14:paraId="36AF45AF" w14:textId="0A12C299" w:rsidR="00331B6D" w:rsidRPr="00181444" w:rsidRDefault="00116A68" w:rsidP="00116A68">
      <w:pPr>
        <w:pStyle w:val="FootnoteText"/>
        <w:rPr>
          <w:lang w:eastAsia="zh-CN"/>
        </w:rPr>
      </w:pPr>
      <w:r>
        <w:tab/>
      </w:r>
      <w:r w:rsidR="00331B6D" w:rsidRPr="00181444">
        <w:rPr>
          <w:rStyle w:val="FootnoteReference"/>
          <w:szCs w:val="18"/>
        </w:rPr>
        <w:footnoteRef/>
      </w:r>
      <w:r>
        <w:tab/>
      </w:r>
      <w:r w:rsidR="00331B6D" w:rsidRPr="00181444">
        <w:rPr>
          <w:lang w:eastAsia="zh-CN"/>
        </w:rPr>
        <w:t xml:space="preserve">European Union (2020), "Regulation (EU) 2020/852 of the European Parliament and of the Council of 18 June 2020 on the establishment of a framework to facilitate sustainable investment, and amending Regulation (EU) 2019/2088", </w:t>
      </w:r>
      <w:r w:rsidR="00331B6D" w:rsidRPr="00181444">
        <w:rPr>
          <w:i/>
          <w:iCs/>
          <w:lang w:eastAsia="zh-CN"/>
        </w:rPr>
        <w:t>Official Journal of the European Communities</w:t>
      </w:r>
      <w:r w:rsidR="00331B6D" w:rsidRPr="00181444">
        <w:rPr>
          <w:lang w:eastAsia="zh-CN"/>
        </w:rPr>
        <w:t xml:space="preserve">, </w:t>
      </w:r>
      <w:r w:rsidR="00331B6D" w:rsidRPr="00181444">
        <w:rPr>
          <w:b/>
          <w:bCs/>
          <w:lang w:eastAsia="zh-CN"/>
        </w:rPr>
        <w:t>L198</w:t>
      </w:r>
      <w:r w:rsidR="00331B6D" w:rsidRPr="00181444">
        <w:rPr>
          <w:lang w:eastAsia="zh-CN"/>
        </w:rPr>
        <w:t>, pages 13-43</w:t>
      </w:r>
      <w:r w:rsidR="00331B6D" w:rsidRPr="00181444">
        <w:t>.</w:t>
      </w:r>
    </w:p>
  </w:footnote>
  <w:footnote w:id="41">
    <w:p w14:paraId="61B3BF79" w14:textId="6538C2C4" w:rsidR="00980A12" w:rsidRDefault="00116A68" w:rsidP="00116A68">
      <w:pPr>
        <w:pStyle w:val="FootnoteText"/>
      </w:pPr>
      <w:r>
        <w:tab/>
      </w:r>
      <w:r w:rsidR="00980A12">
        <w:rPr>
          <w:rStyle w:val="FootnoteReference"/>
        </w:rPr>
        <w:footnoteRef/>
      </w:r>
      <w:r>
        <w:tab/>
      </w:r>
      <w:r w:rsidR="00980A12" w:rsidRPr="00980A12">
        <w:t>https://eur-lex.europa.eu/legal-content/EN/TXT/?uri=CELEX:32022L2464</w:t>
      </w:r>
    </w:p>
  </w:footnote>
  <w:footnote w:id="42">
    <w:p w14:paraId="570ACD24" w14:textId="68C5EF1B" w:rsidR="00980A12" w:rsidRDefault="00116A68" w:rsidP="00116A68">
      <w:pPr>
        <w:pStyle w:val="FootnoteText"/>
      </w:pPr>
      <w:r>
        <w:tab/>
      </w:r>
      <w:r w:rsidR="00980A12">
        <w:rPr>
          <w:rStyle w:val="FootnoteReference"/>
        </w:rPr>
        <w:footnoteRef/>
      </w:r>
      <w:r>
        <w:tab/>
      </w:r>
      <w:r w:rsidR="00980A12" w:rsidRPr="00980A12">
        <w:t>https://www.efrag.org/lab6</w:t>
      </w:r>
    </w:p>
  </w:footnote>
  <w:footnote w:id="43">
    <w:p w14:paraId="53D76E4C" w14:textId="540E4C23" w:rsidR="00B2517C" w:rsidRDefault="00116A68" w:rsidP="00116A68">
      <w:pPr>
        <w:pStyle w:val="FootnoteText"/>
      </w:pPr>
      <w:r>
        <w:tab/>
      </w:r>
      <w:r w:rsidR="00B2517C">
        <w:rPr>
          <w:rStyle w:val="FootnoteReference"/>
        </w:rPr>
        <w:footnoteRef/>
      </w:r>
      <w:r>
        <w:tab/>
      </w:r>
      <w:hyperlink r:id="rId7" w:history="1">
        <w:r w:rsidRPr="00CD0AAA">
          <w:rPr>
            <w:rStyle w:val="Hyperlink"/>
          </w:rPr>
          <w:t>file://ueahome/eressci19/e183/data/Downloads/ebrd-sustainability-report-2020.pdf</w:t>
        </w:r>
      </w:hyperlink>
      <w:r w:rsidR="00B2517C">
        <w:t xml:space="preserve">. </w:t>
      </w:r>
    </w:p>
  </w:footnote>
  <w:footnote w:id="44">
    <w:p w14:paraId="4043475C" w14:textId="630F4C4A" w:rsidR="00D3368C" w:rsidRDefault="00116A68" w:rsidP="00116A68">
      <w:pPr>
        <w:pStyle w:val="FootnoteText"/>
      </w:pPr>
      <w:r>
        <w:tab/>
      </w:r>
      <w:r w:rsidR="00D3368C">
        <w:rPr>
          <w:rStyle w:val="FootnoteReference"/>
        </w:rPr>
        <w:footnoteRef/>
      </w:r>
      <w:r>
        <w:tab/>
      </w:r>
      <w:r w:rsidR="00D3368C" w:rsidRPr="004D0D75">
        <w:t xml:space="preserve">Dusík, J and A Bond (2022), "Environmental assessments and sustainable finance frameworks: will the EU Taxonomy change the mindset over the contribution of EIA to sustainable development?", </w:t>
      </w:r>
      <w:r w:rsidR="00D3368C" w:rsidRPr="004D0D75">
        <w:rPr>
          <w:i/>
          <w:iCs/>
        </w:rPr>
        <w:t>Impact Assessment and Project Appraisal</w:t>
      </w:r>
      <w:r w:rsidR="00D3368C" w:rsidRPr="004D0D75">
        <w:t xml:space="preserve">, </w:t>
      </w:r>
      <w:r w:rsidR="00D3368C" w:rsidRPr="004D0D75">
        <w:rPr>
          <w:b/>
          <w:bCs/>
        </w:rPr>
        <w:t>40(2)</w:t>
      </w:r>
      <w:r w:rsidR="00D3368C" w:rsidRPr="004D0D75">
        <w:t>, pages 90-98.</w:t>
      </w:r>
    </w:p>
  </w:footnote>
  <w:footnote w:id="45">
    <w:p w14:paraId="1CAD3EA0" w14:textId="5082857A" w:rsidR="00D3368C" w:rsidRDefault="00116A68" w:rsidP="00116A68">
      <w:pPr>
        <w:pStyle w:val="FootnoteText"/>
      </w:pPr>
      <w:r>
        <w:tab/>
      </w:r>
      <w:r w:rsidR="00D3368C">
        <w:rPr>
          <w:rStyle w:val="FootnoteReference"/>
        </w:rPr>
        <w:footnoteRef/>
      </w:r>
      <w:r>
        <w:tab/>
      </w:r>
      <w:r w:rsidR="00D3368C" w:rsidRPr="00BC642B">
        <w:rPr>
          <w:lang w:eastAsia="zh-CN"/>
        </w:rPr>
        <w:t xml:space="preserve">Bond, A and J Dusík (2022), "Environmental assessments and sustainable finance taxonomies – a riposte", </w:t>
      </w:r>
      <w:r w:rsidR="00D3368C" w:rsidRPr="00BC642B">
        <w:rPr>
          <w:i/>
          <w:iCs/>
          <w:lang w:eastAsia="zh-CN"/>
        </w:rPr>
        <w:t>Impact Assessment and Project Appraisal</w:t>
      </w:r>
      <w:r w:rsidR="00D3368C" w:rsidRPr="00BC642B">
        <w:rPr>
          <w:lang w:eastAsia="zh-CN"/>
        </w:rPr>
        <w:t xml:space="preserve">, </w:t>
      </w:r>
      <w:r w:rsidR="00D3368C" w:rsidRPr="00BC642B">
        <w:rPr>
          <w:b/>
          <w:bCs/>
          <w:lang w:eastAsia="zh-CN"/>
        </w:rPr>
        <w:t>40(2)</w:t>
      </w:r>
      <w:r w:rsidR="00D3368C" w:rsidRPr="00BC642B">
        <w:rPr>
          <w:lang w:eastAsia="zh-CN"/>
        </w:rPr>
        <w:t>, pages 123-128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709D" w14:textId="5B3F14A2" w:rsidR="00132B29" w:rsidRPr="001D1AAA" w:rsidRDefault="001D1AAA" w:rsidP="00687389">
    <w:pPr>
      <w:pStyle w:val="Header"/>
      <w:jc w:val="right"/>
    </w:pPr>
    <w:bookmarkStart w:id="6" w:name="_Hlk104391844"/>
    <w:bookmarkStart w:id="7" w:name="_Hlk104391845"/>
    <w:bookmarkStart w:id="8" w:name="_Hlk104391846"/>
    <w:bookmarkStart w:id="9" w:name="_Hlk104391847"/>
    <w:r w:rsidRPr="001D1AAA">
      <w:t>ECE/MP.EIA/WG.2/2023/INF.</w:t>
    </w:r>
    <w:bookmarkEnd w:id="6"/>
    <w:bookmarkEnd w:id="7"/>
    <w:bookmarkEnd w:id="8"/>
    <w:bookmarkEnd w:id="9"/>
    <w:r w:rsidR="00F46D2C">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DF04" w14:textId="79845311" w:rsidR="00132B29" w:rsidRPr="001D1AAA" w:rsidRDefault="001D1AAA" w:rsidP="00687389">
    <w:pPr>
      <w:pStyle w:val="Header"/>
    </w:pPr>
    <w:r w:rsidRPr="0007592F">
      <w:t>ECE/MP.EIA/WG.2/202</w:t>
    </w:r>
    <w:r>
      <w:t>3</w:t>
    </w:r>
    <w:r w:rsidRPr="0007592F">
      <w:t>/INF.</w:t>
    </w:r>
    <w:r w:rsidR="00B7491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E7201"/>
    <w:multiLevelType w:val="hybridMultilevel"/>
    <w:tmpl w:val="20BC154A"/>
    <w:lvl w:ilvl="0" w:tplc="08090001">
      <w:start w:val="1"/>
      <w:numFmt w:val="bullet"/>
      <w:lvlText w:val=""/>
      <w:lvlJc w:val="left"/>
      <w:pPr>
        <w:ind w:left="720" w:hanging="360"/>
      </w:pPr>
      <w:rPr>
        <w:rFonts w:ascii="Symbol" w:hAnsi="Symbol" w:hint="default"/>
      </w:rPr>
    </w:lvl>
    <w:lvl w:ilvl="1" w:tplc="03788F7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DA3018"/>
    <w:multiLevelType w:val="hybridMultilevel"/>
    <w:tmpl w:val="301C057C"/>
    <w:lvl w:ilvl="0" w:tplc="526428A2">
      <w:start w:val="25"/>
      <w:numFmt w:val="decimal"/>
      <w:lvlText w:val="%1."/>
      <w:lvlJc w:val="left"/>
      <w:pPr>
        <w:ind w:left="927" w:hanging="360"/>
      </w:pPr>
      <w:rPr>
        <w:rFonts w:ascii="Times New Roman" w:hAnsi="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6475BF"/>
    <w:multiLevelType w:val="hybridMultilevel"/>
    <w:tmpl w:val="3BD85380"/>
    <w:lvl w:ilvl="0" w:tplc="9FF037A6">
      <w:start w:val="1"/>
      <w:numFmt w:val="lowerLetter"/>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4" w15:restartNumberingAfterBreak="0">
    <w:nsid w:val="12870AC8"/>
    <w:multiLevelType w:val="hybridMultilevel"/>
    <w:tmpl w:val="646A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9F1E6A"/>
    <w:multiLevelType w:val="hybridMultilevel"/>
    <w:tmpl w:val="1E260574"/>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6" w15:restartNumberingAfterBreak="0">
    <w:nsid w:val="145668E0"/>
    <w:multiLevelType w:val="hybridMultilevel"/>
    <w:tmpl w:val="7112308A"/>
    <w:lvl w:ilvl="0" w:tplc="28D85164">
      <w:start w:val="17"/>
      <w:numFmt w:val="decimal"/>
      <w:lvlText w:val="%1."/>
      <w:lvlJc w:val="left"/>
      <w:pPr>
        <w:ind w:left="357" w:firstLine="21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F15356"/>
    <w:multiLevelType w:val="hybridMultilevel"/>
    <w:tmpl w:val="09C4F34C"/>
    <w:lvl w:ilvl="0" w:tplc="605E85FC">
      <w:start w:val="1"/>
      <w:numFmt w:val="decimal"/>
      <w:lvlText w:val="%1."/>
      <w:lvlJc w:val="left"/>
      <w:pPr>
        <w:ind w:left="6108" w:hanging="360"/>
      </w:pPr>
      <w:rPr>
        <w:rFonts w:hint="default"/>
        <w:sz w:val="22"/>
        <w:szCs w:val="22"/>
      </w:rPr>
    </w:lvl>
    <w:lvl w:ilvl="1" w:tplc="617E8868">
      <w:start w:val="1"/>
      <w:numFmt w:val="lowerLetter"/>
      <w:lvlText w:val="%2."/>
      <w:lvlJc w:val="left"/>
      <w:pPr>
        <w:ind w:left="6828" w:hanging="360"/>
      </w:pPr>
      <w:rPr>
        <w:rFonts w:hint="default"/>
        <w:i w:val="0"/>
        <w:iCs w:val="0"/>
      </w:rPr>
    </w:lvl>
    <w:lvl w:ilvl="2" w:tplc="0809001B" w:tentative="1">
      <w:start w:val="1"/>
      <w:numFmt w:val="lowerRoman"/>
      <w:lvlText w:val="%3."/>
      <w:lvlJc w:val="right"/>
      <w:pPr>
        <w:ind w:left="7548" w:hanging="180"/>
      </w:pPr>
    </w:lvl>
    <w:lvl w:ilvl="3" w:tplc="0809000F" w:tentative="1">
      <w:start w:val="1"/>
      <w:numFmt w:val="decimal"/>
      <w:lvlText w:val="%4."/>
      <w:lvlJc w:val="left"/>
      <w:pPr>
        <w:ind w:left="8268" w:hanging="360"/>
      </w:pPr>
    </w:lvl>
    <w:lvl w:ilvl="4" w:tplc="08090019" w:tentative="1">
      <w:start w:val="1"/>
      <w:numFmt w:val="lowerLetter"/>
      <w:lvlText w:val="%5."/>
      <w:lvlJc w:val="left"/>
      <w:pPr>
        <w:ind w:left="8988" w:hanging="360"/>
      </w:pPr>
    </w:lvl>
    <w:lvl w:ilvl="5" w:tplc="0809001B" w:tentative="1">
      <w:start w:val="1"/>
      <w:numFmt w:val="lowerRoman"/>
      <w:lvlText w:val="%6."/>
      <w:lvlJc w:val="right"/>
      <w:pPr>
        <w:ind w:left="9708" w:hanging="180"/>
      </w:pPr>
    </w:lvl>
    <w:lvl w:ilvl="6" w:tplc="0809000F" w:tentative="1">
      <w:start w:val="1"/>
      <w:numFmt w:val="decimal"/>
      <w:lvlText w:val="%7."/>
      <w:lvlJc w:val="left"/>
      <w:pPr>
        <w:ind w:left="10428" w:hanging="360"/>
      </w:pPr>
    </w:lvl>
    <w:lvl w:ilvl="7" w:tplc="08090019" w:tentative="1">
      <w:start w:val="1"/>
      <w:numFmt w:val="lowerLetter"/>
      <w:lvlText w:val="%8."/>
      <w:lvlJc w:val="left"/>
      <w:pPr>
        <w:ind w:left="11148" w:hanging="360"/>
      </w:pPr>
    </w:lvl>
    <w:lvl w:ilvl="8" w:tplc="0809001B" w:tentative="1">
      <w:start w:val="1"/>
      <w:numFmt w:val="lowerRoman"/>
      <w:lvlText w:val="%9."/>
      <w:lvlJc w:val="right"/>
      <w:pPr>
        <w:ind w:left="11868" w:hanging="180"/>
      </w:pPr>
    </w:lvl>
  </w:abstractNum>
  <w:abstractNum w:abstractNumId="19" w15:restartNumberingAfterBreak="0">
    <w:nsid w:val="2BFB64BB"/>
    <w:multiLevelType w:val="hybridMultilevel"/>
    <w:tmpl w:val="C6788A86"/>
    <w:lvl w:ilvl="0" w:tplc="29667194">
      <w:start w:val="2"/>
      <w:numFmt w:val="lowerLetter"/>
      <w:lvlText w:val="%1."/>
      <w:lvlJc w:val="left"/>
      <w:pPr>
        <w:ind w:left="927" w:hanging="360"/>
      </w:pPr>
      <w:rPr>
        <w:rFonts w:ascii="Times New Roman" w:hAnsi="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7A608B"/>
    <w:multiLevelType w:val="hybridMultilevel"/>
    <w:tmpl w:val="DCB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1E7C70"/>
    <w:multiLevelType w:val="hybridMultilevel"/>
    <w:tmpl w:val="1BE0E6DA"/>
    <w:lvl w:ilvl="0" w:tplc="61B6EEFA">
      <w:start w:val="1"/>
      <w:numFmt w:val="decimal"/>
      <w:lvlText w:val="%1."/>
      <w:lvlJc w:val="left"/>
      <w:pPr>
        <w:ind w:left="1014" w:hanging="360"/>
      </w:pPr>
      <w:rPr>
        <w:rFonts w:hint="default"/>
      </w:rPr>
    </w:lvl>
    <w:lvl w:ilvl="1" w:tplc="08090019" w:tentative="1">
      <w:start w:val="1"/>
      <w:numFmt w:val="lowerLetter"/>
      <w:lvlText w:val="%2."/>
      <w:lvlJc w:val="left"/>
      <w:pPr>
        <w:ind w:left="1947" w:hanging="360"/>
      </w:pPr>
    </w:lvl>
    <w:lvl w:ilvl="2" w:tplc="0809001B" w:tentative="1">
      <w:start w:val="1"/>
      <w:numFmt w:val="lowerRoman"/>
      <w:lvlText w:val="%3."/>
      <w:lvlJc w:val="right"/>
      <w:pPr>
        <w:ind w:left="2667" w:hanging="180"/>
      </w:pPr>
    </w:lvl>
    <w:lvl w:ilvl="3" w:tplc="0809000F" w:tentative="1">
      <w:start w:val="1"/>
      <w:numFmt w:val="decimal"/>
      <w:lvlText w:val="%4."/>
      <w:lvlJc w:val="left"/>
      <w:pPr>
        <w:ind w:left="3387" w:hanging="360"/>
      </w:pPr>
    </w:lvl>
    <w:lvl w:ilvl="4" w:tplc="08090019" w:tentative="1">
      <w:start w:val="1"/>
      <w:numFmt w:val="lowerLetter"/>
      <w:lvlText w:val="%5."/>
      <w:lvlJc w:val="left"/>
      <w:pPr>
        <w:ind w:left="4107" w:hanging="360"/>
      </w:pPr>
    </w:lvl>
    <w:lvl w:ilvl="5" w:tplc="0809001B" w:tentative="1">
      <w:start w:val="1"/>
      <w:numFmt w:val="lowerRoman"/>
      <w:lvlText w:val="%6."/>
      <w:lvlJc w:val="right"/>
      <w:pPr>
        <w:ind w:left="4827" w:hanging="180"/>
      </w:pPr>
    </w:lvl>
    <w:lvl w:ilvl="6" w:tplc="0809000F" w:tentative="1">
      <w:start w:val="1"/>
      <w:numFmt w:val="decimal"/>
      <w:lvlText w:val="%7."/>
      <w:lvlJc w:val="left"/>
      <w:pPr>
        <w:ind w:left="5547" w:hanging="360"/>
      </w:pPr>
    </w:lvl>
    <w:lvl w:ilvl="7" w:tplc="08090019" w:tentative="1">
      <w:start w:val="1"/>
      <w:numFmt w:val="lowerLetter"/>
      <w:lvlText w:val="%8."/>
      <w:lvlJc w:val="left"/>
      <w:pPr>
        <w:ind w:left="6267" w:hanging="360"/>
      </w:pPr>
    </w:lvl>
    <w:lvl w:ilvl="8" w:tplc="0809001B" w:tentative="1">
      <w:start w:val="1"/>
      <w:numFmt w:val="lowerRoman"/>
      <w:lvlText w:val="%9."/>
      <w:lvlJc w:val="right"/>
      <w:pPr>
        <w:ind w:left="6987" w:hanging="180"/>
      </w:pPr>
    </w:lvl>
  </w:abstractNum>
  <w:abstractNum w:abstractNumId="22" w15:restartNumberingAfterBreak="0">
    <w:nsid w:val="416E5945"/>
    <w:multiLevelType w:val="hybridMultilevel"/>
    <w:tmpl w:val="0F6E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B6C8A"/>
    <w:multiLevelType w:val="hybridMultilevel"/>
    <w:tmpl w:val="62E2EB5C"/>
    <w:lvl w:ilvl="0" w:tplc="3E1884AC">
      <w:start w:val="30"/>
      <w:numFmt w:val="decimal"/>
      <w:lvlText w:val="%1."/>
      <w:lvlJc w:val="left"/>
      <w:pPr>
        <w:ind w:left="927" w:hanging="360"/>
      </w:pPr>
      <w:rPr>
        <w:rFonts w:ascii="Times New Roman" w:hAnsi="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6D043E"/>
    <w:multiLevelType w:val="hybridMultilevel"/>
    <w:tmpl w:val="EEB06848"/>
    <w:lvl w:ilvl="0" w:tplc="61B6EEFA">
      <w:start w:val="1"/>
      <w:numFmt w:val="decimal"/>
      <w:lvlText w:val="%1."/>
      <w:lvlJc w:val="left"/>
      <w:pPr>
        <w:ind w:left="507" w:hanging="360"/>
      </w:pPr>
      <w:rPr>
        <w:rFonts w:hint="default"/>
      </w:rPr>
    </w:lvl>
    <w:lvl w:ilvl="1" w:tplc="0809000F">
      <w:start w:val="1"/>
      <w:numFmt w:val="decimal"/>
      <w:lvlText w:val="%2."/>
      <w:lvlJc w:val="left"/>
      <w:pPr>
        <w:ind w:left="789" w:hanging="360"/>
      </w:pPr>
    </w:lvl>
    <w:lvl w:ilvl="2" w:tplc="FFFFFFFF" w:tentative="1">
      <w:start w:val="1"/>
      <w:numFmt w:val="lowerRoman"/>
      <w:lvlText w:val="%3."/>
      <w:lvlJc w:val="right"/>
      <w:pPr>
        <w:ind w:left="1947" w:hanging="180"/>
      </w:pPr>
    </w:lvl>
    <w:lvl w:ilvl="3" w:tplc="FFFFFFFF" w:tentative="1">
      <w:start w:val="1"/>
      <w:numFmt w:val="decimal"/>
      <w:lvlText w:val="%4."/>
      <w:lvlJc w:val="left"/>
      <w:pPr>
        <w:ind w:left="2667" w:hanging="360"/>
      </w:pPr>
    </w:lvl>
    <w:lvl w:ilvl="4" w:tplc="FFFFFFFF" w:tentative="1">
      <w:start w:val="1"/>
      <w:numFmt w:val="lowerLetter"/>
      <w:lvlText w:val="%5."/>
      <w:lvlJc w:val="left"/>
      <w:pPr>
        <w:ind w:left="3387" w:hanging="360"/>
      </w:pPr>
    </w:lvl>
    <w:lvl w:ilvl="5" w:tplc="FFFFFFFF" w:tentative="1">
      <w:start w:val="1"/>
      <w:numFmt w:val="lowerRoman"/>
      <w:lvlText w:val="%6."/>
      <w:lvlJc w:val="right"/>
      <w:pPr>
        <w:ind w:left="4107" w:hanging="180"/>
      </w:pPr>
    </w:lvl>
    <w:lvl w:ilvl="6" w:tplc="FFFFFFFF" w:tentative="1">
      <w:start w:val="1"/>
      <w:numFmt w:val="decimal"/>
      <w:lvlText w:val="%7."/>
      <w:lvlJc w:val="left"/>
      <w:pPr>
        <w:ind w:left="4827" w:hanging="360"/>
      </w:pPr>
    </w:lvl>
    <w:lvl w:ilvl="7" w:tplc="FFFFFFFF" w:tentative="1">
      <w:start w:val="1"/>
      <w:numFmt w:val="lowerLetter"/>
      <w:lvlText w:val="%8."/>
      <w:lvlJc w:val="left"/>
      <w:pPr>
        <w:ind w:left="5547" w:hanging="360"/>
      </w:pPr>
    </w:lvl>
    <w:lvl w:ilvl="8" w:tplc="FFFFFFFF" w:tentative="1">
      <w:start w:val="1"/>
      <w:numFmt w:val="lowerRoman"/>
      <w:lvlText w:val="%9."/>
      <w:lvlJc w:val="right"/>
      <w:pPr>
        <w:ind w:left="6267" w:hanging="180"/>
      </w:pPr>
    </w:lvl>
  </w:abstractNum>
  <w:abstractNum w:abstractNumId="25" w15:restartNumberingAfterBreak="0">
    <w:nsid w:val="479F5B9E"/>
    <w:multiLevelType w:val="hybridMultilevel"/>
    <w:tmpl w:val="5D6C8A3E"/>
    <w:lvl w:ilvl="0" w:tplc="4B1E5500">
      <w:start w:val="1"/>
      <w:numFmt w:val="decimal"/>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26" w15:restartNumberingAfterBreak="0">
    <w:nsid w:val="5E07035B"/>
    <w:multiLevelType w:val="hybridMultilevel"/>
    <w:tmpl w:val="DE2CFFBE"/>
    <w:lvl w:ilvl="0" w:tplc="E65E2D9A">
      <w:start w:val="5"/>
      <w:numFmt w:val="decimal"/>
      <w:lvlText w:val="%1."/>
      <w:lvlJc w:val="left"/>
      <w:pPr>
        <w:ind w:left="11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3B3ED9"/>
    <w:multiLevelType w:val="hybridMultilevel"/>
    <w:tmpl w:val="872E8404"/>
    <w:lvl w:ilvl="0" w:tplc="F9586E5E">
      <w:start w:val="9"/>
      <w:numFmt w:val="decimal"/>
      <w:lvlText w:val="%1."/>
      <w:lvlJc w:val="left"/>
      <w:pPr>
        <w:ind w:left="1151" w:hanging="584"/>
      </w:pPr>
      <w:rPr>
        <w:rFonts w:hint="default"/>
      </w:r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28" w15:restartNumberingAfterBreak="0">
    <w:nsid w:val="5E71603F"/>
    <w:multiLevelType w:val="hybridMultilevel"/>
    <w:tmpl w:val="8B68B91E"/>
    <w:lvl w:ilvl="0" w:tplc="61B6EEFA">
      <w:start w:val="1"/>
      <w:numFmt w:val="decimal"/>
      <w:lvlText w:val="%1."/>
      <w:lvlJc w:val="left"/>
      <w:pPr>
        <w:ind w:left="1014" w:hanging="360"/>
      </w:pPr>
      <w:rPr>
        <w:rFonts w:hint="default"/>
      </w:rPr>
    </w:lvl>
    <w:lvl w:ilvl="1" w:tplc="08090019" w:tentative="1">
      <w:start w:val="1"/>
      <w:numFmt w:val="lowerLetter"/>
      <w:lvlText w:val="%2."/>
      <w:lvlJc w:val="left"/>
      <w:pPr>
        <w:ind w:left="1947" w:hanging="360"/>
      </w:pPr>
    </w:lvl>
    <w:lvl w:ilvl="2" w:tplc="0809001B" w:tentative="1">
      <w:start w:val="1"/>
      <w:numFmt w:val="lowerRoman"/>
      <w:lvlText w:val="%3."/>
      <w:lvlJc w:val="right"/>
      <w:pPr>
        <w:ind w:left="2667" w:hanging="180"/>
      </w:pPr>
    </w:lvl>
    <w:lvl w:ilvl="3" w:tplc="0809000F" w:tentative="1">
      <w:start w:val="1"/>
      <w:numFmt w:val="decimal"/>
      <w:lvlText w:val="%4."/>
      <w:lvlJc w:val="left"/>
      <w:pPr>
        <w:ind w:left="3387" w:hanging="360"/>
      </w:pPr>
    </w:lvl>
    <w:lvl w:ilvl="4" w:tplc="08090019" w:tentative="1">
      <w:start w:val="1"/>
      <w:numFmt w:val="lowerLetter"/>
      <w:lvlText w:val="%5."/>
      <w:lvlJc w:val="left"/>
      <w:pPr>
        <w:ind w:left="4107" w:hanging="360"/>
      </w:pPr>
    </w:lvl>
    <w:lvl w:ilvl="5" w:tplc="0809001B" w:tentative="1">
      <w:start w:val="1"/>
      <w:numFmt w:val="lowerRoman"/>
      <w:lvlText w:val="%6."/>
      <w:lvlJc w:val="right"/>
      <w:pPr>
        <w:ind w:left="4827" w:hanging="180"/>
      </w:pPr>
    </w:lvl>
    <w:lvl w:ilvl="6" w:tplc="0809000F" w:tentative="1">
      <w:start w:val="1"/>
      <w:numFmt w:val="decimal"/>
      <w:lvlText w:val="%7."/>
      <w:lvlJc w:val="left"/>
      <w:pPr>
        <w:ind w:left="5547" w:hanging="360"/>
      </w:pPr>
    </w:lvl>
    <w:lvl w:ilvl="7" w:tplc="08090019" w:tentative="1">
      <w:start w:val="1"/>
      <w:numFmt w:val="lowerLetter"/>
      <w:lvlText w:val="%8."/>
      <w:lvlJc w:val="left"/>
      <w:pPr>
        <w:ind w:left="6267" w:hanging="360"/>
      </w:pPr>
    </w:lvl>
    <w:lvl w:ilvl="8" w:tplc="0809001B" w:tentative="1">
      <w:start w:val="1"/>
      <w:numFmt w:val="lowerRoman"/>
      <w:lvlText w:val="%9."/>
      <w:lvlJc w:val="right"/>
      <w:pPr>
        <w:ind w:left="6987"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13F7570"/>
    <w:multiLevelType w:val="hybridMultilevel"/>
    <w:tmpl w:val="A998DC4C"/>
    <w:lvl w:ilvl="0" w:tplc="169002CE">
      <w:start w:val="2"/>
      <w:numFmt w:val="lowerLetter"/>
      <w:lvlText w:val="%1."/>
      <w:lvlJc w:val="left"/>
      <w:pPr>
        <w:ind w:left="357" w:firstLine="567"/>
      </w:pPr>
      <w:rPr>
        <w:rFonts w:ascii="Times New Roman" w:hAnsi="Times New Roman" w:hint="default"/>
        <w:b w:val="0"/>
        <w:i w:val="0"/>
        <w:iCs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407FB3"/>
    <w:multiLevelType w:val="hybridMultilevel"/>
    <w:tmpl w:val="EAB01D24"/>
    <w:lvl w:ilvl="0" w:tplc="D7A2041C">
      <w:start w:val="1"/>
      <w:numFmt w:val="decimal"/>
      <w:lvlText w:val="%1."/>
      <w:lvlJc w:val="left"/>
      <w:pPr>
        <w:ind w:left="50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32" w15:restartNumberingAfterBreak="0">
    <w:nsid w:val="63D7052A"/>
    <w:multiLevelType w:val="hybridMultilevel"/>
    <w:tmpl w:val="86CEED4C"/>
    <w:lvl w:ilvl="0" w:tplc="C41871A4">
      <w:start w:val="20"/>
      <w:numFmt w:val="decimal"/>
      <w:lvlText w:val="%1."/>
      <w:lvlJc w:val="left"/>
      <w:pPr>
        <w:ind w:left="924" w:hanging="357"/>
      </w:pPr>
      <w:rPr>
        <w:rFonts w:hint="default"/>
      </w:rPr>
    </w:lvl>
    <w:lvl w:ilvl="1" w:tplc="35B6CDB2">
      <w:start w:val="20"/>
      <w:numFmt w:val="decimal"/>
      <w:lvlText w:val="%2."/>
      <w:lvlJc w:val="left"/>
      <w:pPr>
        <w:ind w:left="924" w:hanging="35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0A22EF"/>
    <w:multiLevelType w:val="hybridMultilevel"/>
    <w:tmpl w:val="BBB80DE6"/>
    <w:lvl w:ilvl="0" w:tplc="0809000F">
      <w:start w:val="1"/>
      <w:numFmt w:val="decimal"/>
      <w:lvlText w:val="%1."/>
      <w:lvlJc w:val="left"/>
      <w:pPr>
        <w:ind w:left="1149" w:hanging="360"/>
      </w:pPr>
    </w:lvl>
    <w:lvl w:ilvl="1" w:tplc="08090019" w:tentative="1">
      <w:start w:val="1"/>
      <w:numFmt w:val="lowerLetter"/>
      <w:lvlText w:val="%2."/>
      <w:lvlJc w:val="left"/>
      <w:pPr>
        <w:ind w:left="1869" w:hanging="360"/>
      </w:pPr>
    </w:lvl>
    <w:lvl w:ilvl="2" w:tplc="0809001B" w:tentative="1">
      <w:start w:val="1"/>
      <w:numFmt w:val="lowerRoman"/>
      <w:lvlText w:val="%3."/>
      <w:lvlJc w:val="right"/>
      <w:pPr>
        <w:ind w:left="2589" w:hanging="180"/>
      </w:pPr>
    </w:lvl>
    <w:lvl w:ilvl="3" w:tplc="0809000F" w:tentative="1">
      <w:start w:val="1"/>
      <w:numFmt w:val="decimal"/>
      <w:lvlText w:val="%4."/>
      <w:lvlJc w:val="left"/>
      <w:pPr>
        <w:ind w:left="3309" w:hanging="360"/>
      </w:pPr>
    </w:lvl>
    <w:lvl w:ilvl="4" w:tplc="08090019" w:tentative="1">
      <w:start w:val="1"/>
      <w:numFmt w:val="lowerLetter"/>
      <w:lvlText w:val="%5."/>
      <w:lvlJc w:val="left"/>
      <w:pPr>
        <w:ind w:left="4029" w:hanging="360"/>
      </w:pPr>
    </w:lvl>
    <w:lvl w:ilvl="5" w:tplc="0809001B" w:tentative="1">
      <w:start w:val="1"/>
      <w:numFmt w:val="lowerRoman"/>
      <w:lvlText w:val="%6."/>
      <w:lvlJc w:val="right"/>
      <w:pPr>
        <w:ind w:left="4749" w:hanging="180"/>
      </w:pPr>
    </w:lvl>
    <w:lvl w:ilvl="6" w:tplc="0809000F" w:tentative="1">
      <w:start w:val="1"/>
      <w:numFmt w:val="decimal"/>
      <w:lvlText w:val="%7."/>
      <w:lvlJc w:val="left"/>
      <w:pPr>
        <w:ind w:left="5469" w:hanging="360"/>
      </w:pPr>
    </w:lvl>
    <w:lvl w:ilvl="7" w:tplc="08090019" w:tentative="1">
      <w:start w:val="1"/>
      <w:numFmt w:val="lowerLetter"/>
      <w:lvlText w:val="%8."/>
      <w:lvlJc w:val="left"/>
      <w:pPr>
        <w:ind w:left="6189" w:hanging="360"/>
      </w:pPr>
    </w:lvl>
    <w:lvl w:ilvl="8" w:tplc="0809001B" w:tentative="1">
      <w:start w:val="1"/>
      <w:numFmt w:val="lowerRoman"/>
      <w:lvlText w:val="%9."/>
      <w:lvlJc w:val="right"/>
      <w:pPr>
        <w:ind w:left="6909"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A4636"/>
    <w:multiLevelType w:val="hybridMultilevel"/>
    <w:tmpl w:val="8C0AE57C"/>
    <w:lvl w:ilvl="0" w:tplc="2F20633E">
      <w:start w:val="31"/>
      <w:numFmt w:val="decimal"/>
      <w:lvlText w:val="%1."/>
      <w:lvlJc w:val="left"/>
      <w:pPr>
        <w:ind w:left="927" w:hanging="360"/>
      </w:pPr>
      <w:rPr>
        <w:rFonts w:hint="default"/>
      </w:rPr>
    </w:lvl>
    <w:lvl w:ilvl="1" w:tplc="84F669D2">
      <w:start w:val="1"/>
      <w:numFmt w:val="lowerLetter"/>
      <w:lvlText w:val="%2."/>
      <w:lvlJc w:val="left"/>
      <w:pPr>
        <w:ind w:left="927" w:hanging="360"/>
      </w:pPr>
      <w:rPr>
        <w:rFonts w:ascii="Times New Roman" w:hAnsi="Times New Roman" w:hint="default"/>
        <w:b w:val="0"/>
        <w:i w:val="0"/>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914875"/>
    <w:multiLevelType w:val="hybridMultilevel"/>
    <w:tmpl w:val="167C105A"/>
    <w:lvl w:ilvl="0" w:tplc="662878D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C34082"/>
    <w:multiLevelType w:val="hybridMultilevel"/>
    <w:tmpl w:val="67E40732"/>
    <w:lvl w:ilvl="0" w:tplc="B89E2658">
      <w:start w:val="26"/>
      <w:numFmt w:val="decimal"/>
      <w:lvlText w:val="%1."/>
      <w:lvlJc w:val="left"/>
      <w:pPr>
        <w:ind w:left="927" w:hanging="360"/>
      </w:pPr>
      <w:rPr>
        <w:rFonts w:ascii="Times New Roman" w:hAnsi="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372D1B"/>
    <w:multiLevelType w:val="hybridMultilevel"/>
    <w:tmpl w:val="FC5AB642"/>
    <w:lvl w:ilvl="0" w:tplc="CDD292BE">
      <w:start w:val="18"/>
      <w:numFmt w:val="decimal"/>
      <w:lvlText w:val="%1."/>
      <w:lvlJc w:val="left"/>
      <w:pPr>
        <w:ind w:left="357" w:firstLine="21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015A69"/>
    <w:multiLevelType w:val="hybridMultilevel"/>
    <w:tmpl w:val="6E26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8D5573"/>
    <w:multiLevelType w:val="hybridMultilevel"/>
    <w:tmpl w:val="B4385024"/>
    <w:lvl w:ilvl="0" w:tplc="008E8D1C">
      <w:start w:val="5"/>
      <w:numFmt w:val="decimal"/>
      <w:lvlText w:val="%1."/>
      <w:lvlJc w:val="left"/>
      <w:pPr>
        <w:ind w:left="1149" w:hanging="360"/>
      </w:pPr>
      <w:rPr>
        <w:rFonts w:ascii="Times New Roman" w:hAnsi="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AA4B55"/>
    <w:multiLevelType w:val="hybridMultilevel"/>
    <w:tmpl w:val="C69E38B0"/>
    <w:lvl w:ilvl="0" w:tplc="CEFEA660">
      <w:start w:val="1"/>
      <w:numFmt w:val="decimal"/>
      <w:lvlText w:val="%1."/>
      <w:lvlJc w:val="left"/>
      <w:pPr>
        <w:ind w:left="1151" w:hanging="360"/>
      </w:pPr>
      <w:rPr>
        <w:rFonts w:hint="default"/>
      </w:r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42" w15:restartNumberingAfterBreak="0">
    <w:nsid w:val="720755F2"/>
    <w:multiLevelType w:val="hybridMultilevel"/>
    <w:tmpl w:val="DC36B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796D58"/>
    <w:multiLevelType w:val="hybridMultilevel"/>
    <w:tmpl w:val="BC8CDE12"/>
    <w:lvl w:ilvl="0" w:tplc="61B6EEFA">
      <w:start w:val="1"/>
      <w:numFmt w:val="decimal"/>
      <w:lvlText w:val="%1."/>
      <w:lvlJc w:val="left"/>
      <w:pPr>
        <w:ind w:left="50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5B3F24"/>
    <w:multiLevelType w:val="hybridMultilevel"/>
    <w:tmpl w:val="96746016"/>
    <w:lvl w:ilvl="0" w:tplc="479EEB68">
      <w:start w:val="21"/>
      <w:numFmt w:val="decimal"/>
      <w:lvlText w:val="%1."/>
      <w:lvlJc w:val="left"/>
      <w:pPr>
        <w:ind w:left="924" w:hanging="357"/>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15:restartNumberingAfterBreak="0">
    <w:nsid w:val="75BF5FEE"/>
    <w:multiLevelType w:val="hybridMultilevel"/>
    <w:tmpl w:val="B43ABDE2"/>
    <w:lvl w:ilvl="0" w:tplc="F4BEE668">
      <w:start w:val="3"/>
      <w:numFmt w:val="lowerLetter"/>
      <w:lvlText w:val="%1."/>
      <w:lvlJc w:val="left"/>
      <w:pPr>
        <w:ind w:left="927" w:hanging="360"/>
      </w:pPr>
      <w:rPr>
        <w:rFonts w:ascii="Times New Roman" w:hAnsi="Times New Roman"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EE3552"/>
    <w:multiLevelType w:val="hybridMultilevel"/>
    <w:tmpl w:val="61E4C6AA"/>
    <w:lvl w:ilvl="0" w:tplc="FFFFFFFF">
      <w:start w:val="20"/>
      <w:numFmt w:val="decimal"/>
      <w:lvlText w:val="%1."/>
      <w:lvlJc w:val="left"/>
      <w:pPr>
        <w:ind w:left="927" w:hanging="360"/>
      </w:pPr>
      <w:rPr>
        <w:rFonts w:hint="default"/>
      </w:rPr>
    </w:lvl>
    <w:lvl w:ilvl="1" w:tplc="2C343564">
      <w:start w:val="1"/>
      <w:numFmt w:val="lowerLetter"/>
      <w:lvlText w:val="%2."/>
      <w:lvlJc w:val="left"/>
      <w:pPr>
        <w:ind w:left="357" w:firstLine="567"/>
      </w:pPr>
      <w:rPr>
        <w:rFonts w:ascii="Times New Roman" w:hAnsi="Times New Roman" w:hint="default"/>
        <w:b w:val="0"/>
        <w:i w:val="0"/>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7258BD"/>
    <w:multiLevelType w:val="hybridMultilevel"/>
    <w:tmpl w:val="2752D026"/>
    <w:lvl w:ilvl="0" w:tplc="617E8868">
      <w:start w:val="1"/>
      <w:numFmt w:val="lowerLetter"/>
      <w:lvlText w:val="%1."/>
      <w:lvlJc w:val="left"/>
      <w:pPr>
        <w:ind w:left="8109" w:hanging="360"/>
      </w:pPr>
      <w:rPr>
        <w:rFonts w:hint="default"/>
        <w:i w:val="0"/>
        <w:iCs w:val="0"/>
      </w:rPr>
    </w:lvl>
    <w:lvl w:ilvl="1" w:tplc="08090019" w:tentative="1">
      <w:start w:val="1"/>
      <w:numFmt w:val="lowerLetter"/>
      <w:lvlText w:val="%2."/>
      <w:lvlJc w:val="left"/>
      <w:pPr>
        <w:ind w:left="2721" w:hanging="360"/>
      </w:pPr>
    </w:lvl>
    <w:lvl w:ilvl="2" w:tplc="927ABE24">
      <w:start w:val="3"/>
      <w:numFmt w:val="lowerLetter"/>
      <w:lvlText w:val="%3."/>
      <w:lvlJc w:val="left"/>
      <w:pPr>
        <w:ind w:left="357" w:firstLine="567"/>
      </w:pPr>
      <w:rPr>
        <w:rFonts w:ascii="Times New Roman" w:hAnsi="Times New Roman" w:hint="default"/>
        <w:b w:val="0"/>
        <w:i w:val="0"/>
        <w:sz w:val="20"/>
      </w:rPr>
    </w:lvl>
    <w:lvl w:ilvl="3" w:tplc="0809000F" w:tentative="1">
      <w:start w:val="1"/>
      <w:numFmt w:val="decimal"/>
      <w:lvlText w:val="%4."/>
      <w:lvlJc w:val="left"/>
      <w:pPr>
        <w:ind w:left="4161" w:hanging="360"/>
      </w:pPr>
    </w:lvl>
    <w:lvl w:ilvl="4" w:tplc="08090019" w:tentative="1">
      <w:start w:val="1"/>
      <w:numFmt w:val="lowerLetter"/>
      <w:lvlText w:val="%5."/>
      <w:lvlJc w:val="left"/>
      <w:pPr>
        <w:ind w:left="4881" w:hanging="360"/>
      </w:pPr>
    </w:lvl>
    <w:lvl w:ilvl="5" w:tplc="0809001B" w:tentative="1">
      <w:start w:val="1"/>
      <w:numFmt w:val="lowerRoman"/>
      <w:lvlText w:val="%6."/>
      <w:lvlJc w:val="right"/>
      <w:pPr>
        <w:ind w:left="5601" w:hanging="180"/>
      </w:pPr>
    </w:lvl>
    <w:lvl w:ilvl="6" w:tplc="0809000F" w:tentative="1">
      <w:start w:val="1"/>
      <w:numFmt w:val="decimal"/>
      <w:lvlText w:val="%7."/>
      <w:lvlJc w:val="left"/>
      <w:pPr>
        <w:ind w:left="6321" w:hanging="360"/>
      </w:pPr>
    </w:lvl>
    <w:lvl w:ilvl="7" w:tplc="08090019" w:tentative="1">
      <w:start w:val="1"/>
      <w:numFmt w:val="lowerLetter"/>
      <w:lvlText w:val="%8."/>
      <w:lvlJc w:val="left"/>
      <w:pPr>
        <w:ind w:left="7041" w:hanging="360"/>
      </w:pPr>
    </w:lvl>
    <w:lvl w:ilvl="8" w:tplc="0809001B" w:tentative="1">
      <w:start w:val="1"/>
      <w:numFmt w:val="lowerRoman"/>
      <w:lvlText w:val="%9."/>
      <w:lvlJc w:val="right"/>
      <w:pPr>
        <w:ind w:left="7761" w:hanging="180"/>
      </w:pPr>
    </w:lvl>
  </w:abstractNum>
  <w:abstractNum w:abstractNumId="49" w15:restartNumberingAfterBreak="0">
    <w:nsid w:val="7EDC1101"/>
    <w:multiLevelType w:val="hybridMultilevel"/>
    <w:tmpl w:val="0D467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3036">
    <w:abstractNumId w:val="1"/>
  </w:num>
  <w:num w:numId="2" w16cid:durableId="1750997968">
    <w:abstractNumId w:val="0"/>
  </w:num>
  <w:num w:numId="3" w16cid:durableId="1289823425">
    <w:abstractNumId w:val="2"/>
  </w:num>
  <w:num w:numId="4" w16cid:durableId="1887764525">
    <w:abstractNumId w:val="3"/>
  </w:num>
  <w:num w:numId="5" w16cid:durableId="714542345">
    <w:abstractNumId w:val="8"/>
  </w:num>
  <w:num w:numId="6" w16cid:durableId="598753014">
    <w:abstractNumId w:val="9"/>
  </w:num>
  <w:num w:numId="7" w16cid:durableId="1345981393">
    <w:abstractNumId w:val="7"/>
  </w:num>
  <w:num w:numId="8" w16cid:durableId="1117986205">
    <w:abstractNumId w:val="6"/>
  </w:num>
  <w:num w:numId="9" w16cid:durableId="1219125724">
    <w:abstractNumId w:val="5"/>
  </w:num>
  <w:num w:numId="10" w16cid:durableId="1511143550">
    <w:abstractNumId w:val="4"/>
  </w:num>
  <w:num w:numId="11" w16cid:durableId="723721793">
    <w:abstractNumId w:val="29"/>
  </w:num>
  <w:num w:numId="12" w16cid:durableId="1656646201">
    <w:abstractNumId w:val="17"/>
  </w:num>
  <w:num w:numId="13" w16cid:durableId="1038579158">
    <w:abstractNumId w:val="11"/>
  </w:num>
  <w:num w:numId="14" w16cid:durableId="1005740840">
    <w:abstractNumId w:val="34"/>
  </w:num>
  <w:num w:numId="15" w16cid:durableId="1293635385">
    <w:abstractNumId w:val="46"/>
  </w:num>
  <w:num w:numId="16" w16cid:durableId="1366910547">
    <w:abstractNumId w:val="13"/>
  </w:num>
  <w:num w:numId="17" w16cid:durableId="1392079056">
    <w:abstractNumId w:val="36"/>
  </w:num>
  <w:num w:numId="18" w16cid:durableId="1061559772">
    <w:abstractNumId w:val="18"/>
  </w:num>
  <w:num w:numId="19" w16cid:durableId="70811022">
    <w:abstractNumId w:val="15"/>
  </w:num>
  <w:num w:numId="20" w16cid:durableId="566182835">
    <w:abstractNumId w:val="41"/>
  </w:num>
  <w:num w:numId="21" w16cid:durableId="290748072">
    <w:abstractNumId w:val="33"/>
  </w:num>
  <w:num w:numId="22" w16cid:durableId="2115857460">
    <w:abstractNumId w:val="35"/>
  </w:num>
  <w:num w:numId="23" w16cid:durableId="2030139167">
    <w:abstractNumId w:val="22"/>
  </w:num>
  <w:num w:numId="24" w16cid:durableId="399407603">
    <w:abstractNumId w:val="20"/>
  </w:num>
  <w:num w:numId="25" w16cid:durableId="122500733">
    <w:abstractNumId w:val="14"/>
  </w:num>
  <w:num w:numId="26" w16cid:durableId="1562861514">
    <w:abstractNumId w:val="10"/>
  </w:num>
  <w:num w:numId="27" w16cid:durableId="1555115691">
    <w:abstractNumId w:val="24"/>
  </w:num>
  <w:num w:numId="28" w16cid:durableId="1217617991">
    <w:abstractNumId w:val="27"/>
  </w:num>
  <w:num w:numId="29" w16cid:durableId="1960137369">
    <w:abstractNumId w:val="31"/>
  </w:num>
  <w:num w:numId="30" w16cid:durableId="193156993">
    <w:abstractNumId w:val="25"/>
  </w:num>
  <w:num w:numId="31" w16cid:durableId="608395314">
    <w:abstractNumId w:val="21"/>
  </w:num>
  <w:num w:numId="32" w16cid:durableId="1213930400">
    <w:abstractNumId w:val="43"/>
  </w:num>
  <w:num w:numId="33" w16cid:durableId="1571040154">
    <w:abstractNumId w:val="28"/>
  </w:num>
  <w:num w:numId="34" w16cid:durableId="1378512172">
    <w:abstractNumId w:val="48"/>
  </w:num>
  <w:num w:numId="35" w16cid:durableId="1609268708">
    <w:abstractNumId w:val="30"/>
  </w:num>
  <w:num w:numId="36" w16cid:durableId="1544707862">
    <w:abstractNumId w:val="16"/>
  </w:num>
  <w:num w:numId="37" w16cid:durableId="1704671141">
    <w:abstractNumId w:val="38"/>
  </w:num>
  <w:num w:numId="38" w16cid:durableId="208493376">
    <w:abstractNumId w:val="32"/>
  </w:num>
  <w:num w:numId="39" w16cid:durableId="1039818113">
    <w:abstractNumId w:val="45"/>
  </w:num>
  <w:num w:numId="40" w16cid:durableId="265507574">
    <w:abstractNumId w:val="44"/>
  </w:num>
  <w:num w:numId="41" w16cid:durableId="487326690">
    <w:abstractNumId w:val="39"/>
  </w:num>
  <w:num w:numId="42" w16cid:durableId="772945318">
    <w:abstractNumId w:val="37"/>
  </w:num>
  <w:num w:numId="43" w16cid:durableId="757748454">
    <w:abstractNumId w:val="12"/>
  </w:num>
  <w:num w:numId="44" w16cid:durableId="1485657321">
    <w:abstractNumId w:val="47"/>
  </w:num>
  <w:num w:numId="45" w16cid:durableId="691959893">
    <w:abstractNumId w:val="19"/>
  </w:num>
  <w:num w:numId="46" w16cid:durableId="484321360">
    <w:abstractNumId w:val="23"/>
  </w:num>
  <w:num w:numId="47" w16cid:durableId="272978374">
    <w:abstractNumId w:val="42"/>
  </w:num>
  <w:num w:numId="48" w16cid:durableId="948702098">
    <w:abstractNumId w:val="49"/>
  </w:num>
  <w:num w:numId="49" w16cid:durableId="1503620655">
    <w:abstractNumId w:val="26"/>
  </w:num>
  <w:num w:numId="50" w16cid:durableId="1937665097">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ru-RU" w:vendorID="64" w:dllVersion="0" w:nlCheck="1" w:checkStyle="0"/>
  <w:activeWritingStyle w:appName="MSWord" w:lang="fr-CH" w:vendorID="64" w:dllVersion="0" w:nlCheck="1" w:checkStyle="0"/>
  <w:activeWritingStyle w:appName="MSWord" w:lang="es-ES"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de-CH" w:vendorID="64" w:dllVersion="0" w:nlCheck="1" w:checkStyle="0"/>
  <w:activeWritingStyle w:appName="MSWord" w:lang="nb-NO"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665"/>
    <w:rsid w:val="00000CE3"/>
    <w:rsid w:val="000012B1"/>
    <w:rsid w:val="0000177A"/>
    <w:rsid w:val="00001A20"/>
    <w:rsid w:val="000021C0"/>
    <w:rsid w:val="000023B8"/>
    <w:rsid w:val="000023C2"/>
    <w:rsid w:val="000031BF"/>
    <w:rsid w:val="000033AC"/>
    <w:rsid w:val="00003D5C"/>
    <w:rsid w:val="000043CC"/>
    <w:rsid w:val="000043D2"/>
    <w:rsid w:val="00006241"/>
    <w:rsid w:val="000079C8"/>
    <w:rsid w:val="000101EC"/>
    <w:rsid w:val="000103F1"/>
    <w:rsid w:val="00010403"/>
    <w:rsid w:val="00010E7A"/>
    <w:rsid w:val="00011C54"/>
    <w:rsid w:val="00012D3A"/>
    <w:rsid w:val="00012D64"/>
    <w:rsid w:val="000130A2"/>
    <w:rsid w:val="000165FA"/>
    <w:rsid w:val="0001677B"/>
    <w:rsid w:val="00016EC8"/>
    <w:rsid w:val="00017238"/>
    <w:rsid w:val="00017506"/>
    <w:rsid w:val="00020108"/>
    <w:rsid w:val="000203B7"/>
    <w:rsid w:val="00020911"/>
    <w:rsid w:val="0002173A"/>
    <w:rsid w:val="00021BF9"/>
    <w:rsid w:val="00021DCC"/>
    <w:rsid w:val="00022C59"/>
    <w:rsid w:val="000238B0"/>
    <w:rsid w:val="00023CEA"/>
    <w:rsid w:val="00023FE4"/>
    <w:rsid w:val="00024D54"/>
    <w:rsid w:val="00027430"/>
    <w:rsid w:val="00030BC2"/>
    <w:rsid w:val="00030EFA"/>
    <w:rsid w:val="00031131"/>
    <w:rsid w:val="00031AAA"/>
    <w:rsid w:val="0003230C"/>
    <w:rsid w:val="00032C0E"/>
    <w:rsid w:val="000338E7"/>
    <w:rsid w:val="00033CF9"/>
    <w:rsid w:val="00034063"/>
    <w:rsid w:val="00034330"/>
    <w:rsid w:val="000358FC"/>
    <w:rsid w:val="00035FAD"/>
    <w:rsid w:val="0003646E"/>
    <w:rsid w:val="0003652E"/>
    <w:rsid w:val="000370B7"/>
    <w:rsid w:val="00037E6F"/>
    <w:rsid w:val="00040D6C"/>
    <w:rsid w:val="000415BD"/>
    <w:rsid w:val="00042CDD"/>
    <w:rsid w:val="00042EAB"/>
    <w:rsid w:val="000436AE"/>
    <w:rsid w:val="00043FC1"/>
    <w:rsid w:val="00044965"/>
    <w:rsid w:val="00044D98"/>
    <w:rsid w:val="0004599B"/>
    <w:rsid w:val="00045A02"/>
    <w:rsid w:val="0004635B"/>
    <w:rsid w:val="000463DC"/>
    <w:rsid w:val="00046960"/>
    <w:rsid w:val="00046B1F"/>
    <w:rsid w:val="00046B4E"/>
    <w:rsid w:val="00046C95"/>
    <w:rsid w:val="00047FDA"/>
    <w:rsid w:val="00050F6B"/>
    <w:rsid w:val="00051058"/>
    <w:rsid w:val="000513A4"/>
    <w:rsid w:val="000514F6"/>
    <w:rsid w:val="000516E4"/>
    <w:rsid w:val="00052CEB"/>
    <w:rsid w:val="00053705"/>
    <w:rsid w:val="000537E2"/>
    <w:rsid w:val="0005382B"/>
    <w:rsid w:val="0005480E"/>
    <w:rsid w:val="000553CE"/>
    <w:rsid w:val="00055E49"/>
    <w:rsid w:val="000561B5"/>
    <w:rsid w:val="0005679A"/>
    <w:rsid w:val="00056C54"/>
    <w:rsid w:val="00057E97"/>
    <w:rsid w:val="00060658"/>
    <w:rsid w:val="000607B6"/>
    <w:rsid w:val="00062997"/>
    <w:rsid w:val="0006392A"/>
    <w:rsid w:val="0006405C"/>
    <w:rsid w:val="000646EB"/>
    <w:rsid w:val="00064DFC"/>
    <w:rsid w:val="000657EB"/>
    <w:rsid w:val="00067774"/>
    <w:rsid w:val="00067881"/>
    <w:rsid w:val="00070A38"/>
    <w:rsid w:val="000724F8"/>
    <w:rsid w:val="00072807"/>
    <w:rsid w:val="00072C8C"/>
    <w:rsid w:val="00072CC7"/>
    <w:rsid w:val="000733B5"/>
    <w:rsid w:val="0007384E"/>
    <w:rsid w:val="00074B11"/>
    <w:rsid w:val="0007524B"/>
    <w:rsid w:val="000755D8"/>
    <w:rsid w:val="00076DE7"/>
    <w:rsid w:val="00077EF7"/>
    <w:rsid w:val="000802C6"/>
    <w:rsid w:val="000805F3"/>
    <w:rsid w:val="00080CF9"/>
    <w:rsid w:val="00081226"/>
    <w:rsid w:val="00081815"/>
    <w:rsid w:val="0008216A"/>
    <w:rsid w:val="000823AA"/>
    <w:rsid w:val="00082644"/>
    <w:rsid w:val="00082C95"/>
    <w:rsid w:val="00082DB1"/>
    <w:rsid w:val="00084387"/>
    <w:rsid w:val="000848E9"/>
    <w:rsid w:val="00085369"/>
    <w:rsid w:val="00085A4B"/>
    <w:rsid w:val="000861EA"/>
    <w:rsid w:val="00086F0E"/>
    <w:rsid w:val="00091505"/>
    <w:rsid w:val="00091BA3"/>
    <w:rsid w:val="00092444"/>
    <w:rsid w:val="00092AD7"/>
    <w:rsid w:val="000931C0"/>
    <w:rsid w:val="00093D07"/>
    <w:rsid w:val="000942CC"/>
    <w:rsid w:val="00094A99"/>
    <w:rsid w:val="000951AE"/>
    <w:rsid w:val="00095E20"/>
    <w:rsid w:val="00095F0C"/>
    <w:rsid w:val="0009609C"/>
    <w:rsid w:val="000965E3"/>
    <w:rsid w:val="00096DD4"/>
    <w:rsid w:val="00097670"/>
    <w:rsid w:val="00097875"/>
    <w:rsid w:val="00097DCF"/>
    <w:rsid w:val="00097ECF"/>
    <w:rsid w:val="000A1031"/>
    <w:rsid w:val="000A1AD0"/>
    <w:rsid w:val="000A2253"/>
    <w:rsid w:val="000A2781"/>
    <w:rsid w:val="000A2AC3"/>
    <w:rsid w:val="000A2F89"/>
    <w:rsid w:val="000A3839"/>
    <w:rsid w:val="000A3B85"/>
    <w:rsid w:val="000A472A"/>
    <w:rsid w:val="000A49A1"/>
    <w:rsid w:val="000A4E47"/>
    <w:rsid w:val="000A58E7"/>
    <w:rsid w:val="000A635C"/>
    <w:rsid w:val="000A6450"/>
    <w:rsid w:val="000A6EC0"/>
    <w:rsid w:val="000A76D9"/>
    <w:rsid w:val="000A7BD2"/>
    <w:rsid w:val="000A7DD2"/>
    <w:rsid w:val="000A7DEE"/>
    <w:rsid w:val="000A7E3C"/>
    <w:rsid w:val="000B0595"/>
    <w:rsid w:val="000B0A1A"/>
    <w:rsid w:val="000B1005"/>
    <w:rsid w:val="000B13BC"/>
    <w:rsid w:val="000B14D8"/>
    <w:rsid w:val="000B175B"/>
    <w:rsid w:val="000B1C85"/>
    <w:rsid w:val="000B201D"/>
    <w:rsid w:val="000B205B"/>
    <w:rsid w:val="000B3A0F"/>
    <w:rsid w:val="000B3A37"/>
    <w:rsid w:val="000B4EF7"/>
    <w:rsid w:val="000B70B8"/>
    <w:rsid w:val="000B7ADA"/>
    <w:rsid w:val="000B7B42"/>
    <w:rsid w:val="000C1270"/>
    <w:rsid w:val="000C2B8B"/>
    <w:rsid w:val="000C2C03"/>
    <w:rsid w:val="000C2D2E"/>
    <w:rsid w:val="000C34AA"/>
    <w:rsid w:val="000C3D5C"/>
    <w:rsid w:val="000C3EC9"/>
    <w:rsid w:val="000C4CFC"/>
    <w:rsid w:val="000C50E0"/>
    <w:rsid w:val="000C5B12"/>
    <w:rsid w:val="000C734F"/>
    <w:rsid w:val="000C7F2B"/>
    <w:rsid w:val="000D0218"/>
    <w:rsid w:val="000D1D40"/>
    <w:rsid w:val="000D2331"/>
    <w:rsid w:val="000D27ED"/>
    <w:rsid w:val="000D2A13"/>
    <w:rsid w:val="000D2F99"/>
    <w:rsid w:val="000D35DE"/>
    <w:rsid w:val="000D43B0"/>
    <w:rsid w:val="000D51C0"/>
    <w:rsid w:val="000D5584"/>
    <w:rsid w:val="000D679D"/>
    <w:rsid w:val="000D7EE5"/>
    <w:rsid w:val="000E0415"/>
    <w:rsid w:val="000E1B46"/>
    <w:rsid w:val="000E1D23"/>
    <w:rsid w:val="000E270B"/>
    <w:rsid w:val="000E366E"/>
    <w:rsid w:val="000E398A"/>
    <w:rsid w:val="000E3FB6"/>
    <w:rsid w:val="000E48CE"/>
    <w:rsid w:val="000E4C50"/>
    <w:rsid w:val="000E58CB"/>
    <w:rsid w:val="000E5BFF"/>
    <w:rsid w:val="000E667D"/>
    <w:rsid w:val="000E69CE"/>
    <w:rsid w:val="000E7CBA"/>
    <w:rsid w:val="000F000D"/>
    <w:rsid w:val="000F04D8"/>
    <w:rsid w:val="000F09D7"/>
    <w:rsid w:val="000F0BB3"/>
    <w:rsid w:val="000F21A3"/>
    <w:rsid w:val="000F2473"/>
    <w:rsid w:val="000F2C68"/>
    <w:rsid w:val="000F5605"/>
    <w:rsid w:val="000F6325"/>
    <w:rsid w:val="000F6E49"/>
    <w:rsid w:val="000F7DC8"/>
    <w:rsid w:val="00102529"/>
    <w:rsid w:val="0010286C"/>
    <w:rsid w:val="00103773"/>
    <w:rsid w:val="00103942"/>
    <w:rsid w:val="001049A7"/>
    <w:rsid w:val="00104A9A"/>
    <w:rsid w:val="00106098"/>
    <w:rsid w:val="00107D9A"/>
    <w:rsid w:val="001103AA"/>
    <w:rsid w:val="001113C8"/>
    <w:rsid w:val="001139E3"/>
    <w:rsid w:val="00113D04"/>
    <w:rsid w:val="00115205"/>
    <w:rsid w:val="0011573D"/>
    <w:rsid w:val="00115F08"/>
    <w:rsid w:val="0011666B"/>
    <w:rsid w:val="00116946"/>
    <w:rsid w:val="00116A68"/>
    <w:rsid w:val="00116AC6"/>
    <w:rsid w:val="00116CE4"/>
    <w:rsid w:val="001176C6"/>
    <w:rsid w:val="00117B48"/>
    <w:rsid w:val="00120404"/>
    <w:rsid w:val="0012134D"/>
    <w:rsid w:val="00121B66"/>
    <w:rsid w:val="00121D67"/>
    <w:rsid w:val="0012249F"/>
    <w:rsid w:val="0012258D"/>
    <w:rsid w:val="00122D11"/>
    <w:rsid w:val="00122F83"/>
    <w:rsid w:val="00123605"/>
    <w:rsid w:val="00125868"/>
    <w:rsid w:val="0012615B"/>
    <w:rsid w:val="00126E96"/>
    <w:rsid w:val="00127039"/>
    <w:rsid w:val="001272B7"/>
    <w:rsid w:val="00127608"/>
    <w:rsid w:val="0013025C"/>
    <w:rsid w:val="001304EE"/>
    <w:rsid w:val="001308B9"/>
    <w:rsid w:val="00130D4D"/>
    <w:rsid w:val="00130D62"/>
    <w:rsid w:val="001310E9"/>
    <w:rsid w:val="001320B7"/>
    <w:rsid w:val="001320BB"/>
    <w:rsid w:val="00132B29"/>
    <w:rsid w:val="0013304F"/>
    <w:rsid w:val="0013318F"/>
    <w:rsid w:val="00133435"/>
    <w:rsid w:val="00134691"/>
    <w:rsid w:val="00135043"/>
    <w:rsid w:val="00136007"/>
    <w:rsid w:val="0013712A"/>
    <w:rsid w:val="001372AD"/>
    <w:rsid w:val="001375D7"/>
    <w:rsid w:val="00140D3C"/>
    <w:rsid w:val="00141249"/>
    <w:rsid w:val="001418CA"/>
    <w:rsid w:val="00142D7C"/>
    <w:rsid w:val="00144221"/>
    <w:rsid w:val="0014478D"/>
    <w:rsid w:val="0014688B"/>
    <w:rsid w:val="00146DC9"/>
    <w:rsid w:val="00147482"/>
    <w:rsid w:val="00147B2D"/>
    <w:rsid w:val="001515C2"/>
    <w:rsid w:val="00151F93"/>
    <w:rsid w:val="00152A43"/>
    <w:rsid w:val="00153C8A"/>
    <w:rsid w:val="001540EF"/>
    <w:rsid w:val="001541B0"/>
    <w:rsid w:val="00154532"/>
    <w:rsid w:val="001545C2"/>
    <w:rsid w:val="001547FB"/>
    <w:rsid w:val="00154A1F"/>
    <w:rsid w:val="00154DEE"/>
    <w:rsid w:val="00154FD9"/>
    <w:rsid w:val="0015510E"/>
    <w:rsid w:val="00155D13"/>
    <w:rsid w:val="00156193"/>
    <w:rsid w:val="001561CF"/>
    <w:rsid w:val="0015636C"/>
    <w:rsid w:val="00160DA1"/>
    <w:rsid w:val="00162626"/>
    <w:rsid w:val="00163258"/>
    <w:rsid w:val="00165F3A"/>
    <w:rsid w:val="00165F8B"/>
    <w:rsid w:val="00166693"/>
    <w:rsid w:val="001702B8"/>
    <w:rsid w:val="001705C4"/>
    <w:rsid w:val="00170884"/>
    <w:rsid w:val="00171787"/>
    <w:rsid w:val="00172777"/>
    <w:rsid w:val="00172BA7"/>
    <w:rsid w:val="00172CC8"/>
    <w:rsid w:val="001736A5"/>
    <w:rsid w:val="00173FAF"/>
    <w:rsid w:val="00174103"/>
    <w:rsid w:val="00174A32"/>
    <w:rsid w:val="00174D80"/>
    <w:rsid w:val="0017516A"/>
    <w:rsid w:val="00175F12"/>
    <w:rsid w:val="00176616"/>
    <w:rsid w:val="00176827"/>
    <w:rsid w:val="00176AD6"/>
    <w:rsid w:val="00177E0D"/>
    <w:rsid w:val="00180B1E"/>
    <w:rsid w:val="00180D24"/>
    <w:rsid w:val="00181444"/>
    <w:rsid w:val="00181E16"/>
    <w:rsid w:val="00182453"/>
    <w:rsid w:val="00182864"/>
    <w:rsid w:val="00182D1D"/>
    <w:rsid w:val="0018314B"/>
    <w:rsid w:val="001861F6"/>
    <w:rsid w:val="00190062"/>
    <w:rsid w:val="0019057E"/>
    <w:rsid w:val="001909A1"/>
    <w:rsid w:val="00190C8A"/>
    <w:rsid w:val="00191B76"/>
    <w:rsid w:val="001926DB"/>
    <w:rsid w:val="00192C52"/>
    <w:rsid w:val="00192E7A"/>
    <w:rsid w:val="00193182"/>
    <w:rsid w:val="00193DBA"/>
    <w:rsid w:val="00194B32"/>
    <w:rsid w:val="001950D3"/>
    <w:rsid w:val="001954AF"/>
    <w:rsid w:val="0019589C"/>
    <w:rsid w:val="00195E75"/>
    <w:rsid w:val="0019651F"/>
    <w:rsid w:val="001969F4"/>
    <w:rsid w:val="00196DEE"/>
    <w:rsid w:val="001977A0"/>
    <w:rsid w:val="001977D6"/>
    <w:rsid w:val="001A0288"/>
    <w:rsid w:val="001A0733"/>
    <w:rsid w:val="001A1CB7"/>
    <w:rsid w:val="001A1FDA"/>
    <w:rsid w:val="001A2B82"/>
    <w:rsid w:val="001A30BB"/>
    <w:rsid w:val="001A30C4"/>
    <w:rsid w:val="001A3336"/>
    <w:rsid w:val="001A58BD"/>
    <w:rsid w:val="001A5B4C"/>
    <w:rsid w:val="001A5FE0"/>
    <w:rsid w:val="001A6597"/>
    <w:rsid w:val="001A7851"/>
    <w:rsid w:val="001A7BCC"/>
    <w:rsid w:val="001B32F2"/>
    <w:rsid w:val="001B36C7"/>
    <w:rsid w:val="001B3E53"/>
    <w:rsid w:val="001B4B04"/>
    <w:rsid w:val="001B5115"/>
    <w:rsid w:val="001B51CE"/>
    <w:rsid w:val="001B5324"/>
    <w:rsid w:val="001B54F4"/>
    <w:rsid w:val="001B552B"/>
    <w:rsid w:val="001B677D"/>
    <w:rsid w:val="001B69B3"/>
    <w:rsid w:val="001B7949"/>
    <w:rsid w:val="001B7B5F"/>
    <w:rsid w:val="001C01F2"/>
    <w:rsid w:val="001C04FD"/>
    <w:rsid w:val="001C0BCD"/>
    <w:rsid w:val="001C0DB2"/>
    <w:rsid w:val="001C1BAF"/>
    <w:rsid w:val="001C1C5F"/>
    <w:rsid w:val="001C26DD"/>
    <w:rsid w:val="001C28AA"/>
    <w:rsid w:val="001C2A14"/>
    <w:rsid w:val="001C34B2"/>
    <w:rsid w:val="001C3761"/>
    <w:rsid w:val="001C418C"/>
    <w:rsid w:val="001C5011"/>
    <w:rsid w:val="001C63E1"/>
    <w:rsid w:val="001C6663"/>
    <w:rsid w:val="001C66B7"/>
    <w:rsid w:val="001C6BCE"/>
    <w:rsid w:val="001C7895"/>
    <w:rsid w:val="001C7BAE"/>
    <w:rsid w:val="001C7E41"/>
    <w:rsid w:val="001D0C8C"/>
    <w:rsid w:val="001D1419"/>
    <w:rsid w:val="001D14D1"/>
    <w:rsid w:val="001D156F"/>
    <w:rsid w:val="001D15BA"/>
    <w:rsid w:val="001D18FA"/>
    <w:rsid w:val="001D1AAA"/>
    <w:rsid w:val="001D26DF"/>
    <w:rsid w:val="001D3A03"/>
    <w:rsid w:val="001D3E6C"/>
    <w:rsid w:val="001D65E7"/>
    <w:rsid w:val="001D65F2"/>
    <w:rsid w:val="001D692D"/>
    <w:rsid w:val="001D7350"/>
    <w:rsid w:val="001D7831"/>
    <w:rsid w:val="001D7BF7"/>
    <w:rsid w:val="001D7C93"/>
    <w:rsid w:val="001E04C2"/>
    <w:rsid w:val="001E1D5C"/>
    <w:rsid w:val="001E1D64"/>
    <w:rsid w:val="001E25CC"/>
    <w:rsid w:val="001E2A62"/>
    <w:rsid w:val="001E2DEB"/>
    <w:rsid w:val="001E2DFF"/>
    <w:rsid w:val="001E3041"/>
    <w:rsid w:val="001E3044"/>
    <w:rsid w:val="001E3535"/>
    <w:rsid w:val="001E3725"/>
    <w:rsid w:val="001E3BEF"/>
    <w:rsid w:val="001E56B8"/>
    <w:rsid w:val="001E5BC1"/>
    <w:rsid w:val="001E6A5D"/>
    <w:rsid w:val="001E6CF1"/>
    <w:rsid w:val="001E70DB"/>
    <w:rsid w:val="001E70F4"/>
    <w:rsid w:val="001E7425"/>
    <w:rsid w:val="001E7B67"/>
    <w:rsid w:val="001E7EA0"/>
    <w:rsid w:val="001F0637"/>
    <w:rsid w:val="001F174F"/>
    <w:rsid w:val="001F269D"/>
    <w:rsid w:val="001F275E"/>
    <w:rsid w:val="001F38E9"/>
    <w:rsid w:val="001F3F9B"/>
    <w:rsid w:val="001F4066"/>
    <w:rsid w:val="001F4362"/>
    <w:rsid w:val="001F481E"/>
    <w:rsid w:val="001F48A2"/>
    <w:rsid w:val="001F4E6C"/>
    <w:rsid w:val="001F5DCD"/>
    <w:rsid w:val="001F5EFB"/>
    <w:rsid w:val="001F5F6F"/>
    <w:rsid w:val="001F66A2"/>
    <w:rsid w:val="001F7121"/>
    <w:rsid w:val="001F7171"/>
    <w:rsid w:val="0020117C"/>
    <w:rsid w:val="00201C09"/>
    <w:rsid w:val="0020212C"/>
    <w:rsid w:val="002025A2"/>
    <w:rsid w:val="00202DA8"/>
    <w:rsid w:val="0020334A"/>
    <w:rsid w:val="002045F7"/>
    <w:rsid w:val="00204AB4"/>
    <w:rsid w:val="00204D77"/>
    <w:rsid w:val="002052AC"/>
    <w:rsid w:val="002058F6"/>
    <w:rsid w:val="00205F5B"/>
    <w:rsid w:val="002065D6"/>
    <w:rsid w:val="00206D87"/>
    <w:rsid w:val="00207083"/>
    <w:rsid w:val="002070B2"/>
    <w:rsid w:val="00211E0B"/>
    <w:rsid w:val="00212C63"/>
    <w:rsid w:val="00215127"/>
    <w:rsid w:val="0021542D"/>
    <w:rsid w:val="002155D9"/>
    <w:rsid w:val="002158ED"/>
    <w:rsid w:val="00215910"/>
    <w:rsid w:val="002164AA"/>
    <w:rsid w:val="00216735"/>
    <w:rsid w:val="002169AB"/>
    <w:rsid w:val="00216DE0"/>
    <w:rsid w:val="002174AE"/>
    <w:rsid w:val="00217BC3"/>
    <w:rsid w:val="00217CE9"/>
    <w:rsid w:val="00220E8A"/>
    <w:rsid w:val="002218D0"/>
    <w:rsid w:val="0022232B"/>
    <w:rsid w:val="00222453"/>
    <w:rsid w:val="002240F4"/>
    <w:rsid w:val="00224EE6"/>
    <w:rsid w:val="002254F7"/>
    <w:rsid w:val="002257F2"/>
    <w:rsid w:val="002260E3"/>
    <w:rsid w:val="002268F1"/>
    <w:rsid w:val="002272AE"/>
    <w:rsid w:val="002273DA"/>
    <w:rsid w:val="002276AD"/>
    <w:rsid w:val="00227A58"/>
    <w:rsid w:val="00227B88"/>
    <w:rsid w:val="00230A0B"/>
    <w:rsid w:val="00230C33"/>
    <w:rsid w:val="002325F9"/>
    <w:rsid w:val="002326AF"/>
    <w:rsid w:val="002335D5"/>
    <w:rsid w:val="00234B6A"/>
    <w:rsid w:val="002354CC"/>
    <w:rsid w:val="0023592F"/>
    <w:rsid w:val="00235D82"/>
    <w:rsid w:val="00235F56"/>
    <w:rsid w:val="00235F9B"/>
    <w:rsid w:val="0023673F"/>
    <w:rsid w:val="0023680B"/>
    <w:rsid w:val="0023708F"/>
    <w:rsid w:val="002372A9"/>
    <w:rsid w:val="00240E74"/>
    <w:rsid w:val="002418B7"/>
    <w:rsid w:val="00241C80"/>
    <w:rsid w:val="002430C2"/>
    <w:rsid w:val="0024337B"/>
    <w:rsid w:val="002434BD"/>
    <w:rsid w:val="00243E4D"/>
    <w:rsid w:val="002457E3"/>
    <w:rsid w:val="00245F86"/>
    <w:rsid w:val="002469F9"/>
    <w:rsid w:val="00246D3C"/>
    <w:rsid w:val="0024772E"/>
    <w:rsid w:val="00247A60"/>
    <w:rsid w:val="00247B7D"/>
    <w:rsid w:val="00251127"/>
    <w:rsid w:val="00251B31"/>
    <w:rsid w:val="00251E99"/>
    <w:rsid w:val="00251FC6"/>
    <w:rsid w:val="00252120"/>
    <w:rsid w:val="00252489"/>
    <w:rsid w:val="00252B6A"/>
    <w:rsid w:val="002533FF"/>
    <w:rsid w:val="00256A41"/>
    <w:rsid w:val="00257073"/>
    <w:rsid w:val="00257078"/>
    <w:rsid w:val="00260DEA"/>
    <w:rsid w:val="00261086"/>
    <w:rsid w:val="00262185"/>
    <w:rsid w:val="0026311B"/>
    <w:rsid w:val="0026360D"/>
    <w:rsid w:val="00264069"/>
    <w:rsid w:val="002641F9"/>
    <w:rsid w:val="002649D4"/>
    <w:rsid w:val="00264A9C"/>
    <w:rsid w:val="0026511F"/>
    <w:rsid w:val="00265574"/>
    <w:rsid w:val="00266458"/>
    <w:rsid w:val="0026753A"/>
    <w:rsid w:val="00267ACD"/>
    <w:rsid w:val="00267DEA"/>
    <w:rsid w:val="00267F5F"/>
    <w:rsid w:val="00271140"/>
    <w:rsid w:val="002716DB"/>
    <w:rsid w:val="002719B9"/>
    <w:rsid w:val="002719E4"/>
    <w:rsid w:val="00271B2C"/>
    <w:rsid w:val="00272101"/>
    <w:rsid w:val="0027338C"/>
    <w:rsid w:val="0027434C"/>
    <w:rsid w:val="0027484E"/>
    <w:rsid w:val="00275313"/>
    <w:rsid w:val="00275564"/>
    <w:rsid w:val="00275A78"/>
    <w:rsid w:val="00275A7E"/>
    <w:rsid w:val="0027642B"/>
    <w:rsid w:val="00276F8C"/>
    <w:rsid w:val="00277859"/>
    <w:rsid w:val="00280492"/>
    <w:rsid w:val="00280981"/>
    <w:rsid w:val="00280C05"/>
    <w:rsid w:val="00281E38"/>
    <w:rsid w:val="00283C19"/>
    <w:rsid w:val="00283FC9"/>
    <w:rsid w:val="00284375"/>
    <w:rsid w:val="002847EB"/>
    <w:rsid w:val="00284EFD"/>
    <w:rsid w:val="002851D6"/>
    <w:rsid w:val="0028536A"/>
    <w:rsid w:val="00286B4D"/>
    <w:rsid w:val="00286FF4"/>
    <w:rsid w:val="00287C48"/>
    <w:rsid w:val="00290CC5"/>
    <w:rsid w:val="0029143E"/>
    <w:rsid w:val="002918E6"/>
    <w:rsid w:val="00292056"/>
    <w:rsid w:val="0029265B"/>
    <w:rsid w:val="00292E05"/>
    <w:rsid w:val="00292F6C"/>
    <w:rsid w:val="00292FE7"/>
    <w:rsid w:val="002932D8"/>
    <w:rsid w:val="00293838"/>
    <w:rsid w:val="0029385F"/>
    <w:rsid w:val="00293D84"/>
    <w:rsid w:val="00294239"/>
    <w:rsid w:val="00295B60"/>
    <w:rsid w:val="00296362"/>
    <w:rsid w:val="00296F11"/>
    <w:rsid w:val="002A1898"/>
    <w:rsid w:val="002A234B"/>
    <w:rsid w:val="002A2568"/>
    <w:rsid w:val="002A283A"/>
    <w:rsid w:val="002A47FC"/>
    <w:rsid w:val="002A4E13"/>
    <w:rsid w:val="002A5043"/>
    <w:rsid w:val="002A50AD"/>
    <w:rsid w:val="002A53C1"/>
    <w:rsid w:val="002A5BF9"/>
    <w:rsid w:val="002A7731"/>
    <w:rsid w:val="002A7E7C"/>
    <w:rsid w:val="002B068A"/>
    <w:rsid w:val="002B105A"/>
    <w:rsid w:val="002B13CC"/>
    <w:rsid w:val="002B1DBC"/>
    <w:rsid w:val="002B20E9"/>
    <w:rsid w:val="002B2390"/>
    <w:rsid w:val="002B251B"/>
    <w:rsid w:val="002B5BC9"/>
    <w:rsid w:val="002B5C1A"/>
    <w:rsid w:val="002B65B1"/>
    <w:rsid w:val="002B6E23"/>
    <w:rsid w:val="002B71FE"/>
    <w:rsid w:val="002B726D"/>
    <w:rsid w:val="002B72B1"/>
    <w:rsid w:val="002B75E3"/>
    <w:rsid w:val="002B7A00"/>
    <w:rsid w:val="002C096C"/>
    <w:rsid w:val="002C31BC"/>
    <w:rsid w:val="002C409F"/>
    <w:rsid w:val="002C47EE"/>
    <w:rsid w:val="002C4973"/>
    <w:rsid w:val="002C4AFE"/>
    <w:rsid w:val="002C4FD1"/>
    <w:rsid w:val="002C673A"/>
    <w:rsid w:val="002C6CD6"/>
    <w:rsid w:val="002C6D44"/>
    <w:rsid w:val="002C786B"/>
    <w:rsid w:val="002C7D6D"/>
    <w:rsid w:val="002D0B34"/>
    <w:rsid w:val="002D239B"/>
    <w:rsid w:val="002D272D"/>
    <w:rsid w:val="002D2E14"/>
    <w:rsid w:val="002D361D"/>
    <w:rsid w:val="002D3ED9"/>
    <w:rsid w:val="002D44EA"/>
    <w:rsid w:val="002D4643"/>
    <w:rsid w:val="002D4B9A"/>
    <w:rsid w:val="002D7390"/>
    <w:rsid w:val="002D7495"/>
    <w:rsid w:val="002D75C8"/>
    <w:rsid w:val="002E1043"/>
    <w:rsid w:val="002E13B6"/>
    <w:rsid w:val="002E17C1"/>
    <w:rsid w:val="002E206A"/>
    <w:rsid w:val="002E21F6"/>
    <w:rsid w:val="002E26D0"/>
    <w:rsid w:val="002E4525"/>
    <w:rsid w:val="002E4D45"/>
    <w:rsid w:val="002E5536"/>
    <w:rsid w:val="002E558B"/>
    <w:rsid w:val="002E57AF"/>
    <w:rsid w:val="002E58C3"/>
    <w:rsid w:val="002E5AA9"/>
    <w:rsid w:val="002E6635"/>
    <w:rsid w:val="002E66B5"/>
    <w:rsid w:val="002E6D60"/>
    <w:rsid w:val="002E7449"/>
    <w:rsid w:val="002E7806"/>
    <w:rsid w:val="002E7CA6"/>
    <w:rsid w:val="002F0557"/>
    <w:rsid w:val="002F175C"/>
    <w:rsid w:val="002F1C3B"/>
    <w:rsid w:val="002F1ED8"/>
    <w:rsid w:val="002F29C7"/>
    <w:rsid w:val="002F2B7D"/>
    <w:rsid w:val="002F418B"/>
    <w:rsid w:val="002F4228"/>
    <w:rsid w:val="002F5059"/>
    <w:rsid w:val="002F5457"/>
    <w:rsid w:val="002F624C"/>
    <w:rsid w:val="002F71F2"/>
    <w:rsid w:val="002F7579"/>
    <w:rsid w:val="00300373"/>
    <w:rsid w:val="00302644"/>
    <w:rsid w:val="00302E18"/>
    <w:rsid w:val="0030365B"/>
    <w:rsid w:val="00303C57"/>
    <w:rsid w:val="0030400F"/>
    <w:rsid w:val="0030402B"/>
    <w:rsid w:val="003041D5"/>
    <w:rsid w:val="003047A6"/>
    <w:rsid w:val="00304BFF"/>
    <w:rsid w:val="00304D6B"/>
    <w:rsid w:val="00305357"/>
    <w:rsid w:val="00305A53"/>
    <w:rsid w:val="00306729"/>
    <w:rsid w:val="003107A4"/>
    <w:rsid w:val="00310815"/>
    <w:rsid w:val="00314437"/>
    <w:rsid w:val="003146E1"/>
    <w:rsid w:val="0031544B"/>
    <w:rsid w:val="003154BF"/>
    <w:rsid w:val="00316D40"/>
    <w:rsid w:val="00317134"/>
    <w:rsid w:val="0031713E"/>
    <w:rsid w:val="00317381"/>
    <w:rsid w:val="0032109B"/>
    <w:rsid w:val="00321D40"/>
    <w:rsid w:val="003221FA"/>
    <w:rsid w:val="003229D8"/>
    <w:rsid w:val="003230B3"/>
    <w:rsid w:val="0032330C"/>
    <w:rsid w:val="003236C1"/>
    <w:rsid w:val="00325347"/>
    <w:rsid w:val="00325AEF"/>
    <w:rsid w:val="00325F3F"/>
    <w:rsid w:val="00326212"/>
    <w:rsid w:val="003271DE"/>
    <w:rsid w:val="00327709"/>
    <w:rsid w:val="00327DAC"/>
    <w:rsid w:val="00327E42"/>
    <w:rsid w:val="003305FA"/>
    <w:rsid w:val="00331077"/>
    <w:rsid w:val="003311B8"/>
    <w:rsid w:val="00331577"/>
    <w:rsid w:val="00331B6D"/>
    <w:rsid w:val="00331D43"/>
    <w:rsid w:val="00331E01"/>
    <w:rsid w:val="00331EBA"/>
    <w:rsid w:val="00331F50"/>
    <w:rsid w:val="00332A0A"/>
    <w:rsid w:val="00332A31"/>
    <w:rsid w:val="00332D76"/>
    <w:rsid w:val="00333639"/>
    <w:rsid w:val="00333799"/>
    <w:rsid w:val="0033396B"/>
    <w:rsid w:val="00333E8F"/>
    <w:rsid w:val="00335524"/>
    <w:rsid w:val="00335E22"/>
    <w:rsid w:val="00335E75"/>
    <w:rsid w:val="00337E5F"/>
    <w:rsid w:val="00340D53"/>
    <w:rsid w:val="00343002"/>
    <w:rsid w:val="003430BF"/>
    <w:rsid w:val="00343478"/>
    <w:rsid w:val="0034372B"/>
    <w:rsid w:val="00343743"/>
    <w:rsid w:val="00344191"/>
    <w:rsid w:val="00345575"/>
    <w:rsid w:val="003458B0"/>
    <w:rsid w:val="00346EAA"/>
    <w:rsid w:val="003475CF"/>
    <w:rsid w:val="00350915"/>
    <w:rsid w:val="00350BF5"/>
    <w:rsid w:val="003521D7"/>
    <w:rsid w:val="003526A1"/>
    <w:rsid w:val="00352709"/>
    <w:rsid w:val="00352E7F"/>
    <w:rsid w:val="003545AF"/>
    <w:rsid w:val="00355706"/>
    <w:rsid w:val="00355C6A"/>
    <w:rsid w:val="00355CEA"/>
    <w:rsid w:val="00355E03"/>
    <w:rsid w:val="00355E5E"/>
    <w:rsid w:val="003574AD"/>
    <w:rsid w:val="00357A79"/>
    <w:rsid w:val="00360B29"/>
    <w:rsid w:val="003613A8"/>
    <w:rsid w:val="003619B5"/>
    <w:rsid w:val="00361C1E"/>
    <w:rsid w:val="00361C5F"/>
    <w:rsid w:val="00362D80"/>
    <w:rsid w:val="003630EC"/>
    <w:rsid w:val="00363E13"/>
    <w:rsid w:val="00364AEC"/>
    <w:rsid w:val="00364D2C"/>
    <w:rsid w:val="00364E37"/>
    <w:rsid w:val="00365763"/>
    <w:rsid w:val="00366E9B"/>
    <w:rsid w:val="003703AF"/>
    <w:rsid w:val="00370AD4"/>
    <w:rsid w:val="00371178"/>
    <w:rsid w:val="00371D92"/>
    <w:rsid w:val="00372054"/>
    <w:rsid w:val="00372505"/>
    <w:rsid w:val="00372901"/>
    <w:rsid w:val="00372FE5"/>
    <w:rsid w:val="00373AFB"/>
    <w:rsid w:val="00373FF9"/>
    <w:rsid w:val="00374E97"/>
    <w:rsid w:val="00374EC9"/>
    <w:rsid w:val="00375208"/>
    <w:rsid w:val="0037559B"/>
    <w:rsid w:val="00375EBC"/>
    <w:rsid w:val="00375F95"/>
    <w:rsid w:val="00377120"/>
    <w:rsid w:val="00380E4B"/>
    <w:rsid w:val="003811A6"/>
    <w:rsid w:val="00382207"/>
    <w:rsid w:val="003835E2"/>
    <w:rsid w:val="00384871"/>
    <w:rsid w:val="00384A31"/>
    <w:rsid w:val="00384A9F"/>
    <w:rsid w:val="00384D51"/>
    <w:rsid w:val="0038554A"/>
    <w:rsid w:val="00385D0F"/>
    <w:rsid w:val="00386AF4"/>
    <w:rsid w:val="00386B4D"/>
    <w:rsid w:val="00386BA3"/>
    <w:rsid w:val="00387462"/>
    <w:rsid w:val="003905C8"/>
    <w:rsid w:val="00391356"/>
    <w:rsid w:val="00391599"/>
    <w:rsid w:val="00392D1A"/>
    <w:rsid w:val="00392E47"/>
    <w:rsid w:val="0039375B"/>
    <w:rsid w:val="00395075"/>
    <w:rsid w:val="0039523A"/>
    <w:rsid w:val="003954FD"/>
    <w:rsid w:val="00395D96"/>
    <w:rsid w:val="00395E48"/>
    <w:rsid w:val="00396643"/>
    <w:rsid w:val="003A07C8"/>
    <w:rsid w:val="003A10C0"/>
    <w:rsid w:val="003A1541"/>
    <w:rsid w:val="003A283A"/>
    <w:rsid w:val="003A33DF"/>
    <w:rsid w:val="003A39F7"/>
    <w:rsid w:val="003A4562"/>
    <w:rsid w:val="003A541C"/>
    <w:rsid w:val="003A55F8"/>
    <w:rsid w:val="003A5A55"/>
    <w:rsid w:val="003A674E"/>
    <w:rsid w:val="003A6810"/>
    <w:rsid w:val="003A6C2C"/>
    <w:rsid w:val="003A6EE4"/>
    <w:rsid w:val="003B0437"/>
    <w:rsid w:val="003B051E"/>
    <w:rsid w:val="003B1236"/>
    <w:rsid w:val="003B17FB"/>
    <w:rsid w:val="003B1ACC"/>
    <w:rsid w:val="003B2499"/>
    <w:rsid w:val="003B41D9"/>
    <w:rsid w:val="003B4604"/>
    <w:rsid w:val="003B4680"/>
    <w:rsid w:val="003B4AE2"/>
    <w:rsid w:val="003B53E2"/>
    <w:rsid w:val="003B5679"/>
    <w:rsid w:val="003B5AF0"/>
    <w:rsid w:val="003B6C17"/>
    <w:rsid w:val="003B6D46"/>
    <w:rsid w:val="003B7688"/>
    <w:rsid w:val="003B7764"/>
    <w:rsid w:val="003C0C04"/>
    <w:rsid w:val="003C15F7"/>
    <w:rsid w:val="003C1D8C"/>
    <w:rsid w:val="003C2041"/>
    <w:rsid w:val="003C261B"/>
    <w:rsid w:val="003C2CC4"/>
    <w:rsid w:val="003C3109"/>
    <w:rsid w:val="003C338A"/>
    <w:rsid w:val="003C36AA"/>
    <w:rsid w:val="003C379F"/>
    <w:rsid w:val="003C4864"/>
    <w:rsid w:val="003C4CA9"/>
    <w:rsid w:val="003C52FD"/>
    <w:rsid w:val="003C57B9"/>
    <w:rsid w:val="003C5912"/>
    <w:rsid w:val="003C5AE5"/>
    <w:rsid w:val="003C6469"/>
    <w:rsid w:val="003C6732"/>
    <w:rsid w:val="003C6EFE"/>
    <w:rsid w:val="003C7079"/>
    <w:rsid w:val="003C76E0"/>
    <w:rsid w:val="003D1B96"/>
    <w:rsid w:val="003D266B"/>
    <w:rsid w:val="003D45E8"/>
    <w:rsid w:val="003D4B23"/>
    <w:rsid w:val="003D54F7"/>
    <w:rsid w:val="003D6CB5"/>
    <w:rsid w:val="003D79C2"/>
    <w:rsid w:val="003D7DFF"/>
    <w:rsid w:val="003E06CB"/>
    <w:rsid w:val="003E2029"/>
    <w:rsid w:val="003E34C8"/>
    <w:rsid w:val="003E479E"/>
    <w:rsid w:val="003E4901"/>
    <w:rsid w:val="003E495A"/>
    <w:rsid w:val="003E5106"/>
    <w:rsid w:val="003E5EF0"/>
    <w:rsid w:val="003E5FE9"/>
    <w:rsid w:val="003E6205"/>
    <w:rsid w:val="003E73A9"/>
    <w:rsid w:val="003E7490"/>
    <w:rsid w:val="003F1449"/>
    <w:rsid w:val="003F1EB5"/>
    <w:rsid w:val="003F2751"/>
    <w:rsid w:val="003F3140"/>
    <w:rsid w:val="003F3F75"/>
    <w:rsid w:val="003F4A9D"/>
    <w:rsid w:val="003F5047"/>
    <w:rsid w:val="003F5C2D"/>
    <w:rsid w:val="003F6524"/>
    <w:rsid w:val="003F669C"/>
    <w:rsid w:val="003F72D7"/>
    <w:rsid w:val="003F75CD"/>
    <w:rsid w:val="003F7CEE"/>
    <w:rsid w:val="004001A4"/>
    <w:rsid w:val="00401439"/>
    <w:rsid w:val="0040230B"/>
    <w:rsid w:val="00402B99"/>
    <w:rsid w:val="00403846"/>
    <w:rsid w:val="004044F8"/>
    <w:rsid w:val="004049DE"/>
    <w:rsid w:val="00405350"/>
    <w:rsid w:val="00405668"/>
    <w:rsid w:val="00405693"/>
    <w:rsid w:val="004057CB"/>
    <w:rsid w:val="00405864"/>
    <w:rsid w:val="00405B74"/>
    <w:rsid w:val="00405DF8"/>
    <w:rsid w:val="004073EE"/>
    <w:rsid w:val="0040777C"/>
    <w:rsid w:val="00410C89"/>
    <w:rsid w:val="00411074"/>
    <w:rsid w:val="0041114B"/>
    <w:rsid w:val="00411C73"/>
    <w:rsid w:val="0041211F"/>
    <w:rsid w:val="00412131"/>
    <w:rsid w:val="00412302"/>
    <w:rsid w:val="0041283C"/>
    <w:rsid w:val="00412D9D"/>
    <w:rsid w:val="00412DF2"/>
    <w:rsid w:val="0041300B"/>
    <w:rsid w:val="0041439B"/>
    <w:rsid w:val="00414548"/>
    <w:rsid w:val="0041490D"/>
    <w:rsid w:val="00414F7F"/>
    <w:rsid w:val="004156DA"/>
    <w:rsid w:val="00415CFD"/>
    <w:rsid w:val="00415E5D"/>
    <w:rsid w:val="00416D53"/>
    <w:rsid w:val="00422236"/>
    <w:rsid w:val="00422E03"/>
    <w:rsid w:val="00422E58"/>
    <w:rsid w:val="00423391"/>
    <w:rsid w:val="00424453"/>
    <w:rsid w:val="00424494"/>
    <w:rsid w:val="004244BE"/>
    <w:rsid w:val="00424854"/>
    <w:rsid w:val="0042494D"/>
    <w:rsid w:val="00424C20"/>
    <w:rsid w:val="00424E54"/>
    <w:rsid w:val="004254B8"/>
    <w:rsid w:val="00426B9B"/>
    <w:rsid w:val="004302BE"/>
    <w:rsid w:val="004306E3"/>
    <w:rsid w:val="004309C6"/>
    <w:rsid w:val="00430AC9"/>
    <w:rsid w:val="00430B44"/>
    <w:rsid w:val="004314B7"/>
    <w:rsid w:val="0043175A"/>
    <w:rsid w:val="0043199A"/>
    <w:rsid w:val="00432372"/>
    <w:rsid w:val="004325CB"/>
    <w:rsid w:val="00432B6E"/>
    <w:rsid w:val="00434432"/>
    <w:rsid w:val="004344EB"/>
    <w:rsid w:val="0043549E"/>
    <w:rsid w:val="00435EDC"/>
    <w:rsid w:val="00436788"/>
    <w:rsid w:val="00436825"/>
    <w:rsid w:val="004378C3"/>
    <w:rsid w:val="00437B3D"/>
    <w:rsid w:val="00440A1C"/>
    <w:rsid w:val="00440F90"/>
    <w:rsid w:val="00442A83"/>
    <w:rsid w:val="00442B71"/>
    <w:rsid w:val="00442DD3"/>
    <w:rsid w:val="0044309D"/>
    <w:rsid w:val="00443E06"/>
    <w:rsid w:val="00444A36"/>
    <w:rsid w:val="00444B18"/>
    <w:rsid w:val="00444CD3"/>
    <w:rsid w:val="004455E7"/>
    <w:rsid w:val="004457D2"/>
    <w:rsid w:val="0044648C"/>
    <w:rsid w:val="00446672"/>
    <w:rsid w:val="00446C81"/>
    <w:rsid w:val="004471BD"/>
    <w:rsid w:val="0044754F"/>
    <w:rsid w:val="00447B90"/>
    <w:rsid w:val="00450998"/>
    <w:rsid w:val="00450B16"/>
    <w:rsid w:val="00451F9C"/>
    <w:rsid w:val="004522D6"/>
    <w:rsid w:val="004522EE"/>
    <w:rsid w:val="0045258C"/>
    <w:rsid w:val="00452D29"/>
    <w:rsid w:val="00453006"/>
    <w:rsid w:val="004539BF"/>
    <w:rsid w:val="00453C8D"/>
    <w:rsid w:val="00453EC8"/>
    <w:rsid w:val="004542E4"/>
    <w:rsid w:val="0045495B"/>
    <w:rsid w:val="0045518D"/>
    <w:rsid w:val="00455479"/>
    <w:rsid w:val="00455EC4"/>
    <w:rsid w:val="004566CB"/>
    <w:rsid w:val="00456802"/>
    <w:rsid w:val="00456AAD"/>
    <w:rsid w:val="00456C12"/>
    <w:rsid w:val="00457200"/>
    <w:rsid w:val="00457996"/>
    <w:rsid w:val="00457B88"/>
    <w:rsid w:val="00460634"/>
    <w:rsid w:val="00460D0C"/>
    <w:rsid w:val="00460DCD"/>
    <w:rsid w:val="00461B22"/>
    <w:rsid w:val="00462A80"/>
    <w:rsid w:val="00462D4E"/>
    <w:rsid w:val="004630DA"/>
    <w:rsid w:val="00463217"/>
    <w:rsid w:val="0046341A"/>
    <w:rsid w:val="00464D93"/>
    <w:rsid w:val="00464D9E"/>
    <w:rsid w:val="00465088"/>
    <w:rsid w:val="00465354"/>
    <w:rsid w:val="00465B71"/>
    <w:rsid w:val="00465F7E"/>
    <w:rsid w:val="00466172"/>
    <w:rsid w:val="00466275"/>
    <w:rsid w:val="004669A4"/>
    <w:rsid w:val="00467C98"/>
    <w:rsid w:val="00470424"/>
    <w:rsid w:val="00470881"/>
    <w:rsid w:val="00471778"/>
    <w:rsid w:val="00472067"/>
    <w:rsid w:val="004724AC"/>
    <w:rsid w:val="00472AED"/>
    <w:rsid w:val="00473A48"/>
    <w:rsid w:val="00474567"/>
    <w:rsid w:val="00475FA1"/>
    <w:rsid w:val="00476649"/>
    <w:rsid w:val="00476A5D"/>
    <w:rsid w:val="00476CB0"/>
    <w:rsid w:val="0047749B"/>
    <w:rsid w:val="004774EB"/>
    <w:rsid w:val="00480FD2"/>
    <w:rsid w:val="004810EA"/>
    <w:rsid w:val="0048265B"/>
    <w:rsid w:val="00482860"/>
    <w:rsid w:val="00482E3B"/>
    <w:rsid w:val="004832BF"/>
    <w:rsid w:val="004834CB"/>
    <w:rsid w:val="0048397A"/>
    <w:rsid w:val="0048406B"/>
    <w:rsid w:val="004841D1"/>
    <w:rsid w:val="0048446E"/>
    <w:rsid w:val="004852AC"/>
    <w:rsid w:val="0048586E"/>
    <w:rsid w:val="00485C70"/>
    <w:rsid w:val="00485CBB"/>
    <w:rsid w:val="004866B7"/>
    <w:rsid w:val="00486FD7"/>
    <w:rsid w:val="00487146"/>
    <w:rsid w:val="00487294"/>
    <w:rsid w:val="0049099A"/>
    <w:rsid w:val="00490C19"/>
    <w:rsid w:val="00490C60"/>
    <w:rsid w:val="0049253B"/>
    <w:rsid w:val="00492B4F"/>
    <w:rsid w:val="004933DB"/>
    <w:rsid w:val="00495514"/>
    <w:rsid w:val="0049750A"/>
    <w:rsid w:val="004A087B"/>
    <w:rsid w:val="004A0D8A"/>
    <w:rsid w:val="004A208A"/>
    <w:rsid w:val="004A3561"/>
    <w:rsid w:val="004A3F9F"/>
    <w:rsid w:val="004A49BE"/>
    <w:rsid w:val="004A50FC"/>
    <w:rsid w:val="004A6590"/>
    <w:rsid w:val="004B0989"/>
    <w:rsid w:val="004B10AF"/>
    <w:rsid w:val="004B246A"/>
    <w:rsid w:val="004B2AF8"/>
    <w:rsid w:val="004B2DB8"/>
    <w:rsid w:val="004B3027"/>
    <w:rsid w:val="004B321F"/>
    <w:rsid w:val="004B349D"/>
    <w:rsid w:val="004B482F"/>
    <w:rsid w:val="004B527B"/>
    <w:rsid w:val="004B6929"/>
    <w:rsid w:val="004B6B79"/>
    <w:rsid w:val="004B7874"/>
    <w:rsid w:val="004B7A3C"/>
    <w:rsid w:val="004C1031"/>
    <w:rsid w:val="004C1900"/>
    <w:rsid w:val="004C19AA"/>
    <w:rsid w:val="004C1B3C"/>
    <w:rsid w:val="004C2461"/>
    <w:rsid w:val="004C24F4"/>
    <w:rsid w:val="004C31A6"/>
    <w:rsid w:val="004C3DA8"/>
    <w:rsid w:val="004C4D42"/>
    <w:rsid w:val="004C5F9A"/>
    <w:rsid w:val="004C6D46"/>
    <w:rsid w:val="004C7462"/>
    <w:rsid w:val="004C7688"/>
    <w:rsid w:val="004D0352"/>
    <w:rsid w:val="004D0720"/>
    <w:rsid w:val="004D0D75"/>
    <w:rsid w:val="004D13D7"/>
    <w:rsid w:val="004D1757"/>
    <w:rsid w:val="004D1EC9"/>
    <w:rsid w:val="004D2522"/>
    <w:rsid w:val="004D2586"/>
    <w:rsid w:val="004D2A3A"/>
    <w:rsid w:val="004D3C6F"/>
    <w:rsid w:val="004D4958"/>
    <w:rsid w:val="004D5201"/>
    <w:rsid w:val="004D703C"/>
    <w:rsid w:val="004D716B"/>
    <w:rsid w:val="004D7581"/>
    <w:rsid w:val="004D7F77"/>
    <w:rsid w:val="004E0D2D"/>
    <w:rsid w:val="004E123A"/>
    <w:rsid w:val="004E17D7"/>
    <w:rsid w:val="004E26C9"/>
    <w:rsid w:val="004E330C"/>
    <w:rsid w:val="004E3C6E"/>
    <w:rsid w:val="004E61B1"/>
    <w:rsid w:val="004E6228"/>
    <w:rsid w:val="004E65F0"/>
    <w:rsid w:val="004E77B2"/>
    <w:rsid w:val="004E7C48"/>
    <w:rsid w:val="004F09B0"/>
    <w:rsid w:val="004F1E18"/>
    <w:rsid w:val="004F3399"/>
    <w:rsid w:val="004F42FD"/>
    <w:rsid w:val="004F491C"/>
    <w:rsid w:val="004F4AE7"/>
    <w:rsid w:val="004F4DE5"/>
    <w:rsid w:val="004F4E36"/>
    <w:rsid w:val="004F5E6E"/>
    <w:rsid w:val="004F6285"/>
    <w:rsid w:val="004F66E7"/>
    <w:rsid w:val="004F6EE8"/>
    <w:rsid w:val="004F700A"/>
    <w:rsid w:val="004F702D"/>
    <w:rsid w:val="004F7467"/>
    <w:rsid w:val="004F78DF"/>
    <w:rsid w:val="004F7CC2"/>
    <w:rsid w:val="0050001A"/>
    <w:rsid w:val="00500459"/>
    <w:rsid w:val="00500E87"/>
    <w:rsid w:val="005019AE"/>
    <w:rsid w:val="00502445"/>
    <w:rsid w:val="0050282E"/>
    <w:rsid w:val="00503E66"/>
    <w:rsid w:val="00504963"/>
    <w:rsid w:val="00504B2D"/>
    <w:rsid w:val="00504DC7"/>
    <w:rsid w:val="00505710"/>
    <w:rsid w:val="005058B9"/>
    <w:rsid w:val="005062A5"/>
    <w:rsid w:val="00506B96"/>
    <w:rsid w:val="00507679"/>
    <w:rsid w:val="00510645"/>
    <w:rsid w:val="005109F8"/>
    <w:rsid w:val="00510FB8"/>
    <w:rsid w:val="005111B5"/>
    <w:rsid w:val="00512D45"/>
    <w:rsid w:val="0051342F"/>
    <w:rsid w:val="0051421A"/>
    <w:rsid w:val="00515FA6"/>
    <w:rsid w:val="00516780"/>
    <w:rsid w:val="00517211"/>
    <w:rsid w:val="00520F91"/>
    <w:rsid w:val="0052135E"/>
    <w:rsid w:val="0052136D"/>
    <w:rsid w:val="005219BC"/>
    <w:rsid w:val="00522031"/>
    <w:rsid w:val="005223EF"/>
    <w:rsid w:val="005225C1"/>
    <w:rsid w:val="00522999"/>
    <w:rsid w:val="00523DCA"/>
    <w:rsid w:val="00523FF1"/>
    <w:rsid w:val="00524127"/>
    <w:rsid w:val="005243A7"/>
    <w:rsid w:val="00524550"/>
    <w:rsid w:val="00525466"/>
    <w:rsid w:val="00526691"/>
    <w:rsid w:val="00526CF6"/>
    <w:rsid w:val="00527573"/>
    <w:rsid w:val="0052775E"/>
    <w:rsid w:val="00527F02"/>
    <w:rsid w:val="00530F43"/>
    <w:rsid w:val="00530FAA"/>
    <w:rsid w:val="00531EA6"/>
    <w:rsid w:val="005323DD"/>
    <w:rsid w:val="005324E0"/>
    <w:rsid w:val="005329FB"/>
    <w:rsid w:val="00533B43"/>
    <w:rsid w:val="00533F78"/>
    <w:rsid w:val="00534545"/>
    <w:rsid w:val="00535667"/>
    <w:rsid w:val="005359D4"/>
    <w:rsid w:val="00536963"/>
    <w:rsid w:val="0054048F"/>
    <w:rsid w:val="00540CF3"/>
    <w:rsid w:val="00540E9F"/>
    <w:rsid w:val="00541F3B"/>
    <w:rsid w:val="005420F2"/>
    <w:rsid w:val="00542F04"/>
    <w:rsid w:val="00543E90"/>
    <w:rsid w:val="00543ECA"/>
    <w:rsid w:val="005443C4"/>
    <w:rsid w:val="00544A18"/>
    <w:rsid w:val="00545B65"/>
    <w:rsid w:val="00545E5C"/>
    <w:rsid w:val="0054695D"/>
    <w:rsid w:val="0054755F"/>
    <w:rsid w:val="005477E7"/>
    <w:rsid w:val="00547FAC"/>
    <w:rsid w:val="00550071"/>
    <w:rsid w:val="005523D0"/>
    <w:rsid w:val="00553217"/>
    <w:rsid w:val="00553D63"/>
    <w:rsid w:val="0055403C"/>
    <w:rsid w:val="00554D81"/>
    <w:rsid w:val="005551DB"/>
    <w:rsid w:val="0055546A"/>
    <w:rsid w:val="00555F05"/>
    <w:rsid w:val="00556606"/>
    <w:rsid w:val="00556A39"/>
    <w:rsid w:val="00557178"/>
    <w:rsid w:val="00560C7E"/>
    <w:rsid w:val="00561030"/>
    <w:rsid w:val="00561C16"/>
    <w:rsid w:val="005623BE"/>
    <w:rsid w:val="00562450"/>
    <w:rsid w:val="005628B6"/>
    <w:rsid w:val="005673F6"/>
    <w:rsid w:val="00567B09"/>
    <w:rsid w:val="00567BD9"/>
    <w:rsid w:val="0057003B"/>
    <w:rsid w:val="0057044E"/>
    <w:rsid w:val="00570924"/>
    <w:rsid w:val="00570C94"/>
    <w:rsid w:val="00570DFA"/>
    <w:rsid w:val="00571274"/>
    <w:rsid w:val="00571667"/>
    <w:rsid w:val="00571A2C"/>
    <w:rsid w:val="00571E1D"/>
    <w:rsid w:val="00572EE1"/>
    <w:rsid w:val="00573B36"/>
    <w:rsid w:val="00574303"/>
    <w:rsid w:val="00574A0E"/>
    <w:rsid w:val="00576214"/>
    <w:rsid w:val="00576AD6"/>
    <w:rsid w:val="005774CB"/>
    <w:rsid w:val="005778AB"/>
    <w:rsid w:val="00577B84"/>
    <w:rsid w:val="00580306"/>
    <w:rsid w:val="00580647"/>
    <w:rsid w:val="0058146C"/>
    <w:rsid w:val="005816EA"/>
    <w:rsid w:val="0058257D"/>
    <w:rsid w:val="005828FE"/>
    <w:rsid w:val="00582E5D"/>
    <w:rsid w:val="0058366D"/>
    <w:rsid w:val="005837C1"/>
    <w:rsid w:val="00583A43"/>
    <w:rsid w:val="005840DF"/>
    <w:rsid w:val="00585516"/>
    <w:rsid w:val="005867BE"/>
    <w:rsid w:val="005910F9"/>
    <w:rsid w:val="005941C3"/>
    <w:rsid w:val="00594395"/>
    <w:rsid w:val="005952EB"/>
    <w:rsid w:val="005955D8"/>
    <w:rsid w:val="00596DF3"/>
    <w:rsid w:val="00597150"/>
    <w:rsid w:val="0059724D"/>
    <w:rsid w:val="005977D9"/>
    <w:rsid w:val="005A1FFD"/>
    <w:rsid w:val="005A257C"/>
    <w:rsid w:val="005A35CB"/>
    <w:rsid w:val="005A3BD2"/>
    <w:rsid w:val="005A3E55"/>
    <w:rsid w:val="005A4A8B"/>
    <w:rsid w:val="005A4BBA"/>
    <w:rsid w:val="005A4F01"/>
    <w:rsid w:val="005A5504"/>
    <w:rsid w:val="005A5F6D"/>
    <w:rsid w:val="005A6997"/>
    <w:rsid w:val="005A6B52"/>
    <w:rsid w:val="005A7929"/>
    <w:rsid w:val="005A79D3"/>
    <w:rsid w:val="005B0C49"/>
    <w:rsid w:val="005B0F8A"/>
    <w:rsid w:val="005B10E6"/>
    <w:rsid w:val="005B122C"/>
    <w:rsid w:val="005B164E"/>
    <w:rsid w:val="005B264B"/>
    <w:rsid w:val="005B276B"/>
    <w:rsid w:val="005B3DB3"/>
    <w:rsid w:val="005B41CC"/>
    <w:rsid w:val="005B4B75"/>
    <w:rsid w:val="005B4E13"/>
    <w:rsid w:val="005B5831"/>
    <w:rsid w:val="005B677C"/>
    <w:rsid w:val="005B6D55"/>
    <w:rsid w:val="005B7438"/>
    <w:rsid w:val="005B765A"/>
    <w:rsid w:val="005B7BE5"/>
    <w:rsid w:val="005C02D4"/>
    <w:rsid w:val="005C12E0"/>
    <w:rsid w:val="005C159A"/>
    <w:rsid w:val="005C1F7B"/>
    <w:rsid w:val="005C33A0"/>
    <w:rsid w:val="005C342F"/>
    <w:rsid w:val="005C363C"/>
    <w:rsid w:val="005C4D70"/>
    <w:rsid w:val="005C5293"/>
    <w:rsid w:val="005C5C1E"/>
    <w:rsid w:val="005C6691"/>
    <w:rsid w:val="005C66E4"/>
    <w:rsid w:val="005C671B"/>
    <w:rsid w:val="005C7153"/>
    <w:rsid w:val="005C79DA"/>
    <w:rsid w:val="005C7A0A"/>
    <w:rsid w:val="005C7ABA"/>
    <w:rsid w:val="005C7CAC"/>
    <w:rsid w:val="005D1515"/>
    <w:rsid w:val="005D1BCC"/>
    <w:rsid w:val="005D2609"/>
    <w:rsid w:val="005D3EC6"/>
    <w:rsid w:val="005D4B8C"/>
    <w:rsid w:val="005D4EB9"/>
    <w:rsid w:val="005D54FB"/>
    <w:rsid w:val="005D5A1C"/>
    <w:rsid w:val="005E04EE"/>
    <w:rsid w:val="005E1698"/>
    <w:rsid w:val="005E19C2"/>
    <w:rsid w:val="005E1B98"/>
    <w:rsid w:val="005E1F6D"/>
    <w:rsid w:val="005E36AF"/>
    <w:rsid w:val="005E383F"/>
    <w:rsid w:val="005E3C11"/>
    <w:rsid w:val="005E3C40"/>
    <w:rsid w:val="005E3D25"/>
    <w:rsid w:val="005E41D5"/>
    <w:rsid w:val="005E4CCF"/>
    <w:rsid w:val="005E53F0"/>
    <w:rsid w:val="005E5BE1"/>
    <w:rsid w:val="005E673C"/>
    <w:rsid w:val="005E6BFE"/>
    <w:rsid w:val="005E7490"/>
    <w:rsid w:val="005E7844"/>
    <w:rsid w:val="005F0092"/>
    <w:rsid w:val="005F0117"/>
    <w:rsid w:val="005F1D0E"/>
    <w:rsid w:val="005F2093"/>
    <w:rsid w:val="005F5644"/>
    <w:rsid w:val="005F5C9A"/>
    <w:rsid w:val="005F6323"/>
    <w:rsid w:val="005F70BD"/>
    <w:rsid w:val="005F7237"/>
    <w:rsid w:val="005F72DF"/>
    <w:rsid w:val="005F76B5"/>
    <w:rsid w:val="005F7B75"/>
    <w:rsid w:val="006001EE"/>
    <w:rsid w:val="006018C5"/>
    <w:rsid w:val="00601935"/>
    <w:rsid w:val="00602BB5"/>
    <w:rsid w:val="00602C64"/>
    <w:rsid w:val="00602E5F"/>
    <w:rsid w:val="00603655"/>
    <w:rsid w:val="006036ED"/>
    <w:rsid w:val="00603B96"/>
    <w:rsid w:val="00603D63"/>
    <w:rsid w:val="0060489F"/>
    <w:rsid w:val="00604E33"/>
    <w:rsid w:val="00605042"/>
    <w:rsid w:val="006057CA"/>
    <w:rsid w:val="00605BBB"/>
    <w:rsid w:val="00605D21"/>
    <w:rsid w:val="0060610A"/>
    <w:rsid w:val="00607E93"/>
    <w:rsid w:val="00610026"/>
    <w:rsid w:val="006104C0"/>
    <w:rsid w:val="0061107A"/>
    <w:rsid w:val="00611527"/>
    <w:rsid w:val="00611D6C"/>
    <w:rsid w:val="00611FC4"/>
    <w:rsid w:val="0061277C"/>
    <w:rsid w:val="00612AC5"/>
    <w:rsid w:val="00612C98"/>
    <w:rsid w:val="00613427"/>
    <w:rsid w:val="00613C54"/>
    <w:rsid w:val="006141B6"/>
    <w:rsid w:val="006160FB"/>
    <w:rsid w:val="00616A06"/>
    <w:rsid w:val="00616EA4"/>
    <w:rsid w:val="006176FB"/>
    <w:rsid w:val="006179F1"/>
    <w:rsid w:val="00620046"/>
    <w:rsid w:val="006200E7"/>
    <w:rsid w:val="006208AA"/>
    <w:rsid w:val="00620C77"/>
    <w:rsid w:val="00621152"/>
    <w:rsid w:val="006224EE"/>
    <w:rsid w:val="0062341C"/>
    <w:rsid w:val="00623C65"/>
    <w:rsid w:val="006249BD"/>
    <w:rsid w:val="00624A36"/>
    <w:rsid w:val="00625710"/>
    <w:rsid w:val="00625EB8"/>
    <w:rsid w:val="00626299"/>
    <w:rsid w:val="0062645E"/>
    <w:rsid w:val="00627267"/>
    <w:rsid w:val="00630206"/>
    <w:rsid w:val="00630324"/>
    <w:rsid w:val="00630ED9"/>
    <w:rsid w:val="00632118"/>
    <w:rsid w:val="00632EBE"/>
    <w:rsid w:val="00632F8F"/>
    <w:rsid w:val="006335D3"/>
    <w:rsid w:val="006337FE"/>
    <w:rsid w:val="00633B38"/>
    <w:rsid w:val="0063496F"/>
    <w:rsid w:val="00635431"/>
    <w:rsid w:val="006363F0"/>
    <w:rsid w:val="00636B51"/>
    <w:rsid w:val="006402DC"/>
    <w:rsid w:val="00640B26"/>
    <w:rsid w:val="00641D85"/>
    <w:rsid w:val="00642052"/>
    <w:rsid w:val="006429E3"/>
    <w:rsid w:val="00642D00"/>
    <w:rsid w:val="006430DD"/>
    <w:rsid w:val="00643CA9"/>
    <w:rsid w:val="0064427C"/>
    <w:rsid w:val="006442DA"/>
    <w:rsid w:val="00644921"/>
    <w:rsid w:val="00645C78"/>
    <w:rsid w:val="00645F2B"/>
    <w:rsid w:val="006465E7"/>
    <w:rsid w:val="006465F4"/>
    <w:rsid w:val="006466F0"/>
    <w:rsid w:val="00646CEC"/>
    <w:rsid w:val="00647940"/>
    <w:rsid w:val="00650091"/>
    <w:rsid w:val="006509EF"/>
    <w:rsid w:val="006512C3"/>
    <w:rsid w:val="006513C0"/>
    <w:rsid w:val="00651588"/>
    <w:rsid w:val="00651DA8"/>
    <w:rsid w:val="0065257E"/>
    <w:rsid w:val="00652D0A"/>
    <w:rsid w:val="0065365D"/>
    <w:rsid w:val="00654282"/>
    <w:rsid w:val="006555A1"/>
    <w:rsid w:val="00655726"/>
    <w:rsid w:val="00655BA6"/>
    <w:rsid w:val="00656308"/>
    <w:rsid w:val="00657C35"/>
    <w:rsid w:val="00661D24"/>
    <w:rsid w:val="00661ECE"/>
    <w:rsid w:val="00662908"/>
    <w:rsid w:val="00662ABE"/>
    <w:rsid w:val="00662BB6"/>
    <w:rsid w:val="006630B6"/>
    <w:rsid w:val="0066474C"/>
    <w:rsid w:val="00664CE6"/>
    <w:rsid w:val="00664D14"/>
    <w:rsid w:val="00664D3E"/>
    <w:rsid w:val="00664FE7"/>
    <w:rsid w:val="00665ECD"/>
    <w:rsid w:val="006661F3"/>
    <w:rsid w:val="00666575"/>
    <w:rsid w:val="00666BF0"/>
    <w:rsid w:val="00667470"/>
    <w:rsid w:val="0066751F"/>
    <w:rsid w:val="006675C9"/>
    <w:rsid w:val="00667740"/>
    <w:rsid w:val="006678F0"/>
    <w:rsid w:val="00667E09"/>
    <w:rsid w:val="00670820"/>
    <w:rsid w:val="00670996"/>
    <w:rsid w:val="00670B10"/>
    <w:rsid w:val="00671B86"/>
    <w:rsid w:val="00672158"/>
    <w:rsid w:val="00672450"/>
    <w:rsid w:val="00672F9D"/>
    <w:rsid w:val="00672FEA"/>
    <w:rsid w:val="006737E3"/>
    <w:rsid w:val="00673959"/>
    <w:rsid w:val="00673A4F"/>
    <w:rsid w:val="00674E84"/>
    <w:rsid w:val="00674F64"/>
    <w:rsid w:val="00675BEE"/>
    <w:rsid w:val="00675D28"/>
    <w:rsid w:val="00676606"/>
    <w:rsid w:val="00676707"/>
    <w:rsid w:val="00676C93"/>
    <w:rsid w:val="00677C77"/>
    <w:rsid w:val="00680CE6"/>
    <w:rsid w:val="0068116F"/>
    <w:rsid w:val="0068138A"/>
    <w:rsid w:val="00681533"/>
    <w:rsid w:val="0068195E"/>
    <w:rsid w:val="006825CF"/>
    <w:rsid w:val="00682DF4"/>
    <w:rsid w:val="00682E4D"/>
    <w:rsid w:val="00682E7F"/>
    <w:rsid w:val="0068313B"/>
    <w:rsid w:val="006834E7"/>
    <w:rsid w:val="00683AB2"/>
    <w:rsid w:val="00683B5E"/>
    <w:rsid w:val="006841D2"/>
    <w:rsid w:val="00684690"/>
    <w:rsid w:val="006846A3"/>
    <w:rsid w:val="006848D6"/>
    <w:rsid w:val="006848D9"/>
    <w:rsid w:val="00684C21"/>
    <w:rsid w:val="00684D94"/>
    <w:rsid w:val="00685AF9"/>
    <w:rsid w:val="00685BE6"/>
    <w:rsid w:val="006869FE"/>
    <w:rsid w:val="00687389"/>
    <w:rsid w:val="00687740"/>
    <w:rsid w:val="00687E40"/>
    <w:rsid w:val="00690165"/>
    <w:rsid w:val="00690AE5"/>
    <w:rsid w:val="00691375"/>
    <w:rsid w:val="00692B18"/>
    <w:rsid w:val="00694F9F"/>
    <w:rsid w:val="00694FBF"/>
    <w:rsid w:val="0069594F"/>
    <w:rsid w:val="00695CE4"/>
    <w:rsid w:val="00696147"/>
    <w:rsid w:val="00696E64"/>
    <w:rsid w:val="00697646"/>
    <w:rsid w:val="00697C0C"/>
    <w:rsid w:val="00697DE1"/>
    <w:rsid w:val="006A2530"/>
    <w:rsid w:val="006A2D69"/>
    <w:rsid w:val="006A33CB"/>
    <w:rsid w:val="006A4093"/>
    <w:rsid w:val="006A661A"/>
    <w:rsid w:val="006A6F6A"/>
    <w:rsid w:val="006A6F75"/>
    <w:rsid w:val="006A79B2"/>
    <w:rsid w:val="006A7F87"/>
    <w:rsid w:val="006B0E5A"/>
    <w:rsid w:val="006B1217"/>
    <w:rsid w:val="006B20FA"/>
    <w:rsid w:val="006B2C46"/>
    <w:rsid w:val="006B3B3F"/>
    <w:rsid w:val="006B3D83"/>
    <w:rsid w:val="006B5205"/>
    <w:rsid w:val="006B59DB"/>
    <w:rsid w:val="006B60E0"/>
    <w:rsid w:val="006B6686"/>
    <w:rsid w:val="006B6906"/>
    <w:rsid w:val="006B75A5"/>
    <w:rsid w:val="006C08B1"/>
    <w:rsid w:val="006C1B6D"/>
    <w:rsid w:val="006C224B"/>
    <w:rsid w:val="006C2E9E"/>
    <w:rsid w:val="006C3589"/>
    <w:rsid w:val="006C43C0"/>
    <w:rsid w:val="006C4513"/>
    <w:rsid w:val="006C543C"/>
    <w:rsid w:val="006C646F"/>
    <w:rsid w:val="006C7247"/>
    <w:rsid w:val="006D0E11"/>
    <w:rsid w:val="006D0F58"/>
    <w:rsid w:val="006D11CD"/>
    <w:rsid w:val="006D222E"/>
    <w:rsid w:val="006D37AF"/>
    <w:rsid w:val="006D40C7"/>
    <w:rsid w:val="006D51D0"/>
    <w:rsid w:val="006D5A7C"/>
    <w:rsid w:val="006D5FB9"/>
    <w:rsid w:val="006D6BD8"/>
    <w:rsid w:val="006D6CD6"/>
    <w:rsid w:val="006D6F2B"/>
    <w:rsid w:val="006D7626"/>
    <w:rsid w:val="006D785E"/>
    <w:rsid w:val="006D79D8"/>
    <w:rsid w:val="006D7DC0"/>
    <w:rsid w:val="006E17F7"/>
    <w:rsid w:val="006E198E"/>
    <w:rsid w:val="006E226B"/>
    <w:rsid w:val="006E34DC"/>
    <w:rsid w:val="006E4532"/>
    <w:rsid w:val="006E4BF2"/>
    <w:rsid w:val="006E564B"/>
    <w:rsid w:val="006E664E"/>
    <w:rsid w:val="006E6AE4"/>
    <w:rsid w:val="006E7191"/>
    <w:rsid w:val="006E7358"/>
    <w:rsid w:val="006E7A09"/>
    <w:rsid w:val="006E7F5B"/>
    <w:rsid w:val="006E7FF9"/>
    <w:rsid w:val="006F0012"/>
    <w:rsid w:val="006F0253"/>
    <w:rsid w:val="006F06D2"/>
    <w:rsid w:val="006F16AA"/>
    <w:rsid w:val="006F1C66"/>
    <w:rsid w:val="006F24D4"/>
    <w:rsid w:val="006F304F"/>
    <w:rsid w:val="006F3769"/>
    <w:rsid w:val="006F402F"/>
    <w:rsid w:val="006F44A8"/>
    <w:rsid w:val="006F4610"/>
    <w:rsid w:val="006F4F0D"/>
    <w:rsid w:val="006F5CCD"/>
    <w:rsid w:val="006F6BE7"/>
    <w:rsid w:val="006F6FFB"/>
    <w:rsid w:val="006F72D8"/>
    <w:rsid w:val="006F7ED7"/>
    <w:rsid w:val="00701A15"/>
    <w:rsid w:val="0070342C"/>
    <w:rsid w:val="00703577"/>
    <w:rsid w:val="00703AF3"/>
    <w:rsid w:val="00704F37"/>
    <w:rsid w:val="00705894"/>
    <w:rsid w:val="00705BEC"/>
    <w:rsid w:val="00705CD7"/>
    <w:rsid w:val="007078FC"/>
    <w:rsid w:val="00707995"/>
    <w:rsid w:val="00707BD3"/>
    <w:rsid w:val="00707E3A"/>
    <w:rsid w:val="007101F3"/>
    <w:rsid w:val="00714027"/>
    <w:rsid w:val="007145F3"/>
    <w:rsid w:val="00714DE6"/>
    <w:rsid w:val="00715375"/>
    <w:rsid w:val="0071577C"/>
    <w:rsid w:val="0071660B"/>
    <w:rsid w:val="00717C4D"/>
    <w:rsid w:val="00721B73"/>
    <w:rsid w:val="00722246"/>
    <w:rsid w:val="007223B3"/>
    <w:rsid w:val="00722A85"/>
    <w:rsid w:val="00723F8C"/>
    <w:rsid w:val="007240F4"/>
    <w:rsid w:val="007249D0"/>
    <w:rsid w:val="00725236"/>
    <w:rsid w:val="00725A80"/>
    <w:rsid w:val="0072632A"/>
    <w:rsid w:val="007264CE"/>
    <w:rsid w:val="00726A4F"/>
    <w:rsid w:val="007270C6"/>
    <w:rsid w:val="00727B22"/>
    <w:rsid w:val="0073108C"/>
    <w:rsid w:val="00731575"/>
    <w:rsid w:val="00732254"/>
    <w:rsid w:val="00732727"/>
    <w:rsid w:val="007327D5"/>
    <w:rsid w:val="00733914"/>
    <w:rsid w:val="00733C31"/>
    <w:rsid w:val="00735C2D"/>
    <w:rsid w:val="00737392"/>
    <w:rsid w:val="00737DC7"/>
    <w:rsid w:val="007406C9"/>
    <w:rsid w:val="00742484"/>
    <w:rsid w:val="007425E5"/>
    <w:rsid w:val="00742C0E"/>
    <w:rsid w:val="00743019"/>
    <w:rsid w:val="007461E9"/>
    <w:rsid w:val="00746855"/>
    <w:rsid w:val="007500C1"/>
    <w:rsid w:val="00750B1D"/>
    <w:rsid w:val="007512B1"/>
    <w:rsid w:val="00751383"/>
    <w:rsid w:val="0075282C"/>
    <w:rsid w:val="00752999"/>
    <w:rsid w:val="00753B0E"/>
    <w:rsid w:val="00753D77"/>
    <w:rsid w:val="00753E26"/>
    <w:rsid w:val="007548A8"/>
    <w:rsid w:val="00754CBD"/>
    <w:rsid w:val="00754D91"/>
    <w:rsid w:val="00755DFD"/>
    <w:rsid w:val="00756016"/>
    <w:rsid w:val="0075654C"/>
    <w:rsid w:val="00756570"/>
    <w:rsid w:val="0075669B"/>
    <w:rsid w:val="007605D6"/>
    <w:rsid w:val="00760C99"/>
    <w:rsid w:val="00761690"/>
    <w:rsid w:val="00762370"/>
    <w:rsid w:val="007629C8"/>
    <w:rsid w:val="007635E7"/>
    <w:rsid w:val="00763D3B"/>
    <w:rsid w:val="00764200"/>
    <w:rsid w:val="00764549"/>
    <w:rsid w:val="00764642"/>
    <w:rsid w:val="007648F7"/>
    <w:rsid w:val="00764974"/>
    <w:rsid w:val="00764F3E"/>
    <w:rsid w:val="00764F77"/>
    <w:rsid w:val="00765CA4"/>
    <w:rsid w:val="00765D88"/>
    <w:rsid w:val="00765FA3"/>
    <w:rsid w:val="00766699"/>
    <w:rsid w:val="007666ED"/>
    <w:rsid w:val="00766FA9"/>
    <w:rsid w:val="00767625"/>
    <w:rsid w:val="00767636"/>
    <w:rsid w:val="007677A0"/>
    <w:rsid w:val="0077006E"/>
    <w:rsid w:val="0077047D"/>
    <w:rsid w:val="00770A19"/>
    <w:rsid w:val="00772B4E"/>
    <w:rsid w:val="00772C38"/>
    <w:rsid w:val="00772D55"/>
    <w:rsid w:val="007733B8"/>
    <w:rsid w:val="00773E6B"/>
    <w:rsid w:val="00775591"/>
    <w:rsid w:val="00775812"/>
    <w:rsid w:val="00775895"/>
    <w:rsid w:val="007762C2"/>
    <w:rsid w:val="00776317"/>
    <w:rsid w:val="007775C2"/>
    <w:rsid w:val="0077780A"/>
    <w:rsid w:val="00777897"/>
    <w:rsid w:val="007801A7"/>
    <w:rsid w:val="00780253"/>
    <w:rsid w:val="007807D6"/>
    <w:rsid w:val="007808CC"/>
    <w:rsid w:val="00781E31"/>
    <w:rsid w:val="00783704"/>
    <w:rsid w:val="00783740"/>
    <w:rsid w:val="0078395E"/>
    <w:rsid w:val="00783974"/>
    <w:rsid w:val="007853D3"/>
    <w:rsid w:val="0078551F"/>
    <w:rsid w:val="00786A48"/>
    <w:rsid w:val="00786B9A"/>
    <w:rsid w:val="00787085"/>
    <w:rsid w:val="0078769E"/>
    <w:rsid w:val="00790F0F"/>
    <w:rsid w:val="0079295D"/>
    <w:rsid w:val="007934C5"/>
    <w:rsid w:val="0079353A"/>
    <w:rsid w:val="007937A3"/>
    <w:rsid w:val="00793940"/>
    <w:rsid w:val="00794022"/>
    <w:rsid w:val="00794EDF"/>
    <w:rsid w:val="00795638"/>
    <w:rsid w:val="007963BD"/>
    <w:rsid w:val="00797105"/>
    <w:rsid w:val="00797A6A"/>
    <w:rsid w:val="007A0412"/>
    <w:rsid w:val="007A0D10"/>
    <w:rsid w:val="007A0DE3"/>
    <w:rsid w:val="007A34C3"/>
    <w:rsid w:val="007A3559"/>
    <w:rsid w:val="007A38B0"/>
    <w:rsid w:val="007A40D0"/>
    <w:rsid w:val="007A43B4"/>
    <w:rsid w:val="007A55B3"/>
    <w:rsid w:val="007A5D31"/>
    <w:rsid w:val="007A61A8"/>
    <w:rsid w:val="007A6522"/>
    <w:rsid w:val="007A7D46"/>
    <w:rsid w:val="007B064A"/>
    <w:rsid w:val="007B081A"/>
    <w:rsid w:val="007B09FF"/>
    <w:rsid w:val="007B0C62"/>
    <w:rsid w:val="007B0F5A"/>
    <w:rsid w:val="007B1137"/>
    <w:rsid w:val="007B153A"/>
    <w:rsid w:val="007B161E"/>
    <w:rsid w:val="007B1D60"/>
    <w:rsid w:val="007B32F5"/>
    <w:rsid w:val="007B3432"/>
    <w:rsid w:val="007B36AA"/>
    <w:rsid w:val="007B44F8"/>
    <w:rsid w:val="007B4516"/>
    <w:rsid w:val="007B45F6"/>
    <w:rsid w:val="007B49AB"/>
    <w:rsid w:val="007B6489"/>
    <w:rsid w:val="007B6BA5"/>
    <w:rsid w:val="007B7B52"/>
    <w:rsid w:val="007C0A04"/>
    <w:rsid w:val="007C11D9"/>
    <w:rsid w:val="007C1586"/>
    <w:rsid w:val="007C2999"/>
    <w:rsid w:val="007C3390"/>
    <w:rsid w:val="007C3C55"/>
    <w:rsid w:val="007C4446"/>
    <w:rsid w:val="007C4F4B"/>
    <w:rsid w:val="007C51E9"/>
    <w:rsid w:val="007C53D7"/>
    <w:rsid w:val="007C71C2"/>
    <w:rsid w:val="007C7BC2"/>
    <w:rsid w:val="007D0609"/>
    <w:rsid w:val="007D0D55"/>
    <w:rsid w:val="007D362E"/>
    <w:rsid w:val="007D388D"/>
    <w:rsid w:val="007D3AC8"/>
    <w:rsid w:val="007D3C01"/>
    <w:rsid w:val="007D63E5"/>
    <w:rsid w:val="007D6558"/>
    <w:rsid w:val="007D6FFD"/>
    <w:rsid w:val="007D7380"/>
    <w:rsid w:val="007D73EF"/>
    <w:rsid w:val="007D7524"/>
    <w:rsid w:val="007D7D62"/>
    <w:rsid w:val="007E01E9"/>
    <w:rsid w:val="007E0C3C"/>
    <w:rsid w:val="007E19CA"/>
    <w:rsid w:val="007E1A6B"/>
    <w:rsid w:val="007E2ED5"/>
    <w:rsid w:val="007E3F79"/>
    <w:rsid w:val="007E50C7"/>
    <w:rsid w:val="007E63F3"/>
    <w:rsid w:val="007E64CD"/>
    <w:rsid w:val="007E7D1F"/>
    <w:rsid w:val="007F0636"/>
    <w:rsid w:val="007F0B51"/>
    <w:rsid w:val="007F1C4F"/>
    <w:rsid w:val="007F3BD9"/>
    <w:rsid w:val="007F5227"/>
    <w:rsid w:val="007F5842"/>
    <w:rsid w:val="007F642D"/>
    <w:rsid w:val="007F6611"/>
    <w:rsid w:val="007F72E4"/>
    <w:rsid w:val="007F7612"/>
    <w:rsid w:val="00800573"/>
    <w:rsid w:val="00800B28"/>
    <w:rsid w:val="00800FD4"/>
    <w:rsid w:val="00801F5D"/>
    <w:rsid w:val="0080240B"/>
    <w:rsid w:val="00803233"/>
    <w:rsid w:val="008034C7"/>
    <w:rsid w:val="00803B5C"/>
    <w:rsid w:val="00803EF2"/>
    <w:rsid w:val="00804725"/>
    <w:rsid w:val="00805308"/>
    <w:rsid w:val="008062B8"/>
    <w:rsid w:val="008065B7"/>
    <w:rsid w:val="00807840"/>
    <w:rsid w:val="00810D3F"/>
    <w:rsid w:val="00811154"/>
    <w:rsid w:val="008113F8"/>
    <w:rsid w:val="008117FF"/>
    <w:rsid w:val="00811920"/>
    <w:rsid w:val="00812D27"/>
    <w:rsid w:val="008135D5"/>
    <w:rsid w:val="00813CB2"/>
    <w:rsid w:val="008141EF"/>
    <w:rsid w:val="00814249"/>
    <w:rsid w:val="00814460"/>
    <w:rsid w:val="008154FF"/>
    <w:rsid w:val="00815A67"/>
    <w:rsid w:val="00815AD0"/>
    <w:rsid w:val="00816598"/>
    <w:rsid w:val="00816D73"/>
    <w:rsid w:val="008174C9"/>
    <w:rsid w:val="008204AB"/>
    <w:rsid w:val="00820994"/>
    <w:rsid w:val="00820E96"/>
    <w:rsid w:val="008212F5"/>
    <w:rsid w:val="0082144E"/>
    <w:rsid w:val="008242D7"/>
    <w:rsid w:val="00824A48"/>
    <w:rsid w:val="00824B2F"/>
    <w:rsid w:val="0082514C"/>
    <w:rsid w:val="0082544E"/>
    <w:rsid w:val="008257B1"/>
    <w:rsid w:val="008264D0"/>
    <w:rsid w:val="00827860"/>
    <w:rsid w:val="00830581"/>
    <w:rsid w:val="008322A0"/>
    <w:rsid w:val="00832334"/>
    <w:rsid w:val="00832AD9"/>
    <w:rsid w:val="0083329E"/>
    <w:rsid w:val="00833796"/>
    <w:rsid w:val="00833A90"/>
    <w:rsid w:val="00835755"/>
    <w:rsid w:val="00835DBD"/>
    <w:rsid w:val="008362C9"/>
    <w:rsid w:val="008379E1"/>
    <w:rsid w:val="00840A1E"/>
    <w:rsid w:val="0084107D"/>
    <w:rsid w:val="00842503"/>
    <w:rsid w:val="00842625"/>
    <w:rsid w:val="00842783"/>
    <w:rsid w:val="00842967"/>
    <w:rsid w:val="00842C55"/>
    <w:rsid w:val="00842D43"/>
    <w:rsid w:val="00843767"/>
    <w:rsid w:val="00843B91"/>
    <w:rsid w:val="008441E0"/>
    <w:rsid w:val="00845867"/>
    <w:rsid w:val="00845BF9"/>
    <w:rsid w:val="0084634F"/>
    <w:rsid w:val="00846C9A"/>
    <w:rsid w:val="008472DC"/>
    <w:rsid w:val="008476C4"/>
    <w:rsid w:val="008479D2"/>
    <w:rsid w:val="00850274"/>
    <w:rsid w:val="00850D23"/>
    <w:rsid w:val="00851A54"/>
    <w:rsid w:val="00851D4D"/>
    <w:rsid w:val="00852A8D"/>
    <w:rsid w:val="00853E9C"/>
    <w:rsid w:val="00854DDF"/>
    <w:rsid w:val="00854FFD"/>
    <w:rsid w:val="00855070"/>
    <w:rsid w:val="0085545F"/>
    <w:rsid w:val="00855E8D"/>
    <w:rsid w:val="00855F81"/>
    <w:rsid w:val="00855FEC"/>
    <w:rsid w:val="00856034"/>
    <w:rsid w:val="0085618A"/>
    <w:rsid w:val="00856720"/>
    <w:rsid w:val="00857528"/>
    <w:rsid w:val="008603AC"/>
    <w:rsid w:val="00860DA3"/>
    <w:rsid w:val="00860DE4"/>
    <w:rsid w:val="00861456"/>
    <w:rsid w:val="0086185E"/>
    <w:rsid w:val="00861995"/>
    <w:rsid w:val="00861DD9"/>
    <w:rsid w:val="008625F2"/>
    <w:rsid w:val="00862C2F"/>
    <w:rsid w:val="0086417E"/>
    <w:rsid w:val="0086601D"/>
    <w:rsid w:val="008665DB"/>
    <w:rsid w:val="0086685B"/>
    <w:rsid w:val="00866A80"/>
    <w:rsid w:val="008679D9"/>
    <w:rsid w:val="00867F9F"/>
    <w:rsid w:val="0087005B"/>
    <w:rsid w:val="008709CF"/>
    <w:rsid w:val="00870D09"/>
    <w:rsid w:val="00871A50"/>
    <w:rsid w:val="008721AF"/>
    <w:rsid w:val="00873623"/>
    <w:rsid w:val="00873CCE"/>
    <w:rsid w:val="00873F36"/>
    <w:rsid w:val="008747A2"/>
    <w:rsid w:val="00875914"/>
    <w:rsid w:val="00875B14"/>
    <w:rsid w:val="00876A78"/>
    <w:rsid w:val="008771DD"/>
    <w:rsid w:val="008776DB"/>
    <w:rsid w:val="00877C10"/>
    <w:rsid w:val="00877D9A"/>
    <w:rsid w:val="008804C3"/>
    <w:rsid w:val="008813C2"/>
    <w:rsid w:val="00881488"/>
    <w:rsid w:val="008817F7"/>
    <w:rsid w:val="00882BBA"/>
    <w:rsid w:val="0088378B"/>
    <w:rsid w:val="008838A7"/>
    <w:rsid w:val="00883DD1"/>
    <w:rsid w:val="00884105"/>
    <w:rsid w:val="00884556"/>
    <w:rsid w:val="00886055"/>
    <w:rsid w:val="00886B3B"/>
    <w:rsid w:val="0088751F"/>
    <w:rsid w:val="008878DE"/>
    <w:rsid w:val="00887B13"/>
    <w:rsid w:val="008908D5"/>
    <w:rsid w:val="00890DFE"/>
    <w:rsid w:val="0089203A"/>
    <w:rsid w:val="00892AD5"/>
    <w:rsid w:val="00893B94"/>
    <w:rsid w:val="008943C8"/>
    <w:rsid w:val="0089460B"/>
    <w:rsid w:val="00895494"/>
    <w:rsid w:val="0089577C"/>
    <w:rsid w:val="008964A7"/>
    <w:rsid w:val="00896D55"/>
    <w:rsid w:val="00896DFA"/>
    <w:rsid w:val="00896EFE"/>
    <w:rsid w:val="00897399"/>
    <w:rsid w:val="0089746E"/>
    <w:rsid w:val="008979B1"/>
    <w:rsid w:val="008A003D"/>
    <w:rsid w:val="008A08C6"/>
    <w:rsid w:val="008A126D"/>
    <w:rsid w:val="008A12B1"/>
    <w:rsid w:val="008A139E"/>
    <w:rsid w:val="008A175D"/>
    <w:rsid w:val="008A3258"/>
    <w:rsid w:val="008A34B6"/>
    <w:rsid w:val="008A40ED"/>
    <w:rsid w:val="008A4457"/>
    <w:rsid w:val="008A447B"/>
    <w:rsid w:val="008A4848"/>
    <w:rsid w:val="008A484A"/>
    <w:rsid w:val="008A531B"/>
    <w:rsid w:val="008A55F9"/>
    <w:rsid w:val="008A6B25"/>
    <w:rsid w:val="008A6B7E"/>
    <w:rsid w:val="008A6B8E"/>
    <w:rsid w:val="008A6C4F"/>
    <w:rsid w:val="008A6C86"/>
    <w:rsid w:val="008A70DE"/>
    <w:rsid w:val="008B2000"/>
    <w:rsid w:val="008B2335"/>
    <w:rsid w:val="008B2740"/>
    <w:rsid w:val="008B2D07"/>
    <w:rsid w:val="008B30B9"/>
    <w:rsid w:val="008B3B4C"/>
    <w:rsid w:val="008B3BAC"/>
    <w:rsid w:val="008B3CE2"/>
    <w:rsid w:val="008B4787"/>
    <w:rsid w:val="008B4B7C"/>
    <w:rsid w:val="008B50FF"/>
    <w:rsid w:val="008B5209"/>
    <w:rsid w:val="008B6990"/>
    <w:rsid w:val="008B73E0"/>
    <w:rsid w:val="008B7C5D"/>
    <w:rsid w:val="008C0218"/>
    <w:rsid w:val="008C1BDD"/>
    <w:rsid w:val="008C2BB7"/>
    <w:rsid w:val="008C2EAC"/>
    <w:rsid w:val="008C39FE"/>
    <w:rsid w:val="008C3BCE"/>
    <w:rsid w:val="008C4CE5"/>
    <w:rsid w:val="008C5544"/>
    <w:rsid w:val="008C5660"/>
    <w:rsid w:val="008C575C"/>
    <w:rsid w:val="008C603C"/>
    <w:rsid w:val="008C6631"/>
    <w:rsid w:val="008C6EF2"/>
    <w:rsid w:val="008C7490"/>
    <w:rsid w:val="008D06C8"/>
    <w:rsid w:val="008D0FD0"/>
    <w:rsid w:val="008D2288"/>
    <w:rsid w:val="008D2A88"/>
    <w:rsid w:val="008D319E"/>
    <w:rsid w:val="008D3266"/>
    <w:rsid w:val="008D4005"/>
    <w:rsid w:val="008D451B"/>
    <w:rsid w:val="008D4B31"/>
    <w:rsid w:val="008D6298"/>
    <w:rsid w:val="008D62D5"/>
    <w:rsid w:val="008D715C"/>
    <w:rsid w:val="008D76F0"/>
    <w:rsid w:val="008E0678"/>
    <w:rsid w:val="008E090D"/>
    <w:rsid w:val="008E0AAB"/>
    <w:rsid w:val="008E142C"/>
    <w:rsid w:val="008E1F8E"/>
    <w:rsid w:val="008E32ED"/>
    <w:rsid w:val="008E3A24"/>
    <w:rsid w:val="008E404F"/>
    <w:rsid w:val="008E4AD4"/>
    <w:rsid w:val="008E4B51"/>
    <w:rsid w:val="008E5769"/>
    <w:rsid w:val="008E6384"/>
    <w:rsid w:val="008E65C7"/>
    <w:rsid w:val="008E68A0"/>
    <w:rsid w:val="008E6ADB"/>
    <w:rsid w:val="008E6E23"/>
    <w:rsid w:val="008F0911"/>
    <w:rsid w:val="008F0991"/>
    <w:rsid w:val="008F1802"/>
    <w:rsid w:val="008F1A16"/>
    <w:rsid w:val="008F1A43"/>
    <w:rsid w:val="008F1E30"/>
    <w:rsid w:val="008F2811"/>
    <w:rsid w:val="008F339B"/>
    <w:rsid w:val="008F6240"/>
    <w:rsid w:val="008F627B"/>
    <w:rsid w:val="008F6516"/>
    <w:rsid w:val="008F67C9"/>
    <w:rsid w:val="00900944"/>
    <w:rsid w:val="00901021"/>
    <w:rsid w:val="009016DC"/>
    <w:rsid w:val="009019C0"/>
    <w:rsid w:val="0090285B"/>
    <w:rsid w:val="00903E34"/>
    <w:rsid w:val="00903F36"/>
    <w:rsid w:val="009043B9"/>
    <w:rsid w:val="00906658"/>
    <w:rsid w:val="00906EC8"/>
    <w:rsid w:val="00907B88"/>
    <w:rsid w:val="00907D9C"/>
    <w:rsid w:val="00910266"/>
    <w:rsid w:val="0091188B"/>
    <w:rsid w:val="00911993"/>
    <w:rsid w:val="00912009"/>
    <w:rsid w:val="00912790"/>
    <w:rsid w:val="00912971"/>
    <w:rsid w:val="00913E9D"/>
    <w:rsid w:val="0091443F"/>
    <w:rsid w:val="00914789"/>
    <w:rsid w:val="0091542F"/>
    <w:rsid w:val="00915A4B"/>
    <w:rsid w:val="0091636E"/>
    <w:rsid w:val="00917309"/>
    <w:rsid w:val="00917A08"/>
    <w:rsid w:val="00917B57"/>
    <w:rsid w:val="00917B8B"/>
    <w:rsid w:val="0092034B"/>
    <w:rsid w:val="009205E4"/>
    <w:rsid w:val="00922024"/>
    <w:rsid w:val="00922117"/>
    <w:rsid w:val="009223CA"/>
    <w:rsid w:val="009230AF"/>
    <w:rsid w:val="00924392"/>
    <w:rsid w:val="00924CE6"/>
    <w:rsid w:val="009264C4"/>
    <w:rsid w:val="009264D5"/>
    <w:rsid w:val="0092727D"/>
    <w:rsid w:val="00927492"/>
    <w:rsid w:val="0093008D"/>
    <w:rsid w:val="00931D8E"/>
    <w:rsid w:val="00932654"/>
    <w:rsid w:val="009327B5"/>
    <w:rsid w:val="00932A0B"/>
    <w:rsid w:val="00932A9A"/>
    <w:rsid w:val="009330ED"/>
    <w:rsid w:val="009331F7"/>
    <w:rsid w:val="00933D7D"/>
    <w:rsid w:val="00934CBD"/>
    <w:rsid w:val="009355C2"/>
    <w:rsid w:val="00935646"/>
    <w:rsid w:val="00935821"/>
    <w:rsid w:val="00935FBF"/>
    <w:rsid w:val="00936564"/>
    <w:rsid w:val="00937561"/>
    <w:rsid w:val="00937D00"/>
    <w:rsid w:val="0094099B"/>
    <w:rsid w:val="00940B38"/>
    <w:rsid w:val="00940D0B"/>
    <w:rsid w:val="00940DBD"/>
    <w:rsid w:val="00940F15"/>
    <w:rsid w:val="00940F93"/>
    <w:rsid w:val="0094105D"/>
    <w:rsid w:val="0094229F"/>
    <w:rsid w:val="00943BD3"/>
    <w:rsid w:val="00943C97"/>
    <w:rsid w:val="0094452B"/>
    <w:rsid w:val="00944ACC"/>
    <w:rsid w:val="00946131"/>
    <w:rsid w:val="00946656"/>
    <w:rsid w:val="009468F2"/>
    <w:rsid w:val="00946A9C"/>
    <w:rsid w:val="0094718E"/>
    <w:rsid w:val="00947994"/>
    <w:rsid w:val="00947DC8"/>
    <w:rsid w:val="00947F7E"/>
    <w:rsid w:val="00950747"/>
    <w:rsid w:val="0095157F"/>
    <w:rsid w:val="00951FC3"/>
    <w:rsid w:val="00952B29"/>
    <w:rsid w:val="00953226"/>
    <w:rsid w:val="009538F4"/>
    <w:rsid w:val="009539C3"/>
    <w:rsid w:val="00953D87"/>
    <w:rsid w:val="00955579"/>
    <w:rsid w:val="00955D99"/>
    <w:rsid w:val="00956C57"/>
    <w:rsid w:val="00957169"/>
    <w:rsid w:val="009575BF"/>
    <w:rsid w:val="009600AD"/>
    <w:rsid w:val="00960671"/>
    <w:rsid w:val="00960C0A"/>
    <w:rsid w:val="009616C7"/>
    <w:rsid w:val="009625AB"/>
    <w:rsid w:val="0096298C"/>
    <w:rsid w:val="00963ADA"/>
    <w:rsid w:val="0096400C"/>
    <w:rsid w:val="0096435A"/>
    <w:rsid w:val="0096466D"/>
    <w:rsid w:val="00964FAD"/>
    <w:rsid w:val="00965254"/>
    <w:rsid w:val="009652BA"/>
    <w:rsid w:val="009653C5"/>
    <w:rsid w:val="00965BF2"/>
    <w:rsid w:val="00965D21"/>
    <w:rsid w:val="009667DA"/>
    <w:rsid w:val="009670A1"/>
    <w:rsid w:val="009670E8"/>
    <w:rsid w:val="00970061"/>
    <w:rsid w:val="0097046E"/>
    <w:rsid w:val="009704A8"/>
    <w:rsid w:val="00970C08"/>
    <w:rsid w:val="00971904"/>
    <w:rsid w:val="00971BD6"/>
    <w:rsid w:val="00971CD4"/>
    <w:rsid w:val="00973168"/>
    <w:rsid w:val="009750FD"/>
    <w:rsid w:val="009760F3"/>
    <w:rsid w:val="00976428"/>
    <w:rsid w:val="00976948"/>
    <w:rsid w:val="00976C1C"/>
    <w:rsid w:val="00976CFB"/>
    <w:rsid w:val="0097740F"/>
    <w:rsid w:val="00980A12"/>
    <w:rsid w:val="00980D6A"/>
    <w:rsid w:val="00980E0A"/>
    <w:rsid w:val="009829A2"/>
    <w:rsid w:val="00984117"/>
    <w:rsid w:val="00986892"/>
    <w:rsid w:val="00987216"/>
    <w:rsid w:val="00987731"/>
    <w:rsid w:val="009910BE"/>
    <w:rsid w:val="009914C6"/>
    <w:rsid w:val="00991F6B"/>
    <w:rsid w:val="009926B0"/>
    <w:rsid w:val="009931F5"/>
    <w:rsid w:val="0099387C"/>
    <w:rsid w:val="00993A6C"/>
    <w:rsid w:val="00995D6E"/>
    <w:rsid w:val="0099647B"/>
    <w:rsid w:val="0099684E"/>
    <w:rsid w:val="00996F07"/>
    <w:rsid w:val="0099731D"/>
    <w:rsid w:val="00997E60"/>
    <w:rsid w:val="009A04ED"/>
    <w:rsid w:val="009A0830"/>
    <w:rsid w:val="009A09CC"/>
    <w:rsid w:val="009A0B0A"/>
    <w:rsid w:val="009A0CF4"/>
    <w:rsid w:val="009A0E8D"/>
    <w:rsid w:val="009A1120"/>
    <w:rsid w:val="009A1312"/>
    <w:rsid w:val="009A19F5"/>
    <w:rsid w:val="009A1CA3"/>
    <w:rsid w:val="009A32C1"/>
    <w:rsid w:val="009A361F"/>
    <w:rsid w:val="009A3D42"/>
    <w:rsid w:val="009A3E1D"/>
    <w:rsid w:val="009A405A"/>
    <w:rsid w:val="009A463D"/>
    <w:rsid w:val="009A4E3A"/>
    <w:rsid w:val="009A50E6"/>
    <w:rsid w:val="009A5652"/>
    <w:rsid w:val="009A71D5"/>
    <w:rsid w:val="009A7EB2"/>
    <w:rsid w:val="009B0C78"/>
    <w:rsid w:val="009B1949"/>
    <w:rsid w:val="009B1CAA"/>
    <w:rsid w:val="009B20BD"/>
    <w:rsid w:val="009B25F6"/>
    <w:rsid w:val="009B26E7"/>
    <w:rsid w:val="009B28A9"/>
    <w:rsid w:val="009B2AD5"/>
    <w:rsid w:val="009B3C93"/>
    <w:rsid w:val="009B3D46"/>
    <w:rsid w:val="009B41F7"/>
    <w:rsid w:val="009B4881"/>
    <w:rsid w:val="009B4EC9"/>
    <w:rsid w:val="009B4F9F"/>
    <w:rsid w:val="009B5FE4"/>
    <w:rsid w:val="009B60F3"/>
    <w:rsid w:val="009B6E9F"/>
    <w:rsid w:val="009B6EF8"/>
    <w:rsid w:val="009B764A"/>
    <w:rsid w:val="009B7EB7"/>
    <w:rsid w:val="009C02F7"/>
    <w:rsid w:val="009C098B"/>
    <w:rsid w:val="009C18D0"/>
    <w:rsid w:val="009C2206"/>
    <w:rsid w:val="009C22BF"/>
    <w:rsid w:val="009C3C8A"/>
    <w:rsid w:val="009C3DBF"/>
    <w:rsid w:val="009C4787"/>
    <w:rsid w:val="009C488C"/>
    <w:rsid w:val="009C4AC5"/>
    <w:rsid w:val="009C51AD"/>
    <w:rsid w:val="009C65B0"/>
    <w:rsid w:val="009C7FEE"/>
    <w:rsid w:val="009D022F"/>
    <w:rsid w:val="009D02AB"/>
    <w:rsid w:val="009D1462"/>
    <w:rsid w:val="009D2752"/>
    <w:rsid w:val="009D3AB3"/>
    <w:rsid w:val="009D54DE"/>
    <w:rsid w:val="009D66FA"/>
    <w:rsid w:val="009D6821"/>
    <w:rsid w:val="009D6B2B"/>
    <w:rsid w:val="009D6D3B"/>
    <w:rsid w:val="009E0A4D"/>
    <w:rsid w:val="009E0A83"/>
    <w:rsid w:val="009E0EF5"/>
    <w:rsid w:val="009E2E8F"/>
    <w:rsid w:val="009E320B"/>
    <w:rsid w:val="009E34D9"/>
    <w:rsid w:val="009E3AB7"/>
    <w:rsid w:val="009E568D"/>
    <w:rsid w:val="009E5B89"/>
    <w:rsid w:val="009E5C79"/>
    <w:rsid w:val="009E65B2"/>
    <w:rsid w:val="009F0C5B"/>
    <w:rsid w:val="009F150A"/>
    <w:rsid w:val="009F18DD"/>
    <w:rsid w:val="009F1C11"/>
    <w:rsid w:val="009F1E8C"/>
    <w:rsid w:val="009F257F"/>
    <w:rsid w:val="009F2796"/>
    <w:rsid w:val="009F3A93"/>
    <w:rsid w:val="009F4507"/>
    <w:rsid w:val="009F5297"/>
    <w:rsid w:val="009F5E32"/>
    <w:rsid w:val="009F5E73"/>
    <w:rsid w:val="009F5F0B"/>
    <w:rsid w:val="009F718B"/>
    <w:rsid w:val="009F77CC"/>
    <w:rsid w:val="00A002F8"/>
    <w:rsid w:val="00A00697"/>
    <w:rsid w:val="00A007F7"/>
    <w:rsid w:val="00A00A3F"/>
    <w:rsid w:val="00A01489"/>
    <w:rsid w:val="00A01BE2"/>
    <w:rsid w:val="00A03753"/>
    <w:rsid w:val="00A03944"/>
    <w:rsid w:val="00A03B35"/>
    <w:rsid w:val="00A0499A"/>
    <w:rsid w:val="00A049BF"/>
    <w:rsid w:val="00A0507E"/>
    <w:rsid w:val="00A0558E"/>
    <w:rsid w:val="00A0562E"/>
    <w:rsid w:val="00A05A6E"/>
    <w:rsid w:val="00A0613D"/>
    <w:rsid w:val="00A06416"/>
    <w:rsid w:val="00A066A7"/>
    <w:rsid w:val="00A0698F"/>
    <w:rsid w:val="00A07B07"/>
    <w:rsid w:val="00A1063E"/>
    <w:rsid w:val="00A10D82"/>
    <w:rsid w:val="00A1130A"/>
    <w:rsid w:val="00A12978"/>
    <w:rsid w:val="00A1302B"/>
    <w:rsid w:val="00A13366"/>
    <w:rsid w:val="00A1383C"/>
    <w:rsid w:val="00A13BB6"/>
    <w:rsid w:val="00A13C49"/>
    <w:rsid w:val="00A14D92"/>
    <w:rsid w:val="00A14E4D"/>
    <w:rsid w:val="00A15477"/>
    <w:rsid w:val="00A154C4"/>
    <w:rsid w:val="00A15955"/>
    <w:rsid w:val="00A16318"/>
    <w:rsid w:val="00A16AFC"/>
    <w:rsid w:val="00A1771A"/>
    <w:rsid w:val="00A179CB"/>
    <w:rsid w:val="00A2112D"/>
    <w:rsid w:val="00A22B49"/>
    <w:rsid w:val="00A22D3A"/>
    <w:rsid w:val="00A2456D"/>
    <w:rsid w:val="00A245C6"/>
    <w:rsid w:val="00A24635"/>
    <w:rsid w:val="00A24C1B"/>
    <w:rsid w:val="00A2595F"/>
    <w:rsid w:val="00A3026E"/>
    <w:rsid w:val="00A311A4"/>
    <w:rsid w:val="00A32B7D"/>
    <w:rsid w:val="00A32DA2"/>
    <w:rsid w:val="00A33541"/>
    <w:rsid w:val="00A338F1"/>
    <w:rsid w:val="00A33958"/>
    <w:rsid w:val="00A34244"/>
    <w:rsid w:val="00A34392"/>
    <w:rsid w:val="00A34AA7"/>
    <w:rsid w:val="00A34BFD"/>
    <w:rsid w:val="00A34D5C"/>
    <w:rsid w:val="00A3506D"/>
    <w:rsid w:val="00A355D4"/>
    <w:rsid w:val="00A35613"/>
    <w:rsid w:val="00A35BE0"/>
    <w:rsid w:val="00A36036"/>
    <w:rsid w:val="00A367BB"/>
    <w:rsid w:val="00A379FA"/>
    <w:rsid w:val="00A415E1"/>
    <w:rsid w:val="00A41740"/>
    <w:rsid w:val="00A427AD"/>
    <w:rsid w:val="00A42CF5"/>
    <w:rsid w:val="00A4304A"/>
    <w:rsid w:val="00A43FA9"/>
    <w:rsid w:val="00A454F9"/>
    <w:rsid w:val="00A455A7"/>
    <w:rsid w:val="00A45841"/>
    <w:rsid w:val="00A459E3"/>
    <w:rsid w:val="00A45BE7"/>
    <w:rsid w:val="00A4639A"/>
    <w:rsid w:val="00A470A6"/>
    <w:rsid w:val="00A47AC4"/>
    <w:rsid w:val="00A47E05"/>
    <w:rsid w:val="00A50927"/>
    <w:rsid w:val="00A5097A"/>
    <w:rsid w:val="00A50B61"/>
    <w:rsid w:val="00A50BA7"/>
    <w:rsid w:val="00A512C8"/>
    <w:rsid w:val="00A5227E"/>
    <w:rsid w:val="00A52BA1"/>
    <w:rsid w:val="00A53066"/>
    <w:rsid w:val="00A530AD"/>
    <w:rsid w:val="00A5397F"/>
    <w:rsid w:val="00A53E46"/>
    <w:rsid w:val="00A54BF2"/>
    <w:rsid w:val="00A54C31"/>
    <w:rsid w:val="00A559EC"/>
    <w:rsid w:val="00A55C6E"/>
    <w:rsid w:val="00A56BB8"/>
    <w:rsid w:val="00A57F0A"/>
    <w:rsid w:val="00A6071D"/>
    <w:rsid w:val="00A6266B"/>
    <w:rsid w:val="00A62AFF"/>
    <w:rsid w:val="00A62CC3"/>
    <w:rsid w:val="00A632BD"/>
    <w:rsid w:val="00A63314"/>
    <w:rsid w:val="00A63789"/>
    <w:rsid w:val="00A65CD7"/>
    <w:rsid w:val="00A65E4E"/>
    <w:rsid w:val="00A66C2B"/>
    <w:rsid w:val="00A700B8"/>
    <w:rsid w:val="00A7018C"/>
    <w:rsid w:val="00A704E4"/>
    <w:rsid w:val="00A70DB7"/>
    <w:rsid w:val="00A70DE2"/>
    <w:rsid w:val="00A714D2"/>
    <w:rsid w:val="00A72002"/>
    <w:rsid w:val="00A722BF"/>
    <w:rsid w:val="00A72EF3"/>
    <w:rsid w:val="00A72F22"/>
    <w:rsid w:val="00A731A4"/>
    <w:rsid w:val="00A73529"/>
    <w:rsid w:val="00A7360F"/>
    <w:rsid w:val="00A73F60"/>
    <w:rsid w:val="00A748A6"/>
    <w:rsid w:val="00A74EA0"/>
    <w:rsid w:val="00A752FE"/>
    <w:rsid w:val="00A754CA"/>
    <w:rsid w:val="00A76044"/>
    <w:rsid w:val="00A7615A"/>
    <w:rsid w:val="00A769F4"/>
    <w:rsid w:val="00A776B4"/>
    <w:rsid w:val="00A807D6"/>
    <w:rsid w:val="00A8262E"/>
    <w:rsid w:val="00A82D3F"/>
    <w:rsid w:val="00A835AB"/>
    <w:rsid w:val="00A857C8"/>
    <w:rsid w:val="00A86646"/>
    <w:rsid w:val="00A87377"/>
    <w:rsid w:val="00A874AA"/>
    <w:rsid w:val="00A90343"/>
    <w:rsid w:val="00A90431"/>
    <w:rsid w:val="00A917AF"/>
    <w:rsid w:val="00A91D17"/>
    <w:rsid w:val="00A92200"/>
    <w:rsid w:val="00A923F5"/>
    <w:rsid w:val="00A9285C"/>
    <w:rsid w:val="00A92A0D"/>
    <w:rsid w:val="00A938E3"/>
    <w:rsid w:val="00A94361"/>
    <w:rsid w:val="00A94994"/>
    <w:rsid w:val="00A9597E"/>
    <w:rsid w:val="00A9625A"/>
    <w:rsid w:val="00AA0720"/>
    <w:rsid w:val="00AA07AD"/>
    <w:rsid w:val="00AA1B0B"/>
    <w:rsid w:val="00AA1CC4"/>
    <w:rsid w:val="00AA293C"/>
    <w:rsid w:val="00AA458A"/>
    <w:rsid w:val="00AA54C4"/>
    <w:rsid w:val="00AA56D2"/>
    <w:rsid w:val="00AA5DF8"/>
    <w:rsid w:val="00AA65C6"/>
    <w:rsid w:val="00AA73B1"/>
    <w:rsid w:val="00AB01F4"/>
    <w:rsid w:val="00AB026B"/>
    <w:rsid w:val="00AB07D3"/>
    <w:rsid w:val="00AB0F79"/>
    <w:rsid w:val="00AB15A9"/>
    <w:rsid w:val="00AB18BA"/>
    <w:rsid w:val="00AB19A6"/>
    <w:rsid w:val="00AB2AA4"/>
    <w:rsid w:val="00AB2AE7"/>
    <w:rsid w:val="00AB375F"/>
    <w:rsid w:val="00AB3B2A"/>
    <w:rsid w:val="00AB3D36"/>
    <w:rsid w:val="00AB43FB"/>
    <w:rsid w:val="00AB49B5"/>
    <w:rsid w:val="00AB4DA6"/>
    <w:rsid w:val="00AB62AD"/>
    <w:rsid w:val="00AB7897"/>
    <w:rsid w:val="00AB7C69"/>
    <w:rsid w:val="00AC05CF"/>
    <w:rsid w:val="00AC21C9"/>
    <w:rsid w:val="00AC25B4"/>
    <w:rsid w:val="00AC2650"/>
    <w:rsid w:val="00AC284A"/>
    <w:rsid w:val="00AC332D"/>
    <w:rsid w:val="00AC4181"/>
    <w:rsid w:val="00AC4DDC"/>
    <w:rsid w:val="00AC5DC6"/>
    <w:rsid w:val="00AC7479"/>
    <w:rsid w:val="00AC7A7E"/>
    <w:rsid w:val="00AC7B77"/>
    <w:rsid w:val="00AD0C1F"/>
    <w:rsid w:val="00AD0D04"/>
    <w:rsid w:val="00AD2AAD"/>
    <w:rsid w:val="00AD2B80"/>
    <w:rsid w:val="00AD30C6"/>
    <w:rsid w:val="00AD313E"/>
    <w:rsid w:val="00AD3461"/>
    <w:rsid w:val="00AD3F1C"/>
    <w:rsid w:val="00AD4315"/>
    <w:rsid w:val="00AD44BE"/>
    <w:rsid w:val="00AD44F2"/>
    <w:rsid w:val="00AD4844"/>
    <w:rsid w:val="00AD5394"/>
    <w:rsid w:val="00AD75B4"/>
    <w:rsid w:val="00AD7E78"/>
    <w:rsid w:val="00AE064B"/>
    <w:rsid w:val="00AE0E1D"/>
    <w:rsid w:val="00AE1A9B"/>
    <w:rsid w:val="00AE24E6"/>
    <w:rsid w:val="00AE4652"/>
    <w:rsid w:val="00AE5F36"/>
    <w:rsid w:val="00AE6AC2"/>
    <w:rsid w:val="00AE77A5"/>
    <w:rsid w:val="00AE7B18"/>
    <w:rsid w:val="00AE7BBD"/>
    <w:rsid w:val="00AF028A"/>
    <w:rsid w:val="00AF0875"/>
    <w:rsid w:val="00AF08C1"/>
    <w:rsid w:val="00AF1C5D"/>
    <w:rsid w:val="00AF1FF9"/>
    <w:rsid w:val="00AF225D"/>
    <w:rsid w:val="00AF2C3D"/>
    <w:rsid w:val="00AF344F"/>
    <w:rsid w:val="00AF3F2F"/>
    <w:rsid w:val="00AF442E"/>
    <w:rsid w:val="00AF5703"/>
    <w:rsid w:val="00AF6DAA"/>
    <w:rsid w:val="00AF7FA7"/>
    <w:rsid w:val="00B00271"/>
    <w:rsid w:val="00B01998"/>
    <w:rsid w:val="00B03665"/>
    <w:rsid w:val="00B0438A"/>
    <w:rsid w:val="00B0458D"/>
    <w:rsid w:val="00B04C0C"/>
    <w:rsid w:val="00B04E00"/>
    <w:rsid w:val="00B05273"/>
    <w:rsid w:val="00B05FC1"/>
    <w:rsid w:val="00B06148"/>
    <w:rsid w:val="00B07491"/>
    <w:rsid w:val="00B103BB"/>
    <w:rsid w:val="00B1065E"/>
    <w:rsid w:val="00B11901"/>
    <w:rsid w:val="00B1346E"/>
    <w:rsid w:val="00B13DD1"/>
    <w:rsid w:val="00B145F9"/>
    <w:rsid w:val="00B14F0A"/>
    <w:rsid w:val="00B15C81"/>
    <w:rsid w:val="00B16C96"/>
    <w:rsid w:val="00B17060"/>
    <w:rsid w:val="00B176D4"/>
    <w:rsid w:val="00B20BA8"/>
    <w:rsid w:val="00B21A5F"/>
    <w:rsid w:val="00B21B7D"/>
    <w:rsid w:val="00B22281"/>
    <w:rsid w:val="00B229E7"/>
    <w:rsid w:val="00B22B3E"/>
    <w:rsid w:val="00B24242"/>
    <w:rsid w:val="00B24AF2"/>
    <w:rsid w:val="00B2517C"/>
    <w:rsid w:val="00B25D7C"/>
    <w:rsid w:val="00B25EC8"/>
    <w:rsid w:val="00B26664"/>
    <w:rsid w:val="00B30179"/>
    <w:rsid w:val="00B30484"/>
    <w:rsid w:val="00B308F8"/>
    <w:rsid w:val="00B309C5"/>
    <w:rsid w:val="00B31204"/>
    <w:rsid w:val="00B312FF"/>
    <w:rsid w:val="00B31E6F"/>
    <w:rsid w:val="00B32D2A"/>
    <w:rsid w:val="00B32E1F"/>
    <w:rsid w:val="00B334C2"/>
    <w:rsid w:val="00B34018"/>
    <w:rsid w:val="00B35357"/>
    <w:rsid w:val="00B354CD"/>
    <w:rsid w:val="00B354FB"/>
    <w:rsid w:val="00B36B05"/>
    <w:rsid w:val="00B36C2E"/>
    <w:rsid w:val="00B36DE6"/>
    <w:rsid w:val="00B4010D"/>
    <w:rsid w:val="00B40506"/>
    <w:rsid w:val="00B40950"/>
    <w:rsid w:val="00B40F2B"/>
    <w:rsid w:val="00B41053"/>
    <w:rsid w:val="00B41E1D"/>
    <w:rsid w:val="00B421C1"/>
    <w:rsid w:val="00B4222A"/>
    <w:rsid w:val="00B4443D"/>
    <w:rsid w:val="00B45423"/>
    <w:rsid w:val="00B46323"/>
    <w:rsid w:val="00B46866"/>
    <w:rsid w:val="00B46ADA"/>
    <w:rsid w:val="00B473C1"/>
    <w:rsid w:val="00B4745E"/>
    <w:rsid w:val="00B50766"/>
    <w:rsid w:val="00B517E3"/>
    <w:rsid w:val="00B5246F"/>
    <w:rsid w:val="00B52B47"/>
    <w:rsid w:val="00B52D90"/>
    <w:rsid w:val="00B53221"/>
    <w:rsid w:val="00B53529"/>
    <w:rsid w:val="00B5381C"/>
    <w:rsid w:val="00B53A14"/>
    <w:rsid w:val="00B53B1B"/>
    <w:rsid w:val="00B5453B"/>
    <w:rsid w:val="00B55384"/>
    <w:rsid w:val="00B55C71"/>
    <w:rsid w:val="00B56E4A"/>
    <w:rsid w:val="00B56E9C"/>
    <w:rsid w:val="00B60BD3"/>
    <w:rsid w:val="00B6154E"/>
    <w:rsid w:val="00B61EF3"/>
    <w:rsid w:val="00B62091"/>
    <w:rsid w:val="00B631FB"/>
    <w:rsid w:val="00B64B1F"/>
    <w:rsid w:val="00B6553F"/>
    <w:rsid w:val="00B65A30"/>
    <w:rsid w:val="00B667D6"/>
    <w:rsid w:val="00B7058E"/>
    <w:rsid w:val="00B70DF7"/>
    <w:rsid w:val="00B7172D"/>
    <w:rsid w:val="00B71AC3"/>
    <w:rsid w:val="00B71FAB"/>
    <w:rsid w:val="00B726FC"/>
    <w:rsid w:val="00B7491F"/>
    <w:rsid w:val="00B74DD1"/>
    <w:rsid w:val="00B759EC"/>
    <w:rsid w:val="00B76B7F"/>
    <w:rsid w:val="00B77D05"/>
    <w:rsid w:val="00B81206"/>
    <w:rsid w:val="00B81444"/>
    <w:rsid w:val="00B815A6"/>
    <w:rsid w:val="00B81E12"/>
    <w:rsid w:val="00B82B70"/>
    <w:rsid w:val="00B83884"/>
    <w:rsid w:val="00B83A72"/>
    <w:rsid w:val="00B83FD9"/>
    <w:rsid w:val="00B84A9E"/>
    <w:rsid w:val="00B850A5"/>
    <w:rsid w:val="00B85846"/>
    <w:rsid w:val="00B85F57"/>
    <w:rsid w:val="00B86459"/>
    <w:rsid w:val="00B86EB9"/>
    <w:rsid w:val="00B86FDF"/>
    <w:rsid w:val="00B87FE1"/>
    <w:rsid w:val="00B91296"/>
    <w:rsid w:val="00B91591"/>
    <w:rsid w:val="00B91F41"/>
    <w:rsid w:val="00B92D32"/>
    <w:rsid w:val="00B92E53"/>
    <w:rsid w:val="00B93010"/>
    <w:rsid w:val="00B93029"/>
    <w:rsid w:val="00B93B4B"/>
    <w:rsid w:val="00B93D4D"/>
    <w:rsid w:val="00B93F0E"/>
    <w:rsid w:val="00B94AA4"/>
    <w:rsid w:val="00B95627"/>
    <w:rsid w:val="00B95CB2"/>
    <w:rsid w:val="00B96148"/>
    <w:rsid w:val="00B964E9"/>
    <w:rsid w:val="00B96F4D"/>
    <w:rsid w:val="00B9744D"/>
    <w:rsid w:val="00BA003F"/>
    <w:rsid w:val="00BA07DB"/>
    <w:rsid w:val="00BA13FF"/>
    <w:rsid w:val="00BA1B79"/>
    <w:rsid w:val="00BA1C91"/>
    <w:rsid w:val="00BA1D9E"/>
    <w:rsid w:val="00BA2217"/>
    <w:rsid w:val="00BA2358"/>
    <w:rsid w:val="00BA26BE"/>
    <w:rsid w:val="00BA2E4D"/>
    <w:rsid w:val="00BA3382"/>
    <w:rsid w:val="00BA37AE"/>
    <w:rsid w:val="00BA5E82"/>
    <w:rsid w:val="00BA6DA1"/>
    <w:rsid w:val="00BA6F2B"/>
    <w:rsid w:val="00BA702D"/>
    <w:rsid w:val="00BA7D33"/>
    <w:rsid w:val="00BB0B0D"/>
    <w:rsid w:val="00BB1381"/>
    <w:rsid w:val="00BB1F17"/>
    <w:rsid w:val="00BB2320"/>
    <w:rsid w:val="00BB28AB"/>
    <w:rsid w:val="00BB2AAD"/>
    <w:rsid w:val="00BB2BA6"/>
    <w:rsid w:val="00BB2D96"/>
    <w:rsid w:val="00BB3945"/>
    <w:rsid w:val="00BB3C5E"/>
    <w:rsid w:val="00BB3F82"/>
    <w:rsid w:val="00BB3FC4"/>
    <w:rsid w:val="00BB41BC"/>
    <w:rsid w:val="00BB4D35"/>
    <w:rsid w:val="00BB56C9"/>
    <w:rsid w:val="00BB5A4C"/>
    <w:rsid w:val="00BB65D5"/>
    <w:rsid w:val="00BC21E8"/>
    <w:rsid w:val="00BC2589"/>
    <w:rsid w:val="00BC29E6"/>
    <w:rsid w:val="00BC3FA0"/>
    <w:rsid w:val="00BC42A3"/>
    <w:rsid w:val="00BC4451"/>
    <w:rsid w:val="00BC4D61"/>
    <w:rsid w:val="00BC51CF"/>
    <w:rsid w:val="00BC63FE"/>
    <w:rsid w:val="00BC642B"/>
    <w:rsid w:val="00BC74E9"/>
    <w:rsid w:val="00BC765E"/>
    <w:rsid w:val="00BC7E4D"/>
    <w:rsid w:val="00BD1631"/>
    <w:rsid w:val="00BD196D"/>
    <w:rsid w:val="00BD3C5E"/>
    <w:rsid w:val="00BD3D33"/>
    <w:rsid w:val="00BD4269"/>
    <w:rsid w:val="00BD441D"/>
    <w:rsid w:val="00BD5009"/>
    <w:rsid w:val="00BD5121"/>
    <w:rsid w:val="00BD56AF"/>
    <w:rsid w:val="00BD58B6"/>
    <w:rsid w:val="00BD67CE"/>
    <w:rsid w:val="00BD6FCC"/>
    <w:rsid w:val="00BD6FE2"/>
    <w:rsid w:val="00BD7EBC"/>
    <w:rsid w:val="00BE0AAD"/>
    <w:rsid w:val="00BE1946"/>
    <w:rsid w:val="00BE1EEB"/>
    <w:rsid w:val="00BE2FFB"/>
    <w:rsid w:val="00BE3810"/>
    <w:rsid w:val="00BE4E6C"/>
    <w:rsid w:val="00BE5965"/>
    <w:rsid w:val="00BE6C0D"/>
    <w:rsid w:val="00BE70C5"/>
    <w:rsid w:val="00BF153C"/>
    <w:rsid w:val="00BF1DB5"/>
    <w:rsid w:val="00BF218C"/>
    <w:rsid w:val="00BF2A00"/>
    <w:rsid w:val="00BF2A5B"/>
    <w:rsid w:val="00BF3B37"/>
    <w:rsid w:val="00BF43B2"/>
    <w:rsid w:val="00BF4EBF"/>
    <w:rsid w:val="00BF6229"/>
    <w:rsid w:val="00BF68A8"/>
    <w:rsid w:val="00BF6C8E"/>
    <w:rsid w:val="00BF714C"/>
    <w:rsid w:val="00BF7283"/>
    <w:rsid w:val="00BF789F"/>
    <w:rsid w:val="00C00616"/>
    <w:rsid w:val="00C0206C"/>
    <w:rsid w:val="00C028A6"/>
    <w:rsid w:val="00C0290B"/>
    <w:rsid w:val="00C03EC1"/>
    <w:rsid w:val="00C04261"/>
    <w:rsid w:val="00C058FB"/>
    <w:rsid w:val="00C06DBE"/>
    <w:rsid w:val="00C06E3E"/>
    <w:rsid w:val="00C07310"/>
    <w:rsid w:val="00C10C55"/>
    <w:rsid w:val="00C11760"/>
    <w:rsid w:val="00C11A03"/>
    <w:rsid w:val="00C11DDB"/>
    <w:rsid w:val="00C12180"/>
    <w:rsid w:val="00C121DA"/>
    <w:rsid w:val="00C13503"/>
    <w:rsid w:val="00C137E3"/>
    <w:rsid w:val="00C13C38"/>
    <w:rsid w:val="00C142B3"/>
    <w:rsid w:val="00C1565D"/>
    <w:rsid w:val="00C1798A"/>
    <w:rsid w:val="00C2115E"/>
    <w:rsid w:val="00C2121D"/>
    <w:rsid w:val="00C22C0C"/>
    <w:rsid w:val="00C22DD5"/>
    <w:rsid w:val="00C22F0F"/>
    <w:rsid w:val="00C22FB2"/>
    <w:rsid w:val="00C23031"/>
    <w:rsid w:val="00C23036"/>
    <w:rsid w:val="00C237A5"/>
    <w:rsid w:val="00C24FA6"/>
    <w:rsid w:val="00C25AB7"/>
    <w:rsid w:val="00C274E8"/>
    <w:rsid w:val="00C27C7D"/>
    <w:rsid w:val="00C27FDD"/>
    <w:rsid w:val="00C30BDD"/>
    <w:rsid w:val="00C318DA"/>
    <w:rsid w:val="00C31D8D"/>
    <w:rsid w:val="00C32DC5"/>
    <w:rsid w:val="00C348E0"/>
    <w:rsid w:val="00C34AE7"/>
    <w:rsid w:val="00C3504E"/>
    <w:rsid w:val="00C35F1F"/>
    <w:rsid w:val="00C36AD7"/>
    <w:rsid w:val="00C37535"/>
    <w:rsid w:val="00C408A8"/>
    <w:rsid w:val="00C41146"/>
    <w:rsid w:val="00C415BC"/>
    <w:rsid w:val="00C42E87"/>
    <w:rsid w:val="00C43E88"/>
    <w:rsid w:val="00C441F5"/>
    <w:rsid w:val="00C44609"/>
    <w:rsid w:val="00C44F70"/>
    <w:rsid w:val="00C451D5"/>
    <w:rsid w:val="00C4527F"/>
    <w:rsid w:val="00C463DD"/>
    <w:rsid w:val="00C467DA"/>
    <w:rsid w:val="00C4724C"/>
    <w:rsid w:val="00C473B6"/>
    <w:rsid w:val="00C478AC"/>
    <w:rsid w:val="00C5006D"/>
    <w:rsid w:val="00C50A5F"/>
    <w:rsid w:val="00C525EB"/>
    <w:rsid w:val="00C52712"/>
    <w:rsid w:val="00C52E69"/>
    <w:rsid w:val="00C530E3"/>
    <w:rsid w:val="00C539F5"/>
    <w:rsid w:val="00C53B43"/>
    <w:rsid w:val="00C54916"/>
    <w:rsid w:val="00C55E46"/>
    <w:rsid w:val="00C56E83"/>
    <w:rsid w:val="00C5761D"/>
    <w:rsid w:val="00C57CC2"/>
    <w:rsid w:val="00C60393"/>
    <w:rsid w:val="00C6067E"/>
    <w:rsid w:val="00C60D02"/>
    <w:rsid w:val="00C60ECC"/>
    <w:rsid w:val="00C61681"/>
    <w:rsid w:val="00C62678"/>
    <w:rsid w:val="00C629A0"/>
    <w:rsid w:val="00C62A40"/>
    <w:rsid w:val="00C62D58"/>
    <w:rsid w:val="00C63F92"/>
    <w:rsid w:val="00C644D6"/>
    <w:rsid w:val="00C64629"/>
    <w:rsid w:val="00C64F68"/>
    <w:rsid w:val="00C657F4"/>
    <w:rsid w:val="00C65D25"/>
    <w:rsid w:val="00C6638E"/>
    <w:rsid w:val="00C6762B"/>
    <w:rsid w:val="00C67967"/>
    <w:rsid w:val="00C70AC7"/>
    <w:rsid w:val="00C72D07"/>
    <w:rsid w:val="00C72F40"/>
    <w:rsid w:val="00C733D3"/>
    <w:rsid w:val="00C745C3"/>
    <w:rsid w:val="00C75251"/>
    <w:rsid w:val="00C753B1"/>
    <w:rsid w:val="00C75622"/>
    <w:rsid w:val="00C757D6"/>
    <w:rsid w:val="00C75D69"/>
    <w:rsid w:val="00C76756"/>
    <w:rsid w:val="00C768A1"/>
    <w:rsid w:val="00C76A29"/>
    <w:rsid w:val="00C76DD7"/>
    <w:rsid w:val="00C775A8"/>
    <w:rsid w:val="00C7765D"/>
    <w:rsid w:val="00C80517"/>
    <w:rsid w:val="00C80A28"/>
    <w:rsid w:val="00C80CB0"/>
    <w:rsid w:val="00C80D53"/>
    <w:rsid w:val="00C81830"/>
    <w:rsid w:val="00C81E11"/>
    <w:rsid w:val="00C81E74"/>
    <w:rsid w:val="00C82935"/>
    <w:rsid w:val="00C82962"/>
    <w:rsid w:val="00C83040"/>
    <w:rsid w:val="00C831C3"/>
    <w:rsid w:val="00C8323D"/>
    <w:rsid w:val="00C83EE9"/>
    <w:rsid w:val="00C84596"/>
    <w:rsid w:val="00C8539B"/>
    <w:rsid w:val="00C85B16"/>
    <w:rsid w:val="00C85E25"/>
    <w:rsid w:val="00C86B06"/>
    <w:rsid w:val="00C86F89"/>
    <w:rsid w:val="00C870A3"/>
    <w:rsid w:val="00C870FF"/>
    <w:rsid w:val="00C87B82"/>
    <w:rsid w:val="00C87EF4"/>
    <w:rsid w:val="00C90F59"/>
    <w:rsid w:val="00C91189"/>
    <w:rsid w:val="00C91B27"/>
    <w:rsid w:val="00C92075"/>
    <w:rsid w:val="00C9363D"/>
    <w:rsid w:val="00C93BC8"/>
    <w:rsid w:val="00C93EEE"/>
    <w:rsid w:val="00C94925"/>
    <w:rsid w:val="00C96287"/>
    <w:rsid w:val="00C9686F"/>
    <w:rsid w:val="00C96DF2"/>
    <w:rsid w:val="00CA08FD"/>
    <w:rsid w:val="00CA15EF"/>
    <w:rsid w:val="00CA26F2"/>
    <w:rsid w:val="00CA3530"/>
    <w:rsid w:val="00CA3928"/>
    <w:rsid w:val="00CA42A6"/>
    <w:rsid w:val="00CA439F"/>
    <w:rsid w:val="00CA507F"/>
    <w:rsid w:val="00CA58D1"/>
    <w:rsid w:val="00CA6576"/>
    <w:rsid w:val="00CA7673"/>
    <w:rsid w:val="00CA7941"/>
    <w:rsid w:val="00CA7F4E"/>
    <w:rsid w:val="00CB0FA6"/>
    <w:rsid w:val="00CB118D"/>
    <w:rsid w:val="00CB14F5"/>
    <w:rsid w:val="00CB1F8C"/>
    <w:rsid w:val="00CB2A5D"/>
    <w:rsid w:val="00CB3614"/>
    <w:rsid w:val="00CB38DB"/>
    <w:rsid w:val="00CB3E03"/>
    <w:rsid w:val="00CB41B6"/>
    <w:rsid w:val="00CB4BE5"/>
    <w:rsid w:val="00CB4C36"/>
    <w:rsid w:val="00CB5244"/>
    <w:rsid w:val="00CB5DCD"/>
    <w:rsid w:val="00CB61B3"/>
    <w:rsid w:val="00CB747C"/>
    <w:rsid w:val="00CC017F"/>
    <w:rsid w:val="00CC0396"/>
    <w:rsid w:val="00CC0841"/>
    <w:rsid w:val="00CC0E7B"/>
    <w:rsid w:val="00CC1660"/>
    <w:rsid w:val="00CC19C4"/>
    <w:rsid w:val="00CC1F55"/>
    <w:rsid w:val="00CC3901"/>
    <w:rsid w:val="00CC393E"/>
    <w:rsid w:val="00CC4881"/>
    <w:rsid w:val="00CC56FE"/>
    <w:rsid w:val="00CC57A7"/>
    <w:rsid w:val="00CC5A26"/>
    <w:rsid w:val="00CC5CFE"/>
    <w:rsid w:val="00CC6ADB"/>
    <w:rsid w:val="00CC6FB4"/>
    <w:rsid w:val="00CC7142"/>
    <w:rsid w:val="00CC7A21"/>
    <w:rsid w:val="00CC7BBC"/>
    <w:rsid w:val="00CD0F3B"/>
    <w:rsid w:val="00CD24FD"/>
    <w:rsid w:val="00CD29D6"/>
    <w:rsid w:val="00CD489D"/>
    <w:rsid w:val="00CD4C40"/>
    <w:rsid w:val="00CD4FF9"/>
    <w:rsid w:val="00CD55BB"/>
    <w:rsid w:val="00CD6152"/>
    <w:rsid w:val="00CD6AA9"/>
    <w:rsid w:val="00CD6E44"/>
    <w:rsid w:val="00CD7628"/>
    <w:rsid w:val="00CD77AA"/>
    <w:rsid w:val="00CD7B9C"/>
    <w:rsid w:val="00CE05DD"/>
    <w:rsid w:val="00CE07E2"/>
    <w:rsid w:val="00CE0C56"/>
    <w:rsid w:val="00CE1112"/>
    <w:rsid w:val="00CE1B69"/>
    <w:rsid w:val="00CE285F"/>
    <w:rsid w:val="00CE4A8F"/>
    <w:rsid w:val="00CE5721"/>
    <w:rsid w:val="00CE5B4D"/>
    <w:rsid w:val="00CE701F"/>
    <w:rsid w:val="00CE7AFC"/>
    <w:rsid w:val="00CE7F47"/>
    <w:rsid w:val="00CF0A74"/>
    <w:rsid w:val="00CF159D"/>
    <w:rsid w:val="00CF36C1"/>
    <w:rsid w:val="00CF382A"/>
    <w:rsid w:val="00CF389A"/>
    <w:rsid w:val="00CF56C6"/>
    <w:rsid w:val="00CF581F"/>
    <w:rsid w:val="00CF6745"/>
    <w:rsid w:val="00CF72AD"/>
    <w:rsid w:val="00CF7C01"/>
    <w:rsid w:val="00D00AF8"/>
    <w:rsid w:val="00D013F2"/>
    <w:rsid w:val="00D02901"/>
    <w:rsid w:val="00D02A16"/>
    <w:rsid w:val="00D03133"/>
    <w:rsid w:val="00D0332C"/>
    <w:rsid w:val="00D059A4"/>
    <w:rsid w:val="00D05CDB"/>
    <w:rsid w:val="00D06A95"/>
    <w:rsid w:val="00D073A8"/>
    <w:rsid w:val="00D07BD5"/>
    <w:rsid w:val="00D07D2E"/>
    <w:rsid w:val="00D1115C"/>
    <w:rsid w:val="00D11E36"/>
    <w:rsid w:val="00D122BB"/>
    <w:rsid w:val="00D1336D"/>
    <w:rsid w:val="00D140CE"/>
    <w:rsid w:val="00D15727"/>
    <w:rsid w:val="00D1633B"/>
    <w:rsid w:val="00D16803"/>
    <w:rsid w:val="00D16937"/>
    <w:rsid w:val="00D169F1"/>
    <w:rsid w:val="00D16B12"/>
    <w:rsid w:val="00D177BF"/>
    <w:rsid w:val="00D17916"/>
    <w:rsid w:val="00D17FC1"/>
    <w:rsid w:val="00D2031B"/>
    <w:rsid w:val="00D20CFE"/>
    <w:rsid w:val="00D21B7C"/>
    <w:rsid w:val="00D21D03"/>
    <w:rsid w:val="00D22E21"/>
    <w:rsid w:val="00D2352A"/>
    <w:rsid w:val="00D235D1"/>
    <w:rsid w:val="00D237BF"/>
    <w:rsid w:val="00D23C12"/>
    <w:rsid w:val="00D24525"/>
    <w:rsid w:val="00D24CA7"/>
    <w:rsid w:val="00D25FE2"/>
    <w:rsid w:val="00D26270"/>
    <w:rsid w:val="00D30967"/>
    <w:rsid w:val="00D314A5"/>
    <w:rsid w:val="00D315C7"/>
    <w:rsid w:val="00D32160"/>
    <w:rsid w:val="00D32638"/>
    <w:rsid w:val="00D3368C"/>
    <w:rsid w:val="00D33F89"/>
    <w:rsid w:val="00D3544D"/>
    <w:rsid w:val="00D36A5E"/>
    <w:rsid w:val="00D36FC7"/>
    <w:rsid w:val="00D371E2"/>
    <w:rsid w:val="00D416A5"/>
    <w:rsid w:val="00D42FE5"/>
    <w:rsid w:val="00D43252"/>
    <w:rsid w:val="00D436AF"/>
    <w:rsid w:val="00D43769"/>
    <w:rsid w:val="00D43931"/>
    <w:rsid w:val="00D44B57"/>
    <w:rsid w:val="00D44E96"/>
    <w:rsid w:val="00D44F86"/>
    <w:rsid w:val="00D451F4"/>
    <w:rsid w:val="00D45638"/>
    <w:rsid w:val="00D456CB"/>
    <w:rsid w:val="00D45A02"/>
    <w:rsid w:val="00D45F33"/>
    <w:rsid w:val="00D45F66"/>
    <w:rsid w:val="00D46025"/>
    <w:rsid w:val="00D4701B"/>
    <w:rsid w:val="00D474EE"/>
    <w:rsid w:val="00D47798"/>
    <w:rsid w:val="00D478D2"/>
    <w:rsid w:val="00D47C02"/>
    <w:rsid w:val="00D47D4B"/>
    <w:rsid w:val="00D47EEA"/>
    <w:rsid w:val="00D502B9"/>
    <w:rsid w:val="00D50376"/>
    <w:rsid w:val="00D50963"/>
    <w:rsid w:val="00D50C27"/>
    <w:rsid w:val="00D50DA9"/>
    <w:rsid w:val="00D50DC5"/>
    <w:rsid w:val="00D51C61"/>
    <w:rsid w:val="00D51DE2"/>
    <w:rsid w:val="00D53211"/>
    <w:rsid w:val="00D5431E"/>
    <w:rsid w:val="00D547CD"/>
    <w:rsid w:val="00D55AAB"/>
    <w:rsid w:val="00D56127"/>
    <w:rsid w:val="00D563D1"/>
    <w:rsid w:val="00D565B2"/>
    <w:rsid w:val="00D5696D"/>
    <w:rsid w:val="00D57669"/>
    <w:rsid w:val="00D57CFA"/>
    <w:rsid w:val="00D60211"/>
    <w:rsid w:val="00D608BC"/>
    <w:rsid w:val="00D60951"/>
    <w:rsid w:val="00D61175"/>
    <w:rsid w:val="00D61B32"/>
    <w:rsid w:val="00D62C54"/>
    <w:rsid w:val="00D62DB6"/>
    <w:rsid w:val="00D64A52"/>
    <w:rsid w:val="00D652A5"/>
    <w:rsid w:val="00D65343"/>
    <w:rsid w:val="00D65774"/>
    <w:rsid w:val="00D65961"/>
    <w:rsid w:val="00D65D2E"/>
    <w:rsid w:val="00D65FEB"/>
    <w:rsid w:val="00D66FD5"/>
    <w:rsid w:val="00D673BD"/>
    <w:rsid w:val="00D6796D"/>
    <w:rsid w:val="00D67D77"/>
    <w:rsid w:val="00D7139F"/>
    <w:rsid w:val="00D71408"/>
    <w:rsid w:val="00D714BE"/>
    <w:rsid w:val="00D7155B"/>
    <w:rsid w:val="00D71A30"/>
    <w:rsid w:val="00D71B39"/>
    <w:rsid w:val="00D7289A"/>
    <w:rsid w:val="00D729AA"/>
    <w:rsid w:val="00D73395"/>
    <w:rsid w:val="00D74314"/>
    <w:rsid w:val="00D74FD8"/>
    <w:rsid w:val="00D75D17"/>
    <w:rsid w:val="00D765C6"/>
    <w:rsid w:val="00D76A41"/>
    <w:rsid w:val="00D77306"/>
    <w:rsid w:val="00D773CB"/>
    <w:rsid w:val="00D773DF"/>
    <w:rsid w:val="00D801C8"/>
    <w:rsid w:val="00D8172F"/>
    <w:rsid w:val="00D81D4C"/>
    <w:rsid w:val="00D821E3"/>
    <w:rsid w:val="00D823A8"/>
    <w:rsid w:val="00D825B7"/>
    <w:rsid w:val="00D82C30"/>
    <w:rsid w:val="00D85369"/>
    <w:rsid w:val="00D8608A"/>
    <w:rsid w:val="00D8634A"/>
    <w:rsid w:val="00D86560"/>
    <w:rsid w:val="00D865B1"/>
    <w:rsid w:val="00D86C43"/>
    <w:rsid w:val="00D87085"/>
    <w:rsid w:val="00D8743A"/>
    <w:rsid w:val="00D87FE9"/>
    <w:rsid w:val="00D90CD1"/>
    <w:rsid w:val="00D91253"/>
    <w:rsid w:val="00D91AEA"/>
    <w:rsid w:val="00D91D88"/>
    <w:rsid w:val="00D92973"/>
    <w:rsid w:val="00D929AD"/>
    <w:rsid w:val="00D92A54"/>
    <w:rsid w:val="00D92C6C"/>
    <w:rsid w:val="00D936CC"/>
    <w:rsid w:val="00D95303"/>
    <w:rsid w:val="00D96985"/>
    <w:rsid w:val="00D976B0"/>
    <w:rsid w:val="00D978C6"/>
    <w:rsid w:val="00DA0077"/>
    <w:rsid w:val="00DA11E6"/>
    <w:rsid w:val="00DA1509"/>
    <w:rsid w:val="00DA20B6"/>
    <w:rsid w:val="00DA2671"/>
    <w:rsid w:val="00DA343D"/>
    <w:rsid w:val="00DA3733"/>
    <w:rsid w:val="00DA3826"/>
    <w:rsid w:val="00DA3C1C"/>
    <w:rsid w:val="00DA510B"/>
    <w:rsid w:val="00DA7073"/>
    <w:rsid w:val="00DA7121"/>
    <w:rsid w:val="00DA733A"/>
    <w:rsid w:val="00DA7684"/>
    <w:rsid w:val="00DA7750"/>
    <w:rsid w:val="00DB0E6A"/>
    <w:rsid w:val="00DB0E8F"/>
    <w:rsid w:val="00DB26EB"/>
    <w:rsid w:val="00DB29CA"/>
    <w:rsid w:val="00DB2A48"/>
    <w:rsid w:val="00DB2A5C"/>
    <w:rsid w:val="00DB2D25"/>
    <w:rsid w:val="00DB334C"/>
    <w:rsid w:val="00DB3DFB"/>
    <w:rsid w:val="00DB66F5"/>
    <w:rsid w:val="00DB758A"/>
    <w:rsid w:val="00DB75ED"/>
    <w:rsid w:val="00DB79C9"/>
    <w:rsid w:val="00DB7C78"/>
    <w:rsid w:val="00DC2C55"/>
    <w:rsid w:val="00DC303D"/>
    <w:rsid w:val="00DC3B86"/>
    <w:rsid w:val="00DC460F"/>
    <w:rsid w:val="00DC5061"/>
    <w:rsid w:val="00DC51CE"/>
    <w:rsid w:val="00DC6F8C"/>
    <w:rsid w:val="00DD054B"/>
    <w:rsid w:val="00DD0CBB"/>
    <w:rsid w:val="00DD19ED"/>
    <w:rsid w:val="00DD299F"/>
    <w:rsid w:val="00DD3246"/>
    <w:rsid w:val="00DD3454"/>
    <w:rsid w:val="00DD45AF"/>
    <w:rsid w:val="00DD4D6D"/>
    <w:rsid w:val="00DD5493"/>
    <w:rsid w:val="00DD59E9"/>
    <w:rsid w:val="00DD6149"/>
    <w:rsid w:val="00DD7055"/>
    <w:rsid w:val="00DD7208"/>
    <w:rsid w:val="00DD73B0"/>
    <w:rsid w:val="00DD7876"/>
    <w:rsid w:val="00DE0095"/>
    <w:rsid w:val="00DE0810"/>
    <w:rsid w:val="00DE0F2B"/>
    <w:rsid w:val="00DE0FB2"/>
    <w:rsid w:val="00DE11FB"/>
    <w:rsid w:val="00DE173E"/>
    <w:rsid w:val="00DE241E"/>
    <w:rsid w:val="00DE2C76"/>
    <w:rsid w:val="00DE31B9"/>
    <w:rsid w:val="00DE36A8"/>
    <w:rsid w:val="00DE568E"/>
    <w:rsid w:val="00DE5826"/>
    <w:rsid w:val="00DE633B"/>
    <w:rsid w:val="00DE6995"/>
    <w:rsid w:val="00DE6F0E"/>
    <w:rsid w:val="00DE6F2D"/>
    <w:rsid w:val="00DE7F69"/>
    <w:rsid w:val="00DF0462"/>
    <w:rsid w:val="00DF0828"/>
    <w:rsid w:val="00DF1179"/>
    <w:rsid w:val="00DF15A3"/>
    <w:rsid w:val="00DF2618"/>
    <w:rsid w:val="00DF27AE"/>
    <w:rsid w:val="00DF2A9B"/>
    <w:rsid w:val="00DF41D6"/>
    <w:rsid w:val="00DF4399"/>
    <w:rsid w:val="00DF4FFB"/>
    <w:rsid w:val="00DF5EC5"/>
    <w:rsid w:val="00DF78E1"/>
    <w:rsid w:val="00DF7E23"/>
    <w:rsid w:val="00E00A42"/>
    <w:rsid w:val="00E00D49"/>
    <w:rsid w:val="00E021A0"/>
    <w:rsid w:val="00E0220A"/>
    <w:rsid w:val="00E027C3"/>
    <w:rsid w:val="00E03261"/>
    <w:rsid w:val="00E0353E"/>
    <w:rsid w:val="00E03667"/>
    <w:rsid w:val="00E046DF"/>
    <w:rsid w:val="00E04A4C"/>
    <w:rsid w:val="00E05A37"/>
    <w:rsid w:val="00E06F01"/>
    <w:rsid w:val="00E07438"/>
    <w:rsid w:val="00E07573"/>
    <w:rsid w:val="00E07C6F"/>
    <w:rsid w:val="00E07E23"/>
    <w:rsid w:val="00E10976"/>
    <w:rsid w:val="00E10FC3"/>
    <w:rsid w:val="00E11A51"/>
    <w:rsid w:val="00E12093"/>
    <w:rsid w:val="00E120EE"/>
    <w:rsid w:val="00E122DD"/>
    <w:rsid w:val="00E138FC"/>
    <w:rsid w:val="00E13A7E"/>
    <w:rsid w:val="00E13BB7"/>
    <w:rsid w:val="00E14187"/>
    <w:rsid w:val="00E1527A"/>
    <w:rsid w:val="00E152B3"/>
    <w:rsid w:val="00E15878"/>
    <w:rsid w:val="00E15FF8"/>
    <w:rsid w:val="00E1638C"/>
    <w:rsid w:val="00E16492"/>
    <w:rsid w:val="00E16865"/>
    <w:rsid w:val="00E16A10"/>
    <w:rsid w:val="00E16C70"/>
    <w:rsid w:val="00E170A3"/>
    <w:rsid w:val="00E17338"/>
    <w:rsid w:val="00E20A1B"/>
    <w:rsid w:val="00E20B60"/>
    <w:rsid w:val="00E213E7"/>
    <w:rsid w:val="00E2187D"/>
    <w:rsid w:val="00E225CA"/>
    <w:rsid w:val="00E22D2D"/>
    <w:rsid w:val="00E23A5F"/>
    <w:rsid w:val="00E248D5"/>
    <w:rsid w:val="00E266E9"/>
    <w:rsid w:val="00E26EDB"/>
    <w:rsid w:val="00E27346"/>
    <w:rsid w:val="00E30DA9"/>
    <w:rsid w:val="00E31590"/>
    <w:rsid w:val="00E3243B"/>
    <w:rsid w:val="00E32563"/>
    <w:rsid w:val="00E32F12"/>
    <w:rsid w:val="00E33011"/>
    <w:rsid w:val="00E330D3"/>
    <w:rsid w:val="00E34CCD"/>
    <w:rsid w:val="00E3505D"/>
    <w:rsid w:val="00E35258"/>
    <w:rsid w:val="00E353F7"/>
    <w:rsid w:val="00E35C06"/>
    <w:rsid w:val="00E36ACA"/>
    <w:rsid w:val="00E3724D"/>
    <w:rsid w:val="00E4097B"/>
    <w:rsid w:val="00E40BD0"/>
    <w:rsid w:val="00E41014"/>
    <w:rsid w:val="00E414E7"/>
    <w:rsid w:val="00E4377A"/>
    <w:rsid w:val="00E43FEF"/>
    <w:rsid w:val="00E4411E"/>
    <w:rsid w:val="00E44AFD"/>
    <w:rsid w:val="00E44C0E"/>
    <w:rsid w:val="00E450EE"/>
    <w:rsid w:val="00E45508"/>
    <w:rsid w:val="00E460EC"/>
    <w:rsid w:val="00E47636"/>
    <w:rsid w:val="00E4790E"/>
    <w:rsid w:val="00E47B26"/>
    <w:rsid w:val="00E47CEE"/>
    <w:rsid w:val="00E5001F"/>
    <w:rsid w:val="00E5054E"/>
    <w:rsid w:val="00E50911"/>
    <w:rsid w:val="00E50B99"/>
    <w:rsid w:val="00E50FEA"/>
    <w:rsid w:val="00E52EA5"/>
    <w:rsid w:val="00E52F10"/>
    <w:rsid w:val="00E53261"/>
    <w:rsid w:val="00E540A9"/>
    <w:rsid w:val="00E54415"/>
    <w:rsid w:val="00E5457D"/>
    <w:rsid w:val="00E5476C"/>
    <w:rsid w:val="00E55A10"/>
    <w:rsid w:val="00E5616C"/>
    <w:rsid w:val="00E57814"/>
    <w:rsid w:val="00E57988"/>
    <w:rsid w:val="00E6055D"/>
    <w:rsid w:val="00E6066F"/>
    <w:rsid w:val="00E60F63"/>
    <w:rsid w:val="00E6169D"/>
    <w:rsid w:val="00E61AFE"/>
    <w:rsid w:val="00E62A32"/>
    <w:rsid w:val="00E62EEB"/>
    <w:rsid w:val="00E64483"/>
    <w:rsid w:val="00E64CD8"/>
    <w:rsid w:val="00E64F7F"/>
    <w:rsid w:val="00E653D3"/>
    <w:rsid w:val="00E65D22"/>
    <w:rsid w:val="00E66615"/>
    <w:rsid w:val="00E667D9"/>
    <w:rsid w:val="00E66C88"/>
    <w:rsid w:val="00E674F6"/>
    <w:rsid w:val="00E67A68"/>
    <w:rsid w:val="00E67B94"/>
    <w:rsid w:val="00E7000F"/>
    <w:rsid w:val="00E7046F"/>
    <w:rsid w:val="00E7068A"/>
    <w:rsid w:val="00E708B8"/>
    <w:rsid w:val="00E716E3"/>
    <w:rsid w:val="00E71BC8"/>
    <w:rsid w:val="00E72134"/>
    <w:rsid w:val="00E7244A"/>
    <w:rsid w:val="00E7260F"/>
    <w:rsid w:val="00E728D3"/>
    <w:rsid w:val="00E72B58"/>
    <w:rsid w:val="00E72C5F"/>
    <w:rsid w:val="00E733EC"/>
    <w:rsid w:val="00E73EF6"/>
    <w:rsid w:val="00E73F5D"/>
    <w:rsid w:val="00E744E8"/>
    <w:rsid w:val="00E74B39"/>
    <w:rsid w:val="00E74E26"/>
    <w:rsid w:val="00E75E01"/>
    <w:rsid w:val="00E7643A"/>
    <w:rsid w:val="00E7734F"/>
    <w:rsid w:val="00E77E4E"/>
    <w:rsid w:val="00E77F36"/>
    <w:rsid w:val="00E80658"/>
    <w:rsid w:val="00E81F2E"/>
    <w:rsid w:val="00E822CC"/>
    <w:rsid w:val="00E82606"/>
    <w:rsid w:val="00E827BA"/>
    <w:rsid w:val="00E82AAC"/>
    <w:rsid w:val="00E82CA0"/>
    <w:rsid w:val="00E82ED2"/>
    <w:rsid w:val="00E832AF"/>
    <w:rsid w:val="00E839EB"/>
    <w:rsid w:val="00E852F6"/>
    <w:rsid w:val="00E85698"/>
    <w:rsid w:val="00E85E55"/>
    <w:rsid w:val="00E8629B"/>
    <w:rsid w:val="00E86523"/>
    <w:rsid w:val="00E86C86"/>
    <w:rsid w:val="00E86D76"/>
    <w:rsid w:val="00E871F7"/>
    <w:rsid w:val="00E87EFD"/>
    <w:rsid w:val="00E9060B"/>
    <w:rsid w:val="00E90BEA"/>
    <w:rsid w:val="00E90F01"/>
    <w:rsid w:val="00E910EC"/>
    <w:rsid w:val="00E9137B"/>
    <w:rsid w:val="00E91A19"/>
    <w:rsid w:val="00E926F7"/>
    <w:rsid w:val="00E9275B"/>
    <w:rsid w:val="00E928DE"/>
    <w:rsid w:val="00E92B09"/>
    <w:rsid w:val="00E92C79"/>
    <w:rsid w:val="00E92F01"/>
    <w:rsid w:val="00E92F16"/>
    <w:rsid w:val="00E93CAC"/>
    <w:rsid w:val="00E945B9"/>
    <w:rsid w:val="00E94839"/>
    <w:rsid w:val="00E954B2"/>
    <w:rsid w:val="00E95E32"/>
    <w:rsid w:val="00E96630"/>
    <w:rsid w:val="00E96EF1"/>
    <w:rsid w:val="00E96FBE"/>
    <w:rsid w:val="00E97ABA"/>
    <w:rsid w:val="00EA0591"/>
    <w:rsid w:val="00EA1D75"/>
    <w:rsid w:val="00EA1DE5"/>
    <w:rsid w:val="00EA2283"/>
    <w:rsid w:val="00EA2775"/>
    <w:rsid w:val="00EA29C9"/>
    <w:rsid w:val="00EA2C07"/>
    <w:rsid w:val="00EA4FB4"/>
    <w:rsid w:val="00EA5035"/>
    <w:rsid w:val="00EA6B7C"/>
    <w:rsid w:val="00EA6DEC"/>
    <w:rsid w:val="00EA754C"/>
    <w:rsid w:val="00EA75E0"/>
    <w:rsid w:val="00EA7A7A"/>
    <w:rsid w:val="00EB0255"/>
    <w:rsid w:val="00EB0DCA"/>
    <w:rsid w:val="00EB1138"/>
    <w:rsid w:val="00EB1245"/>
    <w:rsid w:val="00EB1637"/>
    <w:rsid w:val="00EB1975"/>
    <w:rsid w:val="00EB1E69"/>
    <w:rsid w:val="00EB2108"/>
    <w:rsid w:val="00EB2361"/>
    <w:rsid w:val="00EB2CCF"/>
    <w:rsid w:val="00EB3642"/>
    <w:rsid w:val="00EB3A1B"/>
    <w:rsid w:val="00EB408B"/>
    <w:rsid w:val="00EB40B2"/>
    <w:rsid w:val="00EB4F8A"/>
    <w:rsid w:val="00EB53AC"/>
    <w:rsid w:val="00EB5487"/>
    <w:rsid w:val="00EB62FF"/>
    <w:rsid w:val="00EB6664"/>
    <w:rsid w:val="00EB70E7"/>
    <w:rsid w:val="00EB73ED"/>
    <w:rsid w:val="00EC08B0"/>
    <w:rsid w:val="00EC1182"/>
    <w:rsid w:val="00EC140A"/>
    <w:rsid w:val="00EC1470"/>
    <w:rsid w:val="00EC2522"/>
    <w:rsid w:val="00EC2685"/>
    <w:rsid w:val="00EC2C3B"/>
    <w:rsid w:val="00EC2E8B"/>
    <w:rsid w:val="00EC3562"/>
    <w:rsid w:val="00EC376B"/>
    <w:rsid w:val="00EC44A6"/>
    <w:rsid w:val="00EC4B24"/>
    <w:rsid w:val="00EC6ACF"/>
    <w:rsid w:val="00EC6BDB"/>
    <w:rsid w:val="00EC767F"/>
    <w:rsid w:val="00ED0E66"/>
    <w:rsid w:val="00ED0FE5"/>
    <w:rsid w:val="00ED1599"/>
    <w:rsid w:val="00ED217C"/>
    <w:rsid w:val="00ED305B"/>
    <w:rsid w:val="00ED30CF"/>
    <w:rsid w:val="00ED3496"/>
    <w:rsid w:val="00ED3FFA"/>
    <w:rsid w:val="00ED58E2"/>
    <w:rsid w:val="00ED5AD2"/>
    <w:rsid w:val="00ED60ED"/>
    <w:rsid w:val="00ED734F"/>
    <w:rsid w:val="00ED7A2A"/>
    <w:rsid w:val="00ED7F0F"/>
    <w:rsid w:val="00EE04C9"/>
    <w:rsid w:val="00EE07B0"/>
    <w:rsid w:val="00EE0EA4"/>
    <w:rsid w:val="00EE15D4"/>
    <w:rsid w:val="00EE2F55"/>
    <w:rsid w:val="00EE3505"/>
    <w:rsid w:val="00EE36A0"/>
    <w:rsid w:val="00EE3DDA"/>
    <w:rsid w:val="00EE409E"/>
    <w:rsid w:val="00EE40F7"/>
    <w:rsid w:val="00EE416C"/>
    <w:rsid w:val="00EE440B"/>
    <w:rsid w:val="00EE465B"/>
    <w:rsid w:val="00EE46C3"/>
    <w:rsid w:val="00EE48A3"/>
    <w:rsid w:val="00EE5072"/>
    <w:rsid w:val="00EE5330"/>
    <w:rsid w:val="00EE5734"/>
    <w:rsid w:val="00EE63C4"/>
    <w:rsid w:val="00EE646C"/>
    <w:rsid w:val="00EE68EC"/>
    <w:rsid w:val="00EF08BA"/>
    <w:rsid w:val="00EF1487"/>
    <w:rsid w:val="00EF1D7F"/>
    <w:rsid w:val="00EF25C6"/>
    <w:rsid w:val="00EF2AA7"/>
    <w:rsid w:val="00EF3148"/>
    <w:rsid w:val="00EF3446"/>
    <w:rsid w:val="00EF370C"/>
    <w:rsid w:val="00EF371C"/>
    <w:rsid w:val="00EF3DB8"/>
    <w:rsid w:val="00EF406E"/>
    <w:rsid w:val="00EF554F"/>
    <w:rsid w:val="00EF63B5"/>
    <w:rsid w:val="00EF64C4"/>
    <w:rsid w:val="00EF6701"/>
    <w:rsid w:val="00EF7F41"/>
    <w:rsid w:val="00F0126B"/>
    <w:rsid w:val="00F012C6"/>
    <w:rsid w:val="00F0153D"/>
    <w:rsid w:val="00F032B7"/>
    <w:rsid w:val="00F03C62"/>
    <w:rsid w:val="00F03F14"/>
    <w:rsid w:val="00F046BF"/>
    <w:rsid w:val="00F04CAC"/>
    <w:rsid w:val="00F0649D"/>
    <w:rsid w:val="00F06F38"/>
    <w:rsid w:val="00F10D41"/>
    <w:rsid w:val="00F10F02"/>
    <w:rsid w:val="00F1104C"/>
    <w:rsid w:val="00F110C6"/>
    <w:rsid w:val="00F1132C"/>
    <w:rsid w:val="00F12424"/>
    <w:rsid w:val="00F131F5"/>
    <w:rsid w:val="00F13E01"/>
    <w:rsid w:val="00F14503"/>
    <w:rsid w:val="00F17CD5"/>
    <w:rsid w:val="00F17D6B"/>
    <w:rsid w:val="00F20791"/>
    <w:rsid w:val="00F20E01"/>
    <w:rsid w:val="00F216B1"/>
    <w:rsid w:val="00F2186F"/>
    <w:rsid w:val="00F21875"/>
    <w:rsid w:val="00F218FA"/>
    <w:rsid w:val="00F22FDC"/>
    <w:rsid w:val="00F24991"/>
    <w:rsid w:val="00F2510A"/>
    <w:rsid w:val="00F3197F"/>
    <w:rsid w:val="00F31E5F"/>
    <w:rsid w:val="00F3287D"/>
    <w:rsid w:val="00F32979"/>
    <w:rsid w:val="00F32CD6"/>
    <w:rsid w:val="00F33BC7"/>
    <w:rsid w:val="00F3458A"/>
    <w:rsid w:val="00F34C26"/>
    <w:rsid w:val="00F37105"/>
    <w:rsid w:val="00F3717D"/>
    <w:rsid w:val="00F378C1"/>
    <w:rsid w:val="00F40032"/>
    <w:rsid w:val="00F4099E"/>
    <w:rsid w:val="00F40D04"/>
    <w:rsid w:val="00F4171C"/>
    <w:rsid w:val="00F41B23"/>
    <w:rsid w:val="00F41CFC"/>
    <w:rsid w:val="00F42698"/>
    <w:rsid w:val="00F43209"/>
    <w:rsid w:val="00F437B0"/>
    <w:rsid w:val="00F4403E"/>
    <w:rsid w:val="00F443FA"/>
    <w:rsid w:val="00F44EBC"/>
    <w:rsid w:val="00F4521D"/>
    <w:rsid w:val="00F455EF"/>
    <w:rsid w:val="00F45C80"/>
    <w:rsid w:val="00F46D2C"/>
    <w:rsid w:val="00F4713D"/>
    <w:rsid w:val="00F50602"/>
    <w:rsid w:val="00F50A44"/>
    <w:rsid w:val="00F51576"/>
    <w:rsid w:val="00F51A98"/>
    <w:rsid w:val="00F52366"/>
    <w:rsid w:val="00F524CE"/>
    <w:rsid w:val="00F529AF"/>
    <w:rsid w:val="00F5431B"/>
    <w:rsid w:val="00F54E70"/>
    <w:rsid w:val="00F55853"/>
    <w:rsid w:val="00F569B6"/>
    <w:rsid w:val="00F56C8E"/>
    <w:rsid w:val="00F5715E"/>
    <w:rsid w:val="00F57812"/>
    <w:rsid w:val="00F60BEC"/>
    <w:rsid w:val="00F60D13"/>
    <w:rsid w:val="00F6100A"/>
    <w:rsid w:val="00F618F5"/>
    <w:rsid w:val="00F6230B"/>
    <w:rsid w:val="00F62CBE"/>
    <w:rsid w:val="00F65C4D"/>
    <w:rsid w:val="00F65F52"/>
    <w:rsid w:val="00F66788"/>
    <w:rsid w:val="00F67458"/>
    <w:rsid w:val="00F67B7A"/>
    <w:rsid w:val="00F70AB1"/>
    <w:rsid w:val="00F72FC3"/>
    <w:rsid w:val="00F7359F"/>
    <w:rsid w:val="00F73605"/>
    <w:rsid w:val="00F73B24"/>
    <w:rsid w:val="00F744E3"/>
    <w:rsid w:val="00F74917"/>
    <w:rsid w:val="00F754F2"/>
    <w:rsid w:val="00F754F8"/>
    <w:rsid w:val="00F75717"/>
    <w:rsid w:val="00F76024"/>
    <w:rsid w:val="00F77F69"/>
    <w:rsid w:val="00F80287"/>
    <w:rsid w:val="00F818B2"/>
    <w:rsid w:val="00F81C03"/>
    <w:rsid w:val="00F82144"/>
    <w:rsid w:val="00F82B75"/>
    <w:rsid w:val="00F82CC0"/>
    <w:rsid w:val="00F831C5"/>
    <w:rsid w:val="00F8394C"/>
    <w:rsid w:val="00F848EA"/>
    <w:rsid w:val="00F85EC0"/>
    <w:rsid w:val="00F874CE"/>
    <w:rsid w:val="00F87554"/>
    <w:rsid w:val="00F875B3"/>
    <w:rsid w:val="00F87961"/>
    <w:rsid w:val="00F91533"/>
    <w:rsid w:val="00F9158D"/>
    <w:rsid w:val="00F923D1"/>
    <w:rsid w:val="00F9257E"/>
    <w:rsid w:val="00F925D2"/>
    <w:rsid w:val="00F9298F"/>
    <w:rsid w:val="00F92D22"/>
    <w:rsid w:val="00F92DED"/>
    <w:rsid w:val="00F9334F"/>
    <w:rsid w:val="00F93781"/>
    <w:rsid w:val="00F93D3E"/>
    <w:rsid w:val="00F93E2D"/>
    <w:rsid w:val="00F93EFA"/>
    <w:rsid w:val="00F9436A"/>
    <w:rsid w:val="00F9499E"/>
    <w:rsid w:val="00F94A6D"/>
    <w:rsid w:val="00F95051"/>
    <w:rsid w:val="00F95649"/>
    <w:rsid w:val="00F96833"/>
    <w:rsid w:val="00F96F1E"/>
    <w:rsid w:val="00F96F84"/>
    <w:rsid w:val="00F97506"/>
    <w:rsid w:val="00FA0753"/>
    <w:rsid w:val="00FA08B0"/>
    <w:rsid w:val="00FA0D3A"/>
    <w:rsid w:val="00FA180F"/>
    <w:rsid w:val="00FA3271"/>
    <w:rsid w:val="00FA43E9"/>
    <w:rsid w:val="00FA457E"/>
    <w:rsid w:val="00FA51CF"/>
    <w:rsid w:val="00FA5913"/>
    <w:rsid w:val="00FA5F94"/>
    <w:rsid w:val="00FA6678"/>
    <w:rsid w:val="00FA6914"/>
    <w:rsid w:val="00FA6E56"/>
    <w:rsid w:val="00FA7712"/>
    <w:rsid w:val="00FA7B96"/>
    <w:rsid w:val="00FB0108"/>
    <w:rsid w:val="00FB05A3"/>
    <w:rsid w:val="00FB05A5"/>
    <w:rsid w:val="00FB0735"/>
    <w:rsid w:val="00FB0FDD"/>
    <w:rsid w:val="00FB12E0"/>
    <w:rsid w:val="00FB152E"/>
    <w:rsid w:val="00FB2B79"/>
    <w:rsid w:val="00FB3286"/>
    <w:rsid w:val="00FB3E6A"/>
    <w:rsid w:val="00FB613B"/>
    <w:rsid w:val="00FB680A"/>
    <w:rsid w:val="00FB7968"/>
    <w:rsid w:val="00FB7A89"/>
    <w:rsid w:val="00FC108C"/>
    <w:rsid w:val="00FC15A0"/>
    <w:rsid w:val="00FC1BFB"/>
    <w:rsid w:val="00FC28E5"/>
    <w:rsid w:val="00FC30B7"/>
    <w:rsid w:val="00FC32A9"/>
    <w:rsid w:val="00FC334E"/>
    <w:rsid w:val="00FC3482"/>
    <w:rsid w:val="00FC3F02"/>
    <w:rsid w:val="00FC5C1B"/>
    <w:rsid w:val="00FC5F70"/>
    <w:rsid w:val="00FC6150"/>
    <w:rsid w:val="00FC6155"/>
    <w:rsid w:val="00FC635E"/>
    <w:rsid w:val="00FC657D"/>
    <w:rsid w:val="00FC65E5"/>
    <w:rsid w:val="00FC67CB"/>
    <w:rsid w:val="00FC68B7"/>
    <w:rsid w:val="00FC6AA0"/>
    <w:rsid w:val="00FC6BE4"/>
    <w:rsid w:val="00FC6FE1"/>
    <w:rsid w:val="00FC7060"/>
    <w:rsid w:val="00FD0148"/>
    <w:rsid w:val="00FD0251"/>
    <w:rsid w:val="00FD105D"/>
    <w:rsid w:val="00FD1374"/>
    <w:rsid w:val="00FD1556"/>
    <w:rsid w:val="00FD1CE7"/>
    <w:rsid w:val="00FD27AA"/>
    <w:rsid w:val="00FD2ACF"/>
    <w:rsid w:val="00FD2D2D"/>
    <w:rsid w:val="00FD3079"/>
    <w:rsid w:val="00FD3F98"/>
    <w:rsid w:val="00FD4925"/>
    <w:rsid w:val="00FD5B58"/>
    <w:rsid w:val="00FD6620"/>
    <w:rsid w:val="00FD741E"/>
    <w:rsid w:val="00FD796E"/>
    <w:rsid w:val="00FD7976"/>
    <w:rsid w:val="00FD79D5"/>
    <w:rsid w:val="00FD7E0F"/>
    <w:rsid w:val="00FE01A5"/>
    <w:rsid w:val="00FE0206"/>
    <w:rsid w:val="00FE08AE"/>
    <w:rsid w:val="00FE0E5C"/>
    <w:rsid w:val="00FE106A"/>
    <w:rsid w:val="00FE2150"/>
    <w:rsid w:val="00FE2C36"/>
    <w:rsid w:val="00FE2DF4"/>
    <w:rsid w:val="00FE3EEF"/>
    <w:rsid w:val="00FE4746"/>
    <w:rsid w:val="00FE4EF6"/>
    <w:rsid w:val="00FE60A7"/>
    <w:rsid w:val="00FE6729"/>
    <w:rsid w:val="00FE7205"/>
    <w:rsid w:val="00FE7AFF"/>
    <w:rsid w:val="00FE7F77"/>
    <w:rsid w:val="00FF036B"/>
    <w:rsid w:val="00FF0F2E"/>
    <w:rsid w:val="00FF145D"/>
    <w:rsid w:val="00FF2295"/>
    <w:rsid w:val="00FF267A"/>
    <w:rsid w:val="00FF2A8A"/>
    <w:rsid w:val="00FF39F5"/>
    <w:rsid w:val="00FF55E6"/>
    <w:rsid w:val="00FF64F3"/>
    <w:rsid w:val="00FF7329"/>
    <w:rsid w:val="00FF796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B9A3B"/>
  <w15:chartTrackingRefBased/>
  <w15:docId w15:val="{9B595FAB-C0E8-428B-8149-6301EE4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FDA"/>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uiPriority w:val="99"/>
    <w:rsid w:val="00DC5061"/>
    <w:rPr>
      <w:rFonts w:ascii="Times New Roman" w:hAnsi="Times New Roman"/>
      <w:sz w:val="18"/>
      <w:vertAlign w:val="superscript"/>
    </w:rPr>
  </w:style>
  <w:style w:type="paragraph" w:styleId="FootnoteText">
    <w:name w:val="footnote text"/>
    <w:aliases w:val="5_G"/>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ListParagraph">
    <w:name w:val="List Paragraph"/>
    <w:basedOn w:val="Normal"/>
    <w:uiPriority w:val="34"/>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paragraph" w:styleId="CommentSubject">
    <w:name w:val="annotation subject"/>
    <w:basedOn w:val="CommentText"/>
    <w:next w:val="CommentText"/>
    <w:link w:val="CommentSubjectChar"/>
    <w:rsid w:val="00DD054B"/>
    <w:rPr>
      <w:b/>
      <w:bCs/>
    </w:rPr>
  </w:style>
  <w:style w:type="character" w:customStyle="1" w:styleId="CommentTextChar">
    <w:name w:val="Comment Text Char"/>
    <w:link w:val="CommentText"/>
    <w:uiPriority w:val="99"/>
    <w:semiHidden/>
    <w:rsid w:val="00DD054B"/>
    <w:rPr>
      <w:lang w:val="en-GB"/>
    </w:rPr>
  </w:style>
  <w:style w:type="character" w:customStyle="1" w:styleId="CommentSubjectChar">
    <w:name w:val="Comment Subject Char"/>
    <w:link w:val="CommentSubject"/>
    <w:rsid w:val="00DD054B"/>
    <w:rPr>
      <w:b/>
      <w:bCs/>
      <w:lang w:val="en-GB"/>
    </w:rPr>
  </w:style>
  <w:style w:type="character" w:customStyle="1" w:styleId="HeaderChar">
    <w:name w:val="Header Char"/>
    <w:aliases w:val="6_G Char"/>
    <w:link w:val="Header"/>
    <w:uiPriority w:val="99"/>
    <w:rsid w:val="00C80517"/>
    <w:rPr>
      <w:b/>
      <w:sz w:val="18"/>
      <w:lang w:val="en-GB" w:eastAsia="en-US"/>
    </w:rPr>
  </w:style>
  <w:style w:type="character" w:customStyle="1" w:styleId="SingleTxtGChar">
    <w:name w:val="_ Single Txt_G Char"/>
    <w:link w:val="SingleTxtG"/>
    <w:rsid w:val="00CD55BB"/>
    <w:rPr>
      <w:lang w:val="en-GB" w:eastAsia="en-US"/>
    </w:rPr>
  </w:style>
  <w:style w:type="character" w:customStyle="1" w:styleId="H1GChar">
    <w:name w:val="_ H_1_G Char"/>
    <w:link w:val="H1G"/>
    <w:rsid w:val="00134691"/>
    <w:rPr>
      <w:b/>
      <w:sz w:val="24"/>
      <w:lang w:val="en-GB" w:eastAsia="en-US"/>
    </w:rPr>
  </w:style>
  <w:style w:type="character" w:customStyle="1" w:styleId="FootnoteTextChar">
    <w:name w:val="Footnote Text Char"/>
    <w:aliases w:val="5_G Char"/>
    <w:link w:val="FootnoteText"/>
    <w:uiPriority w:val="99"/>
    <w:rsid w:val="006442DA"/>
    <w:rPr>
      <w:sz w:val="18"/>
      <w:lang w:val="en-GB" w:eastAsia="en-US"/>
    </w:rPr>
  </w:style>
  <w:style w:type="character" w:customStyle="1" w:styleId="Heading5Char">
    <w:name w:val="Heading 5 Char"/>
    <w:link w:val="Heading5"/>
    <w:rsid w:val="000A7DEE"/>
    <w:rPr>
      <w:lang w:eastAsia="en-US"/>
    </w:rPr>
  </w:style>
  <w:style w:type="character" w:styleId="UnresolvedMention">
    <w:name w:val="Unresolved Mention"/>
    <w:uiPriority w:val="99"/>
    <w:semiHidden/>
    <w:unhideWhenUsed/>
    <w:rsid w:val="00271B2C"/>
    <w:rPr>
      <w:color w:val="605E5C"/>
      <w:shd w:val="clear" w:color="auto" w:fill="E1DFDD"/>
    </w:rPr>
  </w:style>
  <w:style w:type="paragraph" w:customStyle="1" w:styleId="align-justify">
    <w:name w:val="align-justify"/>
    <w:basedOn w:val="Normal"/>
    <w:rsid w:val="00C83040"/>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rsid w:val="00AE6A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431">
      <w:bodyDiv w:val="1"/>
      <w:marLeft w:val="0"/>
      <w:marRight w:val="0"/>
      <w:marTop w:val="0"/>
      <w:marBottom w:val="0"/>
      <w:divBdr>
        <w:top w:val="none" w:sz="0" w:space="0" w:color="auto"/>
        <w:left w:val="none" w:sz="0" w:space="0" w:color="auto"/>
        <w:bottom w:val="none" w:sz="0" w:space="0" w:color="auto"/>
        <w:right w:val="none" w:sz="0" w:space="0" w:color="auto"/>
      </w:divBdr>
    </w:div>
    <w:div w:id="42871377">
      <w:bodyDiv w:val="1"/>
      <w:marLeft w:val="0"/>
      <w:marRight w:val="0"/>
      <w:marTop w:val="0"/>
      <w:marBottom w:val="0"/>
      <w:divBdr>
        <w:top w:val="none" w:sz="0" w:space="0" w:color="auto"/>
        <w:left w:val="none" w:sz="0" w:space="0" w:color="auto"/>
        <w:bottom w:val="none" w:sz="0" w:space="0" w:color="auto"/>
        <w:right w:val="none" w:sz="0" w:space="0" w:color="auto"/>
      </w:divBdr>
    </w:div>
    <w:div w:id="158664945">
      <w:bodyDiv w:val="1"/>
      <w:marLeft w:val="0"/>
      <w:marRight w:val="0"/>
      <w:marTop w:val="0"/>
      <w:marBottom w:val="0"/>
      <w:divBdr>
        <w:top w:val="none" w:sz="0" w:space="0" w:color="auto"/>
        <w:left w:val="none" w:sz="0" w:space="0" w:color="auto"/>
        <w:bottom w:val="none" w:sz="0" w:space="0" w:color="auto"/>
        <w:right w:val="none" w:sz="0" w:space="0" w:color="auto"/>
      </w:divBdr>
      <w:divsChild>
        <w:div w:id="270665959">
          <w:marLeft w:val="0"/>
          <w:marRight w:val="0"/>
          <w:marTop w:val="0"/>
          <w:marBottom w:val="0"/>
          <w:divBdr>
            <w:top w:val="none" w:sz="0" w:space="0" w:color="auto"/>
            <w:left w:val="none" w:sz="0" w:space="0" w:color="auto"/>
            <w:bottom w:val="none" w:sz="0" w:space="0" w:color="auto"/>
            <w:right w:val="none" w:sz="0" w:space="0" w:color="auto"/>
          </w:divBdr>
        </w:div>
        <w:div w:id="484127044">
          <w:marLeft w:val="0"/>
          <w:marRight w:val="0"/>
          <w:marTop w:val="0"/>
          <w:marBottom w:val="0"/>
          <w:divBdr>
            <w:top w:val="none" w:sz="0" w:space="0" w:color="auto"/>
            <w:left w:val="none" w:sz="0" w:space="0" w:color="auto"/>
            <w:bottom w:val="none" w:sz="0" w:space="0" w:color="auto"/>
            <w:right w:val="none" w:sz="0" w:space="0" w:color="auto"/>
          </w:divBdr>
        </w:div>
        <w:div w:id="1940598564">
          <w:marLeft w:val="0"/>
          <w:marRight w:val="0"/>
          <w:marTop w:val="0"/>
          <w:marBottom w:val="0"/>
          <w:divBdr>
            <w:top w:val="none" w:sz="0" w:space="0" w:color="auto"/>
            <w:left w:val="none" w:sz="0" w:space="0" w:color="auto"/>
            <w:bottom w:val="none" w:sz="0" w:space="0" w:color="auto"/>
            <w:right w:val="none" w:sz="0" w:space="0" w:color="auto"/>
          </w:divBdr>
        </w:div>
      </w:divsChild>
    </w:div>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649746185">
      <w:bodyDiv w:val="1"/>
      <w:marLeft w:val="0"/>
      <w:marRight w:val="0"/>
      <w:marTop w:val="0"/>
      <w:marBottom w:val="0"/>
      <w:divBdr>
        <w:top w:val="none" w:sz="0" w:space="0" w:color="auto"/>
        <w:left w:val="none" w:sz="0" w:space="0" w:color="auto"/>
        <w:bottom w:val="none" w:sz="0" w:space="0" w:color="auto"/>
        <w:right w:val="none" w:sz="0" w:space="0" w:color="auto"/>
      </w:divBdr>
      <w:divsChild>
        <w:div w:id="235286512">
          <w:marLeft w:val="0"/>
          <w:marRight w:val="0"/>
          <w:marTop w:val="0"/>
          <w:marBottom w:val="0"/>
          <w:divBdr>
            <w:top w:val="none" w:sz="0" w:space="0" w:color="auto"/>
            <w:left w:val="none" w:sz="0" w:space="0" w:color="auto"/>
            <w:bottom w:val="none" w:sz="0" w:space="0" w:color="auto"/>
            <w:right w:val="none" w:sz="0" w:space="0" w:color="auto"/>
          </w:divBdr>
        </w:div>
        <w:div w:id="361593439">
          <w:marLeft w:val="0"/>
          <w:marRight w:val="0"/>
          <w:marTop w:val="0"/>
          <w:marBottom w:val="0"/>
          <w:divBdr>
            <w:top w:val="none" w:sz="0" w:space="0" w:color="auto"/>
            <w:left w:val="none" w:sz="0" w:space="0" w:color="auto"/>
            <w:bottom w:val="none" w:sz="0" w:space="0" w:color="auto"/>
            <w:right w:val="none" w:sz="0" w:space="0" w:color="auto"/>
          </w:divBdr>
        </w:div>
        <w:div w:id="430124002">
          <w:marLeft w:val="0"/>
          <w:marRight w:val="0"/>
          <w:marTop w:val="0"/>
          <w:marBottom w:val="0"/>
          <w:divBdr>
            <w:top w:val="none" w:sz="0" w:space="0" w:color="auto"/>
            <w:left w:val="none" w:sz="0" w:space="0" w:color="auto"/>
            <w:bottom w:val="none" w:sz="0" w:space="0" w:color="auto"/>
            <w:right w:val="none" w:sz="0" w:space="0" w:color="auto"/>
          </w:divBdr>
        </w:div>
        <w:div w:id="499395230">
          <w:marLeft w:val="0"/>
          <w:marRight w:val="0"/>
          <w:marTop w:val="0"/>
          <w:marBottom w:val="0"/>
          <w:divBdr>
            <w:top w:val="none" w:sz="0" w:space="0" w:color="auto"/>
            <w:left w:val="none" w:sz="0" w:space="0" w:color="auto"/>
            <w:bottom w:val="none" w:sz="0" w:space="0" w:color="auto"/>
            <w:right w:val="none" w:sz="0" w:space="0" w:color="auto"/>
          </w:divBdr>
        </w:div>
        <w:div w:id="548882918">
          <w:marLeft w:val="0"/>
          <w:marRight w:val="0"/>
          <w:marTop w:val="0"/>
          <w:marBottom w:val="0"/>
          <w:divBdr>
            <w:top w:val="none" w:sz="0" w:space="0" w:color="auto"/>
            <w:left w:val="none" w:sz="0" w:space="0" w:color="auto"/>
            <w:bottom w:val="none" w:sz="0" w:space="0" w:color="auto"/>
            <w:right w:val="none" w:sz="0" w:space="0" w:color="auto"/>
          </w:divBdr>
        </w:div>
        <w:div w:id="793864955">
          <w:marLeft w:val="0"/>
          <w:marRight w:val="0"/>
          <w:marTop w:val="0"/>
          <w:marBottom w:val="0"/>
          <w:divBdr>
            <w:top w:val="none" w:sz="0" w:space="0" w:color="auto"/>
            <w:left w:val="none" w:sz="0" w:space="0" w:color="auto"/>
            <w:bottom w:val="none" w:sz="0" w:space="0" w:color="auto"/>
            <w:right w:val="none" w:sz="0" w:space="0" w:color="auto"/>
          </w:divBdr>
        </w:div>
        <w:div w:id="863665433">
          <w:marLeft w:val="0"/>
          <w:marRight w:val="0"/>
          <w:marTop w:val="0"/>
          <w:marBottom w:val="0"/>
          <w:divBdr>
            <w:top w:val="none" w:sz="0" w:space="0" w:color="auto"/>
            <w:left w:val="none" w:sz="0" w:space="0" w:color="auto"/>
            <w:bottom w:val="none" w:sz="0" w:space="0" w:color="auto"/>
            <w:right w:val="none" w:sz="0" w:space="0" w:color="auto"/>
          </w:divBdr>
        </w:div>
        <w:div w:id="944382951">
          <w:marLeft w:val="0"/>
          <w:marRight w:val="0"/>
          <w:marTop w:val="0"/>
          <w:marBottom w:val="0"/>
          <w:divBdr>
            <w:top w:val="none" w:sz="0" w:space="0" w:color="auto"/>
            <w:left w:val="none" w:sz="0" w:space="0" w:color="auto"/>
            <w:bottom w:val="none" w:sz="0" w:space="0" w:color="auto"/>
            <w:right w:val="none" w:sz="0" w:space="0" w:color="auto"/>
          </w:divBdr>
        </w:div>
        <w:div w:id="1610888887">
          <w:marLeft w:val="0"/>
          <w:marRight w:val="0"/>
          <w:marTop w:val="0"/>
          <w:marBottom w:val="0"/>
          <w:divBdr>
            <w:top w:val="none" w:sz="0" w:space="0" w:color="auto"/>
            <w:left w:val="none" w:sz="0" w:space="0" w:color="auto"/>
            <w:bottom w:val="none" w:sz="0" w:space="0" w:color="auto"/>
            <w:right w:val="none" w:sz="0" w:space="0" w:color="auto"/>
          </w:divBdr>
        </w:div>
        <w:div w:id="1631206722">
          <w:marLeft w:val="0"/>
          <w:marRight w:val="0"/>
          <w:marTop w:val="0"/>
          <w:marBottom w:val="0"/>
          <w:divBdr>
            <w:top w:val="none" w:sz="0" w:space="0" w:color="auto"/>
            <w:left w:val="none" w:sz="0" w:space="0" w:color="auto"/>
            <w:bottom w:val="none" w:sz="0" w:space="0" w:color="auto"/>
            <w:right w:val="none" w:sz="0" w:space="0" w:color="auto"/>
          </w:divBdr>
        </w:div>
      </w:divsChild>
    </w:div>
    <w:div w:id="834691005">
      <w:bodyDiv w:val="1"/>
      <w:marLeft w:val="0"/>
      <w:marRight w:val="0"/>
      <w:marTop w:val="0"/>
      <w:marBottom w:val="0"/>
      <w:divBdr>
        <w:top w:val="none" w:sz="0" w:space="0" w:color="auto"/>
        <w:left w:val="none" w:sz="0" w:space="0" w:color="auto"/>
        <w:bottom w:val="none" w:sz="0" w:space="0" w:color="auto"/>
        <w:right w:val="none" w:sz="0" w:space="0" w:color="auto"/>
      </w:divBdr>
      <w:divsChild>
        <w:div w:id="736778669">
          <w:marLeft w:val="0"/>
          <w:marRight w:val="0"/>
          <w:marTop w:val="0"/>
          <w:marBottom w:val="0"/>
          <w:divBdr>
            <w:top w:val="none" w:sz="0" w:space="0" w:color="auto"/>
            <w:left w:val="none" w:sz="0" w:space="0" w:color="auto"/>
            <w:bottom w:val="none" w:sz="0" w:space="0" w:color="auto"/>
            <w:right w:val="none" w:sz="0" w:space="0" w:color="auto"/>
          </w:divBdr>
        </w:div>
        <w:div w:id="854030352">
          <w:marLeft w:val="0"/>
          <w:marRight w:val="0"/>
          <w:marTop w:val="0"/>
          <w:marBottom w:val="0"/>
          <w:divBdr>
            <w:top w:val="none" w:sz="0" w:space="0" w:color="auto"/>
            <w:left w:val="none" w:sz="0" w:space="0" w:color="auto"/>
            <w:bottom w:val="none" w:sz="0" w:space="0" w:color="auto"/>
            <w:right w:val="none" w:sz="0" w:space="0" w:color="auto"/>
          </w:divBdr>
        </w:div>
        <w:div w:id="1495225089">
          <w:marLeft w:val="0"/>
          <w:marRight w:val="0"/>
          <w:marTop w:val="0"/>
          <w:marBottom w:val="0"/>
          <w:divBdr>
            <w:top w:val="none" w:sz="0" w:space="0" w:color="auto"/>
            <w:left w:val="none" w:sz="0" w:space="0" w:color="auto"/>
            <w:bottom w:val="none" w:sz="0" w:space="0" w:color="auto"/>
            <w:right w:val="none" w:sz="0" w:space="0" w:color="auto"/>
          </w:divBdr>
        </w:div>
        <w:div w:id="1710568169">
          <w:marLeft w:val="0"/>
          <w:marRight w:val="0"/>
          <w:marTop w:val="0"/>
          <w:marBottom w:val="0"/>
          <w:divBdr>
            <w:top w:val="none" w:sz="0" w:space="0" w:color="auto"/>
            <w:left w:val="none" w:sz="0" w:space="0" w:color="auto"/>
            <w:bottom w:val="none" w:sz="0" w:space="0" w:color="auto"/>
            <w:right w:val="none" w:sz="0" w:space="0" w:color="auto"/>
          </w:divBdr>
        </w:div>
        <w:div w:id="1733001181">
          <w:marLeft w:val="0"/>
          <w:marRight w:val="0"/>
          <w:marTop w:val="0"/>
          <w:marBottom w:val="0"/>
          <w:divBdr>
            <w:top w:val="none" w:sz="0" w:space="0" w:color="auto"/>
            <w:left w:val="none" w:sz="0" w:space="0" w:color="auto"/>
            <w:bottom w:val="none" w:sz="0" w:space="0" w:color="auto"/>
            <w:right w:val="none" w:sz="0" w:space="0" w:color="auto"/>
          </w:divBdr>
        </w:div>
        <w:div w:id="1751580990">
          <w:marLeft w:val="0"/>
          <w:marRight w:val="0"/>
          <w:marTop w:val="0"/>
          <w:marBottom w:val="0"/>
          <w:divBdr>
            <w:top w:val="none" w:sz="0" w:space="0" w:color="auto"/>
            <w:left w:val="none" w:sz="0" w:space="0" w:color="auto"/>
            <w:bottom w:val="none" w:sz="0" w:space="0" w:color="auto"/>
            <w:right w:val="none" w:sz="0" w:space="0" w:color="auto"/>
          </w:divBdr>
        </w:div>
      </w:divsChild>
    </w:div>
    <w:div w:id="999624836">
      <w:bodyDiv w:val="1"/>
      <w:marLeft w:val="0"/>
      <w:marRight w:val="0"/>
      <w:marTop w:val="0"/>
      <w:marBottom w:val="0"/>
      <w:divBdr>
        <w:top w:val="none" w:sz="0" w:space="0" w:color="auto"/>
        <w:left w:val="none" w:sz="0" w:space="0" w:color="auto"/>
        <w:bottom w:val="none" w:sz="0" w:space="0" w:color="auto"/>
        <w:right w:val="none" w:sz="0" w:space="0" w:color="auto"/>
      </w:divBdr>
    </w:div>
    <w:div w:id="1133210937">
      <w:bodyDiv w:val="1"/>
      <w:marLeft w:val="0"/>
      <w:marRight w:val="0"/>
      <w:marTop w:val="0"/>
      <w:marBottom w:val="0"/>
      <w:divBdr>
        <w:top w:val="none" w:sz="0" w:space="0" w:color="auto"/>
        <w:left w:val="none" w:sz="0" w:space="0" w:color="auto"/>
        <w:bottom w:val="none" w:sz="0" w:space="0" w:color="auto"/>
        <w:right w:val="none" w:sz="0" w:space="0" w:color="auto"/>
      </w:divBdr>
    </w:div>
    <w:div w:id="1230966546">
      <w:bodyDiv w:val="1"/>
      <w:marLeft w:val="0"/>
      <w:marRight w:val="0"/>
      <w:marTop w:val="0"/>
      <w:marBottom w:val="0"/>
      <w:divBdr>
        <w:top w:val="none" w:sz="0" w:space="0" w:color="auto"/>
        <w:left w:val="none" w:sz="0" w:space="0" w:color="auto"/>
        <w:bottom w:val="none" w:sz="0" w:space="0" w:color="auto"/>
        <w:right w:val="none" w:sz="0" w:space="0" w:color="auto"/>
      </w:divBdr>
    </w:div>
    <w:div w:id="1246841211">
      <w:bodyDiv w:val="1"/>
      <w:marLeft w:val="0"/>
      <w:marRight w:val="0"/>
      <w:marTop w:val="0"/>
      <w:marBottom w:val="0"/>
      <w:divBdr>
        <w:top w:val="none" w:sz="0" w:space="0" w:color="auto"/>
        <w:left w:val="none" w:sz="0" w:space="0" w:color="auto"/>
        <w:bottom w:val="none" w:sz="0" w:space="0" w:color="auto"/>
        <w:right w:val="none" w:sz="0" w:space="0" w:color="auto"/>
      </w:divBdr>
    </w:div>
    <w:div w:id="1403529001">
      <w:bodyDiv w:val="1"/>
      <w:marLeft w:val="0"/>
      <w:marRight w:val="0"/>
      <w:marTop w:val="0"/>
      <w:marBottom w:val="0"/>
      <w:divBdr>
        <w:top w:val="none" w:sz="0" w:space="0" w:color="auto"/>
        <w:left w:val="none" w:sz="0" w:space="0" w:color="auto"/>
        <w:bottom w:val="none" w:sz="0" w:space="0" w:color="auto"/>
        <w:right w:val="none" w:sz="0" w:space="0" w:color="auto"/>
      </w:divBdr>
    </w:div>
    <w:div w:id="1485660845">
      <w:bodyDiv w:val="1"/>
      <w:marLeft w:val="0"/>
      <w:marRight w:val="0"/>
      <w:marTop w:val="0"/>
      <w:marBottom w:val="0"/>
      <w:divBdr>
        <w:top w:val="none" w:sz="0" w:space="0" w:color="auto"/>
        <w:left w:val="none" w:sz="0" w:space="0" w:color="auto"/>
        <w:bottom w:val="none" w:sz="0" w:space="0" w:color="auto"/>
        <w:right w:val="none" w:sz="0" w:space="0" w:color="auto"/>
      </w:divBdr>
      <w:divsChild>
        <w:div w:id="36316843">
          <w:marLeft w:val="0"/>
          <w:marRight w:val="0"/>
          <w:marTop w:val="0"/>
          <w:marBottom w:val="0"/>
          <w:divBdr>
            <w:top w:val="none" w:sz="0" w:space="0" w:color="auto"/>
            <w:left w:val="none" w:sz="0" w:space="0" w:color="auto"/>
            <w:bottom w:val="none" w:sz="0" w:space="0" w:color="auto"/>
            <w:right w:val="none" w:sz="0" w:space="0" w:color="auto"/>
          </w:divBdr>
        </w:div>
        <w:div w:id="47653678">
          <w:marLeft w:val="0"/>
          <w:marRight w:val="0"/>
          <w:marTop w:val="0"/>
          <w:marBottom w:val="0"/>
          <w:divBdr>
            <w:top w:val="none" w:sz="0" w:space="0" w:color="auto"/>
            <w:left w:val="none" w:sz="0" w:space="0" w:color="auto"/>
            <w:bottom w:val="none" w:sz="0" w:space="0" w:color="auto"/>
            <w:right w:val="none" w:sz="0" w:space="0" w:color="auto"/>
          </w:divBdr>
        </w:div>
        <w:div w:id="58597955">
          <w:marLeft w:val="0"/>
          <w:marRight w:val="0"/>
          <w:marTop w:val="0"/>
          <w:marBottom w:val="0"/>
          <w:divBdr>
            <w:top w:val="none" w:sz="0" w:space="0" w:color="auto"/>
            <w:left w:val="none" w:sz="0" w:space="0" w:color="auto"/>
            <w:bottom w:val="none" w:sz="0" w:space="0" w:color="auto"/>
            <w:right w:val="none" w:sz="0" w:space="0" w:color="auto"/>
          </w:divBdr>
        </w:div>
        <w:div w:id="64762505">
          <w:marLeft w:val="0"/>
          <w:marRight w:val="0"/>
          <w:marTop w:val="0"/>
          <w:marBottom w:val="0"/>
          <w:divBdr>
            <w:top w:val="none" w:sz="0" w:space="0" w:color="auto"/>
            <w:left w:val="none" w:sz="0" w:space="0" w:color="auto"/>
            <w:bottom w:val="none" w:sz="0" w:space="0" w:color="auto"/>
            <w:right w:val="none" w:sz="0" w:space="0" w:color="auto"/>
          </w:divBdr>
        </w:div>
        <w:div w:id="66148680">
          <w:marLeft w:val="0"/>
          <w:marRight w:val="0"/>
          <w:marTop w:val="0"/>
          <w:marBottom w:val="0"/>
          <w:divBdr>
            <w:top w:val="none" w:sz="0" w:space="0" w:color="auto"/>
            <w:left w:val="none" w:sz="0" w:space="0" w:color="auto"/>
            <w:bottom w:val="none" w:sz="0" w:space="0" w:color="auto"/>
            <w:right w:val="none" w:sz="0" w:space="0" w:color="auto"/>
          </w:divBdr>
        </w:div>
        <w:div w:id="99953531">
          <w:marLeft w:val="0"/>
          <w:marRight w:val="0"/>
          <w:marTop w:val="0"/>
          <w:marBottom w:val="0"/>
          <w:divBdr>
            <w:top w:val="none" w:sz="0" w:space="0" w:color="auto"/>
            <w:left w:val="none" w:sz="0" w:space="0" w:color="auto"/>
            <w:bottom w:val="none" w:sz="0" w:space="0" w:color="auto"/>
            <w:right w:val="none" w:sz="0" w:space="0" w:color="auto"/>
          </w:divBdr>
        </w:div>
        <w:div w:id="137694582">
          <w:marLeft w:val="0"/>
          <w:marRight w:val="0"/>
          <w:marTop w:val="0"/>
          <w:marBottom w:val="0"/>
          <w:divBdr>
            <w:top w:val="none" w:sz="0" w:space="0" w:color="auto"/>
            <w:left w:val="none" w:sz="0" w:space="0" w:color="auto"/>
            <w:bottom w:val="none" w:sz="0" w:space="0" w:color="auto"/>
            <w:right w:val="none" w:sz="0" w:space="0" w:color="auto"/>
          </w:divBdr>
        </w:div>
        <w:div w:id="174544074">
          <w:marLeft w:val="0"/>
          <w:marRight w:val="0"/>
          <w:marTop w:val="0"/>
          <w:marBottom w:val="0"/>
          <w:divBdr>
            <w:top w:val="none" w:sz="0" w:space="0" w:color="auto"/>
            <w:left w:val="none" w:sz="0" w:space="0" w:color="auto"/>
            <w:bottom w:val="none" w:sz="0" w:space="0" w:color="auto"/>
            <w:right w:val="none" w:sz="0" w:space="0" w:color="auto"/>
          </w:divBdr>
        </w:div>
        <w:div w:id="189341835">
          <w:marLeft w:val="0"/>
          <w:marRight w:val="0"/>
          <w:marTop w:val="0"/>
          <w:marBottom w:val="0"/>
          <w:divBdr>
            <w:top w:val="none" w:sz="0" w:space="0" w:color="auto"/>
            <w:left w:val="none" w:sz="0" w:space="0" w:color="auto"/>
            <w:bottom w:val="none" w:sz="0" w:space="0" w:color="auto"/>
            <w:right w:val="none" w:sz="0" w:space="0" w:color="auto"/>
          </w:divBdr>
        </w:div>
        <w:div w:id="189531007">
          <w:marLeft w:val="0"/>
          <w:marRight w:val="0"/>
          <w:marTop w:val="0"/>
          <w:marBottom w:val="0"/>
          <w:divBdr>
            <w:top w:val="none" w:sz="0" w:space="0" w:color="auto"/>
            <w:left w:val="none" w:sz="0" w:space="0" w:color="auto"/>
            <w:bottom w:val="none" w:sz="0" w:space="0" w:color="auto"/>
            <w:right w:val="none" w:sz="0" w:space="0" w:color="auto"/>
          </w:divBdr>
        </w:div>
        <w:div w:id="202137932">
          <w:marLeft w:val="0"/>
          <w:marRight w:val="0"/>
          <w:marTop w:val="0"/>
          <w:marBottom w:val="0"/>
          <w:divBdr>
            <w:top w:val="none" w:sz="0" w:space="0" w:color="auto"/>
            <w:left w:val="none" w:sz="0" w:space="0" w:color="auto"/>
            <w:bottom w:val="none" w:sz="0" w:space="0" w:color="auto"/>
            <w:right w:val="none" w:sz="0" w:space="0" w:color="auto"/>
          </w:divBdr>
        </w:div>
        <w:div w:id="220678628">
          <w:marLeft w:val="0"/>
          <w:marRight w:val="0"/>
          <w:marTop w:val="0"/>
          <w:marBottom w:val="0"/>
          <w:divBdr>
            <w:top w:val="none" w:sz="0" w:space="0" w:color="auto"/>
            <w:left w:val="none" w:sz="0" w:space="0" w:color="auto"/>
            <w:bottom w:val="none" w:sz="0" w:space="0" w:color="auto"/>
            <w:right w:val="none" w:sz="0" w:space="0" w:color="auto"/>
          </w:divBdr>
        </w:div>
        <w:div w:id="377896774">
          <w:marLeft w:val="0"/>
          <w:marRight w:val="0"/>
          <w:marTop w:val="0"/>
          <w:marBottom w:val="0"/>
          <w:divBdr>
            <w:top w:val="none" w:sz="0" w:space="0" w:color="auto"/>
            <w:left w:val="none" w:sz="0" w:space="0" w:color="auto"/>
            <w:bottom w:val="none" w:sz="0" w:space="0" w:color="auto"/>
            <w:right w:val="none" w:sz="0" w:space="0" w:color="auto"/>
          </w:divBdr>
        </w:div>
        <w:div w:id="421873824">
          <w:marLeft w:val="0"/>
          <w:marRight w:val="0"/>
          <w:marTop w:val="0"/>
          <w:marBottom w:val="0"/>
          <w:divBdr>
            <w:top w:val="none" w:sz="0" w:space="0" w:color="auto"/>
            <w:left w:val="none" w:sz="0" w:space="0" w:color="auto"/>
            <w:bottom w:val="none" w:sz="0" w:space="0" w:color="auto"/>
            <w:right w:val="none" w:sz="0" w:space="0" w:color="auto"/>
          </w:divBdr>
        </w:div>
        <w:div w:id="436829009">
          <w:marLeft w:val="0"/>
          <w:marRight w:val="0"/>
          <w:marTop w:val="0"/>
          <w:marBottom w:val="0"/>
          <w:divBdr>
            <w:top w:val="none" w:sz="0" w:space="0" w:color="auto"/>
            <w:left w:val="none" w:sz="0" w:space="0" w:color="auto"/>
            <w:bottom w:val="none" w:sz="0" w:space="0" w:color="auto"/>
            <w:right w:val="none" w:sz="0" w:space="0" w:color="auto"/>
          </w:divBdr>
        </w:div>
        <w:div w:id="548224966">
          <w:marLeft w:val="0"/>
          <w:marRight w:val="0"/>
          <w:marTop w:val="0"/>
          <w:marBottom w:val="0"/>
          <w:divBdr>
            <w:top w:val="none" w:sz="0" w:space="0" w:color="auto"/>
            <w:left w:val="none" w:sz="0" w:space="0" w:color="auto"/>
            <w:bottom w:val="none" w:sz="0" w:space="0" w:color="auto"/>
            <w:right w:val="none" w:sz="0" w:space="0" w:color="auto"/>
          </w:divBdr>
        </w:div>
        <w:div w:id="555317115">
          <w:marLeft w:val="0"/>
          <w:marRight w:val="0"/>
          <w:marTop w:val="0"/>
          <w:marBottom w:val="0"/>
          <w:divBdr>
            <w:top w:val="none" w:sz="0" w:space="0" w:color="auto"/>
            <w:left w:val="none" w:sz="0" w:space="0" w:color="auto"/>
            <w:bottom w:val="none" w:sz="0" w:space="0" w:color="auto"/>
            <w:right w:val="none" w:sz="0" w:space="0" w:color="auto"/>
          </w:divBdr>
        </w:div>
        <w:div w:id="577250742">
          <w:marLeft w:val="0"/>
          <w:marRight w:val="0"/>
          <w:marTop w:val="0"/>
          <w:marBottom w:val="0"/>
          <w:divBdr>
            <w:top w:val="none" w:sz="0" w:space="0" w:color="auto"/>
            <w:left w:val="none" w:sz="0" w:space="0" w:color="auto"/>
            <w:bottom w:val="none" w:sz="0" w:space="0" w:color="auto"/>
            <w:right w:val="none" w:sz="0" w:space="0" w:color="auto"/>
          </w:divBdr>
        </w:div>
        <w:div w:id="597174545">
          <w:marLeft w:val="0"/>
          <w:marRight w:val="0"/>
          <w:marTop w:val="0"/>
          <w:marBottom w:val="0"/>
          <w:divBdr>
            <w:top w:val="none" w:sz="0" w:space="0" w:color="auto"/>
            <w:left w:val="none" w:sz="0" w:space="0" w:color="auto"/>
            <w:bottom w:val="none" w:sz="0" w:space="0" w:color="auto"/>
            <w:right w:val="none" w:sz="0" w:space="0" w:color="auto"/>
          </w:divBdr>
        </w:div>
        <w:div w:id="687296588">
          <w:marLeft w:val="0"/>
          <w:marRight w:val="0"/>
          <w:marTop w:val="0"/>
          <w:marBottom w:val="0"/>
          <w:divBdr>
            <w:top w:val="none" w:sz="0" w:space="0" w:color="auto"/>
            <w:left w:val="none" w:sz="0" w:space="0" w:color="auto"/>
            <w:bottom w:val="none" w:sz="0" w:space="0" w:color="auto"/>
            <w:right w:val="none" w:sz="0" w:space="0" w:color="auto"/>
          </w:divBdr>
        </w:div>
        <w:div w:id="783693413">
          <w:marLeft w:val="0"/>
          <w:marRight w:val="0"/>
          <w:marTop w:val="0"/>
          <w:marBottom w:val="0"/>
          <w:divBdr>
            <w:top w:val="none" w:sz="0" w:space="0" w:color="auto"/>
            <w:left w:val="none" w:sz="0" w:space="0" w:color="auto"/>
            <w:bottom w:val="none" w:sz="0" w:space="0" w:color="auto"/>
            <w:right w:val="none" w:sz="0" w:space="0" w:color="auto"/>
          </w:divBdr>
        </w:div>
        <w:div w:id="847450743">
          <w:marLeft w:val="0"/>
          <w:marRight w:val="0"/>
          <w:marTop w:val="0"/>
          <w:marBottom w:val="0"/>
          <w:divBdr>
            <w:top w:val="none" w:sz="0" w:space="0" w:color="auto"/>
            <w:left w:val="none" w:sz="0" w:space="0" w:color="auto"/>
            <w:bottom w:val="none" w:sz="0" w:space="0" w:color="auto"/>
            <w:right w:val="none" w:sz="0" w:space="0" w:color="auto"/>
          </w:divBdr>
        </w:div>
        <w:div w:id="889923563">
          <w:marLeft w:val="0"/>
          <w:marRight w:val="0"/>
          <w:marTop w:val="0"/>
          <w:marBottom w:val="0"/>
          <w:divBdr>
            <w:top w:val="none" w:sz="0" w:space="0" w:color="auto"/>
            <w:left w:val="none" w:sz="0" w:space="0" w:color="auto"/>
            <w:bottom w:val="none" w:sz="0" w:space="0" w:color="auto"/>
            <w:right w:val="none" w:sz="0" w:space="0" w:color="auto"/>
          </w:divBdr>
        </w:div>
        <w:div w:id="943731574">
          <w:marLeft w:val="0"/>
          <w:marRight w:val="0"/>
          <w:marTop w:val="0"/>
          <w:marBottom w:val="0"/>
          <w:divBdr>
            <w:top w:val="none" w:sz="0" w:space="0" w:color="auto"/>
            <w:left w:val="none" w:sz="0" w:space="0" w:color="auto"/>
            <w:bottom w:val="none" w:sz="0" w:space="0" w:color="auto"/>
            <w:right w:val="none" w:sz="0" w:space="0" w:color="auto"/>
          </w:divBdr>
        </w:div>
        <w:div w:id="962734882">
          <w:marLeft w:val="0"/>
          <w:marRight w:val="0"/>
          <w:marTop w:val="0"/>
          <w:marBottom w:val="0"/>
          <w:divBdr>
            <w:top w:val="none" w:sz="0" w:space="0" w:color="auto"/>
            <w:left w:val="none" w:sz="0" w:space="0" w:color="auto"/>
            <w:bottom w:val="none" w:sz="0" w:space="0" w:color="auto"/>
            <w:right w:val="none" w:sz="0" w:space="0" w:color="auto"/>
          </w:divBdr>
        </w:div>
        <w:div w:id="964234270">
          <w:marLeft w:val="0"/>
          <w:marRight w:val="0"/>
          <w:marTop w:val="0"/>
          <w:marBottom w:val="0"/>
          <w:divBdr>
            <w:top w:val="none" w:sz="0" w:space="0" w:color="auto"/>
            <w:left w:val="none" w:sz="0" w:space="0" w:color="auto"/>
            <w:bottom w:val="none" w:sz="0" w:space="0" w:color="auto"/>
            <w:right w:val="none" w:sz="0" w:space="0" w:color="auto"/>
          </w:divBdr>
        </w:div>
        <w:div w:id="972100840">
          <w:marLeft w:val="0"/>
          <w:marRight w:val="0"/>
          <w:marTop w:val="0"/>
          <w:marBottom w:val="0"/>
          <w:divBdr>
            <w:top w:val="none" w:sz="0" w:space="0" w:color="auto"/>
            <w:left w:val="none" w:sz="0" w:space="0" w:color="auto"/>
            <w:bottom w:val="none" w:sz="0" w:space="0" w:color="auto"/>
            <w:right w:val="none" w:sz="0" w:space="0" w:color="auto"/>
          </w:divBdr>
        </w:div>
        <w:div w:id="1026564879">
          <w:marLeft w:val="0"/>
          <w:marRight w:val="0"/>
          <w:marTop w:val="0"/>
          <w:marBottom w:val="0"/>
          <w:divBdr>
            <w:top w:val="none" w:sz="0" w:space="0" w:color="auto"/>
            <w:left w:val="none" w:sz="0" w:space="0" w:color="auto"/>
            <w:bottom w:val="none" w:sz="0" w:space="0" w:color="auto"/>
            <w:right w:val="none" w:sz="0" w:space="0" w:color="auto"/>
          </w:divBdr>
        </w:div>
        <w:div w:id="1087002186">
          <w:marLeft w:val="0"/>
          <w:marRight w:val="0"/>
          <w:marTop w:val="0"/>
          <w:marBottom w:val="0"/>
          <w:divBdr>
            <w:top w:val="none" w:sz="0" w:space="0" w:color="auto"/>
            <w:left w:val="none" w:sz="0" w:space="0" w:color="auto"/>
            <w:bottom w:val="none" w:sz="0" w:space="0" w:color="auto"/>
            <w:right w:val="none" w:sz="0" w:space="0" w:color="auto"/>
          </w:divBdr>
        </w:div>
        <w:div w:id="1095903882">
          <w:marLeft w:val="0"/>
          <w:marRight w:val="0"/>
          <w:marTop w:val="0"/>
          <w:marBottom w:val="0"/>
          <w:divBdr>
            <w:top w:val="none" w:sz="0" w:space="0" w:color="auto"/>
            <w:left w:val="none" w:sz="0" w:space="0" w:color="auto"/>
            <w:bottom w:val="none" w:sz="0" w:space="0" w:color="auto"/>
            <w:right w:val="none" w:sz="0" w:space="0" w:color="auto"/>
          </w:divBdr>
        </w:div>
        <w:div w:id="1103305618">
          <w:marLeft w:val="0"/>
          <w:marRight w:val="0"/>
          <w:marTop w:val="0"/>
          <w:marBottom w:val="0"/>
          <w:divBdr>
            <w:top w:val="none" w:sz="0" w:space="0" w:color="auto"/>
            <w:left w:val="none" w:sz="0" w:space="0" w:color="auto"/>
            <w:bottom w:val="none" w:sz="0" w:space="0" w:color="auto"/>
            <w:right w:val="none" w:sz="0" w:space="0" w:color="auto"/>
          </w:divBdr>
        </w:div>
        <w:div w:id="1173840667">
          <w:marLeft w:val="0"/>
          <w:marRight w:val="0"/>
          <w:marTop w:val="0"/>
          <w:marBottom w:val="0"/>
          <w:divBdr>
            <w:top w:val="none" w:sz="0" w:space="0" w:color="auto"/>
            <w:left w:val="none" w:sz="0" w:space="0" w:color="auto"/>
            <w:bottom w:val="none" w:sz="0" w:space="0" w:color="auto"/>
            <w:right w:val="none" w:sz="0" w:space="0" w:color="auto"/>
          </w:divBdr>
        </w:div>
        <w:div w:id="1258639806">
          <w:marLeft w:val="0"/>
          <w:marRight w:val="0"/>
          <w:marTop w:val="0"/>
          <w:marBottom w:val="0"/>
          <w:divBdr>
            <w:top w:val="none" w:sz="0" w:space="0" w:color="auto"/>
            <w:left w:val="none" w:sz="0" w:space="0" w:color="auto"/>
            <w:bottom w:val="none" w:sz="0" w:space="0" w:color="auto"/>
            <w:right w:val="none" w:sz="0" w:space="0" w:color="auto"/>
          </w:divBdr>
        </w:div>
        <w:div w:id="1361006222">
          <w:marLeft w:val="0"/>
          <w:marRight w:val="0"/>
          <w:marTop w:val="0"/>
          <w:marBottom w:val="0"/>
          <w:divBdr>
            <w:top w:val="none" w:sz="0" w:space="0" w:color="auto"/>
            <w:left w:val="none" w:sz="0" w:space="0" w:color="auto"/>
            <w:bottom w:val="none" w:sz="0" w:space="0" w:color="auto"/>
            <w:right w:val="none" w:sz="0" w:space="0" w:color="auto"/>
          </w:divBdr>
        </w:div>
        <w:div w:id="1397239914">
          <w:marLeft w:val="0"/>
          <w:marRight w:val="0"/>
          <w:marTop w:val="0"/>
          <w:marBottom w:val="0"/>
          <w:divBdr>
            <w:top w:val="none" w:sz="0" w:space="0" w:color="auto"/>
            <w:left w:val="none" w:sz="0" w:space="0" w:color="auto"/>
            <w:bottom w:val="none" w:sz="0" w:space="0" w:color="auto"/>
            <w:right w:val="none" w:sz="0" w:space="0" w:color="auto"/>
          </w:divBdr>
        </w:div>
        <w:div w:id="1443037345">
          <w:marLeft w:val="0"/>
          <w:marRight w:val="0"/>
          <w:marTop w:val="0"/>
          <w:marBottom w:val="0"/>
          <w:divBdr>
            <w:top w:val="none" w:sz="0" w:space="0" w:color="auto"/>
            <w:left w:val="none" w:sz="0" w:space="0" w:color="auto"/>
            <w:bottom w:val="none" w:sz="0" w:space="0" w:color="auto"/>
            <w:right w:val="none" w:sz="0" w:space="0" w:color="auto"/>
          </w:divBdr>
        </w:div>
        <w:div w:id="1541669121">
          <w:marLeft w:val="0"/>
          <w:marRight w:val="0"/>
          <w:marTop w:val="0"/>
          <w:marBottom w:val="0"/>
          <w:divBdr>
            <w:top w:val="none" w:sz="0" w:space="0" w:color="auto"/>
            <w:left w:val="none" w:sz="0" w:space="0" w:color="auto"/>
            <w:bottom w:val="none" w:sz="0" w:space="0" w:color="auto"/>
            <w:right w:val="none" w:sz="0" w:space="0" w:color="auto"/>
          </w:divBdr>
        </w:div>
        <w:div w:id="1558975217">
          <w:marLeft w:val="0"/>
          <w:marRight w:val="0"/>
          <w:marTop w:val="0"/>
          <w:marBottom w:val="0"/>
          <w:divBdr>
            <w:top w:val="none" w:sz="0" w:space="0" w:color="auto"/>
            <w:left w:val="none" w:sz="0" w:space="0" w:color="auto"/>
            <w:bottom w:val="none" w:sz="0" w:space="0" w:color="auto"/>
            <w:right w:val="none" w:sz="0" w:space="0" w:color="auto"/>
          </w:divBdr>
        </w:div>
        <w:div w:id="1601060938">
          <w:marLeft w:val="0"/>
          <w:marRight w:val="0"/>
          <w:marTop w:val="0"/>
          <w:marBottom w:val="0"/>
          <w:divBdr>
            <w:top w:val="none" w:sz="0" w:space="0" w:color="auto"/>
            <w:left w:val="none" w:sz="0" w:space="0" w:color="auto"/>
            <w:bottom w:val="none" w:sz="0" w:space="0" w:color="auto"/>
            <w:right w:val="none" w:sz="0" w:space="0" w:color="auto"/>
          </w:divBdr>
        </w:div>
        <w:div w:id="1627271979">
          <w:marLeft w:val="0"/>
          <w:marRight w:val="0"/>
          <w:marTop w:val="0"/>
          <w:marBottom w:val="0"/>
          <w:divBdr>
            <w:top w:val="none" w:sz="0" w:space="0" w:color="auto"/>
            <w:left w:val="none" w:sz="0" w:space="0" w:color="auto"/>
            <w:bottom w:val="none" w:sz="0" w:space="0" w:color="auto"/>
            <w:right w:val="none" w:sz="0" w:space="0" w:color="auto"/>
          </w:divBdr>
        </w:div>
        <w:div w:id="1638342621">
          <w:marLeft w:val="0"/>
          <w:marRight w:val="0"/>
          <w:marTop w:val="0"/>
          <w:marBottom w:val="0"/>
          <w:divBdr>
            <w:top w:val="none" w:sz="0" w:space="0" w:color="auto"/>
            <w:left w:val="none" w:sz="0" w:space="0" w:color="auto"/>
            <w:bottom w:val="none" w:sz="0" w:space="0" w:color="auto"/>
            <w:right w:val="none" w:sz="0" w:space="0" w:color="auto"/>
          </w:divBdr>
        </w:div>
        <w:div w:id="1665433093">
          <w:marLeft w:val="0"/>
          <w:marRight w:val="0"/>
          <w:marTop w:val="0"/>
          <w:marBottom w:val="0"/>
          <w:divBdr>
            <w:top w:val="none" w:sz="0" w:space="0" w:color="auto"/>
            <w:left w:val="none" w:sz="0" w:space="0" w:color="auto"/>
            <w:bottom w:val="none" w:sz="0" w:space="0" w:color="auto"/>
            <w:right w:val="none" w:sz="0" w:space="0" w:color="auto"/>
          </w:divBdr>
        </w:div>
        <w:div w:id="1733190890">
          <w:marLeft w:val="0"/>
          <w:marRight w:val="0"/>
          <w:marTop w:val="0"/>
          <w:marBottom w:val="0"/>
          <w:divBdr>
            <w:top w:val="none" w:sz="0" w:space="0" w:color="auto"/>
            <w:left w:val="none" w:sz="0" w:space="0" w:color="auto"/>
            <w:bottom w:val="none" w:sz="0" w:space="0" w:color="auto"/>
            <w:right w:val="none" w:sz="0" w:space="0" w:color="auto"/>
          </w:divBdr>
        </w:div>
        <w:div w:id="1751728480">
          <w:marLeft w:val="0"/>
          <w:marRight w:val="0"/>
          <w:marTop w:val="0"/>
          <w:marBottom w:val="0"/>
          <w:divBdr>
            <w:top w:val="none" w:sz="0" w:space="0" w:color="auto"/>
            <w:left w:val="none" w:sz="0" w:space="0" w:color="auto"/>
            <w:bottom w:val="none" w:sz="0" w:space="0" w:color="auto"/>
            <w:right w:val="none" w:sz="0" w:space="0" w:color="auto"/>
          </w:divBdr>
        </w:div>
        <w:div w:id="1851411741">
          <w:marLeft w:val="0"/>
          <w:marRight w:val="0"/>
          <w:marTop w:val="0"/>
          <w:marBottom w:val="0"/>
          <w:divBdr>
            <w:top w:val="none" w:sz="0" w:space="0" w:color="auto"/>
            <w:left w:val="none" w:sz="0" w:space="0" w:color="auto"/>
            <w:bottom w:val="none" w:sz="0" w:space="0" w:color="auto"/>
            <w:right w:val="none" w:sz="0" w:space="0" w:color="auto"/>
          </w:divBdr>
        </w:div>
        <w:div w:id="1859535909">
          <w:marLeft w:val="0"/>
          <w:marRight w:val="0"/>
          <w:marTop w:val="0"/>
          <w:marBottom w:val="0"/>
          <w:divBdr>
            <w:top w:val="none" w:sz="0" w:space="0" w:color="auto"/>
            <w:left w:val="none" w:sz="0" w:space="0" w:color="auto"/>
            <w:bottom w:val="none" w:sz="0" w:space="0" w:color="auto"/>
            <w:right w:val="none" w:sz="0" w:space="0" w:color="auto"/>
          </w:divBdr>
        </w:div>
        <w:div w:id="1883513344">
          <w:marLeft w:val="0"/>
          <w:marRight w:val="0"/>
          <w:marTop w:val="0"/>
          <w:marBottom w:val="0"/>
          <w:divBdr>
            <w:top w:val="none" w:sz="0" w:space="0" w:color="auto"/>
            <w:left w:val="none" w:sz="0" w:space="0" w:color="auto"/>
            <w:bottom w:val="none" w:sz="0" w:space="0" w:color="auto"/>
            <w:right w:val="none" w:sz="0" w:space="0" w:color="auto"/>
          </w:divBdr>
        </w:div>
        <w:div w:id="1890191663">
          <w:marLeft w:val="0"/>
          <w:marRight w:val="0"/>
          <w:marTop w:val="0"/>
          <w:marBottom w:val="0"/>
          <w:divBdr>
            <w:top w:val="none" w:sz="0" w:space="0" w:color="auto"/>
            <w:left w:val="none" w:sz="0" w:space="0" w:color="auto"/>
            <w:bottom w:val="none" w:sz="0" w:space="0" w:color="auto"/>
            <w:right w:val="none" w:sz="0" w:space="0" w:color="auto"/>
          </w:divBdr>
        </w:div>
        <w:div w:id="1931886114">
          <w:marLeft w:val="0"/>
          <w:marRight w:val="0"/>
          <w:marTop w:val="0"/>
          <w:marBottom w:val="0"/>
          <w:divBdr>
            <w:top w:val="none" w:sz="0" w:space="0" w:color="auto"/>
            <w:left w:val="none" w:sz="0" w:space="0" w:color="auto"/>
            <w:bottom w:val="none" w:sz="0" w:space="0" w:color="auto"/>
            <w:right w:val="none" w:sz="0" w:space="0" w:color="auto"/>
          </w:divBdr>
        </w:div>
        <w:div w:id="1995180274">
          <w:marLeft w:val="0"/>
          <w:marRight w:val="0"/>
          <w:marTop w:val="0"/>
          <w:marBottom w:val="0"/>
          <w:divBdr>
            <w:top w:val="none" w:sz="0" w:space="0" w:color="auto"/>
            <w:left w:val="none" w:sz="0" w:space="0" w:color="auto"/>
            <w:bottom w:val="none" w:sz="0" w:space="0" w:color="auto"/>
            <w:right w:val="none" w:sz="0" w:space="0" w:color="auto"/>
          </w:divBdr>
        </w:div>
        <w:div w:id="2023387829">
          <w:marLeft w:val="0"/>
          <w:marRight w:val="0"/>
          <w:marTop w:val="0"/>
          <w:marBottom w:val="0"/>
          <w:divBdr>
            <w:top w:val="none" w:sz="0" w:space="0" w:color="auto"/>
            <w:left w:val="none" w:sz="0" w:space="0" w:color="auto"/>
            <w:bottom w:val="none" w:sz="0" w:space="0" w:color="auto"/>
            <w:right w:val="none" w:sz="0" w:space="0" w:color="auto"/>
          </w:divBdr>
        </w:div>
        <w:div w:id="2038004871">
          <w:marLeft w:val="0"/>
          <w:marRight w:val="0"/>
          <w:marTop w:val="0"/>
          <w:marBottom w:val="0"/>
          <w:divBdr>
            <w:top w:val="none" w:sz="0" w:space="0" w:color="auto"/>
            <w:left w:val="none" w:sz="0" w:space="0" w:color="auto"/>
            <w:bottom w:val="none" w:sz="0" w:space="0" w:color="auto"/>
            <w:right w:val="none" w:sz="0" w:space="0" w:color="auto"/>
          </w:divBdr>
        </w:div>
        <w:div w:id="2038387191">
          <w:marLeft w:val="0"/>
          <w:marRight w:val="0"/>
          <w:marTop w:val="0"/>
          <w:marBottom w:val="0"/>
          <w:divBdr>
            <w:top w:val="none" w:sz="0" w:space="0" w:color="auto"/>
            <w:left w:val="none" w:sz="0" w:space="0" w:color="auto"/>
            <w:bottom w:val="none" w:sz="0" w:space="0" w:color="auto"/>
            <w:right w:val="none" w:sz="0" w:space="0" w:color="auto"/>
          </w:divBdr>
        </w:div>
        <w:div w:id="2056856764">
          <w:marLeft w:val="0"/>
          <w:marRight w:val="0"/>
          <w:marTop w:val="0"/>
          <w:marBottom w:val="0"/>
          <w:divBdr>
            <w:top w:val="none" w:sz="0" w:space="0" w:color="auto"/>
            <w:left w:val="none" w:sz="0" w:space="0" w:color="auto"/>
            <w:bottom w:val="none" w:sz="0" w:space="0" w:color="auto"/>
            <w:right w:val="none" w:sz="0" w:space="0" w:color="auto"/>
          </w:divBdr>
        </w:div>
        <w:div w:id="2089884654">
          <w:marLeft w:val="0"/>
          <w:marRight w:val="0"/>
          <w:marTop w:val="0"/>
          <w:marBottom w:val="0"/>
          <w:divBdr>
            <w:top w:val="none" w:sz="0" w:space="0" w:color="auto"/>
            <w:left w:val="none" w:sz="0" w:space="0" w:color="auto"/>
            <w:bottom w:val="none" w:sz="0" w:space="0" w:color="auto"/>
            <w:right w:val="none" w:sz="0" w:space="0" w:color="auto"/>
          </w:divBdr>
        </w:div>
        <w:div w:id="2133984298">
          <w:marLeft w:val="0"/>
          <w:marRight w:val="0"/>
          <w:marTop w:val="0"/>
          <w:marBottom w:val="0"/>
          <w:divBdr>
            <w:top w:val="none" w:sz="0" w:space="0" w:color="auto"/>
            <w:left w:val="none" w:sz="0" w:space="0" w:color="auto"/>
            <w:bottom w:val="none" w:sz="0" w:space="0" w:color="auto"/>
            <w:right w:val="none" w:sz="0" w:space="0" w:color="auto"/>
          </w:divBdr>
        </w:div>
      </w:divsChild>
    </w:div>
    <w:div w:id="1759324069">
      <w:bodyDiv w:val="1"/>
      <w:marLeft w:val="0"/>
      <w:marRight w:val="0"/>
      <w:marTop w:val="0"/>
      <w:marBottom w:val="0"/>
      <w:divBdr>
        <w:top w:val="none" w:sz="0" w:space="0" w:color="auto"/>
        <w:left w:val="none" w:sz="0" w:space="0" w:color="auto"/>
        <w:bottom w:val="none" w:sz="0" w:space="0" w:color="auto"/>
        <w:right w:val="none" w:sz="0" w:space="0" w:color="auto"/>
      </w:divBdr>
    </w:div>
    <w:div w:id="2054377277">
      <w:bodyDiv w:val="1"/>
      <w:marLeft w:val="0"/>
      <w:marRight w:val="0"/>
      <w:marTop w:val="0"/>
      <w:marBottom w:val="0"/>
      <w:divBdr>
        <w:top w:val="none" w:sz="0" w:space="0" w:color="auto"/>
        <w:left w:val="none" w:sz="0" w:space="0" w:color="auto"/>
        <w:bottom w:val="none" w:sz="0" w:space="0" w:color="auto"/>
        <w:right w:val="none" w:sz="0" w:space="0" w:color="auto"/>
      </w:divBdr>
      <w:divsChild>
        <w:div w:id="21441296">
          <w:marLeft w:val="0"/>
          <w:marRight w:val="0"/>
          <w:marTop w:val="0"/>
          <w:marBottom w:val="0"/>
          <w:divBdr>
            <w:top w:val="none" w:sz="0" w:space="0" w:color="auto"/>
            <w:left w:val="none" w:sz="0" w:space="0" w:color="auto"/>
            <w:bottom w:val="none" w:sz="0" w:space="0" w:color="auto"/>
            <w:right w:val="none" w:sz="0" w:space="0" w:color="auto"/>
          </w:divBdr>
        </w:div>
        <w:div w:id="201480726">
          <w:marLeft w:val="0"/>
          <w:marRight w:val="0"/>
          <w:marTop w:val="0"/>
          <w:marBottom w:val="0"/>
          <w:divBdr>
            <w:top w:val="none" w:sz="0" w:space="0" w:color="auto"/>
            <w:left w:val="none" w:sz="0" w:space="0" w:color="auto"/>
            <w:bottom w:val="none" w:sz="0" w:space="0" w:color="auto"/>
            <w:right w:val="none" w:sz="0" w:space="0" w:color="auto"/>
          </w:divBdr>
        </w:div>
        <w:div w:id="323826965">
          <w:marLeft w:val="0"/>
          <w:marRight w:val="0"/>
          <w:marTop w:val="0"/>
          <w:marBottom w:val="0"/>
          <w:divBdr>
            <w:top w:val="none" w:sz="0" w:space="0" w:color="auto"/>
            <w:left w:val="none" w:sz="0" w:space="0" w:color="auto"/>
            <w:bottom w:val="none" w:sz="0" w:space="0" w:color="auto"/>
            <w:right w:val="none" w:sz="0" w:space="0" w:color="auto"/>
          </w:divBdr>
        </w:div>
        <w:div w:id="324280372">
          <w:marLeft w:val="0"/>
          <w:marRight w:val="0"/>
          <w:marTop w:val="0"/>
          <w:marBottom w:val="0"/>
          <w:divBdr>
            <w:top w:val="none" w:sz="0" w:space="0" w:color="auto"/>
            <w:left w:val="none" w:sz="0" w:space="0" w:color="auto"/>
            <w:bottom w:val="none" w:sz="0" w:space="0" w:color="auto"/>
            <w:right w:val="none" w:sz="0" w:space="0" w:color="auto"/>
          </w:divBdr>
        </w:div>
        <w:div w:id="468985404">
          <w:marLeft w:val="0"/>
          <w:marRight w:val="0"/>
          <w:marTop w:val="0"/>
          <w:marBottom w:val="0"/>
          <w:divBdr>
            <w:top w:val="none" w:sz="0" w:space="0" w:color="auto"/>
            <w:left w:val="none" w:sz="0" w:space="0" w:color="auto"/>
            <w:bottom w:val="none" w:sz="0" w:space="0" w:color="auto"/>
            <w:right w:val="none" w:sz="0" w:space="0" w:color="auto"/>
          </w:divBdr>
        </w:div>
        <w:div w:id="1251307860">
          <w:marLeft w:val="0"/>
          <w:marRight w:val="0"/>
          <w:marTop w:val="0"/>
          <w:marBottom w:val="0"/>
          <w:divBdr>
            <w:top w:val="none" w:sz="0" w:space="0" w:color="auto"/>
            <w:left w:val="none" w:sz="0" w:space="0" w:color="auto"/>
            <w:bottom w:val="none" w:sz="0" w:space="0" w:color="auto"/>
            <w:right w:val="none" w:sz="0" w:space="0" w:color="auto"/>
          </w:divBdr>
        </w:div>
        <w:div w:id="1417289329">
          <w:marLeft w:val="0"/>
          <w:marRight w:val="0"/>
          <w:marTop w:val="0"/>
          <w:marBottom w:val="0"/>
          <w:divBdr>
            <w:top w:val="none" w:sz="0" w:space="0" w:color="auto"/>
            <w:left w:val="none" w:sz="0" w:space="0" w:color="auto"/>
            <w:bottom w:val="none" w:sz="0" w:space="0" w:color="auto"/>
            <w:right w:val="none" w:sz="0" w:space="0" w:color="auto"/>
          </w:divBdr>
        </w:div>
        <w:div w:id="1496219009">
          <w:marLeft w:val="0"/>
          <w:marRight w:val="0"/>
          <w:marTop w:val="0"/>
          <w:marBottom w:val="0"/>
          <w:divBdr>
            <w:top w:val="none" w:sz="0" w:space="0" w:color="auto"/>
            <w:left w:val="none" w:sz="0" w:space="0" w:color="auto"/>
            <w:bottom w:val="none" w:sz="0" w:space="0" w:color="auto"/>
            <w:right w:val="none" w:sz="0" w:space="0" w:color="auto"/>
          </w:divBdr>
        </w:div>
        <w:div w:id="1520856265">
          <w:marLeft w:val="0"/>
          <w:marRight w:val="0"/>
          <w:marTop w:val="0"/>
          <w:marBottom w:val="0"/>
          <w:divBdr>
            <w:top w:val="none" w:sz="0" w:space="0" w:color="auto"/>
            <w:left w:val="none" w:sz="0" w:space="0" w:color="auto"/>
            <w:bottom w:val="none" w:sz="0" w:space="0" w:color="auto"/>
            <w:right w:val="none" w:sz="0" w:space="0" w:color="auto"/>
          </w:divBdr>
        </w:div>
        <w:div w:id="1709143269">
          <w:marLeft w:val="0"/>
          <w:marRight w:val="0"/>
          <w:marTop w:val="0"/>
          <w:marBottom w:val="0"/>
          <w:divBdr>
            <w:top w:val="none" w:sz="0" w:space="0" w:color="auto"/>
            <w:left w:val="none" w:sz="0" w:space="0" w:color="auto"/>
            <w:bottom w:val="none" w:sz="0" w:space="0" w:color="auto"/>
            <w:right w:val="none" w:sz="0" w:space="0" w:color="auto"/>
          </w:divBdr>
        </w:div>
      </w:divsChild>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fccc.int/process-and-meetings/the-paris-agreement" TargetMode="External"/><Relationship Id="rId7" Type="http://schemas.openxmlformats.org/officeDocument/2006/relationships/hyperlink" Target="file://ueahome/eressci19/e183/data/Downloads/ebrd-sustainability-report-2020.pdf" TargetMode="External"/><Relationship Id="rId2" Type="http://schemas.openxmlformats.org/officeDocument/2006/relationships/hyperlink" Target="https://www.un.org/sustainabledevelopment/energy/" TargetMode="External"/><Relationship Id="rId1" Type="http://schemas.openxmlformats.org/officeDocument/2006/relationships/hyperlink" Target="https://unece.org/sites/default/files/2023-01/ece_mp.eia_wg.2_2022_2_adv_copy.pdf" TargetMode="External"/><Relationship Id="rId6" Type="http://schemas.openxmlformats.org/officeDocument/2006/relationships/hyperlink" Target="https://g20sfwg.org/wp-content/uploads/2021/10/G20-SFWG-Synthesis-Report.pdf" TargetMode="External"/><Relationship Id="rId5" Type="http://schemas.openxmlformats.org/officeDocument/2006/relationships/hyperlink" Target="https://ellenmacarthurfoundation.org/topics/circular-economy-introduction/overview" TargetMode="External"/><Relationship Id="rId4" Type="http://schemas.openxmlformats.org/officeDocument/2006/relationships/hyperlink" Target="https://unctad.org/system/files/official-document/presspb2017d1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a2c2c3-fdcf-4e63-9c12-39b3de610a76">
      <Terms xmlns="http://schemas.microsoft.com/office/infopath/2007/PartnerControls"/>
    </lcf76f155ced4ddcb4097134ff3c332f>
    <TaxCatchAll xmlns="985ec44e-1bab-4c0b-9df0-6ba128686fc9" xsi:nil="true"/>
    <Dateandtime xmlns="99a2c2c3-fdcf-4e63-9c12-39b3de610a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9EE1-C8F7-45CF-8618-9AA10E133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5AA1A-53C9-4470-9F96-4A9220CC8CA5}">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BDA0584D-DC42-4CE7-B520-7785BC70A17F}">
  <ds:schemaRefs>
    <ds:schemaRef ds:uri="http://schemas.microsoft.com/sharepoint/v3/contenttype/forms"/>
  </ds:schemaRefs>
</ds:datastoreItem>
</file>

<file path=customXml/itemProps4.xml><?xml version="1.0" encoding="utf-8"?>
<ds:datastoreItem xmlns:ds="http://schemas.openxmlformats.org/officeDocument/2006/customXml" ds:itemID="{A170F330-6F69-437A-B054-977B7454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6904</Words>
  <Characters>39357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46169</CharactersWithSpaces>
  <SharedDoc>false</SharedDoc>
  <HLinks>
    <vt:vector size="42" baseType="variant">
      <vt:variant>
        <vt:i4>1900650</vt:i4>
      </vt:variant>
      <vt:variant>
        <vt:i4>18</vt:i4>
      </vt:variant>
      <vt:variant>
        <vt:i4>0</vt:i4>
      </vt:variant>
      <vt:variant>
        <vt:i4>5</vt:i4>
      </vt:variant>
      <vt:variant>
        <vt:lpwstr>\\ueahome\eressci19\e183\data\Downloads\ebrd-sustainability-report-2020.pdf</vt:lpwstr>
      </vt:variant>
      <vt:variant>
        <vt:lpwstr/>
      </vt:variant>
      <vt:variant>
        <vt:i4>1441796</vt:i4>
      </vt:variant>
      <vt:variant>
        <vt:i4>15</vt:i4>
      </vt:variant>
      <vt:variant>
        <vt:i4>0</vt:i4>
      </vt:variant>
      <vt:variant>
        <vt:i4>5</vt:i4>
      </vt:variant>
      <vt:variant>
        <vt:lpwstr>https://g20sfwg.org/wp-content/uploads/2021/10/G20-SFWG-Synthesis-Report.pdf</vt:lpwstr>
      </vt:variant>
      <vt:variant>
        <vt:lpwstr/>
      </vt:variant>
      <vt:variant>
        <vt:i4>196611</vt:i4>
      </vt:variant>
      <vt:variant>
        <vt:i4>12</vt:i4>
      </vt:variant>
      <vt:variant>
        <vt:i4>0</vt:i4>
      </vt:variant>
      <vt:variant>
        <vt:i4>5</vt:i4>
      </vt:variant>
      <vt:variant>
        <vt:lpwstr>https://ellenmacarthurfoundation.org/topics/circular-economy-introduction/overview</vt:lpwstr>
      </vt:variant>
      <vt:variant>
        <vt:lpwstr>:~:text=The%20circular%20economy%20gives%20us,emissions%2C%20waste%2C%20and%20pollution</vt:lpwstr>
      </vt:variant>
      <vt:variant>
        <vt:i4>2490371</vt:i4>
      </vt:variant>
      <vt:variant>
        <vt:i4>9</vt:i4>
      </vt:variant>
      <vt:variant>
        <vt:i4>0</vt:i4>
      </vt:variant>
      <vt:variant>
        <vt:i4>5</vt:i4>
      </vt:variant>
      <vt:variant>
        <vt:lpwstr>https://unctad.org/system/files/official-document/presspb2017d10_en.pdf</vt:lpwstr>
      </vt:variant>
      <vt:variant>
        <vt:lpwstr/>
      </vt:variant>
      <vt:variant>
        <vt:i4>2490412</vt:i4>
      </vt:variant>
      <vt:variant>
        <vt:i4>6</vt:i4>
      </vt:variant>
      <vt:variant>
        <vt:i4>0</vt:i4>
      </vt:variant>
      <vt:variant>
        <vt:i4>5</vt:i4>
      </vt:variant>
      <vt:variant>
        <vt:lpwstr>https://unfccc.int/process-and-meetings/the-paris-agreement</vt:lpwstr>
      </vt:variant>
      <vt:variant>
        <vt:lpwstr/>
      </vt:variant>
      <vt:variant>
        <vt:i4>91</vt:i4>
      </vt:variant>
      <vt:variant>
        <vt:i4>3</vt:i4>
      </vt:variant>
      <vt:variant>
        <vt:i4>0</vt:i4>
      </vt:variant>
      <vt:variant>
        <vt:i4>5</vt:i4>
      </vt:variant>
      <vt:variant>
        <vt:lpwstr>https://www.un.org/sustainabledevelopment/energy/</vt:lpwstr>
      </vt:variant>
      <vt:variant>
        <vt:lpwstr/>
      </vt:variant>
      <vt:variant>
        <vt:i4>262226</vt:i4>
      </vt:variant>
      <vt:variant>
        <vt:i4>0</vt:i4>
      </vt:variant>
      <vt:variant>
        <vt:i4>0</vt:i4>
      </vt:variant>
      <vt:variant>
        <vt:i4>5</vt:i4>
      </vt:variant>
      <vt:variant>
        <vt:lpwstr>https://unece.org/sites/default/files/2023-01/ece_mp.eia_wg.2_2022_2_adv_copy.pdf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Tea Aulavuo</cp:lastModifiedBy>
  <cp:revision>4</cp:revision>
  <cp:lastPrinted>2023-05-19T09:30:00Z</cp:lastPrinted>
  <dcterms:created xsi:type="dcterms:W3CDTF">2023-05-22T15:25:00Z</dcterms:created>
  <dcterms:modified xsi:type="dcterms:W3CDTF">2023-05-22T15:30:00Z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y fmtid="{D5CDD505-2E9C-101B-9397-08002B2CF9AE}" pid="4" name="GrammarlyDocumentId">
    <vt:lpwstr>060806848034c36d35de81b1e3759b1273f0e34121dcb418c4848c440dfbb72b</vt:lpwstr>
  </property>
  <property fmtid="{D5CDD505-2E9C-101B-9397-08002B2CF9AE}" pid="5" name="_NewReviewCycle">
    <vt:lpwstr/>
  </property>
  <property fmtid="{D5CDD505-2E9C-101B-9397-08002B2CF9AE}" pid="6" name="MSIP_Label_d0484126-3486-41a9-802e-7f1e2277276c_Enabled">
    <vt:lpwstr>true</vt:lpwstr>
  </property>
  <property fmtid="{D5CDD505-2E9C-101B-9397-08002B2CF9AE}" pid="7" name="MSIP_Label_d0484126-3486-41a9-802e-7f1e2277276c_SetDate">
    <vt:lpwstr>2023-04-27T11:33:37Z</vt:lpwstr>
  </property>
  <property fmtid="{D5CDD505-2E9C-101B-9397-08002B2CF9AE}" pid="8" name="MSIP_Label_d0484126-3486-41a9-802e-7f1e2277276c_Method">
    <vt:lpwstr>Standard</vt:lpwstr>
  </property>
  <property fmtid="{D5CDD505-2E9C-101B-9397-08002B2CF9AE}" pid="9" name="MSIP_Label_d0484126-3486-41a9-802e-7f1e2277276c_Name">
    <vt:lpwstr>d0484126-3486-41a9-802e-7f1e2277276c</vt:lpwstr>
  </property>
  <property fmtid="{D5CDD505-2E9C-101B-9397-08002B2CF9AE}" pid="10" name="MSIP_Label_d0484126-3486-41a9-802e-7f1e2277276c_SiteId">
    <vt:lpwstr>eec01f8e-737f-43e3-9ed5-f8a59913bd82</vt:lpwstr>
  </property>
  <property fmtid="{D5CDD505-2E9C-101B-9397-08002B2CF9AE}" pid="11" name="MSIP_Label_d0484126-3486-41a9-802e-7f1e2277276c_ActionId">
    <vt:lpwstr>3c94fd07-de1c-403a-b239-20803e5590db</vt:lpwstr>
  </property>
  <property fmtid="{D5CDD505-2E9C-101B-9397-08002B2CF9AE}" pid="12" name="MSIP_Label_d0484126-3486-41a9-802e-7f1e2277276c_ContentBits">
    <vt:lpwstr>0</vt:lpwstr>
  </property>
</Properties>
</file>