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7631A2" w:rsidRPr="00010B7B" w14:paraId="503FCB0E" w14:textId="77777777" w:rsidTr="00106019">
        <w:trPr>
          <w:cantSplit/>
          <w:trHeight w:hRule="exact" w:val="958"/>
        </w:trPr>
        <w:tc>
          <w:tcPr>
            <w:tcW w:w="1701" w:type="dxa"/>
            <w:shd w:val="clear" w:color="auto" w:fill="auto"/>
            <w:vAlign w:val="bottom"/>
          </w:tcPr>
          <w:p w14:paraId="2376A823" w14:textId="77777777" w:rsidR="007631A2" w:rsidRPr="00010B7B" w:rsidRDefault="007631A2" w:rsidP="007631A2">
            <w:pPr>
              <w:pStyle w:val="Heading5"/>
            </w:pPr>
          </w:p>
        </w:tc>
        <w:tc>
          <w:tcPr>
            <w:tcW w:w="5524" w:type="dxa"/>
            <w:shd w:val="clear" w:color="auto" w:fill="auto"/>
            <w:vAlign w:val="bottom"/>
          </w:tcPr>
          <w:p w14:paraId="1A1D07AE" w14:textId="77777777" w:rsidR="007631A2" w:rsidRPr="00010B7B" w:rsidRDefault="007631A2" w:rsidP="007631A2">
            <w:pPr>
              <w:spacing w:after="80" w:line="240" w:lineRule="auto"/>
              <w:rPr>
                <w:b/>
                <w:sz w:val="24"/>
                <w:szCs w:val="44"/>
              </w:rPr>
            </w:pPr>
          </w:p>
        </w:tc>
        <w:tc>
          <w:tcPr>
            <w:tcW w:w="2839" w:type="dxa"/>
            <w:shd w:val="clear" w:color="auto" w:fill="auto"/>
          </w:tcPr>
          <w:p w14:paraId="66BC6431" w14:textId="7E0E067F" w:rsidR="007631A2" w:rsidRPr="00010B7B" w:rsidRDefault="007631A2" w:rsidP="007631A2">
            <w:pPr>
              <w:spacing w:before="240" w:line="240" w:lineRule="exact"/>
              <w:ind w:left="4"/>
            </w:pPr>
            <w:bookmarkStart w:id="0" w:name="_Hlk86070323"/>
            <w:r w:rsidRPr="00AB39A1">
              <w:t>ECE/MP.EIA/</w:t>
            </w:r>
            <w:r>
              <w:t>WG.2</w:t>
            </w:r>
            <w:r w:rsidRPr="00AB39A1">
              <w:t>/202</w:t>
            </w:r>
            <w:r>
              <w:t>3</w:t>
            </w:r>
            <w:r w:rsidRPr="00AB39A1">
              <w:t>/INF.</w:t>
            </w:r>
            <w:bookmarkEnd w:id="0"/>
            <w:r>
              <w:t>1</w:t>
            </w:r>
            <w:r>
              <w:br/>
            </w:r>
            <w:r w:rsidR="005A63C2">
              <w:t>9</w:t>
            </w:r>
            <w:r w:rsidRPr="00A82C06">
              <w:t xml:space="preserve"> Ma</w:t>
            </w:r>
            <w:r w:rsidR="00BE502A" w:rsidRPr="00A82C06">
              <w:t>y</w:t>
            </w:r>
            <w:r w:rsidRPr="00A82C06">
              <w:t xml:space="preserve"> 2023</w:t>
            </w:r>
            <w:r w:rsidRPr="003606B4">
              <w:rPr>
                <w:color w:val="FF0000"/>
                <w:lang w:val="en-US"/>
              </w:rPr>
              <w:br/>
            </w:r>
            <w:r w:rsidRPr="00010B7B">
              <w:t>English only</w:t>
            </w:r>
          </w:p>
          <w:p w14:paraId="645C9EAA" w14:textId="77777777" w:rsidR="007631A2" w:rsidRPr="00010B7B" w:rsidRDefault="007631A2" w:rsidP="007631A2">
            <w:pPr>
              <w:spacing w:line="240" w:lineRule="exact"/>
            </w:pPr>
            <w:r w:rsidRPr="00010B7B">
              <w:t xml:space="preserve"> 27 May 2021</w:t>
            </w:r>
          </w:p>
        </w:tc>
      </w:tr>
    </w:tbl>
    <w:p w14:paraId="57393A90" w14:textId="77777777" w:rsidR="002933D9" w:rsidRPr="00930D32" w:rsidRDefault="002933D9" w:rsidP="002933D9">
      <w:pPr>
        <w:spacing w:before="120"/>
        <w:rPr>
          <w:b/>
          <w:sz w:val="28"/>
          <w:szCs w:val="28"/>
        </w:rPr>
      </w:pPr>
      <w:r w:rsidRPr="00930D32">
        <w:rPr>
          <w:b/>
          <w:sz w:val="28"/>
          <w:szCs w:val="28"/>
        </w:rPr>
        <w:t>Economic Commission for Europe</w:t>
      </w:r>
    </w:p>
    <w:p w14:paraId="49887EA7" w14:textId="77777777" w:rsidR="002933D9" w:rsidRPr="00930D32" w:rsidRDefault="002933D9" w:rsidP="002933D9">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on Environmental Impact Assessment in </w:t>
      </w:r>
      <w:r w:rsidRPr="00930D32">
        <w:rPr>
          <w:bCs/>
          <w:sz w:val="28"/>
          <w:szCs w:val="28"/>
        </w:rPr>
        <w:br/>
        <w:t>a Transboundary Context</w:t>
      </w:r>
    </w:p>
    <w:p w14:paraId="146FAC6E" w14:textId="77777777" w:rsidR="002933D9" w:rsidRPr="00930D32" w:rsidRDefault="002933D9" w:rsidP="002933D9">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serving as the Meeting of the Parties </w:t>
      </w:r>
      <w:r w:rsidRPr="00930D32">
        <w:rPr>
          <w:bCs/>
          <w:sz w:val="28"/>
          <w:szCs w:val="28"/>
        </w:rPr>
        <w:br/>
        <w:t xml:space="preserve">to the Protocol on Strategic </w:t>
      </w:r>
      <w:r w:rsidRPr="00930D32">
        <w:rPr>
          <w:bCs/>
          <w:sz w:val="28"/>
          <w:szCs w:val="28"/>
        </w:rPr>
        <w:br/>
        <w:t>Environmental Assessment</w:t>
      </w:r>
    </w:p>
    <w:p w14:paraId="1B36B0AF" w14:textId="77777777" w:rsidR="002933D9" w:rsidRPr="00930D32" w:rsidRDefault="002933D9" w:rsidP="002933D9">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1C24F04F" w14:textId="71680923" w:rsidR="00603434" w:rsidRPr="00136A88" w:rsidRDefault="000549B2" w:rsidP="00603434">
      <w:pPr>
        <w:spacing w:before="120"/>
        <w:rPr>
          <w:b/>
        </w:rPr>
      </w:pPr>
      <w:r>
        <w:rPr>
          <w:b/>
        </w:rPr>
        <w:t>Twelfth</w:t>
      </w:r>
      <w:r w:rsidR="00603434">
        <w:rPr>
          <w:b/>
        </w:rPr>
        <w:t xml:space="preserve"> </w:t>
      </w:r>
      <w:r w:rsidR="00603434" w:rsidRPr="00136A88">
        <w:rPr>
          <w:b/>
        </w:rPr>
        <w:t>meeting</w:t>
      </w:r>
    </w:p>
    <w:p w14:paraId="5023CC28" w14:textId="33B58F84" w:rsidR="00603434" w:rsidRPr="00136A88" w:rsidRDefault="00603434" w:rsidP="00603434">
      <w:r w:rsidRPr="00136A88">
        <w:t xml:space="preserve">Geneva, </w:t>
      </w:r>
      <w:r w:rsidR="000549B2">
        <w:t>13</w:t>
      </w:r>
      <w:r w:rsidRPr="00E5595D">
        <w:t>–</w:t>
      </w:r>
      <w:r w:rsidR="000549B2">
        <w:t>15</w:t>
      </w:r>
      <w:r w:rsidRPr="00E5595D">
        <w:t xml:space="preserve"> </w:t>
      </w:r>
      <w:r w:rsidR="000549B2">
        <w:t>June</w:t>
      </w:r>
      <w:r w:rsidRPr="00E5595D">
        <w:t xml:space="preserve"> 202</w:t>
      </w:r>
      <w:r w:rsidR="000549B2">
        <w:t>3</w:t>
      </w:r>
    </w:p>
    <w:p w14:paraId="085C02FC" w14:textId="77777777" w:rsidR="00603434" w:rsidRDefault="00603434" w:rsidP="00603434">
      <w:r w:rsidRPr="00136A88">
        <w:t xml:space="preserve">Item </w:t>
      </w:r>
      <w:r>
        <w:t xml:space="preserve">1 </w:t>
      </w:r>
      <w:r w:rsidRPr="00136A88">
        <w:t>of the provisional agenda</w:t>
      </w:r>
    </w:p>
    <w:p w14:paraId="4CEB38F7" w14:textId="77777777" w:rsidR="00603434" w:rsidRPr="00595520" w:rsidRDefault="00603434" w:rsidP="00603434">
      <w:r w:rsidRPr="00833C4A">
        <w:rPr>
          <w:b/>
          <w:bCs/>
        </w:rPr>
        <w:t>Adoption of the agenda</w:t>
      </w:r>
    </w:p>
    <w:p w14:paraId="76F53724" w14:textId="77777777" w:rsidR="0048161B" w:rsidRPr="00930D32" w:rsidRDefault="0048161B" w:rsidP="00D4521B">
      <w:pPr>
        <w:pStyle w:val="HChG"/>
      </w:pPr>
      <w:r w:rsidRPr="00930D32">
        <w:tab/>
      </w:r>
      <w:r w:rsidRPr="00930D32">
        <w:tab/>
        <w:t>Informal notes on the agenda</w:t>
      </w:r>
    </w:p>
    <w:p w14:paraId="385150FF" w14:textId="77777777" w:rsidR="0048161B" w:rsidRPr="00930D32" w:rsidRDefault="0048161B" w:rsidP="0048161B">
      <w:pPr>
        <w:pStyle w:val="H1G"/>
      </w:pPr>
      <w:r w:rsidRPr="00930D32">
        <w:tab/>
      </w:r>
      <w:r w:rsidRPr="00930D32">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A3184" w:rsidRPr="00930D32" w14:paraId="7F6CCB94" w14:textId="77777777" w:rsidTr="006B6B7B">
        <w:trPr>
          <w:jc w:val="center"/>
        </w:trPr>
        <w:tc>
          <w:tcPr>
            <w:tcW w:w="9637" w:type="dxa"/>
            <w:shd w:val="clear" w:color="auto" w:fill="auto"/>
          </w:tcPr>
          <w:p w14:paraId="229D164A" w14:textId="77777777" w:rsidR="003A3184" w:rsidRPr="00930D32" w:rsidRDefault="003A3184" w:rsidP="00CE1869">
            <w:pPr>
              <w:rPr>
                <w:i/>
              </w:rPr>
            </w:pPr>
          </w:p>
        </w:tc>
      </w:tr>
      <w:tr w:rsidR="003A3184" w:rsidRPr="00930D32" w14:paraId="31CF6E83" w14:textId="77777777" w:rsidTr="006B6B7B">
        <w:trPr>
          <w:jc w:val="center"/>
        </w:trPr>
        <w:tc>
          <w:tcPr>
            <w:tcW w:w="9637" w:type="dxa"/>
            <w:shd w:val="clear" w:color="auto" w:fill="auto"/>
          </w:tcPr>
          <w:p w14:paraId="0BCADD89" w14:textId="3C6E4319" w:rsidR="00541BD9" w:rsidRDefault="00D758DC" w:rsidP="005D56AC">
            <w:pPr>
              <w:pStyle w:val="SingleTxtG"/>
            </w:pPr>
            <w:r w:rsidRPr="00930D32">
              <w:tab/>
            </w:r>
            <w:r w:rsidR="00EF7251" w:rsidRPr="00930D32">
              <w:tab/>
              <w:t>This paper presents an overview of agenda items</w:t>
            </w:r>
            <w:r w:rsidR="004B35B2" w:rsidRPr="00930D32">
              <w:t xml:space="preserve"> (in chronological order)</w:t>
            </w:r>
            <w:r w:rsidR="00EF7251" w:rsidRPr="00930D32">
              <w:t>, associated documentation (official</w:t>
            </w:r>
            <w:r w:rsidR="00B64B01" w:rsidRPr="00930D32">
              <w:t xml:space="preserve">, </w:t>
            </w:r>
            <w:r w:rsidR="00EF7251" w:rsidRPr="00930D32">
              <w:t>informal “INF”</w:t>
            </w:r>
            <w:r w:rsidR="00B64B01" w:rsidRPr="00930D32">
              <w:t xml:space="preserve"> and other</w:t>
            </w:r>
            <w:r w:rsidR="00EF7251" w:rsidRPr="00930D32">
              <w:t xml:space="preserve">) and </w:t>
            </w:r>
            <w:r w:rsidR="00A5380F" w:rsidRPr="00930D32">
              <w:t xml:space="preserve">actions </w:t>
            </w:r>
            <w:r w:rsidR="002933D9" w:rsidRPr="00930D32">
              <w:t xml:space="preserve">that </w:t>
            </w:r>
            <w:r w:rsidR="00A5380F" w:rsidRPr="00930D32">
              <w:t xml:space="preserve">the delegates </w:t>
            </w:r>
            <w:r w:rsidR="005D56AC" w:rsidRPr="00930D32">
              <w:t xml:space="preserve">are invited to </w:t>
            </w:r>
            <w:r w:rsidR="002933D9" w:rsidRPr="00930D32">
              <w:t>take</w:t>
            </w:r>
            <w:r w:rsidR="00EF7251" w:rsidRPr="00930D32">
              <w:t>.</w:t>
            </w:r>
          </w:p>
          <w:p w14:paraId="00A1927C" w14:textId="7A34C4FD" w:rsidR="00B71B79" w:rsidRDefault="00CC6358" w:rsidP="00B71B79">
            <w:pPr>
              <w:pStyle w:val="SingleTxtG"/>
            </w:pPr>
            <w:r w:rsidRPr="00930D32">
              <w:tab/>
            </w:r>
            <w:r w:rsidRPr="00930D32">
              <w:tab/>
            </w:r>
            <w:r w:rsidR="00B71B79" w:rsidRPr="009418E5">
              <w:t>Timing of the items is indicative and subject to changes depending on the deliberations during the meeting.</w:t>
            </w:r>
          </w:p>
          <w:p w14:paraId="517D5DFC" w14:textId="46774DDB" w:rsidR="009418E5" w:rsidRPr="007657F5" w:rsidRDefault="00D758DC" w:rsidP="00B71B79">
            <w:pPr>
              <w:pStyle w:val="SingleTxtG"/>
            </w:pPr>
            <w:r w:rsidRPr="00930D32">
              <w:tab/>
            </w:r>
            <w:r w:rsidRPr="00930D32">
              <w:tab/>
            </w:r>
            <w:r w:rsidR="009418E5" w:rsidRPr="009418E5">
              <w:t xml:space="preserve">The delegations are invited to send </w:t>
            </w:r>
            <w:r w:rsidR="004B2FD6" w:rsidRPr="005449F0">
              <w:rPr>
                <w:b/>
                <w:bCs/>
              </w:rPr>
              <w:t xml:space="preserve">information </w:t>
            </w:r>
            <w:r w:rsidR="00785432">
              <w:rPr>
                <w:b/>
                <w:bCs/>
              </w:rPr>
              <w:t xml:space="preserve">by </w:t>
            </w:r>
            <w:r w:rsidR="00B26E51">
              <w:rPr>
                <w:b/>
                <w:bCs/>
              </w:rPr>
              <w:t xml:space="preserve">15 May </w:t>
            </w:r>
            <w:r w:rsidR="004B2FD6" w:rsidRPr="005449F0">
              <w:rPr>
                <w:b/>
                <w:bCs/>
              </w:rPr>
              <w:t>on</w:t>
            </w:r>
            <w:r w:rsidR="00B90EA3">
              <w:rPr>
                <w:b/>
                <w:bCs/>
              </w:rPr>
              <w:t>:</w:t>
            </w:r>
            <w:r w:rsidR="004B2FD6" w:rsidRPr="005449F0">
              <w:rPr>
                <w:b/>
                <w:bCs/>
              </w:rPr>
              <w:t xml:space="preserve"> pledged </w:t>
            </w:r>
            <w:r w:rsidR="001501ED" w:rsidRPr="005449F0">
              <w:rPr>
                <w:b/>
                <w:bCs/>
              </w:rPr>
              <w:t xml:space="preserve">financial contributions </w:t>
            </w:r>
            <w:r w:rsidR="00146D5C" w:rsidRPr="005449F0">
              <w:rPr>
                <w:b/>
                <w:bCs/>
              </w:rPr>
              <w:t xml:space="preserve">for </w:t>
            </w:r>
            <w:r w:rsidR="001501ED" w:rsidRPr="005449F0">
              <w:rPr>
                <w:b/>
                <w:bCs/>
              </w:rPr>
              <w:t>2024–2026</w:t>
            </w:r>
            <w:r w:rsidR="0039646B">
              <w:rPr>
                <w:b/>
                <w:bCs/>
              </w:rPr>
              <w:t>, inputs to the</w:t>
            </w:r>
            <w:r w:rsidR="00B90EA3">
              <w:rPr>
                <w:b/>
                <w:bCs/>
              </w:rPr>
              <w:t xml:space="preserve"> workplan</w:t>
            </w:r>
            <w:r w:rsidR="00785432">
              <w:rPr>
                <w:b/>
                <w:bCs/>
              </w:rPr>
              <w:t xml:space="preserve"> for 2024–2026; inputs to the </w:t>
            </w:r>
            <w:r w:rsidR="0039646B">
              <w:rPr>
                <w:b/>
                <w:bCs/>
              </w:rPr>
              <w:t>high-level event</w:t>
            </w:r>
            <w:r w:rsidR="00146D5C" w:rsidRPr="005449F0">
              <w:rPr>
                <w:b/>
                <w:bCs/>
              </w:rPr>
              <w:t xml:space="preserve"> </w:t>
            </w:r>
            <w:r w:rsidR="00146D5C" w:rsidRPr="005449F0">
              <w:rPr>
                <w:b/>
                <w:bCs/>
              </w:rPr>
              <w:t>and nominations for officers</w:t>
            </w:r>
            <w:r w:rsidR="00146D5C">
              <w:t xml:space="preserve"> </w:t>
            </w:r>
            <w:r w:rsidR="009D35E4">
              <w:rPr>
                <w:b/>
                <w:bCs/>
              </w:rPr>
              <w:t xml:space="preserve">and </w:t>
            </w:r>
            <w:r w:rsidR="00D118A1">
              <w:rPr>
                <w:b/>
                <w:bCs/>
              </w:rPr>
              <w:t xml:space="preserve">by 23 May </w:t>
            </w:r>
            <w:r w:rsidR="009418E5" w:rsidRPr="009418E5">
              <w:t xml:space="preserve">their </w:t>
            </w:r>
            <w:r w:rsidR="009418E5" w:rsidRPr="009418E5">
              <w:rPr>
                <w:b/>
                <w:bCs/>
              </w:rPr>
              <w:t>comments</w:t>
            </w:r>
            <w:r w:rsidR="00487571">
              <w:rPr>
                <w:b/>
                <w:bCs/>
              </w:rPr>
              <w:t xml:space="preserve">. </w:t>
            </w:r>
            <w:r w:rsidR="009418E5" w:rsidRPr="009418E5">
              <w:t xml:space="preserve"> </w:t>
            </w:r>
            <w:r w:rsidR="00487571">
              <w:t xml:space="preserve">Kindly send them to </w:t>
            </w:r>
            <w:r w:rsidR="009418E5" w:rsidRPr="009418E5">
              <w:t>the secretariat (eia.conv@un.org; tea.aulavuo@un.org)</w:t>
            </w:r>
            <w:r w:rsidR="007A4F61">
              <w:t>.</w:t>
            </w:r>
          </w:p>
          <w:p w14:paraId="518B7C91" w14:textId="2ADFE75F" w:rsidR="009418E5" w:rsidRDefault="00F3766F" w:rsidP="00B71B79">
            <w:pPr>
              <w:pStyle w:val="SingleTxtG"/>
              <w:rPr>
                <w:b/>
                <w:bCs/>
              </w:rPr>
            </w:pPr>
            <w:r w:rsidRPr="00930D32">
              <w:tab/>
            </w:r>
            <w:r w:rsidRPr="00930D32">
              <w:tab/>
            </w:r>
            <w:r w:rsidR="009418E5">
              <w:t>M</w:t>
            </w:r>
            <w:r w:rsidR="009418E5" w:rsidRPr="009418E5">
              <w:t>eeting documentation is available on a dedicated web page for the meeting</w:t>
            </w:r>
            <w:r w:rsidR="009418E5">
              <w:rPr>
                <w:b/>
                <w:bCs/>
              </w:rPr>
              <w:t xml:space="preserve">: </w:t>
            </w:r>
            <w:hyperlink r:id="rId11" w:history="1">
              <w:r w:rsidR="000549B2" w:rsidRPr="00B330EB">
                <w:rPr>
                  <w:rStyle w:val="Hyperlink"/>
                  <w:color w:val="4472C4"/>
                </w:rPr>
                <w:t>Working Group on EIA and SEA (Espoo Convention), 12th meeting | UNECE</w:t>
              </w:r>
            </w:hyperlink>
          </w:p>
          <w:p w14:paraId="6F369AD1" w14:textId="2D28BEBC" w:rsidR="009418E5" w:rsidRDefault="00F3766F" w:rsidP="00150798">
            <w:pPr>
              <w:pStyle w:val="SingleTxtG"/>
            </w:pPr>
            <w:r w:rsidRPr="00930D32">
              <w:tab/>
            </w:r>
            <w:r w:rsidRPr="00930D32">
              <w:tab/>
            </w:r>
            <w:r w:rsidR="009418E5" w:rsidRPr="009418E5">
              <w:t xml:space="preserve">For information on practical matters, please see the </w:t>
            </w:r>
            <w:r w:rsidR="00150798">
              <w:t xml:space="preserve">above </w:t>
            </w:r>
            <w:r w:rsidR="009418E5" w:rsidRPr="009418E5">
              <w:t xml:space="preserve">web page and </w:t>
            </w:r>
            <w:hyperlink r:id="rId12" w:history="1">
              <w:r w:rsidR="00150798" w:rsidRPr="0009264E">
                <w:rPr>
                  <w:rStyle w:val="Hyperlink"/>
                  <w:color w:val="4472C4"/>
                </w:rPr>
                <w:t>https://unece.org/practical-information-delegates</w:t>
              </w:r>
            </w:hyperlink>
            <w:r w:rsidR="00150798" w:rsidRPr="0009264E">
              <w:rPr>
                <w:color w:val="4472C4"/>
              </w:rPr>
              <w:t xml:space="preserve"> </w:t>
            </w:r>
            <w:r w:rsidR="009418E5" w:rsidRPr="009418E5">
              <w:t>and/or contact the secretariat by email (maricar.delacruz@un.org; eia.conv@un.org) for assistance.</w:t>
            </w:r>
            <w:r w:rsidR="00E11EF7">
              <w:t xml:space="preserve"> </w:t>
            </w:r>
          </w:p>
          <w:p w14:paraId="1CDE4375" w14:textId="77777777" w:rsidR="00634754" w:rsidRDefault="00634754" w:rsidP="00B71B79">
            <w:pPr>
              <w:pStyle w:val="SingleTxtG"/>
              <w:rPr>
                <w:b/>
                <w:bCs/>
              </w:rPr>
            </w:pPr>
          </w:p>
          <w:p w14:paraId="15CE98FA" w14:textId="77777777" w:rsidR="00634754" w:rsidRPr="004814CE" w:rsidRDefault="00634754" w:rsidP="00B71B79">
            <w:pPr>
              <w:pStyle w:val="SingleTxtG"/>
              <w:rPr>
                <w:b/>
                <w:bCs/>
              </w:rPr>
            </w:pPr>
          </w:p>
        </w:tc>
      </w:tr>
      <w:tr w:rsidR="003A3184" w:rsidRPr="00930D32" w14:paraId="16C442BA" w14:textId="77777777" w:rsidTr="006B6B7B">
        <w:trPr>
          <w:jc w:val="center"/>
        </w:trPr>
        <w:tc>
          <w:tcPr>
            <w:tcW w:w="9637" w:type="dxa"/>
            <w:shd w:val="clear" w:color="auto" w:fill="auto"/>
          </w:tcPr>
          <w:p w14:paraId="7DCF5A33" w14:textId="77777777" w:rsidR="003A3184" w:rsidRPr="00930D32" w:rsidRDefault="003A3184" w:rsidP="00CE1869"/>
        </w:tc>
      </w:tr>
    </w:tbl>
    <w:p w14:paraId="02409824" w14:textId="77777777" w:rsidR="003A3184" w:rsidRPr="00930D32" w:rsidRDefault="003A3184" w:rsidP="00F451A3">
      <w:pPr>
        <w:pStyle w:val="SingleTxtG"/>
      </w:pPr>
    </w:p>
    <w:p w14:paraId="031943E5" w14:textId="77777777" w:rsidR="006E0021" w:rsidRPr="00930D32" w:rsidRDefault="006E0021" w:rsidP="004F37E8">
      <w:pPr>
        <w:pStyle w:val="SingleTxtG"/>
        <w:ind w:left="0"/>
        <w:sectPr w:rsidR="006E0021" w:rsidRPr="00930D32" w:rsidSect="0064660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pPr>
    </w:p>
    <w:p w14:paraId="7B4E5F1D" w14:textId="77777777" w:rsidR="005C5DDA" w:rsidRPr="00930D32" w:rsidRDefault="005C5DDA" w:rsidP="009F7903">
      <w:pPr>
        <w:spacing w:before="240"/>
        <w:ind w:left="1134" w:right="1134"/>
        <w:jc w:val="center"/>
        <w:rPr>
          <w:u w:val="single"/>
        </w:rPr>
      </w:pPr>
    </w:p>
    <w:tbl>
      <w:tblPr>
        <w:tblW w:w="12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921"/>
        <w:gridCol w:w="2044"/>
        <w:gridCol w:w="3690"/>
        <w:gridCol w:w="4656"/>
      </w:tblGrid>
      <w:tr w:rsidR="00385A71" w:rsidRPr="00930D32" w14:paraId="5604FA22" w14:textId="77777777" w:rsidTr="00D9132C">
        <w:trPr>
          <w:tblHeader/>
          <w:jc w:val="center"/>
        </w:trPr>
        <w:tc>
          <w:tcPr>
            <w:tcW w:w="1350" w:type="dxa"/>
            <w:shd w:val="clear" w:color="auto" w:fill="auto"/>
          </w:tcPr>
          <w:p w14:paraId="08A3D1D9" w14:textId="77777777" w:rsidR="00385A71" w:rsidRPr="00930D32" w:rsidRDefault="00385A71" w:rsidP="00E40B25">
            <w:pPr>
              <w:spacing w:before="80" w:after="80" w:line="200" w:lineRule="exact"/>
              <w:ind w:left="143" w:right="113"/>
              <w:rPr>
                <w:bCs/>
                <w:i/>
              </w:rPr>
            </w:pPr>
            <w:r w:rsidRPr="00930D32">
              <w:rPr>
                <w:bCs/>
                <w:i/>
              </w:rPr>
              <w:t>Day</w:t>
            </w:r>
          </w:p>
        </w:tc>
        <w:tc>
          <w:tcPr>
            <w:tcW w:w="921" w:type="dxa"/>
            <w:shd w:val="clear" w:color="auto" w:fill="auto"/>
          </w:tcPr>
          <w:p w14:paraId="0FB6167A" w14:textId="77777777" w:rsidR="00385A71" w:rsidRPr="00930D32" w:rsidRDefault="00385A71" w:rsidP="00E40B25">
            <w:pPr>
              <w:spacing w:before="80" w:after="80" w:line="200" w:lineRule="exact"/>
              <w:ind w:left="170" w:right="113"/>
              <w:rPr>
                <w:bCs/>
                <w:i/>
              </w:rPr>
            </w:pPr>
            <w:r w:rsidRPr="00930D32">
              <w:rPr>
                <w:bCs/>
                <w:i/>
              </w:rPr>
              <w:t>Time</w:t>
            </w:r>
          </w:p>
        </w:tc>
        <w:tc>
          <w:tcPr>
            <w:tcW w:w="2044" w:type="dxa"/>
            <w:shd w:val="clear" w:color="auto" w:fill="auto"/>
          </w:tcPr>
          <w:p w14:paraId="5788F2FA" w14:textId="77777777" w:rsidR="00385A71" w:rsidRPr="00930D32" w:rsidRDefault="00385A71" w:rsidP="00E40B25">
            <w:pPr>
              <w:spacing w:before="80" w:after="80" w:line="200" w:lineRule="exact"/>
              <w:ind w:left="284" w:right="113" w:hanging="142"/>
              <w:rPr>
                <w:bCs/>
                <w:i/>
              </w:rPr>
            </w:pPr>
            <w:r w:rsidRPr="00930D32">
              <w:rPr>
                <w:bCs/>
                <w:i/>
              </w:rPr>
              <w:t>Agenda item</w:t>
            </w:r>
          </w:p>
        </w:tc>
        <w:tc>
          <w:tcPr>
            <w:tcW w:w="3690" w:type="dxa"/>
            <w:shd w:val="clear" w:color="auto" w:fill="auto"/>
          </w:tcPr>
          <w:p w14:paraId="3BDE448D" w14:textId="77777777" w:rsidR="00385A71" w:rsidRPr="00930D32" w:rsidRDefault="00385A71" w:rsidP="00E40B25">
            <w:pPr>
              <w:spacing w:before="80" w:after="80" w:line="200" w:lineRule="exact"/>
              <w:ind w:right="113"/>
              <w:rPr>
                <w:bCs/>
                <w:i/>
              </w:rPr>
            </w:pPr>
            <w:r w:rsidRPr="00930D32">
              <w:rPr>
                <w:bCs/>
                <w:i/>
              </w:rPr>
              <w:t>Documents</w:t>
            </w:r>
          </w:p>
        </w:tc>
        <w:tc>
          <w:tcPr>
            <w:tcW w:w="4656" w:type="dxa"/>
            <w:shd w:val="clear" w:color="auto" w:fill="auto"/>
          </w:tcPr>
          <w:p w14:paraId="58F8A5FF" w14:textId="77777777" w:rsidR="00385A71" w:rsidRPr="00930D32" w:rsidRDefault="00385A71" w:rsidP="00E40B25">
            <w:pPr>
              <w:spacing w:before="80" w:after="80" w:line="200" w:lineRule="exact"/>
              <w:ind w:left="142" w:right="260"/>
              <w:rPr>
                <w:bCs/>
                <w:i/>
              </w:rPr>
            </w:pPr>
            <w:r w:rsidRPr="00930D32">
              <w:rPr>
                <w:bCs/>
                <w:i/>
              </w:rPr>
              <w:t>Actions</w:t>
            </w:r>
          </w:p>
        </w:tc>
      </w:tr>
      <w:tr w:rsidR="00561B33" w:rsidRPr="000549B2" w14:paraId="3AEACC98" w14:textId="77777777" w:rsidTr="00D9132C">
        <w:trPr>
          <w:trHeight w:val="96"/>
          <w:jc w:val="center"/>
        </w:trPr>
        <w:tc>
          <w:tcPr>
            <w:tcW w:w="1350" w:type="dxa"/>
            <w:vMerge w:val="restart"/>
            <w:shd w:val="clear" w:color="auto" w:fill="auto"/>
          </w:tcPr>
          <w:p w14:paraId="17FCC3AB" w14:textId="1A1DAEDE" w:rsidR="00DD73D7" w:rsidRDefault="000549B2" w:rsidP="006E2743">
            <w:pPr>
              <w:spacing w:before="40" w:after="120"/>
              <w:ind w:left="143" w:right="113"/>
              <w:rPr>
                <w:b/>
                <w:bCs/>
              </w:rPr>
            </w:pPr>
            <w:bookmarkStart w:id="1" w:name="_Hlk88056775"/>
            <w:r>
              <w:rPr>
                <w:b/>
                <w:bCs/>
              </w:rPr>
              <w:t>Tuesday</w:t>
            </w:r>
            <w:r w:rsidR="00543DAA" w:rsidRPr="00543DAA">
              <w:rPr>
                <w:b/>
                <w:bCs/>
              </w:rPr>
              <w:t>, 1</w:t>
            </w:r>
            <w:r>
              <w:rPr>
                <w:b/>
                <w:bCs/>
              </w:rPr>
              <w:t>3</w:t>
            </w:r>
            <w:r w:rsidR="00543DAA" w:rsidRPr="00543DAA">
              <w:rPr>
                <w:b/>
                <w:bCs/>
              </w:rPr>
              <w:t xml:space="preserve"> </w:t>
            </w:r>
            <w:r>
              <w:rPr>
                <w:b/>
                <w:bCs/>
              </w:rPr>
              <w:t>June</w:t>
            </w:r>
            <w:r w:rsidR="00543DAA" w:rsidRPr="00543DAA">
              <w:rPr>
                <w:b/>
                <w:bCs/>
              </w:rPr>
              <w:t xml:space="preserve"> </w:t>
            </w:r>
          </w:p>
          <w:p w14:paraId="56EB3E60" w14:textId="77777777" w:rsidR="00DD73D7" w:rsidRDefault="00DD73D7" w:rsidP="00543DAA">
            <w:pPr>
              <w:spacing w:before="40" w:after="120"/>
              <w:ind w:right="113"/>
              <w:rPr>
                <w:b/>
                <w:bCs/>
              </w:rPr>
            </w:pPr>
          </w:p>
          <w:p w14:paraId="19C4DF1D" w14:textId="77777777" w:rsidR="00DD73D7" w:rsidRDefault="00DD73D7" w:rsidP="00543DAA">
            <w:pPr>
              <w:spacing w:before="40" w:after="120"/>
              <w:ind w:right="113"/>
              <w:rPr>
                <w:b/>
                <w:bCs/>
              </w:rPr>
            </w:pPr>
          </w:p>
          <w:p w14:paraId="30B02724" w14:textId="77777777" w:rsidR="00DD73D7" w:rsidRDefault="00DD73D7" w:rsidP="00543DAA">
            <w:pPr>
              <w:spacing w:before="40" w:after="120"/>
              <w:ind w:right="113"/>
              <w:rPr>
                <w:b/>
                <w:bCs/>
              </w:rPr>
            </w:pPr>
          </w:p>
          <w:p w14:paraId="70DA4E1E" w14:textId="77777777" w:rsidR="00DD73D7" w:rsidRDefault="00DD73D7" w:rsidP="00543DAA">
            <w:pPr>
              <w:spacing w:before="40" w:after="120"/>
              <w:ind w:right="113"/>
              <w:rPr>
                <w:b/>
                <w:bCs/>
              </w:rPr>
            </w:pPr>
          </w:p>
          <w:p w14:paraId="01F3BE07" w14:textId="77777777" w:rsidR="00DD73D7" w:rsidRDefault="00DD73D7" w:rsidP="00543DAA">
            <w:pPr>
              <w:spacing w:before="40" w:after="120"/>
              <w:ind w:right="113"/>
              <w:rPr>
                <w:b/>
                <w:bCs/>
              </w:rPr>
            </w:pPr>
          </w:p>
          <w:p w14:paraId="7ECDC005" w14:textId="77777777" w:rsidR="00DD73D7" w:rsidRDefault="00DD73D7" w:rsidP="00543DAA">
            <w:pPr>
              <w:spacing w:before="40" w:after="120"/>
              <w:ind w:right="113"/>
              <w:rPr>
                <w:b/>
                <w:bCs/>
              </w:rPr>
            </w:pPr>
          </w:p>
          <w:p w14:paraId="364C89D6" w14:textId="77777777" w:rsidR="00DD73D7" w:rsidRDefault="00DD73D7" w:rsidP="00543DAA">
            <w:pPr>
              <w:spacing w:before="40" w:after="120"/>
              <w:ind w:right="113"/>
              <w:rPr>
                <w:b/>
                <w:bCs/>
              </w:rPr>
            </w:pPr>
          </w:p>
          <w:p w14:paraId="3150B7A0" w14:textId="77777777" w:rsidR="00DD73D7" w:rsidRDefault="00DD73D7" w:rsidP="00543DAA">
            <w:pPr>
              <w:spacing w:before="40" w:after="120"/>
              <w:ind w:right="113"/>
              <w:rPr>
                <w:b/>
                <w:bCs/>
              </w:rPr>
            </w:pPr>
          </w:p>
          <w:p w14:paraId="00A149A6" w14:textId="77777777" w:rsidR="00DD73D7" w:rsidRDefault="00DD73D7" w:rsidP="00543DAA">
            <w:pPr>
              <w:spacing w:before="40" w:after="120"/>
              <w:ind w:right="113"/>
              <w:rPr>
                <w:b/>
                <w:bCs/>
              </w:rPr>
            </w:pPr>
          </w:p>
          <w:p w14:paraId="46931496" w14:textId="77777777" w:rsidR="00DD73D7" w:rsidRDefault="00DD73D7" w:rsidP="00543DAA">
            <w:pPr>
              <w:spacing w:before="40" w:after="120"/>
              <w:ind w:right="113"/>
              <w:rPr>
                <w:b/>
                <w:bCs/>
              </w:rPr>
            </w:pPr>
          </w:p>
          <w:p w14:paraId="13898993" w14:textId="77777777" w:rsidR="00DD73D7" w:rsidRDefault="00DD73D7" w:rsidP="00543DAA">
            <w:pPr>
              <w:spacing w:before="40" w:after="120"/>
              <w:ind w:right="113"/>
              <w:rPr>
                <w:b/>
                <w:bCs/>
              </w:rPr>
            </w:pPr>
          </w:p>
          <w:p w14:paraId="1E6F8B7F" w14:textId="77777777" w:rsidR="00DD73D7" w:rsidRDefault="00DD73D7" w:rsidP="00543DAA">
            <w:pPr>
              <w:spacing w:before="40" w:after="120"/>
              <w:ind w:right="113"/>
              <w:rPr>
                <w:b/>
                <w:bCs/>
              </w:rPr>
            </w:pPr>
          </w:p>
          <w:p w14:paraId="3847385E" w14:textId="77777777" w:rsidR="00DD73D7" w:rsidRDefault="00DD73D7" w:rsidP="00543DAA">
            <w:pPr>
              <w:spacing w:before="40" w:after="120"/>
              <w:ind w:right="113"/>
              <w:rPr>
                <w:b/>
                <w:bCs/>
              </w:rPr>
            </w:pPr>
          </w:p>
          <w:p w14:paraId="1F4A2E97" w14:textId="77777777" w:rsidR="00DD73D7" w:rsidRDefault="00DD73D7" w:rsidP="00543DAA">
            <w:pPr>
              <w:spacing w:before="40" w:after="120"/>
              <w:ind w:right="113"/>
              <w:rPr>
                <w:b/>
                <w:bCs/>
              </w:rPr>
            </w:pPr>
          </w:p>
          <w:p w14:paraId="7BEA126C" w14:textId="77777777" w:rsidR="00DD73D7" w:rsidRDefault="00DD73D7" w:rsidP="00543DAA">
            <w:pPr>
              <w:spacing w:before="40" w:after="120"/>
              <w:ind w:right="113"/>
              <w:rPr>
                <w:b/>
                <w:bCs/>
              </w:rPr>
            </w:pPr>
          </w:p>
          <w:p w14:paraId="5DD1A295" w14:textId="77777777" w:rsidR="00DD73D7" w:rsidRDefault="00DD73D7" w:rsidP="00543DAA">
            <w:pPr>
              <w:spacing w:before="40" w:after="120"/>
              <w:ind w:right="113"/>
              <w:rPr>
                <w:b/>
                <w:bCs/>
              </w:rPr>
            </w:pPr>
          </w:p>
          <w:p w14:paraId="4E5716F4" w14:textId="77777777" w:rsidR="00DD73D7" w:rsidRDefault="00DD73D7" w:rsidP="00543DAA">
            <w:pPr>
              <w:spacing w:before="40" w:after="120"/>
              <w:ind w:right="113"/>
              <w:rPr>
                <w:b/>
                <w:bCs/>
              </w:rPr>
            </w:pPr>
          </w:p>
          <w:p w14:paraId="7E186CE6" w14:textId="77777777" w:rsidR="00DD73D7" w:rsidRDefault="00DD73D7" w:rsidP="00543DAA">
            <w:pPr>
              <w:spacing w:before="40" w:after="120"/>
              <w:ind w:right="113"/>
              <w:rPr>
                <w:b/>
                <w:bCs/>
              </w:rPr>
            </w:pPr>
          </w:p>
          <w:p w14:paraId="0A16A0BB" w14:textId="77777777" w:rsidR="00DD73D7" w:rsidRDefault="00DD73D7" w:rsidP="00543DAA">
            <w:pPr>
              <w:spacing w:before="40" w:after="120"/>
              <w:ind w:right="113"/>
              <w:rPr>
                <w:b/>
                <w:bCs/>
              </w:rPr>
            </w:pPr>
          </w:p>
          <w:p w14:paraId="2120CC13" w14:textId="77777777" w:rsidR="00DD73D7" w:rsidRDefault="00DD73D7" w:rsidP="00543DAA">
            <w:pPr>
              <w:spacing w:before="40" w:after="120"/>
              <w:ind w:right="113"/>
              <w:rPr>
                <w:b/>
                <w:bCs/>
              </w:rPr>
            </w:pPr>
          </w:p>
          <w:p w14:paraId="0241B9D7" w14:textId="77777777" w:rsidR="00DD73D7" w:rsidRDefault="00DD73D7" w:rsidP="00543DAA">
            <w:pPr>
              <w:spacing w:before="40" w:after="120"/>
              <w:ind w:right="113"/>
              <w:rPr>
                <w:b/>
                <w:bCs/>
              </w:rPr>
            </w:pPr>
          </w:p>
          <w:p w14:paraId="2E8324C7" w14:textId="77777777" w:rsidR="00DD73D7" w:rsidRDefault="00DD73D7" w:rsidP="00543DAA">
            <w:pPr>
              <w:spacing w:before="40" w:after="120"/>
              <w:ind w:right="113"/>
              <w:rPr>
                <w:b/>
                <w:bCs/>
              </w:rPr>
            </w:pPr>
          </w:p>
          <w:p w14:paraId="024C7D46" w14:textId="77777777" w:rsidR="005B3321" w:rsidRDefault="005B3321" w:rsidP="006E2743">
            <w:pPr>
              <w:spacing w:before="40" w:after="120"/>
              <w:ind w:left="143" w:right="113"/>
              <w:rPr>
                <w:b/>
                <w:bCs/>
              </w:rPr>
            </w:pPr>
            <w:r>
              <w:rPr>
                <w:b/>
                <w:bCs/>
              </w:rPr>
              <w:lastRenderedPageBreak/>
              <w:t>Tuesday</w:t>
            </w:r>
            <w:r w:rsidRPr="00543DAA">
              <w:rPr>
                <w:b/>
                <w:bCs/>
              </w:rPr>
              <w:t>, 1</w:t>
            </w:r>
            <w:r>
              <w:rPr>
                <w:b/>
                <w:bCs/>
              </w:rPr>
              <w:t>3</w:t>
            </w:r>
            <w:r w:rsidRPr="00543DAA">
              <w:rPr>
                <w:b/>
                <w:bCs/>
              </w:rPr>
              <w:t xml:space="preserve"> </w:t>
            </w:r>
            <w:r>
              <w:rPr>
                <w:b/>
                <w:bCs/>
              </w:rPr>
              <w:t>June</w:t>
            </w:r>
            <w:r w:rsidRPr="00543DAA">
              <w:rPr>
                <w:b/>
                <w:bCs/>
              </w:rPr>
              <w:t xml:space="preserve"> </w:t>
            </w:r>
          </w:p>
          <w:p w14:paraId="7826BE8F" w14:textId="595FF017" w:rsidR="00DD73D7" w:rsidRDefault="00543DAA" w:rsidP="00543DAA">
            <w:pPr>
              <w:spacing w:before="40" w:after="120"/>
              <w:ind w:right="113"/>
              <w:rPr>
                <w:b/>
                <w:bCs/>
              </w:rPr>
            </w:pPr>
            <w:r w:rsidRPr="00543DAA">
              <w:rPr>
                <w:b/>
                <w:bCs/>
              </w:rPr>
              <w:t xml:space="preserve"> </w:t>
            </w:r>
          </w:p>
          <w:p w14:paraId="016963BF" w14:textId="77777777" w:rsidR="00DD73D7" w:rsidRDefault="00DD73D7" w:rsidP="00543DAA">
            <w:pPr>
              <w:spacing w:before="40" w:after="120"/>
              <w:ind w:right="113"/>
              <w:rPr>
                <w:b/>
                <w:bCs/>
              </w:rPr>
            </w:pPr>
          </w:p>
          <w:p w14:paraId="43244A2A" w14:textId="77777777" w:rsidR="00DD73D7" w:rsidRDefault="00DD73D7" w:rsidP="00543DAA">
            <w:pPr>
              <w:spacing w:before="40" w:after="120"/>
              <w:ind w:right="113"/>
              <w:rPr>
                <w:b/>
                <w:bCs/>
              </w:rPr>
            </w:pPr>
          </w:p>
          <w:p w14:paraId="623DF470" w14:textId="77777777" w:rsidR="00DD73D7" w:rsidRDefault="00DD73D7" w:rsidP="00543DAA">
            <w:pPr>
              <w:spacing w:before="40" w:after="120"/>
              <w:ind w:right="113"/>
              <w:rPr>
                <w:b/>
                <w:bCs/>
              </w:rPr>
            </w:pPr>
          </w:p>
          <w:p w14:paraId="7DD7676B" w14:textId="77777777" w:rsidR="00DD73D7" w:rsidRDefault="00DD73D7" w:rsidP="00543DAA">
            <w:pPr>
              <w:spacing w:before="40" w:after="120"/>
              <w:ind w:right="113"/>
              <w:rPr>
                <w:b/>
                <w:bCs/>
              </w:rPr>
            </w:pPr>
          </w:p>
          <w:p w14:paraId="4BA761F1" w14:textId="77777777" w:rsidR="00DD73D7" w:rsidRDefault="00DD73D7" w:rsidP="00543DAA">
            <w:pPr>
              <w:spacing w:before="40" w:after="120"/>
              <w:ind w:right="113"/>
              <w:rPr>
                <w:b/>
                <w:bCs/>
              </w:rPr>
            </w:pPr>
          </w:p>
          <w:p w14:paraId="6F652DF2" w14:textId="77777777" w:rsidR="00DD73D7" w:rsidRDefault="00DD73D7" w:rsidP="00543DAA">
            <w:pPr>
              <w:spacing w:before="40" w:after="120"/>
              <w:ind w:right="113"/>
              <w:rPr>
                <w:b/>
                <w:bCs/>
              </w:rPr>
            </w:pPr>
          </w:p>
          <w:p w14:paraId="17A07D20" w14:textId="77777777" w:rsidR="00DD73D7" w:rsidRDefault="00DD73D7" w:rsidP="00543DAA">
            <w:pPr>
              <w:spacing w:before="40" w:after="120"/>
              <w:ind w:right="113"/>
              <w:rPr>
                <w:b/>
                <w:bCs/>
              </w:rPr>
            </w:pPr>
          </w:p>
          <w:p w14:paraId="02ECF0CC" w14:textId="77777777" w:rsidR="00DD73D7" w:rsidRDefault="00DD73D7" w:rsidP="00543DAA">
            <w:pPr>
              <w:spacing w:before="40" w:after="120"/>
              <w:ind w:right="113"/>
              <w:rPr>
                <w:b/>
                <w:bCs/>
              </w:rPr>
            </w:pPr>
          </w:p>
          <w:p w14:paraId="56DE701D" w14:textId="77777777" w:rsidR="00DD73D7" w:rsidRDefault="00DD73D7" w:rsidP="00543DAA">
            <w:pPr>
              <w:spacing w:before="40" w:after="120"/>
              <w:ind w:right="113"/>
              <w:rPr>
                <w:b/>
                <w:bCs/>
              </w:rPr>
            </w:pPr>
          </w:p>
          <w:p w14:paraId="2E7FF69C" w14:textId="77777777" w:rsidR="00DD73D7" w:rsidRDefault="00DD73D7" w:rsidP="00543DAA">
            <w:pPr>
              <w:spacing w:before="40" w:after="120"/>
              <w:ind w:right="113"/>
              <w:rPr>
                <w:b/>
                <w:bCs/>
              </w:rPr>
            </w:pPr>
          </w:p>
          <w:p w14:paraId="7E2482A1" w14:textId="77777777" w:rsidR="00DD73D7" w:rsidRDefault="00DD73D7" w:rsidP="00543DAA">
            <w:pPr>
              <w:spacing w:before="40" w:after="120"/>
              <w:ind w:right="113"/>
              <w:rPr>
                <w:b/>
                <w:bCs/>
              </w:rPr>
            </w:pPr>
          </w:p>
          <w:p w14:paraId="59B45106" w14:textId="77777777" w:rsidR="00DD73D7" w:rsidRDefault="00DD73D7" w:rsidP="00543DAA">
            <w:pPr>
              <w:spacing w:before="40" w:after="120"/>
              <w:ind w:right="113"/>
              <w:rPr>
                <w:b/>
                <w:bCs/>
              </w:rPr>
            </w:pPr>
          </w:p>
          <w:p w14:paraId="75953ACD" w14:textId="77777777" w:rsidR="00DD73D7" w:rsidRDefault="00DD73D7" w:rsidP="00543DAA">
            <w:pPr>
              <w:spacing w:before="40" w:after="120"/>
              <w:ind w:right="113"/>
              <w:rPr>
                <w:b/>
                <w:bCs/>
              </w:rPr>
            </w:pPr>
          </w:p>
          <w:p w14:paraId="78FDD2B0" w14:textId="77777777" w:rsidR="00DD73D7" w:rsidRDefault="00DD73D7" w:rsidP="00543DAA">
            <w:pPr>
              <w:spacing w:before="40" w:after="120"/>
              <w:ind w:right="113"/>
              <w:rPr>
                <w:b/>
                <w:bCs/>
              </w:rPr>
            </w:pPr>
          </w:p>
          <w:p w14:paraId="3C88B2D5" w14:textId="77777777" w:rsidR="00DD73D7" w:rsidRDefault="00DD73D7" w:rsidP="00543DAA">
            <w:pPr>
              <w:spacing w:before="40" w:after="120"/>
              <w:ind w:right="113"/>
              <w:rPr>
                <w:b/>
                <w:bCs/>
              </w:rPr>
            </w:pPr>
          </w:p>
          <w:p w14:paraId="634169D2" w14:textId="77777777" w:rsidR="00DD73D7" w:rsidRDefault="00DD73D7" w:rsidP="00543DAA">
            <w:pPr>
              <w:spacing w:before="40" w:after="120"/>
              <w:ind w:right="113"/>
              <w:rPr>
                <w:b/>
                <w:bCs/>
              </w:rPr>
            </w:pPr>
          </w:p>
          <w:p w14:paraId="5F859253" w14:textId="77777777" w:rsidR="00DD73D7" w:rsidRDefault="00DD73D7" w:rsidP="00543DAA">
            <w:pPr>
              <w:spacing w:before="40" w:after="120"/>
              <w:ind w:right="113"/>
              <w:rPr>
                <w:b/>
                <w:bCs/>
              </w:rPr>
            </w:pPr>
          </w:p>
          <w:p w14:paraId="224B6FB8" w14:textId="77777777" w:rsidR="00DD73D7" w:rsidRDefault="00DD73D7" w:rsidP="00543DAA">
            <w:pPr>
              <w:spacing w:before="40" w:after="120"/>
              <w:ind w:right="113"/>
              <w:rPr>
                <w:b/>
                <w:bCs/>
              </w:rPr>
            </w:pPr>
          </w:p>
          <w:p w14:paraId="43099918" w14:textId="77777777" w:rsidR="00DD73D7" w:rsidRDefault="00DD73D7" w:rsidP="00543DAA">
            <w:pPr>
              <w:spacing w:before="40" w:after="120"/>
              <w:ind w:right="113"/>
              <w:rPr>
                <w:b/>
                <w:bCs/>
              </w:rPr>
            </w:pPr>
          </w:p>
          <w:p w14:paraId="624310D9" w14:textId="77777777" w:rsidR="00DD73D7" w:rsidRDefault="00DD73D7" w:rsidP="00543DAA">
            <w:pPr>
              <w:spacing w:before="40" w:after="120"/>
              <w:ind w:right="113"/>
              <w:rPr>
                <w:b/>
                <w:bCs/>
              </w:rPr>
            </w:pPr>
          </w:p>
          <w:p w14:paraId="41EA3A96" w14:textId="77777777" w:rsidR="00DD73D7" w:rsidRDefault="00DD73D7" w:rsidP="00543DAA">
            <w:pPr>
              <w:spacing w:before="40" w:after="120"/>
              <w:ind w:right="113"/>
              <w:rPr>
                <w:b/>
                <w:bCs/>
              </w:rPr>
            </w:pPr>
          </w:p>
          <w:p w14:paraId="51D65998" w14:textId="77777777" w:rsidR="00DD73D7" w:rsidRDefault="00DD73D7" w:rsidP="00543DAA">
            <w:pPr>
              <w:spacing w:before="40" w:after="120"/>
              <w:ind w:right="113"/>
              <w:rPr>
                <w:b/>
                <w:bCs/>
              </w:rPr>
            </w:pPr>
          </w:p>
          <w:p w14:paraId="31290A20" w14:textId="77777777" w:rsidR="003A1A9B" w:rsidRDefault="003A1A9B" w:rsidP="003A1A9B">
            <w:pPr>
              <w:spacing w:before="40" w:after="120"/>
              <w:ind w:right="113"/>
              <w:rPr>
                <w:b/>
                <w:bCs/>
              </w:rPr>
            </w:pPr>
          </w:p>
          <w:p w14:paraId="1ABBBE75" w14:textId="29AF0DE8" w:rsidR="00DD73D7" w:rsidRDefault="003A1A9B" w:rsidP="006E2743">
            <w:pPr>
              <w:spacing w:before="40" w:after="120"/>
              <w:ind w:left="143" w:right="113"/>
              <w:rPr>
                <w:b/>
                <w:bCs/>
              </w:rPr>
            </w:pPr>
            <w:r>
              <w:rPr>
                <w:b/>
                <w:bCs/>
              </w:rPr>
              <w:t>Tuesday</w:t>
            </w:r>
            <w:r w:rsidRPr="00543DAA">
              <w:rPr>
                <w:b/>
                <w:bCs/>
              </w:rPr>
              <w:t>, 1</w:t>
            </w:r>
            <w:r>
              <w:rPr>
                <w:b/>
                <w:bCs/>
              </w:rPr>
              <w:t>3</w:t>
            </w:r>
            <w:r w:rsidRPr="00543DAA">
              <w:rPr>
                <w:b/>
                <w:bCs/>
              </w:rPr>
              <w:t xml:space="preserve"> </w:t>
            </w:r>
            <w:r>
              <w:rPr>
                <w:b/>
                <w:bCs/>
              </w:rPr>
              <w:t>June</w:t>
            </w:r>
            <w:r w:rsidRPr="00543DAA">
              <w:rPr>
                <w:b/>
                <w:bCs/>
              </w:rPr>
              <w:t xml:space="preserve"> </w:t>
            </w:r>
          </w:p>
          <w:p w14:paraId="2F8648E0" w14:textId="77777777" w:rsidR="00DD73D7" w:rsidRDefault="00DD73D7" w:rsidP="00DD73D7">
            <w:pPr>
              <w:spacing w:before="40" w:after="120"/>
              <w:ind w:right="113"/>
              <w:rPr>
                <w:b/>
                <w:bCs/>
              </w:rPr>
            </w:pPr>
          </w:p>
          <w:p w14:paraId="4DA67FF5" w14:textId="77777777" w:rsidR="00DD73D7" w:rsidRDefault="00DD73D7" w:rsidP="00DD73D7">
            <w:pPr>
              <w:spacing w:before="40" w:after="120"/>
              <w:ind w:right="113"/>
              <w:rPr>
                <w:b/>
                <w:bCs/>
              </w:rPr>
            </w:pPr>
          </w:p>
          <w:p w14:paraId="0787B7E5" w14:textId="77777777" w:rsidR="00DD73D7" w:rsidRDefault="00DD73D7" w:rsidP="00DD73D7">
            <w:pPr>
              <w:spacing w:before="40" w:after="120"/>
              <w:ind w:right="113"/>
              <w:rPr>
                <w:b/>
                <w:bCs/>
              </w:rPr>
            </w:pPr>
          </w:p>
          <w:p w14:paraId="7CA67027" w14:textId="77777777" w:rsidR="00DD73D7" w:rsidRDefault="00DD73D7" w:rsidP="00DD73D7">
            <w:pPr>
              <w:spacing w:before="40" w:after="120"/>
              <w:ind w:right="113"/>
              <w:rPr>
                <w:b/>
                <w:bCs/>
              </w:rPr>
            </w:pPr>
          </w:p>
          <w:p w14:paraId="18298F91" w14:textId="77777777" w:rsidR="00DD73D7" w:rsidRDefault="00DD73D7" w:rsidP="00DD73D7">
            <w:pPr>
              <w:spacing w:before="40" w:after="120"/>
              <w:ind w:right="113"/>
              <w:rPr>
                <w:b/>
                <w:bCs/>
              </w:rPr>
            </w:pPr>
          </w:p>
          <w:p w14:paraId="0D7569D9" w14:textId="77777777" w:rsidR="00DD73D7" w:rsidRDefault="00DD73D7" w:rsidP="00DD73D7">
            <w:pPr>
              <w:spacing w:before="40" w:after="120"/>
              <w:ind w:right="113"/>
              <w:rPr>
                <w:b/>
                <w:bCs/>
              </w:rPr>
            </w:pPr>
          </w:p>
          <w:p w14:paraId="6C6A57D6" w14:textId="77777777" w:rsidR="00DD73D7" w:rsidRDefault="00DD73D7" w:rsidP="00DD73D7">
            <w:pPr>
              <w:spacing w:before="40" w:after="120"/>
              <w:ind w:right="113"/>
              <w:rPr>
                <w:b/>
                <w:bCs/>
              </w:rPr>
            </w:pPr>
          </w:p>
          <w:p w14:paraId="40E32968" w14:textId="77777777" w:rsidR="00DD73D7" w:rsidRDefault="00DD73D7" w:rsidP="00DD73D7">
            <w:pPr>
              <w:spacing w:before="40" w:after="120"/>
              <w:ind w:right="113"/>
              <w:rPr>
                <w:b/>
                <w:bCs/>
              </w:rPr>
            </w:pPr>
          </w:p>
          <w:p w14:paraId="65B85405" w14:textId="77777777" w:rsidR="00DD73D7" w:rsidRDefault="00DD73D7" w:rsidP="00DD73D7">
            <w:pPr>
              <w:spacing w:before="40" w:after="120"/>
              <w:ind w:right="113"/>
              <w:rPr>
                <w:b/>
                <w:bCs/>
              </w:rPr>
            </w:pPr>
          </w:p>
          <w:p w14:paraId="6B7C2A77" w14:textId="766F54D9" w:rsidR="00DD73D7" w:rsidRDefault="00DD73D7" w:rsidP="00DD73D7">
            <w:pPr>
              <w:spacing w:before="40" w:after="120"/>
              <w:ind w:right="113"/>
              <w:rPr>
                <w:b/>
                <w:bCs/>
              </w:rPr>
            </w:pPr>
          </w:p>
          <w:p w14:paraId="281700F2" w14:textId="158BFDFD" w:rsidR="007B65E8" w:rsidRDefault="007B65E8" w:rsidP="00DD73D7">
            <w:pPr>
              <w:spacing w:before="40" w:after="120"/>
              <w:ind w:right="113"/>
              <w:rPr>
                <w:b/>
                <w:bCs/>
              </w:rPr>
            </w:pPr>
          </w:p>
          <w:p w14:paraId="369B7D9F" w14:textId="062F04C6" w:rsidR="007B65E8" w:rsidRDefault="007B65E8" w:rsidP="00DD73D7">
            <w:pPr>
              <w:spacing w:before="40" w:after="120"/>
              <w:ind w:right="113"/>
              <w:rPr>
                <w:b/>
                <w:bCs/>
              </w:rPr>
            </w:pPr>
          </w:p>
          <w:p w14:paraId="54D6C265" w14:textId="4DEC8BCF" w:rsidR="007B65E8" w:rsidRDefault="007B65E8" w:rsidP="00DD73D7">
            <w:pPr>
              <w:spacing w:before="40" w:after="120"/>
              <w:ind w:right="113"/>
              <w:rPr>
                <w:b/>
                <w:bCs/>
              </w:rPr>
            </w:pPr>
          </w:p>
          <w:p w14:paraId="1A3C24C2" w14:textId="77777777" w:rsidR="00ED6910" w:rsidRDefault="00ED6910" w:rsidP="00D9334B">
            <w:pPr>
              <w:spacing w:before="40" w:after="120"/>
              <w:ind w:right="113"/>
              <w:rPr>
                <w:b/>
                <w:bCs/>
              </w:rPr>
            </w:pPr>
          </w:p>
          <w:p w14:paraId="37095188" w14:textId="77777777" w:rsidR="00ED6910" w:rsidRDefault="00ED6910" w:rsidP="00ED6910">
            <w:pPr>
              <w:spacing w:before="40" w:after="120"/>
              <w:ind w:right="113"/>
              <w:rPr>
                <w:b/>
                <w:bCs/>
              </w:rPr>
            </w:pPr>
          </w:p>
          <w:p w14:paraId="6C97D894" w14:textId="77777777" w:rsidR="004B4871" w:rsidRDefault="004B4871" w:rsidP="00ED6910">
            <w:pPr>
              <w:spacing w:before="40" w:after="120"/>
              <w:ind w:right="113"/>
              <w:rPr>
                <w:b/>
                <w:bCs/>
              </w:rPr>
            </w:pPr>
          </w:p>
          <w:p w14:paraId="35AE28F6" w14:textId="77777777" w:rsidR="004B4871" w:rsidRDefault="004B4871" w:rsidP="00ED6910">
            <w:pPr>
              <w:spacing w:before="40" w:after="120"/>
              <w:ind w:right="113"/>
              <w:rPr>
                <w:b/>
                <w:bCs/>
              </w:rPr>
            </w:pPr>
          </w:p>
          <w:p w14:paraId="6E46096A" w14:textId="77777777" w:rsidR="004B4871" w:rsidRDefault="004B4871" w:rsidP="00ED6910">
            <w:pPr>
              <w:spacing w:before="40" w:after="120"/>
              <w:ind w:right="113"/>
              <w:rPr>
                <w:b/>
                <w:bCs/>
              </w:rPr>
            </w:pPr>
          </w:p>
          <w:p w14:paraId="3E334A1B" w14:textId="77777777" w:rsidR="004B4871" w:rsidRDefault="004B4871" w:rsidP="00ED6910">
            <w:pPr>
              <w:spacing w:before="40" w:after="120"/>
              <w:ind w:right="113"/>
              <w:rPr>
                <w:b/>
                <w:bCs/>
              </w:rPr>
            </w:pPr>
          </w:p>
          <w:p w14:paraId="5D3F10B0" w14:textId="77777777" w:rsidR="004B4871" w:rsidRDefault="004B4871" w:rsidP="00ED6910">
            <w:pPr>
              <w:spacing w:before="40" w:after="120"/>
              <w:ind w:right="113"/>
              <w:rPr>
                <w:b/>
                <w:bCs/>
              </w:rPr>
            </w:pPr>
          </w:p>
          <w:p w14:paraId="04B4951C" w14:textId="77777777" w:rsidR="004B4871" w:rsidRDefault="004B4871" w:rsidP="00ED6910">
            <w:pPr>
              <w:spacing w:before="40" w:after="120"/>
              <w:ind w:right="113"/>
              <w:rPr>
                <w:b/>
                <w:bCs/>
              </w:rPr>
            </w:pPr>
          </w:p>
          <w:p w14:paraId="208F85CC" w14:textId="77777777" w:rsidR="004B4871" w:rsidRDefault="004B4871" w:rsidP="00ED6910">
            <w:pPr>
              <w:spacing w:before="40" w:after="120"/>
              <w:ind w:right="113"/>
              <w:rPr>
                <w:b/>
                <w:bCs/>
              </w:rPr>
            </w:pPr>
          </w:p>
          <w:p w14:paraId="2BB3F3B8" w14:textId="77777777" w:rsidR="004B4871" w:rsidRDefault="004B4871" w:rsidP="00ED6910">
            <w:pPr>
              <w:spacing w:before="40" w:after="120"/>
              <w:ind w:right="113"/>
              <w:rPr>
                <w:b/>
                <w:bCs/>
              </w:rPr>
            </w:pPr>
          </w:p>
          <w:p w14:paraId="3199AA9E" w14:textId="77777777" w:rsidR="004B4871" w:rsidRDefault="004B4871" w:rsidP="004B4871">
            <w:pPr>
              <w:spacing w:before="40" w:after="120"/>
              <w:ind w:left="143" w:right="113"/>
              <w:rPr>
                <w:b/>
                <w:bCs/>
              </w:rPr>
            </w:pPr>
            <w:r>
              <w:rPr>
                <w:b/>
                <w:bCs/>
              </w:rPr>
              <w:t>Tuesday</w:t>
            </w:r>
            <w:r w:rsidRPr="00543DAA">
              <w:rPr>
                <w:b/>
                <w:bCs/>
              </w:rPr>
              <w:t>, 1</w:t>
            </w:r>
            <w:r>
              <w:rPr>
                <w:b/>
                <w:bCs/>
              </w:rPr>
              <w:t>3</w:t>
            </w:r>
            <w:r w:rsidRPr="00543DAA">
              <w:rPr>
                <w:b/>
                <w:bCs/>
              </w:rPr>
              <w:t xml:space="preserve"> </w:t>
            </w:r>
            <w:r>
              <w:rPr>
                <w:b/>
                <w:bCs/>
              </w:rPr>
              <w:t>June</w:t>
            </w:r>
            <w:r w:rsidRPr="00543DAA">
              <w:rPr>
                <w:b/>
                <w:bCs/>
              </w:rPr>
              <w:t xml:space="preserve"> </w:t>
            </w:r>
          </w:p>
          <w:p w14:paraId="105AF980" w14:textId="3D0CB621" w:rsidR="004B4871" w:rsidRPr="00930D32" w:rsidRDefault="004B4871" w:rsidP="00ED6910">
            <w:pPr>
              <w:spacing w:before="40" w:after="120"/>
              <w:ind w:right="113"/>
              <w:rPr>
                <w:b/>
                <w:bCs/>
              </w:rPr>
            </w:pPr>
          </w:p>
        </w:tc>
        <w:tc>
          <w:tcPr>
            <w:tcW w:w="921" w:type="dxa"/>
            <w:shd w:val="clear" w:color="auto" w:fill="auto"/>
          </w:tcPr>
          <w:p w14:paraId="0D2260DF" w14:textId="77777777" w:rsidR="00561B33" w:rsidRPr="00930D32" w:rsidRDefault="00561B33" w:rsidP="006C709A">
            <w:pPr>
              <w:spacing w:before="40" w:after="120"/>
              <w:ind w:left="170" w:right="113"/>
              <w:rPr>
                <w:bCs/>
              </w:rPr>
            </w:pPr>
            <w:r w:rsidRPr="00930D32">
              <w:rPr>
                <w:bCs/>
              </w:rPr>
              <w:lastRenderedPageBreak/>
              <w:t>10–10.15</w:t>
            </w:r>
          </w:p>
          <w:p w14:paraId="7AEAF56B" w14:textId="77777777" w:rsidR="00561B33" w:rsidRPr="00930D32" w:rsidRDefault="00561B33" w:rsidP="0081023B">
            <w:pPr>
              <w:spacing w:before="40" w:after="120"/>
              <w:ind w:left="170" w:right="113"/>
              <w:rPr>
                <w:bCs/>
              </w:rPr>
            </w:pPr>
          </w:p>
          <w:p w14:paraId="22D602BC" w14:textId="77777777" w:rsidR="00561B33" w:rsidRPr="00930D32" w:rsidRDefault="00561B33" w:rsidP="0081023B">
            <w:pPr>
              <w:spacing w:before="40" w:after="120"/>
              <w:ind w:left="170" w:right="113"/>
              <w:rPr>
                <w:bCs/>
              </w:rPr>
            </w:pPr>
          </w:p>
          <w:p w14:paraId="07339954" w14:textId="77777777" w:rsidR="00561B33" w:rsidRPr="00930D32" w:rsidRDefault="00561B33" w:rsidP="0081023B">
            <w:pPr>
              <w:spacing w:before="40" w:after="120"/>
              <w:ind w:left="170" w:right="113"/>
              <w:rPr>
                <w:bCs/>
              </w:rPr>
            </w:pPr>
          </w:p>
          <w:p w14:paraId="618DD360" w14:textId="77777777" w:rsidR="00561B33" w:rsidRPr="00930D32" w:rsidRDefault="00561B33" w:rsidP="0081023B">
            <w:pPr>
              <w:spacing w:before="40" w:after="120"/>
              <w:ind w:left="170" w:right="113"/>
              <w:rPr>
                <w:bCs/>
              </w:rPr>
            </w:pPr>
          </w:p>
          <w:p w14:paraId="18F2FBFE" w14:textId="77777777" w:rsidR="00561B33" w:rsidRPr="00930D32" w:rsidRDefault="00561B33" w:rsidP="0081023B">
            <w:pPr>
              <w:spacing w:before="40" w:after="120"/>
              <w:ind w:left="170" w:right="113"/>
              <w:rPr>
                <w:bCs/>
              </w:rPr>
            </w:pPr>
          </w:p>
          <w:p w14:paraId="3CBA0B40" w14:textId="77777777" w:rsidR="00561B33" w:rsidRPr="00930D32" w:rsidRDefault="00561B33" w:rsidP="0081023B">
            <w:pPr>
              <w:spacing w:before="40" w:after="120"/>
              <w:ind w:left="170" w:right="113"/>
              <w:rPr>
                <w:bCs/>
              </w:rPr>
            </w:pPr>
          </w:p>
          <w:p w14:paraId="484E7722" w14:textId="77777777" w:rsidR="00561B33" w:rsidRPr="00930D32" w:rsidRDefault="00561B33" w:rsidP="0081023B">
            <w:pPr>
              <w:spacing w:before="40" w:after="120"/>
              <w:ind w:left="170" w:right="113"/>
              <w:rPr>
                <w:bCs/>
              </w:rPr>
            </w:pPr>
          </w:p>
          <w:p w14:paraId="053D27E0" w14:textId="77777777" w:rsidR="00561B33" w:rsidRPr="00930D32" w:rsidRDefault="00561B33" w:rsidP="0081023B">
            <w:pPr>
              <w:spacing w:before="40" w:after="120"/>
              <w:ind w:left="170" w:right="113"/>
              <w:rPr>
                <w:bCs/>
              </w:rPr>
            </w:pPr>
            <w:r w:rsidRPr="00930D32">
              <w:rPr>
                <w:bCs/>
              </w:rPr>
              <w:t xml:space="preserve"> </w:t>
            </w:r>
          </w:p>
        </w:tc>
        <w:tc>
          <w:tcPr>
            <w:tcW w:w="2044" w:type="dxa"/>
            <w:shd w:val="clear" w:color="auto" w:fill="auto"/>
          </w:tcPr>
          <w:p w14:paraId="162F6BA8" w14:textId="77777777" w:rsidR="00561B33" w:rsidRPr="00930D32" w:rsidRDefault="00561B33" w:rsidP="00E40B25">
            <w:pPr>
              <w:spacing w:before="40" w:after="120"/>
              <w:ind w:left="284" w:right="113" w:hanging="142"/>
              <w:rPr>
                <w:b/>
                <w:bCs/>
              </w:rPr>
            </w:pPr>
            <w:r w:rsidRPr="00930D32">
              <w:rPr>
                <w:b/>
                <w:bCs/>
              </w:rPr>
              <w:t>1. Adoption of the agenda</w:t>
            </w:r>
          </w:p>
        </w:tc>
        <w:tc>
          <w:tcPr>
            <w:tcW w:w="3690" w:type="dxa"/>
            <w:shd w:val="clear" w:color="auto" w:fill="auto"/>
          </w:tcPr>
          <w:p w14:paraId="3441D71C" w14:textId="73FA0FB2" w:rsidR="00561B33" w:rsidRPr="00325C8C" w:rsidRDefault="00561B33" w:rsidP="00325C8C">
            <w:pPr>
              <w:spacing w:before="40" w:after="120" w:line="240" w:lineRule="auto"/>
              <w:ind w:left="176" w:right="113"/>
              <w:rPr>
                <w:bCs/>
              </w:rPr>
            </w:pPr>
            <w:r w:rsidRPr="00325C8C">
              <w:rPr>
                <w:bCs/>
              </w:rPr>
              <w:t xml:space="preserve">Provisional agenda </w:t>
            </w:r>
            <w:r w:rsidRPr="00325C8C">
              <w:rPr>
                <w:bCs/>
              </w:rPr>
              <w:br/>
              <w:t>(ECE/MP.EIA/WG.2/202</w:t>
            </w:r>
            <w:r w:rsidR="002E676D">
              <w:rPr>
                <w:bCs/>
              </w:rPr>
              <w:t>3</w:t>
            </w:r>
            <w:r w:rsidRPr="00325C8C">
              <w:rPr>
                <w:bCs/>
              </w:rPr>
              <w:t>/1)</w:t>
            </w:r>
          </w:p>
          <w:p w14:paraId="5CE62729" w14:textId="36A2BAC3" w:rsidR="00561B33" w:rsidRPr="00325C8C" w:rsidRDefault="00561B33" w:rsidP="00325C8C">
            <w:pPr>
              <w:spacing w:before="40" w:after="120" w:line="240" w:lineRule="auto"/>
              <w:ind w:left="176" w:right="113"/>
              <w:rPr>
                <w:bCs/>
              </w:rPr>
            </w:pPr>
            <w:r w:rsidRPr="00325C8C">
              <w:rPr>
                <w:bCs/>
              </w:rPr>
              <w:t>(These) informal notes on the agenda (ECE/MP.EIA/WG.2/202</w:t>
            </w:r>
            <w:r w:rsidR="002E676D">
              <w:rPr>
                <w:bCs/>
              </w:rPr>
              <w:t>3</w:t>
            </w:r>
            <w:r w:rsidRPr="00325C8C">
              <w:rPr>
                <w:bCs/>
              </w:rPr>
              <w:t>/INF.1)</w:t>
            </w:r>
          </w:p>
          <w:p w14:paraId="04792F82" w14:textId="77777777" w:rsidR="00561B33" w:rsidRPr="00325C8C" w:rsidRDefault="00561B33" w:rsidP="00325C8C">
            <w:pPr>
              <w:spacing w:before="40" w:after="120" w:line="240" w:lineRule="auto"/>
              <w:ind w:left="176" w:right="113"/>
              <w:rPr>
                <w:bCs/>
                <w:i/>
                <w:iCs/>
              </w:rPr>
            </w:pPr>
            <w:r w:rsidRPr="00325C8C">
              <w:rPr>
                <w:bCs/>
                <w:i/>
                <w:iCs/>
              </w:rPr>
              <w:t>Delegates may also wish to refer to:</w:t>
            </w:r>
          </w:p>
          <w:p w14:paraId="38203903" w14:textId="463489FA" w:rsidR="00561B33" w:rsidRPr="00325C8C" w:rsidRDefault="00561B33" w:rsidP="00325C8C">
            <w:pPr>
              <w:spacing w:before="40" w:after="120" w:line="240" w:lineRule="auto"/>
              <w:ind w:left="176" w:right="113"/>
              <w:rPr>
                <w:bCs/>
              </w:rPr>
            </w:pPr>
            <w:r w:rsidRPr="00325C8C">
              <w:rPr>
                <w:bCs/>
              </w:rPr>
              <w:t xml:space="preserve">Informal notes on meeting of Bureau, </w:t>
            </w:r>
            <w:r w:rsidR="003566E2">
              <w:rPr>
                <w:bCs/>
              </w:rPr>
              <w:t>22</w:t>
            </w:r>
            <w:r w:rsidRPr="00325C8C">
              <w:rPr>
                <w:bCs/>
              </w:rPr>
              <w:t>–</w:t>
            </w:r>
            <w:r w:rsidR="003566E2">
              <w:rPr>
                <w:bCs/>
              </w:rPr>
              <w:t>23</w:t>
            </w:r>
            <w:r w:rsidRPr="00325C8C">
              <w:rPr>
                <w:bCs/>
              </w:rPr>
              <w:t xml:space="preserve"> </w:t>
            </w:r>
            <w:r w:rsidR="003566E2">
              <w:rPr>
                <w:bCs/>
              </w:rPr>
              <w:t>February</w:t>
            </w:r>
            <w:r w:rsidRPr="00325C8C">
              <w:rPr>
                <w:bCs/>
              </w:rPr>
              <w:t xml:space="preserve"> 202</w:t>
            </w:r>
            <w:r w:rsidR="003566E2">
              <w:rPr>
                <w:bCs/>
              </w:rPr>
              <w:t>3</w:t>
            </w:r>
          </w:p>
          <w:p w14:paraId="4737F710" w14:textId="388A33F7" w:rsidR="00561B33" w:rsidRPr="00325C8C" w:rsidRDefault="00561B33" w:rsidP="00325C8C">
            <w:pPr>
              <w:spacing w:before="40" w:after="120" w:line="240" w:lineRule="auto"/>
              <w:ind w:left="176" w:right="113"/>
              <w:rPr>
                <w:bCs/>
              </w:rPr>
            </w:pPr>
            <w:r w:rsidRPr="00325C8C">
              <w:rPr>
                <w:bCs/>
              </w:rPr>
              <w:t>Report of the Meeting of the Parties to the Convention on its eight session and of the Meeting of the Parties to the Protocol on its fourth session, and the decisions taken ECE/MP.EIA/30−ECE/MP.EIA/SEA/1</w:t>
            </w:r>
            <w:r w:rsidR="009D02E8">
              <w:rPr>
                <w:bCs/>
              </w:rPr>
              <w:t>3</w:t>
            </w:r>
            <w:r w:rsidRPr="00325C8C">
              <w:rPr>
                <w:bCs/>
              </w:rPr>
              <w:t>; and Add.1–3</w:t>
            </w:r>
          </w:p>
        </w:tc>
        <w:tc>
          <w:tcPr>
            <w:tcW w:w="4656" w:type="dxa"/>
            <w:shd w:val="clear" w:color="auto" w:fill="auto"/>
          </w:tcPr>
          <w:p w14:paraId="490E0BE3" w14:textId="70611643" w:rsidR="00561B33" w:rsidRPr="008F7798" w:rsidRDefault="00561B33" w:rsidP="008F7798">
            <w:pPr>
              <w:pStyle w:val="Bullet1G"/>
              <w:ind w:left="142" w:right="260"/>
              <w:rPr>
                <w:bCs/>
              </w:rPr>
            </w:pPr>
            <w:r w:rsidRPr="00896CB5">
              <w:rPr>
                <w:b/>
              </w:rPr>
              <w:t>The Working Group</w:t>
            </w:r>
            <w:r w:rsidRPr="008D5A0F">
              <w:rPr>
                <w:bCs/>
              </w:rPr>
              <w:t xml:space="preserve"> is expected to adopt the agenda of its meeting.</w:t>
            </w:r>
          </w:p>
        </w:tc>
      </w:tr>
      <w:tr w:rsidR="00561B33" w:rsidRPr="00930D32" w14:paraId="5D9A15A6" w14:textId="77777777" w:rsidTr="00D9132C">
        <w:trPr>
          <w:jc w:val="center"/>
        </w:trPr>
        <w:tc>
          <w:tcPr>
            <w:tcW w:w="1350" w:type="dxa"/>
            <w:vMerge/>
            <w:shd w:val="clear" w:color="auto" w:fill="auto"/>
          </w:tcPr>
          <w:p w14:paraId="5CB7C7D9" w14:textId="77777777" w:rsidR="00561B33" w:rsidRPr="00930D32" w:rsidRDefault="00561B33" w:rsidP="00FC12EA">
            <w:pPr>
              <w:spacing w:before="40" w:after="120"/>
              <w:ind w:left="143" w:right="113"/>
              <w:rPr>
                <w:b/>
                <w:bCs/>
              </w:rPr>
            </w:pPr>
          </w:p>
        </w:tc>
        <w:tc>
          <w:tcPr>
            <w:tcW w:w="921" w:type="dxa"/>
            <w:shd w:val="clear" w:color="auto" w:fill="auto"/>
          </w:tcPr>
          <w:p w14:paraId="117AA780" w14:textId="77777777" w:rsidR="00561B33" w:rsidRDefault="00561B33" w:rsidP="00FC12EA">
            <w:pPr>
              <w:spacing w:before="40" w:after="120"/>
              <w:ind w:left="170" w:right="113"/>
              <w:rPr>
                <w:bCs/>
              </w:rPr>
            </w:pPr>
            <w:r w:rsidRPr="005D0DD1">
              <w:rPr>
                <w:bCs/>
              </w:rPr>
              <w:t>1</w:t>
            </w:r>
            <w:r>
              <w:rPr>
                <w:bCs/>
              </w:rPr>
              <w:t>0</w:t>
            </w:r>
            <w:r w:rsidRPr="005D0DD1">
              <w:rPr>
                <w:bCs/>
              </w:rPr>
              <w:t>.</w:t>
            </w:r>
            <w:r>
              <w:rPr>
                <w:bCs/>
              </w:rPr>
              <w:t>15</w:t>
            </w:r>
            <w:r w:rsidRPr="005D0DD1">
              <w:rPr>
                <w:bCs/>
              </w:rPr>
              <w:t>–1</w:t>
            </w:r>
            <w:r>
              <w:rPr>
                <w:bCs/>
              </w:rPr>
              <w:t>1</w:t>
            </w:r>
          </w:p>
          <w:p w14:paraId="2978A0E9" w14:textId="77777777" w:rsidR="00561B33" w:rsidRDefault="00561B33" w:rsidP="00FC12EA">
            <w:pPr>
              <w:spacing w:before="40" w:after="120"/>
              <w:ind w:left="170" w:right="113"/>
              <w:rPr>
                <w:bCs/>
              </w:rPr>
            </w:pPr>
          </w:p>
          <w:p w14:paraId="13C1C218" w14:textId="77777777" w:rsidR="00561B33" w:rsidRDefault="00561B33" w:rsidP="00FC12EA">
            <w:pPr>
              <w:spacing w:before="40" w:after="120"/>
              <w:ind w:left="170" w:right="113"/>
              <w:rPr>
                <w:bCs/>
              </w:rPr>
            </w:pPr>
          </w:p>
          <w:p w14:paraId="0B3FD615" w14:textId="6E4C3512" w:rsidR="00561B33" w:rsidRDefault="00561B33" w:rsidP="00FC12EA">
            <w:pPr>
              <w:spacing w:before="40" w:after="120"/>
              <w:ind w:left="170" w:right="113"/>
              <w:rPr>
                <w:bCs/>
              </w:rPr>
            </w:pPr>
          </w:p>
          <w:p w14:paraId="7C9CE20E" w14:textId="2999304B" w:rsidR="00F249E7" w:rsidRDefault="00F249E7" w:rsidP="00FC12EA">
            <w:pPr>
              <w:spacing w:before="40" w:after="120"/>
              <w:ind w:left="170" w:right="113"/>
              <w:rPr>
                <w:bCs/>
              </w:rPr>
            </w:pPr>
          </w:p>
          <w:p w14:paraId="74DE74CD" w14:textId="1533C839" w:rsidR="00F249E7" w:rsidRDefault="00F249E7" w:rsidP="00FC12EA">
            <w:pPr>
              <w:spacing w:before="40" w:after="120"/>
              <w:ind w:left="170" w:right="113"/>
              <w:rPr>
                <w:bCs/>
              </w:rPr>
            </w:pPr>
          </w:p>
          <w:p w14:paraId="7E94EDF9" w14:textId="327A5D4C" w:rsidR="00F249E7" w:rsidRDefault="00F249E7" w:rsidP="00FC12EA">
            <w:pPr>
              <w:spacing w:before="40" w:after="120"/>
              <w:ind w:left="170" w:right="113"/>
              <w:rPr>
                <w:bCs/>
              </w:rPr>
            </w:pPr>
          </w:p>
          <w:p w14:paraId="1B59FF8F" w14:textId="66ADC758" w:rsidR="00F249E7" w:rsidRDefault="00F249E7" w:rsidP="00FC12EA">
            <w:pPr>
              <w:spacing w:before="40" w:after="120"/>
              <w:ind w:left="170" w:right="113"/>
              <w:rPr>
                <w:bCs/>
              </w:rPr>
            </w:pPr>
          </w:p>
          <w:p w14:paraId="33C5763A" w14:textId="39556131" w:rsidR="00F249E7" w:rsidRDefault="00F249E7" w:rsidP="00FC12EA">
            <w:pPr>
              <w:spacing w:before="40" w:after="120"/>
              <w:ind w:left="170" w:right="113"/>
              <w:rPr>
                <w:bCs/>
              </w:rPr>
            </w:pPr>
          </w:p>
          <w:p w14:paraId="1B7E71A4" w14:textId="5CDA5613" w:rsidR="00F249E7" w:rsidRDefault="00F249E7" w:rsidP="00FC12EA">
            <w:pPr>
              <w:spacing w:before="40" w:after="120"/>
              <w:ind w:left="170" w:right="113"/>
              <w:rPr>
                <w:bCs/>
              </w:rPr>
            </w:pPr>
          </w:p>
          <w:p w14:paraId="3F250B44" w14:textId="0B2E0CEB" w:rsidR="00F249E7" w:rsidRDefault="00F249E7" w:rsidP="00FC12EA">
            <w:pPr>
              <w:spacing w:before="40" w:after="120"/>
              <w:ind w:left="170" w:right="113"/>
              <w:rPr>
                <w:bCs/>
              </w:rPr>
            </w:pPr>
          </w:p>
          <w:p w14:paraId="00B2455A" w14:textId="521B4717" w:rsidR="00F249E7" w:rsidRDefault="00F249E7" w:rsidP="00FC12EA">
            <w:pPr>
              <w:spacing w:before="40" w:after="120"/>
              <w:ind w:left="170" w:right="113"/>
              <w:rPr>
                <w:bCs/>
              </w:rPr>
            </w:pPr>
          </w:p>
          <w:p w14:paraId="7B831C70" w14:textId="6FE6ED3F" w:rsidR="00F249E7" w:rsidRDefault="00F249E7" w:rsidP="00FC12EA">
            <w:pPr>
              <w:spacing w:before="40" w:after="120"/>
              <w:ind w:left="170" w:right="113"/>
              <w:rPr>
                <w:bCs/>
              </w:rPr>
            </w:pPr>
          </w:p>
          <w:p w14:paraId="2B04A26C" w14:textId="77777777" w:rsidR="00561B33" w:rsidRDefault="00561B33" w:rsidP="00FC12EA">
            <w:pPr>
              <w:spacing w:before="40" w:after="120"/>
              <w:ind w:left="170" w:right="113"/>
              <w:rPr>
                <w:bCs/>
              </w:rPr>
            </w:pPr>
          </w:p>
          <w:p w14:paraId="6BD7C4F3" w14:textId="77777777" w:rsidR="00561B33" w:rsidRDefault="00561B33" w:rsidP="00FC12EA">
            <w:pPr>
              <w:spacing w:before="40" w:after="120"/>
              <w:ind w:left="170" w:right="113"/>
              <w:rPr>
                <w:bCs/>
              </w:rPr>
            </w:pPr>
          </w:p>
          <w:p w14:paraId="4FAB9590" w14:textId="77777777" w:rsidR="00561B33" w:rsidRDefault="00561B33" w:rsidP="00FC12EA">
            <w:pPr>
              <w:spacing w:before="40" w:after="120"/>
              <w:ind w:left="170" w:right="113"/>
              <w:rPr>
                <w:bCs/>
              </w:rPr>
            </w:pPr>
          </w:p>
          <w:p w14:paraId="049595C0" w14:textId="77777777" w:rsidR="00561B33" w:rsidRDefault="00561B33" w:rsidP="00FC12EA">
            <w:pPr>
              <w:spacing w:before="40" w:after="120"/>
              <w:ind w:left="170" w:right="113"/>
              <w:rPr>
                <w:bCs/>
              </w:rPr>
            </w:pPr>
          </w:p>
          <w:p w14:paraId="799E9175" w14:textId="77777777" w:rsidR="00561B33" w:rsidRDefault="00561B33" w:rsidP="00FC12EA">
            <w:pPr>
              <w:spacing w:before="40" w:after="120"/>
              <w:ind w:left="170" w:right="113"/>
              <w:rPr>
                <w:bCs/>
              </w:rPr>
            </w:pPr>
          </w:p>
          <w:p w14:paraId="533F23DF" w14:textId="77777777" w:rsidR="00561B33" w:rsidRDefault="00561B33" w:rsidP="00FC12EA">
            <w:pPr>
              <w:spacing w:before="40" w:after="120"/>
              <w:ind w:left="170" w:right="113"/>
              <w:rPr>
                <w:bCs/>
              </w:rPr>
            </w:pPr>
          </w:p>
          <w:p w14:paraId="38501148" w14:textId="77777777" w:rsidR="00561B33" w:rsidRDefault="00561B33" w:rsidP="00FC12EA">
            <w:pPr>
              <w:spacing w:before="40" w:after="120"/>
              <w:ind w:left="170" w:right="113"/>
              <w:rPr>
                <w:bCs/>
              </w:rPr>
            </w:pPr>
          </w:p>
          <w:p w14:paraId="72B3C6E1" w14:textId="77777777" w:rsidR="00561B33" w:rsidRDefault="00561B33" w:rsidP="00FC12EA">
            <w:pPr>
              <w:spacing w:before="40" w:after="120"/>
              <w:ind w:left="170" w:right="113"/>
              <w:rPr>
                <w:bCs/>
              </w:rPr>
            </w:pPr>
          </w:p>
          <w:p w14:paraId="75E189C4" w14:textId="77777777" w:rsidR="00561B33" w:rsidRPr="00930D32" w:rsidRDefault="00561B33" w:rsidP="00FC12EA">
            <w:pPr>
              <w:spacing w:before="40" w:after="120"/>
              <w:ind w:left="170" w:right="113"/>
              <w:rPr>
                <w:bCs/>
              </w:rPr>
            </w:pPr>
          </w:p>
        </w:tc>
        <w:tc>
          <w:tcPr>
            <w:tcW w:w="2044" w:type="dxa"/>
            <w:tcBorders>
              <w:bottom w:val="dashSmallGap" w:sz="4" w:space="0" w:color="auto"/>
            </w:tcBorders>
            <w:shd w:val="clear" w:color="auto" w:fill="auto"/>
          </w:tcPr>
          <w:p w14:paraId="686F10EC" w14:textId="77777777" w:rsidR="00561B33" w:rsidRPr="00930D32" w:rsidRDefault="00561B33" w:rsidP="00FC12EA">
            <w:pPr>
              <w:spacing w:before="40" w:after="120"/>
              <w:ind w:left="284" w:right="113" w:hanging="142"/>
              <w:rPr>
                <w:b/>
                <w:bCs/>
              </w:rPr>
            </w:pPr>
            <w:r>
              <w:rPr>
                <w:b/>
                <w:bCs/>
              </w:rPr>
              <w:lastRenderedPageBreak/>
              <w:t>2</w:t>
            </w:r>
            <w:r w:rsidRPr="00930D32">
              <w:rPr>
                <w:b/>
                <w:bCs/>
              </w:rPr>
              <w:t>. Status of ratification</w:t>
            </w:r>
          </w:p>
        </w:tc>
        <w:tc>
          <w:tcPr>
            <w:tcW w:w="3690" w:type="dxa"/>
            <w:tcBorders>
              <w:bottom w:val="dashSmallGap" w:sz="4" w:space="0" w:color="auto"/>
            </w:tcBorders>
            <w:shd w:val="clear" w:color="auto" w:fill="auto"/>
          </w:tcPr>
          <w:p w14:paraId="07E91D28" w14:textId="1F1983D1" w:rsidR="00561B33" w:rsidRPr="00930D32" w:rsidRDefault="004E53BE" w:rsidP="004E53BE">
            <w:pPr>
              <w:spacing w:before="40" w:after="120" w:line="240" w:lineRule="auto"/>
              <w:ind w:left="176" w:right="113"/>
              <w:rPr>
                <w:bCs/>
              </w:rPr>
            </w:pPr>
            <w:r w:rsidRPr="004E53BE">
              <w:rPr>
                <w:bCs/>
              </w:rPr>
              <w:t>Status of ratification of the Convention, its amendments and its Protocol (ECE/MP.EIA/WG.2/2023/INF.2)</w:t>
            </w:r>
          </w:p>
        </w:tc>
        <w:tc>
          <w:tcPr>
            <w:tcW w:w="4656" w:type="dxa"/>
            <w:tcBorders>
              <w:bottom w:val="dashSmallGap" w:sz="4" w:space="0" w:color="auto"/>
            </w:tcBorders>
            <w:shd w:val="clear" w:color="auto" w:fill="auto"/>
          </w:tcPr>
          <w:p w14:paraId="15103ED5" w14:textId="5B2A3AD6" w:rsidR="00561B33" w:rsidRPr="00E41E65" w:rsidRDefault="00561B33" w:rsidP="00A03817">
            <w:pPr>
              <w:pStyle w:val="Bullet1G"/>
              <w:ind w:left="142" w:right="260"/>
              <w:rPr>
                <w:bCs/>
              </w:rPr>
            </w:pPr>
            <w:r w:rsidRPr="00E41E65">
              <w:rPr>
                <w:bCs/>
              </w:rPr>
              <w:t>As requested by the MOPs</w:t>
            </w:r>
            <w:r w:rsidR="00A71060">
              <w:rPr>
                <w:bCs/>
              </w:rPr>
              <w:t xml:space="preserve"> and the Working Group</w:t>
            </w:r>
            <w:r w:rsidRPr="00E41E65">
              <w:rPr>
                <w:bCs/>
              </w:rPr>
              <w:t xml:space="preserve">, all concerned delegations will be invited to report on progress towards ratification of the Convention and/or its two amendments and/or the Protocol, including: </w:t>
            </w:r>
          </w:p>
          <w:p w14:paraId="2B4726CE" w14:textId="7E5AC472" w:rsidR="00561B33" w:rsidRPr="00E41E65" w:rsidRDefault="00561B33" w:rsidP="0022145C">
            <w:pPr>
              <w:pStyle w:val="Bullet1G"/>
              <w:numPr>
                <w:ilvl w:val="0"/>
                <w:numId w:val="21"/>
              </w:numPr>
              <w:ind w:left="180" w:right="260" w:firstLine="0"/>
              <w:rPr>
                <w:bCs/>
              </w:rPr>
            </w:pPr>
            <w:r w:rsidRPr="00E41E65">
              <w:rPr>
                <w:bCs/>
              </w:rPr>
              <w:t xml:space="preserve">The </w:t>
            </w:r>
            <w:r w:rsidR="008846F5">
              <w:rPr>
                <w:bCs/>
              </w:rPr>
              <w:t>4</w:t>
            </w:r>
            <w:r w:rsidRPr="00E41E65">
              <w:rPr>
                <w:bCs/>
              </w:rPr>
              <w:t xml:space="preserve"> States that were Parties to the Convention at the time of adoption of the first amendment (27 February 2001): </w:t>
            </w:r>
            <w:r w:rsidRPr="00E41E65">
              <w:rPr>
                <w:b/>
              </w:rPr>
              <w:t>Armenia, Belgium, North Macedonia and the UK</w:t>
            </w:r>
            <w:r w:rsidR="009858E8">
              <w:rPr>
                <w:b/>
              </w:rPr>
              <w:t>.</w:t>
            </w:r>
            <w:r w:rsidRPr="00E41E65">
              <w:rPr>
                <w:bCs/>
              </w:rPr>
              <w:t xml:space="preserve"> </w:t>
            </w:r>
          </w:p>
          <w:p w14:paraId="63A873DE" w14:textId="7F570F8D" w:rsidR="00561B33" w:rsidRPr="00E41E65" w:rsidRDefault="00561B33" w:rsidP="0022145C">
            <w:pPr>
              <w:pStyle w:val="Bullet1G"/>
              <w:numPr>
                <w:ilvl w:val="0"/>
                <w:numId w:val="21"/>
              </w:numPr>
              <w:ind w:left="180" w:right="260" w:firstLine="0"/>
              <w:rPr>
                <w:bCs/>
              </w:rPr>
            </w:pPr>
            <w:r w:rsidRPr="00E41E65">
              <w:rPr>
                <w:bCs/>
              </w:rPr>
              <w:t xml:space="preserve">For the second (2004) amendment: </w:t>
            </w:r>
            <w:r w:rsidRPr="00E41E65">
              <w:rPr>
                <w:b/>
              </w:rPr>
              <w:t>Armenia, Belarus, Bosnia and Herzegovina, Ireland, Kazakhstan, Kyrgyzstan, North Macedonia</w:t>
            </w:r>
            <w:r w:rsidR="008846F5">
              <w:rPr>
                <w:b/>
              </w:rPr>
              <w:t xml:space="preserve"> </w:t>
            </w:r>
            <w:r w:rsidRPr="00E41E65">
              <w:rPr>
                <w:b/>
              </w:rPr>
              <w:t xml:space="preserve">and the UK. </w:t>
            </w:r>
          </w:p>
          <w:p w14:paraId="5071ECFB" w14:textId="75320806" w:rsidR="00561B33" w:rsidRPr="00E41E65" w:rsidRDefault="00561B33" w:rsidP="0022145C">
            <w:pPr>
              <w:pStyle w:val="Bullet1G"/>
              <w:numPr>
                <w:ilvl w:val="0"/>
                <w:numId w:val="21"/>
              </w:numPr>
              <w:ind w:left="180" w:right="260" w:firstLine="0"/>
              <w:rPr>
                <w:bCs/>
              </w:rPr>
            </w:pPr>
            <w:r w:rsidRPr="00E41E65">
              <w:rPr>
                <w:bCs/>
              </w:rPr>
              <w:t>Signatories of the Protocol (</w:t>
            </w:r>
            <w:r w:rsidRPr="00E41E65">
              <w:rPr>
                <w:b/>
              </w:rPr>
              <w:t xml:space="preserve">Belgium, France, Georgia, Greece, Ireland </w:t>
            </w:r>
            <w:r w:rsidRPr="00E41E65">
              <w:rPr>
                <w:bCs/>
              </w:rPr>
              <w:t>and</w:t>
            </w:r>
            <w:r w:rsidRPr="00E41E65">
              <w:rPr>
                <w:b/>
              </w:rPr>
              <w:t xml:space="preserve"> the UK</w:t>
            </w:r>
            <w:r w:rsidRPr="00E41E65">
              <w:rPr>
                <w:bCs/>
              </w:rPr>
              <w:t xml:space="preserve">) and other delegations, especially from countries </w:t>
            </w:r>
            <w:r w:rsidR="00904462">
              <w:rPr>
                <w:bCs/>
              </w:rPr>
              <w:t xml:space="preserve">beneficiaries </w:t>
            </w:r>
            <w:r w:rsidR="00755829" w:rsidRPr="00860AAE">
              <w:t>of technical assistance and capacity-building in Eastern Europe, the Caucasus and Central Asia</w:t>
            </w:r>
            <w:r w:rsidR="00755829" w:rsidRPr="00E41E65">
              <w:rPr>
                <w:bCs/>
              </w:rPr>
              <w:t xml:space="preserve"> </w:t>
            </w:r>
            <w:r w:rsidRPr="00E41E65">
              <w:rPr>
                <w:bCs/>
              </w:rPr>
              <w:lastRenderedPageBreak/>
              <w:t>(</w:t>
            </w:r>
            <w:r w:rsidRPr="00E41E65">
              <w:rPr>
                <w:b/>
              </w:rPr>
              <w:t>Azerbaijan, Belarus and Central Asian Republics)</w:t>
            </w:r>
            <w:r w:rsidR="009858E8">
              <w:rPr>
                <w:b/>
              </w:rPr>
              <w:t>.</w:t>
            </w:r>
            <w:r w:rsidRPr="00E41E65">
              <w:rPr>
                <w:bCs/>
              </w:rPr>
              <w:t xml:space="preserve"> </w:t>
            </w:r>
          </w:p>
          <w:p w14:paraId="3D9D3126" w14:textId="77777777" w:rsidR="00561B33" w:rsidRPr="00E41E65" w:rsidRDefault="00561B33" w:rsidP="00A03817">
            <w:pPr>
              <w:pStyle w:val="Bullet1G"/>
              <w:numPr>
                <w:ilvl w:val="0"/>
                <w:numId w:val="1"/>
              </w:numPr>
              <w:tabs>
                <w:tab w:val="clear" w:pos="3005"/>
              </w:tabs>
              <w:ind w:left="142" w:right="260" w:firstLine="0"/>
              <w:rPr>
                <w:bCs/>
              </w:rPr>
            </w:pPr>
            <w:r w:rsidRPr="00E41E65">
              <w:rPr>
                <w:b/>
              </w:rPr>
              <w:t>Georgia</w:t>
            </w:r>
            <w:r w:rsidRPr="00E41E65">
              <w:rPr>
                <w:bCs/>
              </w:rPr>
              <w:t xml:space="preserve"> regarding the Convention</w:t>
            </w:r>
          </w:p>
          <w:p w14:paraId="52736215" w14:textId="32EB8E41" w:rsidR="00561B33" w:rsidRPr="00E41E65" w:rsidRDefault="00561B33" w:rsidP="00450D93">
            <w:pPr>
              <w:pStyle w:val="Bullet1G"/>
              <w:numPr>
                <w:ilvl w:val="0"/>
                <w:numId w:val="3"/>
              </w:numPr>
              <w:ind w:left="142" w:right="260" w:firstLine="0"/>
              <w:rPr>
                <w:bCs/>
              </w:rPr>
            </w:pPr>
            <w:r w:rsidRPr="00450D93">
              <w:rPr>
                <w:b/>
              </w:rPr>
              <w:t>Romania</w:t>
            </w:r>
            <w:r w:rsidRPr="00E41E65">
              <w:rPr>
                <w:bCs/>
              </w:rPr>
              <w:t xml:space="preserve">, as the depositary of the Bucharest Agreement, is invited to report on the status of the Agreement and its Signatory States </w:t>
            </w:r>
            <w:r w:rsidRPr="00450D93">
              <w:rPr>
                <w:bCs/>
              </w:rPr>
              <w:t>(</w:t>
            </w:r>
            <w:r w:rsidRPr="007A0906">
              <w:rPr>
                <w:b/>
              </w:rPr>
              <w:t>Croatia</w:t>
            </w:r>
            <w:r w:rsidRPr="00450D93">
              <w:rPr>
                <w:bCs/>
              </w:rPr>
              <w:t xml:space="preserve"> and </w:t>
            </w:r>
            <w:r w:rsidRPr="007A0906">
              <w:rPr>
                <w:b/>
              </w:rPr>
              <w:t>Greece</w:t>
            </w:r>
            <w:r w:rsidRPr="00450D93">
              <w:rPr>
                <w:bCs/>
              </w:rPr>
              <w:t>)</w:t>
            </w:r>
            <w:r w:rsidRPr="00E41E65">
              <w:rPr>
                <w:bCs/>
              </w:rPr>
              <w:t xml:space="preserve"> are invited report on their preparations to ratify the Agreement, and </w:t>
            </w:r>
            <w:r w:rsidRPr="007A0906">
              <w:rPr>
                <w:b/>
              </w:rPr>
              <w:t>Bosnia and Herzegovina</w:t>
            </w:r>
            <w:r w:rsidRPr="00E41E65">
              <w:rPr>
                <w:bCs/>
              </w:rPr>
              <w:t xml:space="preserve"> on its plans to accede thereto.</w:t>
            </w:r>
          </w:p>
          <w:p w14:paraId="2F86B352" w14:textId="2F020F3D" w:rsidR="00561B33" w:rsidRPr="00E41E65" w:rsidRDefault="00561B33" w:rsidP="00A71939">
            <w:pPr>
              <w:pStyle w:val="Bullet1G"/>
              <w:ind w:left="142" w:right="260"/>
              <w:rPr>
                <w:bCs/>
              </w:rPr>
            </w:pPr>
            <w:r w:rsidRPr="00E41E65">
              <w:rPr>
                <w:bCs/>
              </w:rPr>
              <w:t xml:space="preserve">The </w:t>
            </w:r>
            <w:r w:rsidRPr="00E41E65">
              <w:rPr>
                <w:b/>
              </w:rPr>
              <w:t>Working Group</w:t>
            </w:r>
            <w:r w:rsidRPr="00E41E65">
              <w:rPr>
                <w:bCs/>
              </w:rPr>
              <w:t xml:space="preserve"> is expected to </w:t>
            </w:r>
            <w:r w:rsidR="002419BB">
              <w:rPr>
                <w:bCs/>
              </w:rPr>
              <w:t>consider the information</w:t>
            </w:r>
            <w:r w:rsidR="003F022A">
              <w:rPr>
                <w:bCs/>
              </w:rPr>
              <w:t xml:space="preserve"> </w:t>
            </w:r>
            <w:r w:rsidR="003F022A" w:rsidRPr="00860AAE">
              <w:t xml:space="preserve">and, invite </w:t>
            </w:r>
            <w:r w:rsidR="00B41053">
              <w:t xml:space="preserve">the </w:t>
            </w:r>
            <w:r w:rsidR="003F022A" w:rsidRPr="00860AAE">
              <w:t xml:space="preserve">concerned Parties to complete </w:t>
            </w:r>
            <w:r w:rsidR="00B41053">
              <w:t>any</w:t>
            </w:r>
            <w:r w:rsidR="003F022A" w:rsidRPr="00860AAE">
              <w:t xml:space="preserve"> pending ratifications</w:t>
            </w:r>
            <w:r w:rsidR="00A111AB" w:rsidRPr="00E41E65">
              <w:t xml:space="preserve"> of at least the first amendment, by the next sessions of the MOPs (Geneva, 12–15 December 2023)</w:t>
            </w:r>
            <w:r w:rsidR="003F022A" w:rsidRPr="00860AAE">
              <w:t xml:space="preserve">, or failing that, to </w:t>
            </w:r>
            <w:r w:rsidR="00B41053">
              <w:t xml:space="preserve">be prepared to </w:t>
            </w:r>
            <w:r w:rsidR="003F022A" w:rsidRPr="00860AAE">
              <w:t>announce their firm commitment, with clear timelines, for completing their ratifications as soon as possible in the next intersessional period</w:t>
            </w:r>
            <w:r w:rsidR="003F022A">
              <w:t>.</w:t>
            </w:r>
          </w:p>
        </w:tc>
      </w:tr>
      <w:tr w:rsidR="007C6AD5" w:rsidRPr="00930D32" w14:paraId="4B0A794B" w14:textId="77777777" w:rsidTr="00D9132C">
        <w:trPr>
          <w:jc w:val="center"/>
        </w:trPr>
        <w:tc>
          <w:tcPr>
            <w:tcW w:w="1350" w:type="dxa"/>
            <w:vMerge/>
            <w:shd w:val="clear" w:color="auto" w:fill="auto"/>
          </w:tcPr>
          <w:p w14:paraId="7B3D585E" w14:textId="77777777" w:rsidR="007C6AD5" w:rsidRPr="00930D32" w:rsidRDefault="007C6AD5" w:rsidP="00FC12EA">
            <w:pPr>
              <w:spacing w:before="40" w:after="120"/>
              <w:ind w:left="143" w:right="113"/>
              <w:rPr>
                <w:b/>
                <w:bCs/>
              </w:rPr>
            </w:pPr>
          </w:p>
        </w:tc>
        <w:tc>
          <w:tcPr>
            <w:tcW w:w="921" w:type="dxa"/>
            <w:shd w:val="clear" w:color="auto" w:fill="auto"/>
          </w:tcPr>
          <w:p w14:paraId="5E70C956" w14:textId="77777777" w:rsidR="00873D91" w:rsidRDefault="00873D91" w:rsidP="00873D91">
            <w:pPr>
              <w:spacing w:before="40" w:after="120"/>
              <w:ind w:left="170" w:right="113"/>
              <w:rPr>
                <w:bCs/>
              </w:rPr>
            </w:pPr>
            <w:r w:rsidRPr="00860AAE">
              <w:t>10.45–12.30</w:t>
            </w:r>
          </w:p>
          <w:p w14:paraId="7B7410E5" w14:textId="4E864D06" w:rsidR="007C6AD5" w:rsidRPr="006B731F" w:rsidRDefault="007C6AD5" w:rsidP="00325C8C">
            <w:pPr>
              <w:spacing w:before="40" w:after="120"/>
              <w:ind w:left="170" w:right="113"/>
              <w:rPr>
                <w:bCs/>
              </w:rPr>
            </w:pPr>
          </w:p>
        </w:tc>
        <w:tc>
          <w:tcPr>
            <w:tcW w:w="2044" w:type="dxa"/>
            <w:shd w:val="clear" w:color="auto" w:fill="auto"/>
          </w:tcPr>
          <w:p w14:paraId="2EB9200C" w14:textId="77777777" w:rsidR="007C6AD5" w:rsidRDefault="007C6AD5" w:rsidP="00FC12EA">
            <w:pPr>
              <w:spacing w:before="40" w:after="120"/>
              <w:ind w:left="284" w:right="113" w:hanging="142"/>
              <w:rPr>
                <w:b/>
                <w:bCs/>
              </w:rPr>
            </w:pPr>
            <w:r>
              <w:rPr>
                <w:b/>
                <w:bCs/>
              </w:rPr>
              <w:t xml:space="preserve">3. </w:t>
            </w:r>
            <w:r w:rsidRPr="007C6AD5">
              <w:rPr>
                <w:b/>
                <w:bCs/>
              </w:rPr>
              <w:t>Financial arrangements</w:t>
            </w:r>
          </w:p>
        </w:tc>
        <w:tc>
          <w:tcPr>
            <w:tcW w:w="3690" w:type="dxa"/>
            <w:shd w:val="clear" w:color="auto" w:fill="auto"/>
          </w:tcPr>
          <w:p w14:paraId="1A6AD54D" w14:textId="79FA3F31" w:rsidR="004662EC" w:rsidRDefault="004662EC" w:rsidP="00544CBE">
            <w:pPr>
              <w:spacing w:before="40" w:after="120" w:line="240" w:lineRule="auto"/>
              <w:ind w:left="176" w:right="113"/>
              <w:rPr>
                <w:iCs/>
              </w:rPr>
            </w:pPr>
            <w:r w:rsidRPr="00860AAE">
              <w:rPr>
                <w:iCs/>
              </w:rPr>
              <w:t>Draft joint decisions by the Meeting</w:t>
            </w:r>
            <w:r w:rsidR="00606AE9">
              <w:rPr>
                <w:iCs/>
              </w:rPr>
              <w:t>s</w:t>
            </w:r>
            <w:r w:rsidRPr="00860AAE">
              <w:rPr>
                <w:iCs/>
              </w:rPr>
              <w:t xml:space="preserve"> of the Parties to the Convention and the Protocol</w:t>
            </w:r>
            <w:r w:rsidRPr="00860AAE">
              <w:t xml:space="preserve"> </w:t>
            </w:r>
            <w:r w:rsidRPr="00860AAE">
              <w:rPr>
                <w:iCs/>
              </w:rPr>
              <w:t>(ECE/MP.EIA/WG.2/2023/3)</w:t>
            </w:r>
          </w:p>
          <w:p w14:paraId="017CD732" w14:textId="50571BFC" w:rsidR="00DB0FEB" w:rsidRDefault="007C6AD5" w:rsidP="006E2743">
            <w:pPr>
              <w:spacing w:before="40" w:after="120" w:line="240" w:lineRule="auto"/>
              <w:ind w:left="176" w:right="113"/>
              <w:rPr>
                <w:bCs/>
              </w:rPr>
            </w:pPr>
            <w:r w:rsidRPr="007C6AD5">
              <w:rPr>
                <w:bCs/>
              </w:rPr>
              <w:t>Status of the trust fund (</w:t>
            </w:r>
            <w:r w:rsidR="005C202F" w:rsidRPr="00860AAE">
              <w:t>ECE/MP.EIA/WG.2/2023/INF.3</w:t>
            </w:r>
            <w:r w:rsidRPr="007C6AD5">
              <w:rPr>
                <w:bCs/>
              </w:rPr>
              <w:t>)</w:t>
            </w:r>
          </w:p>
          <w:p w14:paraId="2F800D9A" w14:textId="12FE695B" w:rsidR="002512F4" w:rsidRPr="002512F4" w:rsidRDefault="00764E2C" w:rsidP="0010380C">
            <w:pPr>
              <w:spacing w:before="40" w:after="120" w:line="240" w:lineRule="auto"/>
              <w:ind w:left="176" w:right="113"/>
              <w:rPr>
                <w:bCs/>
                <w:i/>
                <w:iCs/>
              </w:rPr>
            </w:pPr>
            <w:r>
              <w:rPr>
                <w:iCs/>
              </w:rPr>
              <w:t>I</w:t>
            </w:r>
            <w:r w:rsidRPr="00764E2C">
              <w:rPr>
                <w:iCs/>
              </w:rPr>
              <w:t>nformation on Parties’ pledges of  funding for 2024–2026</w:t>
            </w:r>
            <w:r w:rsidR="00AD1A2B">
              <w:rPr>
                <w:iCs/>
              </w:rPr>
              <w:br/>
            </w:r>
            <w:r w:rsidR="00AD1A2B" w:rsidRPr="007C6AD5">
              <w:rPr>
                <w:bCs/>
              </w:rPr>
              <w:t>(</w:t>
            </w:r>
            <w:r w:rsidR="00AD1A2B" w:rsidRPr="00860AAE">
              <w:t>ECE/MP.EIA/WG.2/2023/INF.</w:t>
            </w:r>
            <w:r w:rsidR="00AD1A2B">
              <w:t>1</w:t>
            </w:r>
            <w:r w:rsidR="00750489">
              <w:t>2</w:t>
            </w:r>
            <w:r w:rsidR="00AD1A2B" w:rsidRPr="007C6AD5">
              <w:rPr>
                <w:bCs/>
              </w:rPr>
              <w:t>)</w:t>
            </w:r>
            <w:r w:rsidR="0010380C">
              <w:rPr>
                <w:bCs/>
              </w:rPr>
              <w:t xml:space="preserve"> [ </w:t>
            </w:r>
            <w:r w:rsidR="002512F4">
              <w:rPr>
                <w:bCs/>
                <w:i/>
                <w:iCs/>
              </w:rPr>
              <w:t>A</w:t>
            </w:r>
            <w:r w:rsidR="00A300A0">
              <w:rPr>
                <w:bCs/>
                <w:i/>
                <w:iCs/>
              </w:rPr>
              <w:t>s a</w:t>
            </w:r>
            <w:r w:rsidR="002512F4">
              <w:rPr>
                <w:bCs/>
                <w:i/>
                <w:iCs/>
              </w:rPr>
              <w:t>n additional document not referred to in the provisional agenda]</w:t>
            </w:r>
          </w:p>
          <w:p w14:paraId="6E1DECC8" w14:textId="303B7E5F" w:rsidR="007C6AD5" w:rsidRPr="00325C8C" w:rsidRDefault="007C6AD5" w:rsidP="00764E2C">
            <w:pPr>
              <w:spacing w:before="40" w:after="120" w:line="240" w:lineRule="auto"/>
              <w:ind w:left="176" w:right="113"/>
              <w:rPr>
                <w:bCs/>
              </w:rPr>
            </w:pPr>
          </w:p>
        </w:tc>
        <w:tc>
          <w:tcPr>
            <w:tcW w:w="4656" w:type="dxa"/>
            <w:shd w:val="clear" w:color="auto" w:fill="auto"/>
          </w:tcPr>
          <w:p w14:paraId="2B1D65B4" w14:textId="10EDF340" w:rsidR="00C62B67" w:rsidRPr="0069549C" w:rsidRDefault="007C6AD5" w:rsidP="006C7CFC">
            <w:pPr>
              <w:pStyle w:val="Bullet1G"/>
              <w:numPr>
                <w:ilvl w:val="0"/>
                <w:numId w:val="3"/>
              </w:numPr>
              <w:ind w:left="142" w:right="260" w:firstLine="0"/>
              <w:rPr>
                <w:bCs/>
              </w:rPr>
            </w:pPr>
            <w:r w:rsidRPr="0069549C">
              <w:rPr>
                <w:b/>
              </w:rPr>
              <w:t>The secretariat</w:t>
            </w:r>
            <w:r w:rsidRPr="0069549C">
              <w:rPr>
                <w:bCs/>
              </w:rPr>
              <w:t xml:space="preserve"> will </w:t>
            </w:r>
            <w:r w:rsidR="00740F1F" w:rsidRPr="0069549C">
              <w:rPr>
                <w:bCs/>
              </w:rPr>
              <w:t xml:space="preserve">report </w:t>
            </w:r>
            <w:r w:rsidRPr="0069549C">
              <w:rPr>
                <w:bCs/>
              </w:rPr>
              <w:t>on the status</w:t>
            </w:r>
            <w:r w:rsidR="001F4D2D" w:rsidRPr="0069549C">
              <w:rPr>
                <w:bCs/>
              </w:rPr>
              <w:t xml:space="preserve"> </w:t>
            </w:r>
            <w:r w:rsidRPr="0069549C">
              <w:rPr>
                <w:bCs/>
              </w:rPr>
              <w:t>of the Convention’s and Protocol’s trust fund</w:t>
            </w:r>
            <w:r w:rsidR="00590DE9" w:rsidRPr="0069549C">
              <w:rPr>
                <w:bCs/>
              </w:rPr>
              <w:t xml:space="preserve">. </w:t>
            </w:r>
            <w:r w:rsidR="001F4D2D" w:rsidRPr="0069549C">
              <w:rPr>
                <w:bCs/>
              </w:rPr>
              <w:t>Subsequently, the secretariat in consultation with the Bureau, will prepare the financial report covering the period</w:t>
            </w:r>
            <w:r w:rsidR="00F53AFC">
              <w:rPr>
                <w:bCs/>
              </w:rPr>
              <w:t xml:space="preserve"> January 2020–</w:t>
            </w:r>
            <w:r w:rsidR="001F4D2D" w:rsidRPr="0069549C">
              <w:rPr>
                <w:bCs/>
              </w:rPr>
              <w:t>December 2023.</w:t>
            </w:r>
          </w:p>
          <w:p w14:paraId="099FFC23" w14:textId="77777777" w:rsidR="0055075C" w:rsidRDefault="0071109E" w:rsidP="00DE4B69">
            <w:pPr>
              <w:pStyle w:val="Bullet1G"/>
              <w:numPr>
                <w:ilvl w:val="0"/>
                <w:numId w:val="3"/>
              </w:numPr>
              <w:ind w:left="142" w:right="260" w:firstLine="0"/>
              <w:rPr>
                <w:bCs/>
              </w:rPr>
            </w:pPr>
            <w:r w:rsidRPr="007122FA">
              <w:rPr>
                <w:b/>
              </w:rPr>
              <w:t>The secretariat</w:t>
            </w:r>
            <w:r w:rsidRPr="007122FA">
              <w:rPr>
                <w:bCs/>
              </w:rPr>
              <w:t xml:space="preserve"> will also present information on the </w:t>
            </w:r>
            <w:r w:rsidR="00A02FBF">
              <w:rPr>
                <w:bCs/>
              </w:rPr>
              <w:t xml:space="preserve">Parties’ </w:t>
            </w:r>
            <w:r w:rsidRPr="007122FA">
              <w:rPr>
                <w:bCs/>
              </w:rPr>
              <w:t xml:space="preserve">pledged </w:t>
            </w:r>
            <w:r w:rsidR="00B41A7F">
              <w:rPr>
                <w:bCs/>
              </w:rPr>
              <w:t xml:space="preserve">contributions </w:t>
            </w:r>
            <w:r w:rsidRPr="007122FA">
              <w:rPr>
                <w:bCs/>
              </w:rPr>
              <w:t>to the budget for the period 2024–2026</w:t>
            </w:r>
            <w:r w:rsidR="00B41A7F">
              <w:rPr>
                <w:bCs/>
              </w:rPr>
              <w:t>,</w:t>
            </w:r>
            <w:r w:rsidR="006E0F63">
              <w:rPr>
                <w:bCs/>
              </w:rPr>
              <w:t xml:space="preserve"> highlighting the</w:t>
            </w:r>
            <w:r w:rsidR="00B41A7F">
              <w:rPr>
                <w:bCs/>
              </w:rPr>
              <w:t xml:space="preserve"> a</w:t>
            </w:r>
            <w:r w:rsidRPr="007122FA">
              <w:rPr>
                <w:bCs/>
              </w:rPr>
              <w:t xml:space="preserve">dditional funding that Parties mobilized to remedy the lack of secretariat resources for servicing the intergovernmental work under the Convention and the Protocol. </w:t>
            </w:r>
            <w:r w:rsidRPr="0055075C">
              <w:rPr>
                <w:b/>
              </w:rPr>
              <w:t>A</w:t>
            </w:r>
            <w:r w:rsidR="00765261" w:rsidRPr="0055075C">
              <w:rPr>
                <w:b/>
              </w:rPr>
              <w:t xml:space="preserve">ll </w:t>
            </w:r>
            <w:r w:rsidR="00FB7A57" w:rsidRPr="0055075C">
              <w:rPr>
                <w:b/>
              </w:rPr>
              <w:t>Partie</w:t>
            </w:r>
            <w:r w:rsidR="00765261" w:rsidRPr="0055075C">
              <w:rPr>
                <w:b/>
              </w:rPr>
              <w:t>s</w:t>
            </w:r>
            <w:r w:rsidR="00765261">
              <w:rPr>
                <w:bCs/>
              </w:rPr>
              <w:t xml:space="preserve"> are expected to </w:t>
            </w:r>
            <w:r w:rsidR="00FB7A57">
              <w:rPr>
                <w:bCs/>
              </w:rPr>
              <w:t>have provided th</w:t>
            </w:r>
            <w:r w:rsidR="007E5BD9">
              <w:rPr>
                <w:bCs/>
              </w:rPr>
              <w:t>at</w:t>
            </w:r>
            <w:r w:rsidR="00FB7A57">
              <w:rPr>
                <w:bCs/>
              </w:rPr>
              <w:t xml:space="preserve"> information</w:t>
            </w:r>
            <w:r w:rsidRPr="007122FA">
              <w:rPr>
                <w:bCs/>
              </w:rPr>
              <w:t xml:space="preserve"> </w:t>
            </w:r>
            <w:r w:rsidR="00FB7A57" w:rsidRPr="007122FA">
              <w:rPr>
                <w:bCs/>
              </w:rPr>
              <w:t>to ensure that the workplan for 2024–2026 to be agreed under item 4 (c) below will match the financial and staffing resources for its implementation.</w:t>
            </w:r>
            <w:r w:rsidR="00DE4B69">
              <w:rPr>
                <w:bCs/>
              </w:rPr>
              <w:t xml:space="preserve"> Those</w:t>
            </w:r>
            <w:r w:rsidR="0055075C">
              <w:rPr>
                <w:bCs/>
              </w:rPr>
              <w:t xml:space="preserve"> delegations </w:t>
            </w:r>
            <w:r w:rsidR="007122FA" w:rsidRPr="007122FA">
              <w:rPr>
                <w:bCs/>
              </w:rPr>
              <w:t xml:space="preserve">yet to inform </w:t>
            </w:r>
            <w:r w:rsidRPr="007122FA">
              <w:rPr>
                <w:bCs/>
              </w:rPr>
              <w:t xml:space="preserve">the secretariat of its pledge </w:t>
            </w:r>
            <w:r w:rsidR="00665BB9">
              <w:rPr>
                <w:bCs/>
              </w:rPr>
              <w:t>is</w:t>
            </w:r>
            <w:r w:rsidRPr="007122FA">
              <w:rPr>
                <w:bCs/>
              </w:rPr>
              <w:t xml:space="preserve"> invited to do</w:t>
            </w:r>
            <w:r w:rsidR="00665BB9">
              <w:rPr>
                <w:bCs/>
              </w:rPr>
              <w:t xml:space="preserve"> so</w:t>
            </w:r>
            <w:r w:rsidRPr="007122FA">
              <w:rPr>
                <w:bCs/>
              </w:rPr>
              <w:t xml:space="preserve"> </w:t>
            </w:r>
            <w:r w:rsidRPr="00C81B50">
              <w:rPr>
                <w:b/>
              </w:rPr>
              <w:t>by 15 May</w:t>
            </w:r>
            <w:r w:rsidRPr="007122FA">
              <w:rPr>
                <w:bCs/>
              </w:rPr>
              <w:t xml:space="preserve"> 2023</w:t>
            </w:r>
          </w:p>
          <w:p w14:paraId="3D2B8E9A" w14:textId="61932162" w:rsidR="007C6AD5" w:rsidRPr="00F84890" w:rsidRDefault="00B46B0A" w:rsidP="00DE4B69">
            <w:pPr>
              <w:pStyle w:val="Bullet1G"/>
              <w:numPr>
                <w:ilvl w:val="0"/>
                <w:numId w:val="3"/>
              </w:numPr>
              <w:ind w:left="142" w:right="260" w:firstLine="0"/>
              <w:rPr>
                <w:bCs/>
              </w:rPr>
            </w:pPr>
            <w:r w:rsidRPr="007122FA">
              <w:rPr>
                <w:bCs/>
              </w:rPr>
              <w:lastRenderedPageBreak/>
              <w:t xml:space="preserve"> </w:t>
            </w:r>
            <w:r w:rsidR="00E13058" w:rsidRPr="00E13058">
              <w:rPr>
                <w:b/>
              </w:rPr>
              <w:t>The Working Group</w:t>
            </w:r>
            <w:r w:rsidR="00E13058" w:rsidRPr="00E13058">
              <w:rPr>
                <w:bCs/>
              </w:rPr>
              <w:t xml:space="preserve"> is invited to consider and agree on draft decision IX/1–V/1 on financial arrangements for the Convention and the Protocol in the period </w:t>
            </w:r>
            <w:bookmarkStart w:id="2" w:name="_Hlk30156616"/>
            <w:r w:rsidR="00E13058" w:rsidRPr="00E13058">
              <w:rPr>
                <w:bCs/>
              </w:rPr>
              <w:t>2024–202</w:t>
            </w:r>
            <w:bookmarkEnd w:id="2"/>
            <w:r w:rsidR="00E13058" w:rsidRPr="00E13058">
              <w:rPr>
                <w:bCs/>
              </w:rPr>
              <w:t>6 to be forwarded to the next sessions of the Meetings of the Parties</w:t>
            </w:r>
            <w:r w:rsidR="006B1D3E" w:rsidRPr="006C7CFC">
              <w:rPr>
                <w:bCs/>
              </w:rPr>
              <w:t xml:space="preserve">. </w:t>
            </w:r>
            <w:r w:rsidR="00716F84">
              <w:rPr>
                <w:bCs/>
              </w:rPr>
              <w:t xml:space="preserve">It </w:t>
            </w:r>
            <w:r w:rsidR="00E13058" w:rsidRPr="00E13058">
              <w:rPr>
                <w:bCs/>
              </w:rPr>
              <w:t>is expected to ensure that the draft decision addresses the general considerable shortage of contributions to the trust fund under the treaties and provides for a more sustainable, predictable and equitable funding during the next budget cycle and beyond.</w:t>
            </w:r>
          </w:p>
        </w:tc>
      </w:tr>
      <w:tr w:rsidR="00D95F0A" w:rsidRPr="00930D32" w14:paraId="2B3674E3" w14:textId="77777777" w:rsidTr="00D9132C">
        <w:trPr>
          <w:jc w:val="center"/>
        </w:trPr>
        <w:tc>
          <w:tcPr>
            <w:tcW w:w="1350" w:type="dxa"/>
            <w:vMerge/>
            <w:shd w:val="clear" w:color="auto" w:fill="auto"/>
          </w:tcPr>
          <w:p w14:paraId="726FD962" w14:textId="77777777" w:rsidR="00D95F0A" w:rsidRPr="00930D32" w:rsidRDefault="00D95F0A" w:rsidP="00FC12EA">
            <w:pPr>
              <w:spacing w:before="40" w:after="120"/>
              <w:ind w:left="143" w:right="113"/>
              <w:rPr>
                <w:b/>
                <w:bCs/>
              </w:rPr>
            </w:pPr>
          </w:p>
        </w:tc>
        <w:tc>
          <w:tcPr>
            <w:tcW w:w="921" w:type="dxa"/>
            <w:shd w:val="clear" w:color="auto" w:fill="auto"/>
          </w:tcPr>
          <w:p w14:paraId="47F36C27" w14:textId="46E9EDDC" w:rsidR="00D95F0A" w:rsidRPr="00860AAE" w:rsidRDefault="00D95F0A" w:rsidP="00873D91">
            <w:pPr>
              <w:spacing w:before="40" w:after="120"/>
              <w:ind w:left="170" w:right="113"/>
            </w:pPr>
          </w:p>
        </w:tc>
        <w:tc>
          <w:tcPr>
            <w:tcW w:w="2044" w:type="dxa"/>
            <w:shd w:val="clear" w:color="auto" w:fill="auto"/>
          </w:tcPr>
          <w:p w14:paraId="6088EF34" w14:textId="441DD779" w:rsidR="00D95F0A" w:rsidRDefault="001E1E87" w:rsidP="00FC12EA">
            <w:pPr>
              <w:spacing w:before="40" w:after="120"/>
              <w:ind w:left="284" w:right="113" w:hanging="142"/>
              <w:rPr>
                <w:b/>
                <w:bCs/>
              </w:rPr>
            </w:pPr>
            <w:r>
              <w:rPr>
                <w:b/>
                <w:bCs/>
              </w:rPr>
              <w:t xml:space="preserve">4. </w:t>
            </w:r>
            <w:r w:rsidR="004608CA" w:rsidRPr="00EF321C">
              <w:rPr>
                <w:b/>
                <w:bCs/>
              </w:rPr>
              <w:t>Preparations for the next sessions of the Meetings of the Parties</w:t>
            </w:r>
            <w:r w:rsidR="004608CA">
              <w:rPr>
                <w:b/>
                <w:bCs/>
              </w:rPr>
              <w:t xml:space="preserve"> </w:t>
            </w:r>
          </w:p>
        </w:tc>
        <w:tc>
          <w:tcPr>
            <w:tcW w:w="3690" w:type="dxa"/>
            <w:shd w:val="clear" w:color="auto" w:fill="auto"/>
          </w:tcPr>
          <w:p w14:paraId="004D9255" w14:textId="4F8371F5" w:rsidR="00D95F0A" w:rsidRPr="00860AAE" w:rsidRDefault="00D95F0A" w:rsidP="00544CBE">
            <w:pPr>
              <w:spacing w:before="40" w:after="120" w:line="240" w:lineRule="auto"/>
              <w:ind w:left="176" w:right="113"/>
              <w:rPr>
                <w:iCs/>
              </w:rPr>
            </w:pPr>
          </w:p>
        </w:tc>
        <w:tc>
          <w:tcPr>
            <w:tcW w:w="4656" w:type="dxa"/>
            <w:shd w:val="clear" w:color="auto" w:fill="auto"/>
          </w:tcPr>
          <w:p w14:paraId="3AF384B2" w14:textId="65271F5D" w:rsidR="00D95F0A" w:rsidRPr="00FC5412" w:rsidRDefault="00D95F0A" w:rsidP="003B5FDC">
            <w:pPr>
              <w:pStyle w:val="Bullet1G"/>
              <w:ind w:left="142" w:right="260"/>
              <w:rPr>
                <w:b/>
              </w:rPr>
            </w:pPr>
          </w:p>
        </w:tc>
      </w:tr>
      <w:tr w:rsidR="003B5FDC" w:rsidRPr="00930D32" w14:paraId="2DF9100F" w14:textId="77777777" w:rsidTr="00D9132C">
        <w:trPr>
          <w:jc w:val="center"/>
        </w:trPr>
        <w:tc>
          <w:tcPr>
            <w:tcW w:w="1350" w:type="dxa"/>
            <w:vMerge/>
            <w:shd w:val="clear" w:color="auto" w:fill="auto"/>
          </w:tcPr>
          <w:p w14:paraId="065FB8F8" w14:textId="77777777" w:rsidR="003B5FDC" w:rsidRPr="00930D32" w:rsidRDefault="003B5FDC" w:rsidP="003B5FDC">
            <w:pPr>
              <w:spacing w:before="40" w:after="120"/>
              <w:ind w:left="143" w:right="113"/>
              <w:rPr>
                <w:b/>
                <w:bCs/>
              </w:rPr>
            </w:pPr>
          </w:p>
        </w:tc>
        <w:tc>
          <w:tcPr>
            <w:tcW w:w="921" w:type="dxa"/>
            <w:shd w:val="clear" w:color="auto" w:fill="auto"/>
          </w:tcPr>
          <w:p w14:paraId="2147B69F" w14:textId="3EFCCB58" w:rsidR="003B5FDC" w:rsidRPr="00860AAE" w:rsidRDefault="003B5FDC" w:rsidP="003B5FDC">
            <w:pPr>
              <w:spacing w:before="40" w:after="120"/>
              <w:ind w:left="170" w:right="113"/>
            </w:pPr>
            <w:r w:rsidRPr="00860AAE">
              <w:t>12.30–1</w:t>
            </w:r>
            <w:r>
              <w:t>3</w:t>
            </w:r>
          </w:p>
        </w:tc>
        <w:tc>
          <w:tcPr>
            <w:tcW w:w="2044" w:type="dxa"/>
            <w:shd w:val="clear" w:color="auto" w:fill="auto"/>
          </w:tcPr>
          <w:p w14:paraId="5735B1E6" w14:textId="3D948C7C" w:rsidR="003B5FDC" w:rsidRDefault="003B5FDC" w:rsidP="003B5FDC">
            <w:pPr>
              <w:spacing w:before="40" w:after="120"/>
              <w:ind w:left="284" w:right="113" w:hanging="142"/>
              <w:rPr>
                <w:b/>
                <w:bCs/>
              </w:rPr>
            </w:pPr>
            <w:r w:rsidRPr="00374EB9">
              <w:rPr>
                <w:b/>
                <w:bCs/>
              </w:rPr>
              <w:t>(a) Practical arrangements</w:t>
            </w:r>
          </w:p>
        </w:tc>
        <w:tc>
          <w:tcPr>
            <w:tcW w:w="3690" w:type="dxa"/>
            <w:shd w:val="clear" w:color="auto" w:fill="auto"/>
          </w:tcPr>
          <w:p w14:paraId="41F6B0FA" w14:textId="00B798D4" w:rsidR="003B5FDC" w:rsidRPr="00460FD5" w:rsidRDefault="00E63B71" w:rsidP="003B5FDC">
            <w:pPr>
              <w:spacing w:before="40" w:after="120" w:line="240" w:lineRule="auto"/>
              <w:ind w:left="176" w:right="113"/>
              <w:rPr>
                <w:iCs/>
              </w:rPr>
            </w:pPr>
            <w:r w:rsidRPr="00460FD5">
              <w:rPr>
                <w:iCs/>
              </w:rPr>
              <w:t>Preparations for the next sessions of the Meetings of the Parties (ECE/MP.EIA/WG.2/2023/INF.4)</w:t>
            </w:r>
          </w:p>
        </w:tc>
        <w:tc>
          <w:tcPr>
            <w:tcW w:w="4656" w:type="dxa"/>
            <w:shd w:val="clear" w:color="auto" w:fill="auto"/>
          </w:tcPr>
          <w:p w14:paraId="2FF03A4B" w14:textId="28AD2ADA" w:rsidR="003B5FDC" w:rsidRPr="00FC5412" w:rsidRDefault="003B5FDC" w:rsidP="003B5FDC">
            <w:pPr>
              <w:pStyle w:val="Bullet1G"/>
              <w:ind w:left="142" w:right="260"/>
              <w:rPr>
                <w:b/>
              </w:rPr>
            </w:pPr>
            <w:r w:rsidRPr="007520A3">
              <w:rPr>
                <w:b/>
                <w:bCs/>
              </w:rPr>
              <w:t>The</w:t>
            </w:r>
            <w:r w:rsidR="002D558A">
              <w:rPr>
                <w:b/>
                <w:bCs/>
              </w:rPr>
              <w:t xml:space="preserve"> </w:t>
            </w:r>
            <w:r w:rsidRPr="007520A3">
              <w:rPr>
                <w:b/>
                <w:bCs/>
              </w:rPr>
              <w:t>secretariat</w:t>
            </w:r>
            <w:r w:rsidRPr="00860AAE">
              <w:t xml:space="preserve"> will </w:t>
            </w:r>
            <w:r w:rsidR="000C4F66">
              <w:t>provide an update</w:t>
            </w:r>
            <w:r w:rsidRPr="00860AAE">
              <w:t xml:space="preserve"> on the practical preparations for the</w:t>
            </w:r>
            <w:r>
              <w:t xml:space="preserve"> next sessions of the Meetings of the Parties to the Convention and the Protocol</w:t>
            </w:r>
            <w:r w:rsidR="001A0FD3">
              <w:t xml:space="preserve"> </w:t>
            </w:r>
            <w:r w:rsidR="007051C2">
              <w:t>(</w:t>
            </w:r>
            <w:r w:rsidRPr="00860AAE">
              <w:t xml:space="preserve">Geneva, </w:t>
            </w:r>
            <w:r w:rsidR="007051C2">
              <w:t>1</w:t>
            </w:r>
            <w:r w:rsidRPr="00860AAE">
              <w:t>2</w:t>
            </w:r>
            <w:r w:rsidR="007051C2">
              <w:t>-</w:t>
            </w:r>
            <w:r w:rsidRPr="00860AAE">
              <w:t>15 December 2023</w:t>
            </w:r>
            <w:r w:rsidR="007051C2">
              <w:t>)</w:t>
            </w:r>
            <w:r w:rsidRPr="00860AAE">
              <w:t>.</w:t>
            </w:r>
          </w:p>
        </w:tc>
      </w:tr>
      <w:tr w:rsidR="003B5FDC" w:rsidRPr="00930D32" w14:paraId="5392E34A" w14:textId="77777777" w:rsidTr="00D9132C">
        <w:trPr>
          <w:jc w:val="center"/>
        </w:trPr>
        <w:tc>
          <w:tcPr>
            <w:tcW w:w="1350" w:type="dxa"/>
            <w:vMerge/>
            <w:shd w:val="clear" w:color="auto" w:fill="auto"/>
          </w:tcPr>
          <w:p w14:paraId="7FC37533" w14:textId="77777777" w:rsidR="003B5FDC" w:rsidRPr="00930D32" w:rsidRDefault="003B5FDC" w:rsidP="003B5FDC">
            <w:pPr>
              <w:spacing w:before="40" w:after="120"/>
              <w:ind w:left="143" w:right="113"/>
              <w:rPr>
                <w:b/>
                <w:bCs/>
              </w:rPr>
            </w:pPr>
          </w:p>
        </w:tc>
        <w:tc>
          <w:tcPr>
            <w:tcW w:w="921" w:type="dxa"/>
            <w:shd w:val="clear" w:color="auto" w:fill="auto"/>
          </w:tcPr>
          <w:p w14:paraId="44A9705C" w14:textId="3D23472A" w:rsidR="003B5FDC" w:rsidRDefault="003B5FDC" w:rsidP="003B5FDC">
            <w:pPr>
              <w:spacing w:before="40" w:after="120"/>
              <w:ind w:left="170" w:right="113"/>
              <w:rPr>
                <w:bCs/>
              </w:rPr>
            </w:pPr>
            <w:r>
              <w:rPr>
                <w:bCs/>
              </w:rPr>
              <w:t>15-16</w:t>
            </w:r>
          </w:p>
          <w:p w14:paraId="08741FD0" w14:textId="77777777" w:rsidR="003B5FDC" w:rsidRPr="00860AAE" w:rsidRDefault="003B5FDC" w:rsidP="003B5FDC">
            <w:pPr>
              <w:spacing w:before="40" w:after="120"/>
              <w:ind w:left="170" w:right="113"/>
            </w:pPr>
          </w:p>
        </w:tc>
        <w:tc>
          <w:tcPr>
            <w:tcW w:w="2044" w:type="dxa"/>
            <w:shd w:val="clear" w:color="auto" w:fill="auto"/>
          </w:tcPr>
          <w:p w14:paraId="69F532D2" w14:textId="0436CAD0" w:rsidR="003B5FDC" w:rsidRDefault="003B5FDC" w:rsidP="003B5FDC">
            <w:pPr>
              <w:spacing w:before="40" w:after="120"/>
              <w:ind w:left="284" w:right="113" w:hanging="142"/>
              <w:rPr>
                <w:b/>
                <w:bCs/>
              </w:rPr>
            </w:pPr>
            <w:r>
              <w:rPr>
                <w:b/>
                <w:bCs/>
              </w:rPr>
              <w:t xml:space="preserve">(b) </w:t>
            </w:r>
            <w:r w:rsidRPr="00D622E7">
              <w:rPr>
                <w:b/>
                <w:bCs/>
              </w:rPr>
              <w:t>Provisional agenda</w:t>
            </w:r>
          </w:p>
        </w:tc>
        <w:tc>
          <w:tcPr>
            <w:tcW w:w="3690" w:type="dxa"/>
            <w:shd w:val="clear" w:color="auto" w:fill="auto"/>
          </w:tcPr>
          <w:p w14:paraId="3CE95771" w14:textId="77777777" w:rsidR="003B5FDC" w:rsidRDefault="00210B6D" w:rsidP="00210B6D">
            <w:pPr>
              <w:spacing w:before="40" w:after="120" w:line="240" w:lineRule="auto"/>
              <w:ind w:left="176" w:right="113"/>
              <w:rPr>
                <w:iCs/>
              </w:rPr>
            </w:pPr>
            <w:r w:rsidRPr="00210B6D">
              <w:rPr>
                <w:iCs/>
              </w:rPr>
              <w:t>Provisional agenda for the ninth session of the Meeting of the Parties to the Convention and the fifth session of the Meeting of the Parties to the Protocol</w:t>
            </w:r>
            <w:r>
              <w:rPr>
                <w:iCs/>
              </w:rPr>
              <w:t xml:space="preserve"> </w:t>
            </w:r>
            <w:r w:rsidRPr="00210B6D">
              <w:rPr>
                <w:iCs/>
              </w:rPr>
              <w:t>(ECE/MP.EIA/WG.2/2023/INF.5)</w:t>
            </w:r>
          </w:p>
          <w:p w14:paraId="7EAB8E55" w14:textId="7854224C" w:rsidR="009735D8" w:rsidRPr="00460FD5" w:rsidRDefault="005A6C90" w:rsidP="00210B6D">
            <w:pPr>
              <w:spacing w:before="40" w:after="120" w:line="240" w:lineRule="auto"/>
              <w:ind w:left="176" w:right="113"/>
              <w:rPr>
                <w:iCs/>
              </w:rPr>
            </w:pPr>
            <w:r w:rsidRPr="005A6C90">
              <w:rPr>
                <w:iCs/>
              </w:rPr>
              <w:t>Preparation</w:t>
            </w:r>
            <w:r w:rsidR="00EB3FB3">
              <w:rPr>
                <w:iCs/>
              </w:rPr>
              <w:t>s</w:t>
            </w:r>
            <w:r w:rsidRPr="005A6C90">
              <w:rPr>
                <w:iCs/>
              </w:rPr>
              <w:t xml:space="preserve"> for the high-level event on energy transition, circular economy and green financing (ECE/MP.EIA/WG.2/2023/INF.6)</w:t>
            </w:r>
            <w:r>
              <w:rPr>
                <w:iCs/>
              </w:rPr>
              <w:t xml:space="preserve"> </w:t>
            </w:r>
          </w:p>
        </w:tc>
        <w:tc>
          <w:tcPr>
            <w:tcW w:w="4656" w:type="dxa"/>
            <w:shd w:val="clear" w:color="auto" w:fill="auto"/>
          </w:tcPr>
          <w:p w14:paraId="0E90AC8E" w14:textId="4B34FB93" w:rsidR="003B5FDC" w:rsidRPr="00636534" w:rsidRDefault="00365790" w:rsidP="003B5FDC">
            <w:pPr>
              <w:pStyle w:val="Bullet1G"/>
              <w:ind w:left="142" w:right="260"/>
            </w:pPr>
            <w:r w:rsidRPr="00636534">
              <w:rPr>
                <w:b/>
                <w:bCs/>
              </w:rPr>
              <w:t>The Working Group</w:t>
            </w:r>
            <w:r w:rsidRPr="00636534">
              <w:t xml:space="preserve"> is </w:t>
            </w:r>
            <w:r w:rsidR="00E81344" w:rsidRPr="00636534">
              <w:t>expected</w:t>
            </w:r>
            <w:r w:rsidRPr="00636534">
              <w:t xml:space="preserve"> to consider and agree on the provisional annotated agenda for the Meetings of the Parties’ next sessions.</w:t>
            </w:r>
          </w:p>
          <w:p w14:paraId="165343F0" w14:textId="070321BC" w:rsidR="00666D55" w:rsidRDefault="001F4B83" w:rsidP="00FD4776">
            <w:pPr>
              <w:pStyle w:val="Bullet1G"/>
              <w:ind w:left="142" w:right="260"/>
            </w:pPr>
            <w:r w:rsidRPr="001F4B83">
              <w:rPr>
                <w:b/>
                <w:bCs/>
              </w:rPr>
              <w:t>The Working Group</w:t>
            </w:r>
            <w:r w:rsidRPr="00860AAE">
              <w:t xml:space="preserve"> will be invited to discuss and provide guidance on the organization of a thematic event focusing on energy transition</w:t>
            </w:r>
            <w:r w:rsidR="00A57646">
              <w:t xml:space="preserve">, </w:t>
            </w:r>
            <w:r w:rsidRPr="00860AAE">
              <w:t xml:space="preserve">circular economy, and addressing also green financing, to be held during the sessions’ high-level segment, with funding from Italy, and with contributions </w:t>
            </w:r>
            <w:r w:rsidR="0063745D">
              <w:t xml:space="preserve">proposed </w:t>
            </w:r>
            <w:r w:rsidR="00285D21">
              <w:t>to date</w:t>
            </w:r>
            <w:r w:rsidR="0063745D">
              <w:t xml:space="preserve"> by</w:t>
            </w:r>
            <w:r w:rsidR="00E81526">
              <w:t xml:space="preserve"> Italy,</w:t>
            </w:r>
            <w:r w:rsidRPr="00860AAE">
              <w:t xml:space="preserve"> Spain,</w:t>
            </w:r>
            <w:r w:rsidR="00B56CA7">
              <w:t xml:space="preserve"> Switzerland,</w:t>
            </w:r>
            <w:r w:rsidRPr="00860AAE">
              <w:t xml:space="preserve"> the </w:t>
            </w:r>
            <w:r w:rsidR="0019078B">
              <w:t>EIB</w:t>
            </w:r>
            <w:r w:rsidRPr="00860AAE">
              <w:t xml:space="preserve">, </w:t>
            </w:r>
            <w:r w:rsidR="0019078B">
              <w:t>IAIA</w:t>
            </w:r>
            <w:r w:rsidRPr="00860AAE">
              <w:t xml:space="preserve">, </w:t>
            </w:r>
            <w:r w:rsidR="0019078B">
              <w:t>WHO</w:t>
            </w:r>
            <w:r w:rsidRPr="00860AAE">
              <w:t xml:space="preserve"> and Nuclear Transparency Watch. </w:t>
            </w:r>
          </w:p>
          <w:p w14:paraId="4D318B96" w14:textId="204D9E9E" w:rsidR="00FD4776" w:rsidRDefault="001F4B83" w:rsidP="00FD4776">
            <w:pPr>
              <w:pStyle w:val="Bullet1G"/>
              <w:ind w:left="142" w:right="260"/>
            </w:pPr>
            <w:r w:rsidRPr="00860AAE">
              <w:t xml:space="preserve">It </w:t>
            </w:r>
            <w:r w:rsidR="00937506">
              <w:t>will be</w:t>
            </w:r>
            <w:r w:rsidRPr="00860AAE">
              <w:t xml:space="preserve"> invited to consider </w:t>
            </w:r>
            <w:r w:rsidR="00B705F2">
              <w:t>a note containing</w:t>
            </w:r>
            <w:r w:rsidR="00B45A1F">
              <w:t xml:space="preserve"> </w:t>
            </w:r>
            <w:r w:rsidR="00B705F2">
              <w:t>initial outline</w:t>
            </w:r>
            <w:r w:rsidR="00B45A1F">
              <w:t>s</w:t>
            </w:r>
            <w:r w:rsidR="00B705F2">
              <w:t xml:space="preserve"> of a background document</w:t>
            </w:r>
            <w:r w:rsidR="00CD6F73">
              <w:t xml:space="preserve"> and </w:t>
            </w:r>
            <w:r w:rsidR="00B45A1F">
              <w:t xml:space="preserve">a </w:t>
            </w:r>
            <w:r w:rsidR="00CD6F73">
              <w:t>programme for the thematic event</w:t>
            </w:r>
            <w:r w:rsidR="00911E1A">
              <w:t>,</w:t>
            </w:r>
            <w:r w:rsidR="007566E6">
              <w:t xml:space="preserve"> </w:t>
            </w:r>
            <w:r w:rsidR="00CD6F73">
              <w:t>prepared</w:t>
            </w:r>
            <w:r w:rsidR="00FD4776">
              <w:t xml:space="preserve"> with support of a consultant funded by Italy</w:t>
            </w:r>
            <w:r w:rsidR="00CD6F73">
              <w:t xml:space="preserve"> considering</w:t>
            </w:r>
            <w:r w:rsidRPr="00860AAE">
              <w:t xml:space="preserve"> recommendations from the Bureau</w:t>
            </w:r>
            <w:r w:rsidR="00FD4776">
              <w:t xml:space="preserve"> and in </w:t>
            </w:r>
            <w:r w:rsidR="00FD4776">
              <w:lastRenderedPageBreak/>
              <w:t xml:space="preserve">consultation </w:t>
            </w:r>
            <w:r w:rsidR="000341B0">
              <w:t>with representatives of volunteering Parties and stakeholders.</w:t>
            </w:r>
          </w:p>
          <w:p w14:paraId="1680503D" w14:textId="1CA251F6" w:rsidR="00463112" w:rsidRPr="00FC5412" w:rsidRDefault="001F4B83" w:rsidP="00FD4776">
            <w:pPr>
              <w:pStyle w:val="Bullet1G"/>
              <w:ind w:left="142" w:right="260"/>
              <w:rPr>
                <w:b/>
              </w:rPr>
            </w:pPr>
            <w:r w:rsidRPr="002814CA">
              <w:rPr>
                <w:b/>
                <w:bCs/>
              </w:rPr>
              <w:t>Delegations</w:t>
            </w:r>
            <w:r w:rsidRPr="00860AAE">
              <w:t xml:space="preserve"> are expected to </w:t>
            </w:r>
            <w:r w:rsidR="007C0F4E">
              <w:t xml:space="preserve">consider key questions to be addressed, including with a view to </w:t>
            </w:r>
            <w:r w:rsidR="00F77F6D">
              <w:t>attracting high-level participation</w:t>
            </w:r>
            <w:r w:rsidR="00701250">
              <w:t xml:space="preserve"> and </w:t>
            </w:r>
            <w:r w:rsidR="009822E0">
              <w:t>to suggest</w:t>
            </w:r>
            <w:r w:rsidR="00700DB9">
              <w:t xml:space="preserve"> further</w:t>
            </w:r>
            <w:r w:rsidR="009822E0">
              <w:t xml:space="preserve"> </w:t>
            </w:r>
            <w:r w:rsidRPr="00860AAE">
              <w:t>panellists</w:t>
            </w:r>
            <w:r w:rsidR="00C31258">
              <w:t xml:space="preserve"> for the event</w:t>
            </w:r>
            <w:r w:rsidRPr="00860AAE">
              <w:t xml:space="preserve"> </w:t>
            </w:r>
            <w:r w:rsidR="00B92027">
              <w:t xml:space="preserve">as well as </w:t>
            </w:r>
            <w:r w:rsidRPr="00860AAE">
              <w:t>high-level representatives to deliver brief statements</w:t>
            </w:r>
            <w:r w:rsidR="00AF5D39">
              <w:t xml:space="preserve"> from the floor</w:t>
            </w:r>
            <w:r w:rsidRPr="00860AAE">
              <w:t>, with a recommended time limit of 3 minutes</w:t>
            </w:r>
            <w:r w:rsidR="008006DB">
              <w:t>. Related proposals should be submitted to the secretariat by 15 May 2023.</w:t>
            </w:r>
          </w:p>
        </w:tc>
      </w:tr>
      <w:tr w:rsidR="003B5FDC" w:rsidRPr="00930D32" w14:paraId="27F61C23" w14:textId="77777777" w:rsidTr="00D9132C">
        <w:trPr>
          <w:jc w:val="center"/>
        </w:trPr>
        <w:tc>
          <w:tcPr>
            <w:tcW w:w="1350" w:type="dxa"/>
            <w:vMerge/>
            <w:shd w:val="clear" w:color="auto" w:fill="auto"/>
          </w:tcPr>
          <w:p w14:paraId="4E2E1631" w14:textId="77777777" w:rsidR="003B5FDC" w:rsidRPr="00930D32" w:rsidRDefault="003B5FDC" w:rsidP="003B5FDC">
            <w:pPr>
              <w:spacing w:before="40" w:after="120"/>
              <w:ind w:left="143" w:right="113"/>
              <w:rPr>
                <w:b/>
                <w:bCs/>
              </w:rPr>
            </w:pPr>
          </w:p>
        </w:tc>
        <w:tc>
          <w:tcPr>
            <w:tcW w:w="921" w:type="dxa"/>
            <w:shd w:val="clear" w:color="auto" w:fill="auto"/>
          </w:tcPr>
          <w:p w14:paraId="59164033" w14:textId="72A55BA2" w:rsidR="003B5FDC" w:rsidRDefault="003B5FDC" w:rsidP="003B5FDC">
            <w:pPr>
              <w:spacing w:before="40" w:after="120"/>
              <w:ind w:left="170" w:right="113"/>
              <w:rPr>
                <w:bCs/>
              </w:rPr>
            </w:pPr>
            <w:r>
              <w:rPr>
                <w:bCs/>
              </w:rPr>
              <w:t>16-18</w:t>
            </w:r>
          </w:p>
        </w:tc>
        <w:tc>
          <w:tcPr>
            <w:tcW w:w="2044" w:type="dxa"/>
            <w:shd w:val="clear" w:color="auto" w:fill="auto"/>
          </w:tcPr>
          <w:p w14:paraId="45A9BBAB" w14:textId="431001A4" w:rsidR="003B5FDC" w:rsidRDefault="003B5FDC" w:rsidP="003B5FDC">
            <w:pPr>
              <w:spacing w:before="40" w:after="120"/>
              <w:ind w:left="284" w:right="113" w:hanging="142"/>
              <w:rPr>
                <w:b/>
                <w:bCs/>
              </w:rPr>
            </w:pPr>
            <w:r>
              <w:rPr>
                <w:b/>
                <w:bCs/>
              </w:rPr>
              <w:t xml:space="preserve">(c) Draft workplan </w:t>
            </w:r>
            <w:r w:rsidR="00643928">
              <w:rPr>
                <w:b/>
                <w:bCs/>
              </w:rPr>
              <w:t xml:space="preserve">for </w:t>
            </w:r>
            <w:r>
              <w:rPr>
                <w:b/>
                <w:bCs/>
              </w:rPr>
              <w:t xml:space="preserve">2024-2026 </w:t>
            </w:r>
          </w:p>
        </w:tc>
        <w:tc>
          <w:tcPr>
            <w:tcW w:w="3690" w:type="dxa"/>
            <w:shd w:val="clear" w:color="auto" w:fill="auto"/>
          </w:tcPr>
          <w:p w14:paraId="1B91727B" w14:textId="52F00061" w:rsidR="003B5FDC" w:rsidRPr="00460FD5" w:rsidRDefault="00A458CD" w:rsidP="003B5FDC">
            <w:pPr>
              <w:spacing w:before="40" w:after="120" w:line="240" w:lineRule="auto"/>
              <w:ind w:left="176" w:right="113"/>
              <w:rPr>
                <w:iCs/>
              </w:rPr>
            </w:pPr>
            <w:r w:rsidRPr="00860AAE">
              <w:rPr>
                <w:iCs/>
              </w:rPr>
              <w:t>Draft joint decisions by the Meeting</w:t>
            </w:r>
            <w:r>
              <w:rPr>
                <w:iCs/>
              </w:rPr>
              <w:t>s</w:t>
            </w:r>
            <w:r w:rsidRPr="00860AAE">
              <w:rPr>
                <w:iCs/>
              </w:rPr>
              <w:t xml:space="preserve"> of the Parties to the Convention and the Protocol</w:t>
            </w:r>
            <w:r w:rsidRPr="00860AAE">
              <w:t xml:space="preserve"> </w:t>
            </w:r>
            <w:r w:rsidR="00F1634C" w:rsidRPr="00860AAE">
              <w:rPr>
                <w:iCs/>
              </w:rPr>
              <w:t>(ECE/MP.EIA/WG.2/2023/3)</w:t>
            </w:r>
          </w:p>
        </w:tc>
        <w:tc>
          <w:tcPr>
            <w:tcW w:w="4656" w:type="dxa"/>
            <w:shd w:val="clear" w:color="auto" w:fill="auto"/>
          </w:tcPr>
          <w:p w14:paraId="75CF48A4" w14:textId="05A6F7BA" w:rsidR="003B5FDC" w:rsidRPr="000B24FE" w:rsidRDefault="00090D3A" w:rsidP="003B5FDC">
            <w:pPr>
              <w:pStyle w:val="Bullet1G"/>
              <w:ind w:left="142" w:right="260"/>
              <w:rPr>
                <w:b/>
              </w:rPr>
            </w:pPr>
            <w:r w:rsidRPr="00090D3A">
              <w:rPr>
                <w:b/>
              </w:rPr>
              <w:t xml:space="preserve">The Working Group </w:t>
            </w:r>
            <w:r w:rsidRPr="00090D3A">
              <w:rPr>
                <w:bCs/>
              </w:rPr>
              <w:t xml:space="preserve">will be invited to </w:t>
            </w:r>
            <w:r w:rsidR="00D84E99">
              <w:rPr>
                <w:bCs/>
              </w:rPr>
              <w:t>consider</w:t>
            </w:r>
            <w:r w:rsidRPr="00090D3A">
              <w:rPr>
                <w:bCs/>
              </w:rPr>
              <w:t xml:space="preserve"> draft decision </w:t>
            </w:r>
            <w:r w:rsidR="00C47D9B">
              <w:rPr>
                <w:bCs/>
              </w:rPr>
              <w:t>IX</w:t>
            </w:r>
            <w:r w:rsidRPr="00090D3A">
              <w:rPr>
                <w:bCs/>
              </w:rPr>
              <w:t xml:space="preserve">/2–V/2 on the adoption of the workplan </w:t>
            </w:r>
            <w:r w:rsidR="00F64E7D">
              <w:rPr>
                <w:bCs/>
              </w:rPr>
              <w:t xml:space="preserve">for 2024-2026 </w:t>
            </w:r>
            <w:r w:rsidRPr="00090D3A">
              <w:rPr>
                <w:bCs/>
              </w:rPr>
              <w:t>and its annexes I–II</w:t>
            </w:r>
            <w:r w:rsidR="00C47D9B">
              <w:rPr>
                <w:bCs/>
              </w:rPr>
              <w:t>.</w:t>
            </w:r>
          </w:p>
          <w:p w14:paraId="4440B87B" w14:textId="28265901" w:rsidR="00730BE6" w:rsidRPr="00730BE6" w:rsidRDefault="000B24FE" w:rsidP="003B5FDC">
            <w:pPr>
              <w:pStyle w:val="Bullet1G"/>
              <w:ind w:left="142" w:right="260"/>
              <w:rPr>
                <w:b/>
              </w:rPr>
            </w:pPr>
            <w:r w:rsidRPr="000B24FE">
              <w:rPr>
                <w:b/>
                <w:bCs/>
              </w:rPr>
              <w:t xml:space="preserve">Delegations </w:t>
            </w:r>
            <w:r w:rsidRPr="00860AAE">
              <w:t xml:space="preserve">will be invited to propose </w:t>
            </w:r>
            <w:r w:rsidR="00080513">
              <w:t xml:space="preserve">that they </w:t>
            </w:r>
            <w:r w:rsidRPr="00860AAE">
              <w:t>lead or sponsor</w:t>
            </w:r>
            <w:r w:rsidR="000A07B0">
              <w:t xml:space="preserve"> </w:t>
            </w:r>
            <w:r w:rsidRPr="00860AAE">
              <w:t>activities and host events</w:t>
            </w:r>
            <w:r w:rsidR="007C3D2C">
              <w:t xml:space="preserve">, </w:t>
            </w:r>
            <w:r w:rsidRPr="00860AAE">
              <w:t xml:space="preserve">and </w:t>
            </w:r>
            <w:r w:rsidR="007C3D2C">
              <w:t xml:space="preserve">to </w:t>
            </w:r>
            <w:r w:rsidRPr="00860AAE">
              <w:t xml:space="preserve">submit their proposals to the secretariat by 15 May 2023. </w:t>
            </w:r>
          </w:p>
          <w:p w14:paraId="64F05519" w14:textId="6B2EABC7" w:rsidR="000B24FE" w:rsidRPr="0062685D" w:rsidRDefault="000B24FE" w:rsidP="003B5FDC">
            <w:pPr>
              <w:pStyle w:val="Bullet1G"/>
              <w:ind w:left="142" w:right="260"/>
            </w:pPr>
            <w:r w:rsidRPr="00730BE6">
              <w:rPr>
                <w:b/>
                <w:bCs/>
              </w:rPr>
              <w:t>The Working Group</w:t>
            </w:r>
            <w:r w:rsidRPr="00860AAE">
              <w:t xml:space="preserve"> is invited to verify that, for each </w:t>
            </w:r>
            <w:r w:rsidR="001C384E">
              <w:t xml:space="preserve">workplan </w:t>
            </w:r>
            <w:r w:rsidRPr="00860AAE">
              <w:t>activity, information is provided on the entities responsible for implementation, the expected outcome and financial and staffing or in-kind resource requirements</w:t>
            </w:r>
            <w:r w:rsidR="00730BE6">
              <w:t xml:space="preserve"> and</w:t>
            </w:r>
            <w:r w:rsidRPr="00860AAE">
              <w:t xml:space="preserve"> to ensure that the workplan matches the resources available for its implementation</w:t>
            </w:r>
            <w:r w:rsidR="008C4066">
              <w:t xml:space="preserve"> </w:t>
            </w:r>
            <w:r w:rsidRPr="00860AAE">
              <w:t>and the information on the Parties’ pledged contributions in 2024–2026. It is invited to agree on activities to be suspended or cut should the required additional resources not be secured.</w:t>
            </w:r>
          </w:p>
          <w:p w14:paraId="5AFE3F1D" w14:textId="105D3030" w:rsidR="007763DE" w:rsidRPr="007763DE" w:rsidRDefault="0062685D" w:rsidP="003B5FDC">
            <w:pPr>
              <w:pStyle w:val="Bullet1G"/>
              <w:ind w:left="142" w:right="260"/>
              <w:rPr>
                <w:b/>
              </w:rPr>
            </w:pPr>
            <w:r w:rsidRPr="0062685D">
              <w:t xml:space="preserve">As relevant, </w:t>
            </w:r>
            <w:r>
              <w:rPr>
                <w:b/>
                <w:bCs/>
              </w:rPr>
              <w:t>t</w:t>
            </w:r>
            <w:r w:rsidR="007763DE" w:rsidRPr="007763DE">
              <w:rPr>
                <w:b/>
                <w:bCs/>
              </w:rPr>
              <w:t>he Working Group</w:t>
            </w:r>
            <w:r w:rsidR="007763DE" w:rsidRPr="00860AAE">
              <w:t xml:space="preserve"> is expected to decide whether some activities should be </w:t>
            </w:r>
            <w:r w:rsidR="003A1301">
              <w:t>placed on a waiting list</w:t>
            </w:r>
            <w:r w:rsidR="007763DE" w:rsidRPr="00860AAE">
              <w:t xml:space="preserve"> pending identification of possible future funding and included in annex III to the </w:t>
            </w:r>
            <w:r w:rsidR="00F057B0">
              <w:t xml:space="preserve">above-mentioned </w:t>
            </w:r>
            <w:r w:rsidR="007763DE" w:rsidRPr="00860AAE">
              <w:t>draft decision.</w:t>
            </w:r>
          </w:p>
          <w:p w14:paraId="35E1869E" w14:textId="75426542" w:rsidR="007763DE" w:rsidRPr="00FC5412" w:rsidRDefault="00994A47" w:rsidP="003B5FDC">
            <w:pPr>
              <w:pStyle w:val="Bullet1G"/>
              <w:ind w:left="142" w:right="260"/>
              <w:rPr>
                <w:b/>
              </w:rPr>
            </w:pPr>
            <w:r w:rsidRPr="00994A47">
              <w:rPr>
                <w:b/>
                <w:bCs/>
              </w:rPr>
              <w:t>The Working Group</w:t>
            </w:r>
            <w:r w:rsidRPr="00860AAE">
              <w:t xml:space="preserve"> is expected to </w:t>
            </w:r>
            <w:r w:rsidR="00974244">
              <w:t xml:space="preserve">agree </w:t>
            </w:r>
            <w:r w:rsidRPr="00860AAE">
              <w:t>on the text of the draft decision and its annexes to be forwarded to the Meetings of the Parties.</w:t>
            </w:r>
            <w:r w:rsidR="007B0CAD">
              <w:t xml:space="preserve"> </w:t>
            </w:r>
          </w:p>
        </w:tc>
      </w:tr>
      <w:tr w:rsidR="003B5FDC" w:rsidRPr="00930D32" w14:paraId="3044B67F" w14:textId="77777777" w:rsidTr="00D9132C">
        <w:trPr>
          <w:jc w:val="center"/>
        </w:trPr>
        <w:tc>
          <w:tcPr>
            <w:tcW w:w="1350" w:type="dxa"/>
            <w:vMerge w:val="restart"/>
            <w:shd w:val="clear" w:color="auto" w:fill="auto"/>
          </w:tcPr>
          <w:p w14:paraId="5187E3FC" w14:textId="77777777" w:rsidR="003B5FDC" w:rsidRDefault="003B5FDC" w:rsidP="003B5FDC">
            <w:pPr>
              <w:spacing w:before="40" w:after="120"/>
              <w:ind w:left="143" w:right="113"/>
              <w:rPr>
                <w:b/>
                <w:bCs/>
              </w:rPr>
            </w:pPr>
            <w:r>
              <w:rPr>
                <w:b/>
                <w:bCs/>
              </w:rPr>
              <w:lastRenderedPageBreak/>
              <w:t>Wednesday, 14 June</w:t>
            </w:r>
          </w:p>
          <w:p w14:paraId="31C49AC5" w14:textId="77777777" w:rsidR="008131E4" w:rsidRDefault="008131E4" w:rsidP="003B5FDC">
            <w:pPr>
              <w:spacing w:before="40" w:after="120"/>
              <w:ind w:left="143" w:right="113"/>
              <w:rPr>
                <w:b/>
                <w:bCs/>
              </w:rPr>
            </w:pPr>
          </w:p>
          <w:p w14:paraId="601D51CF" w14:textId="77777777" w:rsidR="008131E4" w:rsidRDefault="008131E4" w:rsidP="003B5FDC">
            <w:pPr>
              <w:spacing w:before="40" w:after="120"/>
              <w:ind w:left="143" w:right="113"/>
              <w:rPr>
                <w:b/>
                <w:bCs/>
              </w:rPr>
            </w:pPr>
          </w:p>
          <w:p w14:paraId="0A0EF49B" w14:textId="77777777" w:rsidR="008131E4" w:rsidRDefault="008131E4" w:rsidP="003B5FDC">
            <w:pPr>
              <w:spacing w:before="40" w:after="120"/>
              <w:ind w:left="143" w:right="113"/>
              <w:rPr>
                <w:b/>
                <w:bCs/>
              </w:rPr>
            </w:pPr>
          </w:p>
          <w:p w14:paraId="4AFC5E86" w14:textId="77777777" w:rsidR="008131E4" w:rsidRDefault="008131E4" w:rsidP="003B5FDC">
            <w:pPr>
              <w:spacing w:before="40" w:after="120"/>
              <w:ind w:left="143" w:right="113"/>
              <w:rPr>
                <w:b/>
                <w:bCs/>
              </w:rPr>
            </w:pPr>
          </w:p>
          <w:p w14:paraId="0EA55179" w14:textId="77777777" w:rsidR="008131E4" w:rsidRDefault="008131E4" w:rsidP="003B5FDC">
            <w:pPr>
              <w:spacing w:before="40" w:after="120"/>
              <w:ind w:left="143" w:right="113"/>
              <w:rPr>
                <w:b/>
                <w:bCs/>
              </w:rPr>
            </w:pPr>
          </w:p>
          <w:p w14:paraId="064E9991" w14:textId="77777777" w:rsidR="008131E4" w:rsidRDefault="008131E4" w:rsidP="003B5FDC">
            <w:pPr>
              <w:spacing w:before="40" w:after="120"/>
              <w:ind w:left="143" w:right="113"/>
              <w:rPr>
                <w:b/>
                <w:bCs/>
              </w:rPr>
            </w:pPr>
          </w:p>
          <w:p w14:paraId="34AABFCE" w14:textId="77777777" w:rsidR="008131E4" w:rsidRDefault="008131E4" w:rsidP="003B5FDC">
            <w:pPr>
              <w:spacing w:before="40" w:after="120"/>
              <w:ind w:left="143" w:right="113"/>
              <w:rPr>
                <w:b/>
                <w:bCs/>
              </w:rPr>
            </w:pPr>
          </w:p>
          <w:p w14:paraId="622944FB" w14:textId="77777777" w:rsidR="008131E4" w:rsidRDefault="008131E4" w:rsidP="003B5FDC">
            <w:pPr>
              <w:spacing w:before="40" w:after="120"/>
              <w:ind w:left="143" w:right="113"/>
              <w:rPr>
                <w:b/>
                <w:bCs/>
              </w:rPr>
            </w:pPr>
          </w:p>
          <w:p w14:paraId="44D19B5D" w14:textId="77777777" w:rsidR="008131E4" w:rsidRDefault="008131E4" w:rsidP="003B5FDC">
            <w:pPr>
              <w:spacing w:before="40" w:after="120"/>
              <w:ind w:left="143" w:right="113"/>
              <w:rPr>
                <w:b/>
                <w:bCs/>
              </w:rPr>
            </w:pPr>
          </w:p>
          <w:p w14:paraId="5844DFFD" w14:textId="77777777" w:rsidR="008131E4" w:rsidRDefault="008131E4" w:rsidP="003B5FDC">
            <w:pPr>
              <w:spacing w:before="40" w:after="120"/>
              <w:ind w:left="143" w:right="113"/>
              <w:rPr>
                <w:b/>
                <w:bCs/>
              </w:rPr>
            </w:pPr>
          </w:p>
          <w:p w14:paraId="0F986A86" w14:textId="77777777" w:rsidR="008131E4" w:rsidRDefault="008131E4" w:rsidP="003B5FDC">
            <w:pPr>
              <w:spacing w:before="40" w:after="120"/>
              <w:ind w:left="143" w:right="113"/>
              <w:rPr>
                <w:b/>
                <w:bCs/>
              </w:rPr>
            </w:pPr>
          </w:p>
          <w:p w14:paraId="324D4787" w14:textId="77777777" w:rsidR="008131E4" w:rsidRDefault="008131E4" w:rsidP="003B5FDC">
            <w:pPr>
              <w:spacing w:before="40" w:after="120"/>
              <w:ind w:left="143" w:right="113"/>
              <w:rPr>
                <w:b/>
                <w:bCs/>
              </w:rPr>
            </w:pPr>
          </w:p>
          <w:p w14:paraId="619C514B" w14:textId="77777777" w:rsidR="008131E4" w:rsidRDefault="008131E4" w:rsidP="003B5FDC">
            <w:pPr>
              <w:spacing w:before="40" w:after="120"/>
              <w:ind w:left="143" w:right="113"/>
              <w:rPr>
                <w:b/>
                <w:bCs/>
              </w:rPr>
            </w:pPr>
          </w:p>
          <w:p w14:paraId="02B73B2A" w14:textId="77777777" w:rsidR="008131E4" w:rsidRDefault="008131E4" w:rsidP="003B5FDC">
            <w:pPr>
              <w:spacing w:before="40" w:after="120"/>
              <w:ind w:left="143" w:right="113"/>
              <w:rPr>
                <w:b/>
                <w:bCs/>
              </w:rPr>
            </w:pPr>
          </w:p>
          <w:p w14:paraId="31E48351" w14:textId="77777777" w:rsidR="008131E4" w:rsidRDefault="008131E4" w:rsidP="003B5FDC">
            <w:pPr>
              <w:spacing w:before="40" w:after="120"/>
              <w:ind w:left="143" w:right="113"/>
              <w:rPr>
                <w:b/>
                <w:bCs/>
              </w:rPr>
            </w:pPr>
          </w:p>
          <w:p w14:paraId="42995764" w14:textId="77777777" w:rsidR="008131E4" w:rsidRDefault="008131E4" w:rsidP="003B5FDC">
            <w:pPr>
              <w:spacing w:before="40" w:after="120"/>
              <w:ind w:left="143" w:right="113"/>
              <w:rPr>
                <w:b/>
                <w:bCs/>
              </w:rPr>
            </w:pPr>
          </w:p>
          <w:p w14:paraId="7CDC8414" w14:textId="77777777" w:rsidR="008131E4" w:rsidRDefault="008131E4" w:rsidP="003B5FDC">
            <w:pPr>
              <w:spacing w:before="40" w:after="120"/>
              <w:ind w:left="143" w:right="113"/>
              <w:rPr>
                <w:b/>
                <w:bCs/>
              </w:rPr>
            </w:pPr>
          </w:p>
          <w:p w14:paraId="1F101A6B" w14:textId="77777777" w:rsidR="008131E4" w:rsidRDefault="008131E4" w:rsidP="003B5FDC">
            <w:pPr>
              <w:spacing w:before="40" w:after="120"/>
              <w:ind w:left="143" w:right="113"/>
              <w:rPr>
                <w:b/>
                <w:bCs/>
              </w:rPr>
            </w:pPr>
          </w:p>
          <w:p w14:paraId="692E5120" w14:textId="77777777" w:rsidR="008131E4" w:rsidRDefault="008131E4" w:rsidP="003B5FDC">
            <w:pPr>
              <w:spacing w:before="40" w:after="120"/>
              <w:ind w:left="143" w:right="113"/>
              <w:rPr>
                <w:b/>
                <w:bCs/>
              </w:rPr>
            </w:pPr>
          </w:p>
          <w:p w14:paraId="494961B3" w14:textId="77777777" w:rsidR="008131E4" w:rsidRDefault="008131E4" w:rsidP="003B5FDC">
            <w:pPr>
              <w:spacing w:before="40" w:after="120"/>
              <w:ind w:left="143" w:right="113"/>
              <w:rPr>
                <w:b/>
                <w:bCs/>
              </w:rPr>
            </w:pPr>
          </w:p>
          <w:p w14:paraId="7114E9EE" w14:textId="77777777" w:rsidR="008131E4" w:rsidRDefault="008131E4" w:rsidP="003B5FDC">
            <w:pPr>
              <w:spacing w:before="40" w:after="120"/>
              <w:ind w:left="143" w:right="113"/>
              <w:rPr>
                <w:b/>
                <w:bCs/>
              </w:rPr>
            </w:pPr>
          </w:p>
          <w:p w14:paraId="463AD606" w14:textId="77777777" w:rsidR="008131E4" w:rsidRDefault="008131E4" w:rsidP="003B5FDC">
            <w:pPr>
              <w:spacing w:before="40" w:after="120"/>
              <w:ind w:left="143" w:right="113"/>
              <w:rPr>
                <w:b/>
                <w:bCs/>
              </w:rPr>
            </w:pPr>
          </w:p>
          <w:p w14:paraId="37C4F71A" w14:textId="77777777" w:rsidR="008131E4" w:rsidRDefault="008131E4" w:rsidP="003B5FDC">
            <w:pPr>
              <w:spacing w:before="40" w:after="120"/>
              <w:ind w:left="143" w:right="113"/>
              <w:rPr>
                <w:b/>
                <w:bCs/>
              </w:rPr>
            </w:pPr>
          </w:p>
          <w:p w14:paraId="679C8A4E" w14:textId="77777777" w:rsidR="008131E4" w:rsidRDefault="008131E4" w:rsidP="003B5FDC">
            <w:pPr>
              <w:spacing w:before="40" w:after="120"/>
              <w:ind w:left="143" w:right="113"/>
              <w:rPr>
                <w:b/>
                <w:bCs/>
              </w:rPr>
            </w:pPr>
          </w:p>
          <w:p w14:paraId="7B521459" w14:textId="77777777" w:rsidR="008131E4" w:rsidRDefault="008131E4" w:rsidP="003B5FDC">
            <w:pPr>
              <w:spacing w:before="40" w:after="120"/>
              <w:ind w:left="143" w:right="113"/>
              <w:rPr>
                <w:b/>
                <w:bCs/>
              </w:rPr>
            </w:pPr>
          </w:p>
          <w:p w14:paraId="0B9C38BA" w14:textId="77777777" w:rsidR="008131E4" w:rsidRDefault="008131E4" w:rsidP="003B5FDC">
            <w:pPr>
              <w:spacing w:before="40" w:after="120"/>
              <w:ind w:left="143" w:right="113"/>
              <w:rPr>
                <w:b/>
                <w:bCs/>
              </w:rPr>
            </w:pPr>
            <w:r>
              <w:rPr>
                <w:b/>
                <w:bCs/>
              </w:rPr>
              <w:t>Wednesday, 14 June</w:t>
            </w:r>
          </w:p>
          <w:p w14:paraId="3B0DEC7A" w14:textId="77777777" w:rsidR="008131E4" w:rsidRDefault="008131E4" w:rsidP="003B5FDC">
            <w:pPr>
              <w:spacing w:before="40" w:after="120"/>
              <w:ind w:left="143" w:right="113"/>
              <w:rPr>
                <w:b/>
                <w:bCs/>
              </w:rPr>
            </w:pPr>
          </w:p>
          <w:p w14:paraId="4EF763CA" w14:textId="77777777" w:rsidR="008131E4" w:rsidRDefault="008131E4" w:rsidP="003B5FDC">
            <w:pPr>
              <w:spacing w:before="40" w:after="120"/>
              <w:ind w:left="143" w:right="113"/>
              <w:rPr>
                <w:b/>
                <w:bCs/>
              </w:rPr>
            </w:pPr>
          </w:p>
          <w:p w14:paraId="6564CF92" w14:textId="77777777" w:rsidR="008131E4" w:rsidRDefault="008131E4" w:rsidP="003B5FDC">
            <w:pPr>
              <w:spacing w:before="40" w:after="120"/>
              <w:ind w:left="143" w:right="113"/>
              <w:rPr>
                <w:b/>
                <w:bCs/>
              </w:rPr>
            </w:pPr>
          </w:p>
          <w:p w14:paraId="1ADCE5D5" w14:textId="77777777" w:rsidR="008131E4" w:rsidRDefault="008131E4" w:rsidP="003B5FDC">
            <w:pPr>
              <w:spacing w:before="40" w:after="120"/>
              <w:ind w:left="143" w:right="113"/>
              <w:rPr>
                <w:b/>
                <w:bCs/>
              </w:rPr>
            </w:pPr>
          </w:p>
          <w:p w14:paraId="22C4E5CF" w14:textId="77777777" w:rsidR="008131E4" w:rsidRDefault="008131E4" w:rsidP="003B5FDC">
            <w:pPr>
              <w:spacing w:before="40" w:after="120"/>
              <w:ind w:left="143" w:right="113"/>
              <w:rPr>
                <w:b/>
                <w:bCs/>
              </w:rPr>
            </w:pPr>
          </w:p>
          <w:p w14:paraId="7DFE2CA0" w14:textId="77777777" w:rsidR="008131E4" w:rsidRDefault="008131E4" w:rsidP="003B5FDC">
            <w:pPr>
              <w:spacing w:before="40" w:after="120"/>
              <w:ind w:left="143" w:right="113"/>
              <w:rPr>
                <w:b/>
                <w:bCs/>
              </w:rPr>
            </w:pPr>
          </w:p>
          <w:p w14:paraId="5B8E47D0" w14:textId="77777777" w:rsidR="008131E4" w:rsidRDefault="008131E4" w:rsidP="003B5FDC">
            <w:pPr>
              <w:spacing w:before="40" w:after="120"/>
              <w:ind w:left="143" w:right="113"/>
              <w:rPr>
                <w:b/>
                <w:bCs/>
              </w:rPr>
            </w:pPr>
          </w:p>
          <w:p w14:paraId="6B9C52B2" w14:textId="77777777" w:rsidR="008131E4" w:rsidRDefault="008131E4" w:rsidP="003B5FDC">
            <w:pPr>
              <w:spacing w:before="40" w:after="120"/>
              <w:ind w:left="143" w:right="113"/>
              <w:rPr>
                <w:b/>
                <w:bCs/>
              </w:rPr>
            </w:pPr>
          </w:p>
          <w:p w14:paraId="6EF04534" w14:textId="77777777" w:rsidR="008131E4" w:rsidRDefault="008131E4" w:rsidP="003B5FDC">
            <w:pPr>
              <w:spacing w:before="40" w:after="120"/>
              <w:ind w:left="143" w:right="113"/>
              <w:rPr>
                <w:b/>
                <w:bCs/>
              </w:rPr>
            </w:pPr>
          </w:p>
          <w:p w14:paraId="011DAD79" w14:textId="77777777" w:rsidR="008131E4" w:rsidRDefault="008131E4" w:rsidP="003B5FDC">
            <w:pPr>
              <w:spacing w:before="40" w:after="120"/>
              <w:ind w:left="143" w:right="113"/>
              <w:rPr>
                <w:b/>
                <w:bCs/>
              </w:rPr>
            </w:pPr>
          </w:p>
          <w:p w14:paraId="6284E60F" w14:textId="77777777" w:rsidR="008131E4" w:rsidRDefault="008131E4" w:rsidP="003B5FDC">
            <w:pPr>
              <w:spacing w:before="40" w:after="120"/>
              <w:ind w:left="143" w:right="113"/>
              <w:rPr>
                <w:b/>
                <w:bCs/>
              </w:rPr>
            </w:pPr>
          </w:p>
          <w:p w14:paraId="42E02BFB" w14:textId="77777777" w:rsidR="008131E4" w:rsidRDefault="008131E4" w:rsidP="003B5FDC">
            <w:pPr>
              <w:spacing w:before="40" w:after="120"/>
              <w:ind w:left="143" w:right="113"/>
              <w:rPr>
                <w:b/>
                <w:bCs/>
              </w:rPr>
            </w:pPr>
          </w:p>
          <w:p w14:paraId="117A2E18" w14:textId="77777777" w:rsidR="008131E4" w:rsidRDefault="008131E4" w:rsidP="003B5FDC">
            <w:pPr>
              <w:spacing w:before="40" w:after="120"/>
              <w:ind w:left="143" w:right="113"/>
              <w:rPr>
                <w:b/>
                <w:bCs/>
              </w:rPr>
            </w:pPr>
          </w:p>
          <w:p w14:paraId="1D4B25E3" w14:textId="77777777" w:rsidR="008131E4" w:rsidRDefault="008131E4" w:rsidP="003B5FDC">
            <w:pPr>
              <w:spacing w:before="40" w:after="120"/>
              <w:ind w:left="143" w:right="113"/>
              <w:rPr>
                <w:b/>
                <w:bCs/>
              </w:rPr>
            </w:pPr>
          </w:p>
          <w:p w14:paraId="005C6EF3" w14:textId="77777777" w:rsidR="008131E4" w:rsidRDefault="008131E4" w:rsidP="003B5FDC">
            <w:pPr>
              <w:spacing w:before="40" w:after="120"/>
              <w:ind w:left="143" w:right="113"/>
              <w:rPr>
                <w:b/>
                <w:bCs/>
              </w:rPr>
            </w:pPr>
          </w:p>
          <w:p w14:paraId="5EBE5D49" w14:textId="77777777" w:rsidR="008131E4" w:rsidRDefault="008131E4" w:rsidP="003B5FDC">
            <w:pPr>
              <w:spacing w:before="40" w:after="120"/>
              <w:ind w:left="143" w:right="113"/>
              <w:rPr>
                <w:b/>
                <w:bCs/>
              </w:rPr>
            </w:pPr>
          </w:p>
          <w:p w14:paraId="4C9E794D" w14:textId="77777777" w:rsidR="008131E4" w:rsidRDefault="008131E4" w:rsidP="003B5FDC">
            <w:pPr>
              <w:spacing w:before="40" w:after="120"/>
              <w:ind w:left="143" w:right="113"/>
              <w:rPr>
                <w:b/>
                <w:bCs/>
              </w:rPr>
            </w:pPr>
          </w:p>
          <w:p w14:paraId="7EAA4A2E" w14:textId="77777777" w:rsidR="008131E4" w:rsidRDefault="008131E4" w:rsidP="003B5FDC">
            <w:pPr>
              <w:spacing w:before="40" w:after="120"/>
              <w:ind w:left="143" w:right="113"/>
              <w:rPr>
                <w:b/>
                <w:bCs/>
              </w:rPr>
            </w:pPr>
          </w:p>
          <w:p w14:paraId="49D6B6E4" w14:textId="77777777" w:rsidR="008131E4" w:rsidRDefault="008131E4" w:rsidP="003B5FDC">
            <w:pPr>
              <w:spacing w:before="40" w:after="120"/>
              <w:ind w:left="143" w:right="113"/>
              <w:rPr>
                <w:b/>
                <w:bCs/>
              </w:rPr>
            </w:pPr>
          </w:p>
          <w:p w14:paraId="3BF7009D" w14:textId="77777777" w:rsidR="008131E4" w:rsidRDefault="008131E4" w:rsidP="003B5FDC">
            <w:pPr>
              <w:spacing w:before="40" w:after="120"/>
              <w:ind w:left="143" w:right="113"/>
              <w:rPr>
                <w:b/>
                <w:bCs/>
              </w:rPr>
            </w:pPr>
          </w:p>
          <w:p w14:paraId="4F35104B" w14:textId="77777777" w:rsidR="008131E4" w:rsidRDefault="008131E4" w:rsidP="003B5FDC">
            <w:pPr>
              <w:spacing w:before="40" w:after="120"/>
              <w:ind w:left="143" w:right="113"/>
              <w:rPr>
                <w:b/>
                <w:bCs/>
              </w:rPr>
            </w:pPr>
          </w:p>
          <w:p w14:paraId="56128D60" w14:textId="77777777" w:rsidR="008131E4" w:rsidRDefault="008131E4" w:rsidP="003B5FDC">
            <w:pPr>
              <w:spacing w:before="40" w:after="120"/>
              <w:ind w:left="143" w:right="113"/>
              <w:rPr>
                <w:b/>
                <w:bCs/>
              </w:rPr>
            </w:pPr>
          </w:p>
          <w:p w14:paraId="401D1EAA" w14:textId="20C68214" w:rsidR="008131E4" w:rsidRPr="008131E4" w:rsidRDefault="008131E4" w:rsidP="003B5FDC">
            <w:pPr>
              <w:spacing w:before="40" w:after="120"/>
              <w:ind w:left="143" w:right="113"/>
            </w:pPr>
            <w:r>
              <w:rPr>
                <w:b/>
                <w:bCs/>
              </w:rPr>
              <w:t>Wednesday, 14 June</w:t>
            </w:r>
          </w:p>
        </w:tc>
        <w:tc>
          <w:tcPr>
            <w:tcW w:w="921" w:type="dxa"/>
            <w:shd w:val="clear" w:color="auto" w:fill="auto"/>
          </w:tcPr>
          <w:p w14:paraId="382E31A8" w14:textId="61B6B4E4" w:rsidR="003B5FDC" w:rsidRDefault="003B5FDC" w:rsidP="003B5FDC">
            <w:pPr>
              <w:spacing w:before="40" w:after="120"/>
              <w:ind w:left="170" w:right="113"/>
              <w:rPr>
                <w:bCs/>
              </w:rPr>
            </w:pPr>
            <w:r w:rsidRPr="00860AAE">
              <w:lastRenderedPageBreak/>
              <w:t>10–11</w:t>
            </w:r>
          </w:p>
        </w:tc>
        <w:tc>
          <w:tcPr>
            <w:tcW w:w="2044" w:type="dxa"/>
            <w:shd w:val="clear" w:color="auto" w:fill="auto"/>
          </w:tcPr>
          <w:p w14:paraId="5F33C1F6" w14:textId="76F113B5" w:rsidR="003B5FDC" w:rsidRDefault="00D72EE9" w:rsidP="003B5FDC">
            <w:pPr>
              <w:spacing w:before="40" w:after="120"/>
              <w:ind w:left="284" w:right="113" w:hanging="142"/>
              <w:rPr>
                <w:b/>
                <w:bCs/>
              </w:rPr>
            </w:pPr>
            <w:r>
              <w:rPr>
                <w:b/>
                <w:bCs/>
              </w:rPr>
              <w:t xml:space="preserve">4. </w:t>
            </w:r>
            <w:r w:rsidRPr="00EF321C">
              <w:rPr>
                <w:b/>
                <w:bCs/>
              </w:rPr>
              <w:t>Preparations for the next sessions of the Meetings of the Parties</w:t>
            </w:r>
            <w:r>
              <w:rPr>
                <w:b/>
                <w:bCs/>
              </w:rPr>
              <w:t xml:space="preserve"> </w:t>
            </w:r>
            <w:r w:rsidR="00114E69">
              <w:rPr>
                <w:b/>
                <w:bCs/>
              </w:rPr>
              <w:t>(cont’d)</w:t>
            </w:r>
            <w:r>
              <w:rPr>
                <w:b/>
                <w:bCs/>
              </w:rPr>
              <w:br/>
            </w:r>
            <w:r>
              <w:rPr>
                <w:b/>
                <w:bCs/>
              </w:rPr>
              <w:br/>
            </w:r>
            <w:r w:rsidR="003B5FDC">
              <w:rPr>
                <w:b/>
                <w:bCs/>
              </w:rPr>
              <w:t>(d) Draft declaration</w:t>
            </w:r>
          </w:p>
        </w:tc>
        <w:tc>
          <w:tcPr>
            <w:tcW w:w="3690" w:type="dxa"/>
            <w:shd w:val="clear" w:color="auto" w:fill="auto"/>
          </w:tcPr>
          <w:p w14:paraId="5FA4E297" w14:textId="0C3D6D76" w:rsidR="003B5FDC" w:rsidRPr="00460FD5" w:rsidRDefault="003A1DA1" w:rsidP="003B5FDC">
            <w:pPr>
              <w:spacing w:before="40" w:after="120" w:line="240" w:lineRule="auto"/>
              <w:ind w:left="176" w:right="113"/>
              <w:rPr>
                <w:iCs/>
              </w:rPr>
            </w:pPr>
            <w:r w:rsidRPr="003A1DA1">
              <w:rPr>
                <w:iCs/>
              </w:rPr>
              <w:t>Draft Geneva declaration (ECE/MP.EIA/WG.2/2023/4)</w:t>
            </w:r>
          </w:p>
        </w:tc>
        <w:tc>
          <w:tcPr>
            <w:tcW w:w="4656" w:type="dxa"/>
            <w:shd w:val="clear" w:color="auto" w:fill="auto"/>
          </w:tcPr>
          <w:p w14:paraId="5395AE18" w14:textId="4C9E0E5C" w:rsidR="003B5FDC" w:rsidRPr="00B37D22" w:rsidRDefault="001C6749" w:rsidP="003B5FDC">
            <w:pPr>
              <w:pStyle w:val="Bullet1G"/>
              <w:ind w:left="142" w:right="260"/>
              <w:rPr>
                <w:b/>
                <w:lang w:val="uk-UA"/>
              </w:rPr>
            </w:pPr>
            <w:r w:rsidRPr="001C6749">
              <w:rPr>
                <w:b/>
                <w:bCs/>
              </w:rPr>
              <w:t>The Working Group</w:t>
            </w:r>
            <w:r w:rsidR="0024426F">
              <w:t xml:space="preserve"> will be invited to </w:t>
            </w:r>
            <w:r w:rsidR="00AE788D">
              <w:t xml:space="preserve">review and agree </w:t>
            </w:r>
            <w:r w:rsidRPr="00860AAE">
              <w:t xml:space="preserve">on </w:t>
            </w:r>
            <w:r w:rsidR="006931C1" w:rsidRPr="006931C1">
              <w:t xml:space="preserve">the text </w:t>
            </w:r>
            <w:r w:rsidR="006931C1" w:rsidRPr="00AE788D">
              <w:t>of the draft Geneva declaration</w:t>
            </w:r>
            <w:r w:rsidR="006931C1" w:rsidRPr="006931C1">
              <w:rPr>
                <w:color w:val="FF0000"/>
              </w:rPr>
              <w:t xml:space="preserve"> </w:t>
            </w:r>
            <w:r w:rsidRPr="00860AAE">
              <w:t>to be forwarded to the Meetings of the Parties.</w:t>
            </w:r>
            <w:r w:rsidR="00B37D22">
              <w:rPr>
                <w:lang w:val="uk-UA"/>
              </w:rPr>
              <w:t xml:space="preserve"> </w:t>
            </w:r>
          </w:p>
        </w:tc>
      </w:tr>
      <w:tr w:rsidR="003B5FDC" w:rsidRPr="00930D32" w14:paraId="05DFCD9B" w14:textId="77777777" w:rsidTr="00D9132C">
        <w:trPr>
          <w:jc w:val="center"/>
        </w:trPr>
        <w:tc>
          <w:tcPr>
            <w:tcW w:w="1350" w:type="dxa"/>
            <w:vMerge/>
            <w:shd w:val="clear" w:color="auto" w:fill="auto"/>
          </w:tcPr>
          <w:p w14:paraId="52314A4F" w14:textId="77777777" w:rsidR="003B5FDC" w:rsidRPr="00930D32" w:rsidRDefault="003B5FDC" w:rsidP="003B5FDC">
            <w:pPr>
              <w:spacing w:before="40" w:after="120"/>
              <w:ind w:left="143" w:right="113"/>
              <w:rPr>
                <w:b/>
                <w:bCs/>
              </w:rPr>
            </w:pPr>
          </w:p>
        </w:tc>
        <w:tc>
          <w:tcPr>
            <w:tcW w:w="921" w:type="dxa"/>
            <w:shd w:val="clear" w:color="auto" w:fill="auto"/>
          </w:tcPr>
          <w:p w14:paraId="47FCA3D9" w14:textId="7CACEAD5" w:rsidR="003B5FDC" w:rsidRDefault="003B5FDC" w:rsidP="003B5FDC">
            <w:pPr>
              <w:spacing w:before="40" w:after="120"/>
              <w:ind w:left="170" w:right="113"/>
              <w:rPr>
                <w:bCs/>
              </w:rPr>
            </w:pPr>
            <w:r w:rsidRPr="00860AAE">
              <w:t>11–11.30</w:t>
            </w:r>
          </w:p>
        </w:tc>
        <w:tc>
          <w:tcPr>
            <w:tcW w:w="2044" w:type="dxa"/>
            <w:shd w:val="clear" w:color="auto" w:fill="auto"/>
          </w:tcPr>
          <w:p w14:paraId="42268BEE" w14:textId="72BE06EC" w:rsidR="003B5FDC" w:rsidRDefault="003B5FDC" w:rsidP="003B5FDC">
            <w:pPr>
              <w:spacing w:before="40" w:after="120"/>
              <w:ind w:left="284" w:right="113" w:hanging="142"/>
              <w:rPr>
                <w:b/>
                <w:bCs/>
              </w:rPr>
            </w:pPr>
            <w:r>
              <w:rPr>
                <w:b/>
                <w:bCs/>
              </w:rPr>
              <w:t>(e) Chairs of the sessions</w:t>
            </w:r>
          </w:p>
        </w:tc>
        <w:tc>
          <w:tcPr>
            <w:tcW w:w="3690" w:type="dxa"/>
            <w:shd w:val="clear" w:color="auto" w:fill="auto"/>
          </w:tcPr>
          <w:p w14:paraId="5BD309F8" w14:textId="77777777" w:rsidR="003B5FDC" w:rsidRPr="00460FD5" w:rsidRDefault="003B5FDC" w:rsidP="003B5FDC">
            <w:pPr>
              <w:spacing w:before="40" w:after="120" w:line="240" w:lineRule="auto"/>
              <w:ind w:left="176" w:right="113"/>
              <w:rPr>
                <w:iCs/>
              </w:rPr>
            </w:pPr>
          </w:p>
        </w:tc>
        <w:tc>
          <w:tcPr>
            <w:tcW w:w="4656" w:type="dxa"/>
            <w:shd w:val="clear" w:color="auto" w:fill="auto"/>
          </w:tcPr>
          <w:p w14:paraId="4A324722" w14:textId="12F49097" w:rsidR="003B5FDC" w:rsidRPr="00FC5412" w:rsidRDefault="00A15264" w:rsidP="003B5FDC">
            <w:pPr>
              <w:pStyle w:val="Bullet1G"/>
              <w:ind w:left="142" w:right="260"/>
              <w:rPr>
                <w:b/>
              </w:rPr>
            </w:pPr>
            <w:r w:rsidRPr="00A15264">
              <w:rPr>
                <w:b/>
                <w:bCs/>
              </w:rPr>
              <w:t>The Working Group</w:t>
            </w:r>
            <w:r w:rsidRPr="00860AAE">
              <w:t xml:space="preserve"> may wish to welcome the proposed nomination of the Minister for the Ecological Transition and the Demographic Challenge of </w:t>
            </w:r>
            <w:r w:rsidRPr="001D55A6">
              <w:rPr>
                <w:b/>
                <w:bCs/>
              </w:rPr>
              <w:t>Spain</w:t>
            </w:r>
            <w:r w:rsidRPr="00860AAE">
              <w:t>, as a candidate for chairing the high-level segment of the Meetings of the Parties’ sessions, and of the Bureau Chair, Mr. George Kremlis (</w:t>
            </w:r>
            <w:r w:rsidRPr="001D55A6">
              <w:rPr>
                <w:b/>
                <w:bCs/>
              </w:rPr>
              <w:t>Greece</w:t>
            </w:r>
            <w:r w:rsidRPr="00860AAE">
              <w:t xml:space="preserve">), as a candidate for chairing the general segment of the sessions. It may also wish to welcome the availability of the </w:t>
            </w:r>
            <w:r w:rsidR="008D5E34">
              <w:t>Al</w:t>
            </w:r>
            <w:r w:rsidR="00EA722D">
              <w:t xml:space="preserve">ternate Chair of the </w:t>
            </w:r>
            <w:r w:rsidRPr="00860AAE">
              <w:t>Bureau for Protocol matters, Ms. Vesna Kolar-Planinšič</w:t>
            </w:r>
            <w:r w:rsidR="00987A0A">
              <w:t xml:space="preserve"> (</w:t>
            </w:r>
            <w:r w:rsidR="00987A0A" w:rsidRPr="001D55A6">
              <w:rPr>
                <w:b/>
                <w:bCs/>
              </w:rPr>
              <w:t>Slovenia</w:t>
            </w:r>
            <w:r w:rsidR="00987A0A">
              <w:t>)</w:t>
            </w:r>
            <w:r w:rsidRPr="00860AAE">
              <w:t xml:space="preserve"> to serve as a general segment co-Chair, </w:t>
            </w:r>
            <w:r w:rsidR="00E97D90">
              <w:t>should</w:t>
            </w:r>
            <w:r w:rsidRPr="00860AAE">
              <w:t xml:space="preserve"> Greece not have ratified the Protocol in advance of the sessions.</w:t>
            </w:r>
          </w:p>
        </w:tc>
      </w:tr>
      <w:tr w:rsidR="003B5FDC" w:rsidRPr="00930D32" w14:paraId="72C53FCA" w14:textId="77777777" w:rsidTr="00D9132C">
        <w:trPr>
          <w:jc w:val="center"/>
        </w:trPr>
        <w:tc>
          <w:tcPr>
            <w:tcW w:w="1350" w:type="dxa"/>
            <w:vMerge/>
            <w:shd w:val="clear" w:color="auto" w:fill="auto"/>
          </w:tcPr>
          <w:p w14:paraId="0C505D90" w14:textId="77777777" w:rsidR="003B5FDC" w:rsidRPr="00930D32" w:rsidRDefault="003B5FDC" w:rsidP="003B5FDC">
            <w:pPr>
              <w:spacing w:before="40" w:after="120"/>
              <w:ind w:left="143" w:right="113"/>
              <w:rPr>
                <w:b/>
                <w:bCs/>
              </w:rPr>
            </w:pPr>
          </w:p>
        </w:tc>
        <w:tc>
          <w:tcPr>
            <w:tcW w:w="921" w:type="dxa"/>
            <w:shd w:val="clear" w:color="auto" w:fill="auto"/>
          </w:tcPr>
          <w:p w14:paraId="02220F25" w14:textId="4B9D2BCA" w:rsidR="003B5FDC" w:rsidRPr="00860AAE" w:rsidRDefault="003B5FDC" w:rsidP="003B5FDC">
            <w:pPr>
              <w:spacing w:before="40" w:after="120"/>
              <w:ind w:left="170" w:right="113"/>
            </w:pPr>
            <w:r w:rsidRPr="00860AAE">
              <w:t>11.30–11.45</w:t>
            </w:r>
          </w:p>
        </w:tc>
        <w:tc>
          <w:tcPr>
            <w:tcW w:w="2044" w:type="dxa"/>
            <w:shd w:val="clear" w:color="auto" w:fill="auto"/>
          </w:tcPr>
          <w:p w14:paraId="6FABA9E6" w14:textId="09C92CB5" w:rsidR="003B5FDC" w:rsidRDefault="003B5FDC" w:rsidP="003B5FDC">
            <w:pPr>
              <w:spacing w:before="40" w:after="120"/>
              <w:ind w:left="284" w:right="113" w:hanging="142"/>
              <w:rPr>
                <w:b/>
                <w:bCs/>
              </w:rPr>
            </w:pPr>
            <w:r w:rsidRPr="00601414">
              <w:rPr>
                <w:b/>
                <w:bCs/>
              </w:rPr>
              <w:t>(f) Officers for the next intersessional period</w:t>
            </w:r>
          </w:p>
        </w:tc>
        <w:tc>
          <w:tcPr>
            <w:tcW w:w="3690" w:type="dxa"/>
            <w:shd w:val="clear" w:color="auto" w:fill="auto"/>
          </w:tcPr>
          <w:p w14:paraId="27A1C3E3" w14:textId="712C882F" w:rsidR="003B5FDC" w:rsidRPr="00460FD5" w:rsidRDefault="00310C50" w:rsidP="003B5FDC">
            <w:pPr>
              <w:spacing w:before="40" w:after="120" w:line="240" w:lineRule="auto"/>
              <w:ind w:left="176" w:right="113"/>
              <w:rPr>
                <w:iCs/>
              </w:rPr>
            </w:pPr>
            <w:r w:rsidRPr="00310C50">
              <w:rPr>
                <w:iCs/>
              </w:rPr>
              <w:t>A list of vacancies in the treaty bodies for 2024–2026 (ECE/MP.EIA/WG.2/2023/INF.</w:t>
            </w:r>
            <w:r w:rsidR="00CC64A1">
              <w:rPr>
                <w:iCs/>
              </w:rPr>
              <w:t>7</w:t>
            </w:r>
            <w:r w:rsidRPr="00310C50">
              <w:rPr>
                <w:iCs/>
              </w:rPr>
              <w:t>)</w:t>
            </w:r>
            <w:r w:rsidR="002A75E3">
              <w:rPr>
                <w:iCs/>
              </w:rPr>
              <w:t xml:space="preserve"> </w:t>
            </w:r>
          </w:p>
        </w:tc>
        <w:tc>
          <w:tcPr>
            <w:tcW w:w="4656" w:type="dxa"/>
            <w:shd w:val="clear" w:color="auto" w:fill="auto"/>
          </w:tcPr>
          <w:p w14:paraId="50652355" w14:textId="4C72292F" w:rsidR="00CF3988" w:rsidRPr="00CF3988" w:rsidRDefault="000159E7" w:rsidP="003B5FDC">
            <w:pPr>
              <w:pStyle w:val="Bullet1G"/>
              <w:ind w:left="142" w:right="260"/>
              <w:rPr>
                <w:b/>
              </w:rPr>
            </w:pPr>
            <w:r>
              <w:rPr>
                <w:b/>
                <w:bCs/>
              </w:rPr>
              <w:t>T</w:t>
            </w:r>
            <w:r w:rsidR="002D104D">
              <w:rPr>
                <w:b/>
                <w:bCs/>
              </w:rPr>
              <w:t>he delegations</w:t>
            </w:r>
            <w:r w:rsidR="009311BD">
              <w:rPr>
                <w:b/>
                <w:bCs/>
              </w:rPr>
              <w:t xml:space="preserve">, </w:t>
            </w:r>
            <w:r w:rsidR="00F12ED2" w:rsidRPr="009311BD">
              <w:t>that had not yet done so</w:t>
            </w:r>
            <w:r w:rsidR="009311BD" w:rsidRPr="009311BD">
              <w:t>,</w:t>
            </w:r>
            <w:r w:rsidR="009311BD">
              <w:rPr>
                <w:b/>
                <w:bCs/>
              </w:rPr>
              <w:t xml:space="preserve"> </w:t>
            </w:r>
            <w:r w:rsidR="002D104D" w:rsidRPr="002D104D">
              <w:t>will be invited</w:t>
            </w:r>
            <w:r w:rsidR="00B32B08" w:rsidRPr="00860AAE">
              <w:t xml:space="preserve"> to submit or to confirm to the secretariat </w:t>
            </w:r>
            <w:r w:rsidR="00B32B08" w:rsidRPr="002D104D">
              <w:rPr>
                <w:b/>
                <w:bCs/>
              </w:rPr>
              <w:t>by 15 May 2023</w:t>
            </w:r>
            <w:r w:rsidR="00B32B08" w:rsidRPr="00860AAE">
              <w:t xml:space="preserve"> nominations for officers to be elected for the next intersessional period, that is, </w:t>
            </w:r>
            <w:r w:rsidR="009D153E">
              <w:t xml:space="preserve">1 </w:t>
            </w:r>
            <w:r w:rsidR="00B32B08" w:rsidRPr="00860AAE">
              <w:t xml:space="preserve">or more Vice-Chairs of the Working Group and </w:t>
            </w:r>
            <w:r w:rsidR="009D153E">
              <w:t xml:space="preserve">1 </w:t>
            </w:r>
            <w:r w:rsidR="00B32B08" w:rsidRPr="00860AAE">
              <w:t xml:space="preserve">or more members of the Bureau and </w:t>
            </w:r>
            <w:r w:rsidR="009D153E">
              <w:t>4</w:t>
            </w:r>
            <w:r w:rsidR="00B32B08" w:rsidRPr="00860AAE">
              <w:t xml:space="preserve"> </w:t>
            </w:r>
            <w:r w:rsidR="009D153E">
              <w:t xml:space="preserve">- </w:t>
            </w:r>
            <w:r w:rsidR="00B32B08" w:rsidRPr="00860AAE">
              <w:t>permanent and alternate</w:t>
            </w:r>
            <w:r w:rsidR="009D153E">
              <w:t xml:space="preserve"> - </w:t>
            </w:r>
            <w:r w:rsidR="00B32B08" w:rsidRPr="00860AAE">
              <w:t xml:space="preserve">members of the Implementation Committee. Additional new </w:t>
            </w:r>
            <w:r w:rsidR="00BB195C">
              <w:t xml:space="preserve">Committee </w:t>
            </w:r>
            <w:r w:rsidR="00B32B08" w:rsidRPr="00860AAE">
              <w:t xml:space="preserve">members may need to be nominated depending on whether Committee members are Parties to the Protocol. </w:t>
            </w:r>
          </w:p>
          <w:p w14:paraId="03E49217" w14:textId="53095A4E" w:rsidR="003B5FDC" w:rsidRPr="00FC5412" w:rsidRDefault="00B32B08" w:rsidP="00CF3988">
            <w:pPr>
              <w:pStyle w:val="Bullet1G"/>
              <w:ind w:left="142" w:right="260"/>
              <w:rPr>
                <w:b/>
              </w:rPr>
            </w:pPr>
            <w:r w:rsidRPr="00860AAE">
              <w:t>Parties that have never or not recently been represented in the treaty bodies will be encouraged to consider taking on that role.</w:t>
            </w:r>
          </w:p>
        </w:tc>
      </w:tr>
      <w:tr w:rsidR="003B5FDC" w:rsidRPr="00930D32" w14:paraId="5EDC4ED5" w14:textId="77777777" w:rsidTr="00D9132C">
        <w:trPr>
          <w:jc w:val="center"/>
        </w:trPr>
        <w:tc>
          <w:tcPr>
            <w:tcW w:w="1350" w:type="dxa"/>
            <w:vMerge/>
            <w:shd w:val="clear" w:color="auto" w:fill="auto"/>
          </w:tcPr>
          <w:p w14:paraId="57ADE30D" w14:textId="77777777" w:rsidR="003B5FDC" w:rsidRPr="00930D32" w:rsidRDefault="003B5FDC" w:rsidP="003B5FDC">
            <w:pPr>
              <w:spacing w:before="40" w:after="120"/>
              <w:ind w:left="143" w:right="113"/>
              <w:rPr>
                <w:b/>
                <w:bCs/>
              </w:rPr>
            </w:pPr>
          </w:p>
        </w:tc>
        <w:tc>
          <w:tcPr>
            <w:tcW w:w="921" w:type="dxa"/>
            <w:shd w:val="clear" w:color="auto" w:fill="auto"/>
          </w:tcPr>
          <w:p w14:paraId="44EC42AA" w14:textId="7A6F55B3" w:rsidR="003B5FDC" w:rsidRPr="00860AAE" w:rsidRDefault="003B5FDC" w:rsidP="003B5FDC">
            <w:pPr>
              <w:spacing w:before="40" w:after="120"/>
              <w:ind w:left="170" w:right="113"/>
            </w:pPr>
            <w:r w:rsidRPr="00860AAE">
              <w:t>11.45–</w:t>
            </w:r>
            <w:r>
              <w:t>noon</w:t>
            </w:r>
          </w:p>
        </w:tc>
        <w:tc>
          <w:tcPr>
            <w:tcW w:w="2044" w:type="dxa"/>
            <w:shd w:val="clear" w:color="auto" w:fill="auto"/>
          </w:tcPr>
          <w:p w14:paraId="36C63E8A" w14:textId="78EEEC0D" w:rsidR="003B5FDC" w:rsidRPr="00601414" w:rsidRDefault="003B5FDC" w:rsidP="003B5FDC">
            <w:pPr>
              <w:spacing w:before="40" w:after="120"/>
              <w:ind w:left="284" w:right="113" w:hanging="142"/>
              <w:rPr>
                <w:b/>
                <w:bCs/>
              </w:rPr>
            </w:pPr>
            <w:r w:rsidRPr="00601414">
              <w:rPr>
                <w:b/>
                <w:bCs/>
              </w:rPr>
              <w:t xml:space="preserve">(g) Provisional schedule of </w:t>
            </w:r>
            <w:r w:rsidRPr="00601414">
              <w:rPr>
                <w:b/>
                <w:bCs/>
              </w:rPr>
              <w:lastRenderedPageBreak/>
              <w:t>meetings 2024–2026</w:t>
            </w:r>
          </w:p>
        </w:tc>
        <w:tc>
          <w:tcPr>
            <w:tcW w:w="3690" w:type="dxa"/>
            <w:shd w:val="clear" w:color="auto" w:fill="auto"/>
          </w:tcPr>
          <w:p w14:paraId="6E59F23F" w14:textId="39F25EC7" w:rsidR="003B5FDC" w:rsidRPr="00460FD5" w:rsidRDefault="00985470" w:rsidP="003B5FDC">
            <w:pPr>
              <w:spacing w:before="40" w:after="120" w:line="240" w:lineRule="auto"/>
              <w:ind w:left="176" w:right="113"/>
              <w:rPr>
                <w:iCs/>
              </w:rPr>
            </w:pPr>
            <w:r w:rsidRPr="00985470">
              <w:rPr>
                <w:iCs/>
              </w:rPr>
              <w:lastRenderedPageBreak/>
              <w:t>Provisional schedule of meetings 2024–2026 (ECE/MP.EIA/WG.2/2023/INF.</w:t>
            </w:r>
            <w:r w:rsidR="00CA7501">
              <w:rPr>
                <w:iCs/>
              </w:rPr>
              <w:t>8</w:t>
            </w:r>
            <w:r w:rsidRPr="00985470">
              <w:rPr>
                <w:iCs/>
              </w:rPr>
              <w:t>)</w:t>
            </w:r>
          </w:p>
        </w:tc>
        <w:tc>
          <w:tcPr>
            <w:tcW w:w="4656" w:type="dxa"/>
            <w:shd w:val="clear" w:color="auto" w:fill="auto"/>
          </w:tcPr>
          <w:p w14:paraId="0BAF4AFC" w14:textId="420AA96C" w:rsidR="003B5FDC" w:rsidRPr="00FC5412" w:rsidRDefault="00307582" w:rsidP="003B5FDC">
            <w:pPr>
              <w:pStyle w:val="Bullet1G"/>
              <w:ind w:left="142" w:right="260"/>
              <w:rPr>
                <w:b/>
              </w:rPr>
            </w:pPr>
            <w:r w:rsidRPr="00307582">
              <w:rPr>
                <w:b/>
              </w:rPr>
              <w:t xml:space="preserve">The Working Group </w:t>
            </w:r>
            <w:r w:rsidRPr="00307582">
              <w:rPr>
                <w:bCs/>
              </w:rPr>
              <w:t xml:space="preserve">is invited to consider a provisional schedule of meetings of the treaty bodies </w:t>
            </w:r>
            <w:r w:rsidRPr="00307582">
              <w:rPr>
                <w:bCs/>
              </w:rPr>
              <w:lastRenderedPageBreak/>
              <w:t>in the next intersessional period</w:t>
            </w:r>
            <w:r w:rsidR="008D527B">
              <w:rPr>
                <w:bCs/>
              </w:rPr>
              <w:t>, which</w:t>
            </w:r>
            <w:r w:rsidRPr="00307582">
              <w:rPr>
                <w:bCs/>
              </w:rPr>
              <w:t xml:space="preserve"> is expected to extend from January 2024 to December 2026.</w:t>
            </w:r>
            <w:r w:rsidRPr="00307582">
              <w:rPr>
                <w:b/>
              </w:rPr>
              <w:t xml:space="preserve">   </w:t>
            </w:r>
            <w:r w:rsidR="00ED6500">
              <w:rPr>
                <w:b/>
              </w:rPr>
              <w:t xml:space="preserve"> </w:t>
            </w:r>
          </w:p>
        </w:tc>
      </w:tr>
      <w:tr w:rsidR="003B5FDC" w:rsidRPr="00930D32" w14:paraId="6370B90E" w14:textId="77777777" w:rsidTr="00D9132C">
        <w:trPr>
          <w:jc w:val="center"/>
        </w:trPr>
        <w:tc>
          <w:tcPr>
            <w:tcW w:w="1350" w:type="dxa"/>
            <w:vMerge/>
            <w:shd w:val="clear" w:color="auto" w:fill="auto"/>
          </w:tcPr>
          <w:p w14:paraId="28FFCBD6" w14:textId="77777777" w:rsidR="003B5FDC" w:rsidRPr="00930D32" w:rsidRDefault="003B5FDC" w:rsidP="003B5FDC">
            <w:pPr>
              <w:spacing w:before="40" w:after="120"/>
              <w:ind w:left="143" w:right="113"/>
              <w:rPr>
                <w:b/>
                <w:bCs/>
              </w:rPr>
            </w:pPr>
          </w:p>
        </w:tc>
        <w:tc>
          <w:tcPr>
            <w:tcW w:w="921" w:type="dxa"/>
            <w:shd w:val="clear" w:color="auto" w:fill="auto"/>
          </w:tcPr>
          <w:p w14:paraId="783B8DE1" w14:textId="77777777" w:rsidR="003B5FDC" w:rsidRPr="00860AAE" w:rsidRDefault="003B5FDC" w:rsidP="003B5FDC">
            <w:pPr>
              <w:spacing w:before="40" w:after="120"/>
              <w:ind w:left="170" w:right="113"/>
            </w:pPr>
          </w:p>
        </w:tc>
        <w:tc>
          <w:tcPr>
            <w:tcW w:w="2044" w:type="dxa"/>
            <w:shd w:val="clear" w:color="auto" w:fill="auto"/>
          </w:tcPr>
          <w:p w14:paraId="1FBEF956" w14:textId="4D2EC7B6" w:rsidR="003B5FDC" w:rsidRPr="00601414" w:rsidRDefault="003B5FDC" w:rsidP="003B5FDC">
            <w:pPr>
              <w:spacing w:before="40" w:after="120"/>
              <w:ind w:left="284" w:right="113" w:hanging="142"/>
              <w:rPr>
                <w:b/>
                <w:bCs/>
              </w:rPr>
            </w:pPr>
            <w:r w:rsidRPr="00860AAE">
              <w:rPr>
                <w:b/>
                <w:bCs/>
              </w:rPr>
              <w:t>5. Compliance and implementation</w:t>
            </w:r>
          </w:p>
        </w:tc>
        <w:tc>
          <w:tcPr>
            <w:tcW w:w="3690" w:type="dxa"/>
            <w:shd w:val="clear" w:color="auto" w:fill="auto"/>
          </w:tcPr>
          <w:p w14:paraId="7C7010CF" w14:textId="77777777" w:rsidR="003B5FDC" w:rsidRPr="00460FD5" w:rsidRDefault="003B5FDC" w:rsidP="003B5FDC">
            <w:pPr>
              <w:spacing w:before="40" w:after="120" w:line="240" w:lineRule="auto"/>
              <w:ind w:left="176" w:right="113"/>
              <w:rPr>
                <w:iCs/>
              </w:rPr>
            </w:pPr>
          </w:p>
        </w:tc>
        <w:tc>
          <w:tcPr>
            <w:tcW w:w="4656" w:type="dxa"/>
            <w:shd w:val="clear" w:color="auto" w:fill="auto"/>
          </w:tcPr>
          <w:p w14:paraId="7241DAB8" w14:textId="77777777" w:rsidR="003B5FDC" w:rsidRPr="00FC5412" w:rsidRDefault="003B5FDC" w:rsidP="003B5FDC">
            <w:pPr>
              <w:pStyle w:val="Bullet1G"/>
              <w:ind w:left="142" w:right="260"/>
              <w:rPr>
                <w:b/>
              </w:rPr>
            </w:pPr>
          </w:p>
        </w:tc>
      </w:tr>
      <w:tr w:rsidR="003B5FDC" w:rsidRPr="00930D32" w14:paraId="3AA44466" w14:textId="77777777" w:rsidTr="00D9132C">
        <w:trPr>
          <w:jc w:val="center"/>
        </w:trPr>
        <w:tc>
          <w:tcPr>
            <w:tcW w:w="1350" w:type="dxa"/>
            <w:vMerge/>
            <w:shd w:val="clear" w:color="auto" w:fill="auto"/>
          </w:tcPr>
          <w:p w14:paraId="74D206A7" w14:textId="77777777" w:rsidR="003B5FDC" w:rsidRPr="00930D32" w:rsidRDefault="003B5FDC" w:rsidP="003B5FDC">
            <w:pPr>
              <w:spacing w:before="40" w:after="120"/>
              <w:ind w:left="143" w:right="113"/>
              <w:rPr>
                <w:b/>
                <w:bCs/>
              </w:rPr>
            </w:pPr>
          </w:p>
        </w:tc>
        <w:tc>
          <w:tcPr>
            <w:tcW w:w="921" w:type="dxa"/>
            <w:shd w:val="clear" w:color="auto" w:fill="auto"/>
          </w:tcPr>
          <w:p w14:paraId="3856292F" w14:textId="6115CEF6" w:rsidR="003B5FDC" w:rsidRPr="00860AAE" w:rsidRDefault="003B5FDC" w:rsidP="003B5FDC">
            <w:pPr>
              <w:spacing w:before="40" w:after="120"/>
              <w:ind w:left="170" w:right="113"/>
            </w:pPr>
            <w:r>
              <w:t>12</w:t>
            </w:r>
            <w:r w:rsidRPr="00860AAE">
              <w:t>–1</w:t>
            </w:r>
            <w:r>
              <w:t>3</w:t>
            </w:r>
            <w:r w:rsidRPr="00860AAE">
              <w:t xml:space="preserve"> </w:t>
            </w:r>
            <w:r>
              <w:t>a</w:t>
            </w:r>
            <w:r w:rsidRPr="00860AAE">
              <w:t xml:space="preserve">nd </w:t>
            </w:r>
            <w:r>
              <w:t>15</w:t>
            </w:r>
            <w:r w:rsidRPr="00860AAE">
              <w:t>–</w:t>
            </w:r>
            <w:r>
              <w:t>16</w:t>
            </w:r>
          </w:p>
        </w:tc>
        <w:tc>
          <w:tcPr>
            <w:tcW w:w="2044" w:type="dxa"/>
            <w:shd w:val="clear" w:color="auto" w:fill="auto"/>
          </w:tcPr>
          <w:p w14:paraId="5C76B4EF" w14:textId="7CC56AE4" w:rsidR="003B5FDC" w:rsidRPr="008D0347" w:rsidRDefault="003B5FDC" w:rsidP="003B5FDC">
            <w:pPr>
              <w:spacing w:before="40" w:after="120"/>
              <w:ind w:left="284" w:right="113" w:hanging="142"/>
              <w:rPr>
                <w:b/>
                <w:bCs/>
              </w:rPr>
            </w:pPr>
            <w:r w:rsidRPr="008D0347">
              <w:rPr>
                <w:b/>
                <w:bCs/>
              </w:rPr>
              <w:t>(a) Review of compliance and related draft decisions</w:t>
            </w:r>
          </w:p>
        </w:tc>
        <w:tc>
          <w:tcPr>
            <w:tcW w:w="3690" w:type="dxa"/>
            <w:shd w:val="clear" w:color="auto" w:fill="auto"/>
          </w:tcPr>
          <w:p w14:paraId="7052E6BA" w14:textId="77777777" w:rsidR="003B5FDC" w:rsidRDefault="00E03034" w:rsidP="003B5FDC">
            <w:pPr>
              <w:spacing w:before="40" w:after="120" w:line="240" w:lineRule="auto"/>
              <w:ind w:left="176" w:right="113"/>
              <w:rPr>
                <w:iCs/>
              </w:rPr>
            </w:pPr>
            <w:r w:rsidRPr="00E03034">
              <w:rPr>
                <w:iCs/>
              </w:rPr>
              <w:t>Initial draft decisions on the review of compliance of the Convention and the Protocol (ECE/MP.EIA/WG.2/2023/INF.</w:t>
            </w:r>
            <w:r w:rsidR="00AF672A">
              <w:rPr>
                <w:iCs/>
              </w:rPr>
              <w:t>10</w:t>
            </w:r>
            <w:r w:rsidRPr="00E03034">
              <w:rPr>
                <w:iCs/>
              </w:rPr>
              <w:t>)</w:t>
            </w:r>
          </w:p>
          <w:p w14:paraId="3C88C69A" w14:textId="77777777" w:rsidR="00AD1966" w:rsidRDefault="00AD1966" w:rsidP="003B5FDC">
            <w:pPr>
              <w:spacing w:before="40" w:after="120" w:line="240" w:lineRule="auto"/>
              <w:ind w:left="176" w:right="113"/>
              <w:rPr>
                <w:iCs/>
              </w:rPr>
            </w:pPr>
            <w:r>
              <w:rPr>
                <w:iCs/>
              </w:rPr>
              <w:t>Including as an addendum –</w:t>
            </w:r>
            <w:r w:rsidR="00A349C2">
              <w:rPr>
                <w:iCs/>
              </w:rPr>
              <w:t xml:space="preserve">the Implementation Committee’s </w:t>
            </w:r>
            <w:r w:rsidR="00A349C2" w:rsidRPr="00A349C2">
              <w:rPr>
                <w:iCs/>
              </w:rPr>
              <w:t>Initial amendment proposals to the Committee’s structure and functions and its operating rules</w:t>
            </w:r>
          </w:p>
          <w:p w14:paraId="51080BE4" w14:textId="02845571" w:rsidR="00DF4ED8" w:rsidRPr="00460FD5" w:rsidRDefault="00DF4ED8" w:rsidP="003B5FDC">
            <w:pPr>
              <w:spacing w:before="40" w:after="120" w:line="240" w:lineRule="auto"/>
              <w:ind w:left="176" w:right="113"/>
              <w:rPr>
                <w:iCs/>
              </w:rPr>
            </w:pPr>
            <w:r w:rsidRPr="00DF4ED8">
              <w:rPr>
                <w:iCs/>
              </w:rPr>
              <w:t>ECE/MP.EIA/WG.2/2023/INF.10</w:t>
            </w:r>
            <w:r>
              <w:rPr>
                <w:iCs/>
              </w:rPr>
              <w:t>.Add.1</w:t>
            </w:r>
          </w:p>
        </w:tc>
        <w:tc>
          <w:tcPr>
            <w:tcW w:w="4656" w:type="dxa"/>
            <w:shd w:val="clear" w:color="auto" w:fill="auto"/>
          </w:tcPr>
          <w:p w14:paraId="19095A95" w14:textId="38784767" w:rsidR="00B40669" w:rsidRPr="00B40669" w:rsidRDefault="002E666B" w:rsidP="003B5FDC">
            <w:pPr>
              <w:pStyle w:val="Bullet1G"/>
              <w:ind w:left="142" w:right="260"/>
              <w:rPr>
                <w:b/>
              </w:rPr>
            </w:pPr>
            <w:r w:rsidRPr="002E666B">
              <w:rPr>
                <w:b/>
                <w:bCs/>
              </w:rPr>
              <w:t>The Chair of the Implementation Committee</w:t>
            </w:r>
            <w:r w:rsidRPr="00860AAE">
              <w:t xml:space="preserve"> </w:t>
            </w:r>
            <w:r w:rsidR="006E523D">
              <w:t xml:space="preserve">will </w:t>
            </w:r>
            <w:r w:rsidRPr="00860AAE">
              <w:t xml:space="preserve">present the main outcomes of the Committee’s </w:t>
            </w:r>
            <w:r w:rsidR="008F047C">
              <w:t>56th</w:t>
            </w:r>
            <w:r w:rsidRPr="00860AAE">
              <w:t xml:space="preserve"> session (Geneva, 2–5 May 2023) and the main objectives of its </w:t>
            </w:r>
            <w:r w:rsidR="008F047C">
              <w:t>57th</w:t>
            </w:r>
            <w:r w:rsidRPr="00860AAE">
              <w:t xml:space="preserve"> session (Geneva, 29 August–1</w:t>
            </w:r>
            <w:r w:rsidR="00414BBD">
              <w:t xml:space="preserve"> </w:t>
            </w:r>
            <w:r w:rsidRPr="00860AAE">
              <w:t>September 2023)</w:t>
            </w:r>
            <w:r w:rsidR="00C70975">
              <w:t>, including</w:t>
            </w:r>
            <w:r w:rsidR="00127E27">
              <w:t xml:space="preserve"> the</w:t>
            </w:r>
            <w:r w:rsidR="00C70975">
              <w:t xml:space="preserve"> available </w:t>
            </w:r>
            <w:r w:rsidRPr="00860AAE">
              <w:t xml:space="preserve">initial draft decisions on compliance with the Convention and the Protocol, </w:t>
            </w:r>
            <w:r w:rsidR="00C70975">
              <w:t xml:space="preserve">and </w:t>
            </w:r>
            <w:r w:rsidRPr="00860AAE">
              <w:t xml:space="preserve">amendment proposals to the Committee’s </w:t>
            </w:r>
            <w:r w:rsidR="000D478E">
              <w:t xml:space="preserve">structure and functions </w:t>
            </w:r>
            <w:r w:rsidR="003229AE">
              <w:t>and operating rules</w:t>
            </w:r>
            <w:r w:rsidRPr="00860AAE">
              <w:t>.</w:t>
            </w:r>
          </w:p>
          <w:p w14:paraId="3CBD0637" w14:textId="6C4B4853" w:rsidR="003B5FDC" w:rsidRPr="00FC5412" w:rsidRDefault="002E666B" w:rsidP="00AB3E1C">
            <w:pPr>
              <w:pStyle w:val="Bullet1G"/>
              <w:ind w:left="142" w:right="260"/>
              <w:rPr>
                <w:b/>
              </w:rPr>
            </w:pPr>
            <w:r w:rsidRPr="00B40669">
              <w:rPr>
                <w:b/>
                <w:bCs/>
              </w:rPr>
              <w:t>Delegations</w:t>
            </w:r>
            <w:r w:rsidRPr="00860AAE">
              <w:t xml:space="preserve"> </w:t>
            </w:r>
            <w:r w:rsidR="00B40669">
              <w:t>are invited</w:t>
            </w:r>
            <w:r w:rsidRPr="00860AAE">
              <w:t xml:space="preserve"> to comment on the draft</w:t>
            </w:r>
            <w:r w:rsidR="00630064">
              <w:t xml:space="preserve"> decisions</w:t>
            </w:r>
            <w:r w:rsidRPr="00860AAE">
              <w:t xml:space="preserve"> both orally during the session, and in writing, before, during and shortly after the meeting of the Working Group</w:t>
            </w:r>
            <w:r w:rsidR="00630064">
              <w:t>.  (T</w:t>
            </w:r>
            <w:r w:rsidR="00AB3E1C">
              <w:t xml:space="preserve">he </w:t>
            </w:r>
            <w:r w:rsidRPr="00372388">
              <w:rPr>
                <w:b/>
                <w:bCs/>
              </w:rPr>
              <w:t>Committee</w:t>
            </w:r>
            <w:r w:rsidRPr="00860AAE">
              <w:t xml:space="preserve"> </w:t>
            </w:r>
            <w:r w:rsidR="00630064">
              <w:t xml:space="preserve">will </w:t>
            </w:r>
            <w:r w:rsidRPr="00860AAE">
              <w:t xml:space="preserve">finalize the draft decisions at its </w:t>
            </w:r>
            <w:r w:rsidR="005A3163">
              <w:t>57th</w:t>
            </w:r>
            <w:r w:rsidRPr="00860AAE">
              <w:t xml:space="preserve"> session considering, as relevant, the comments and any other information received, prior to forwarding the draft decisions to the Meetings of the Parties at their next sessions.</w:t>
            </w:r>
          </w:p>
        </w:tc>
      </w:tr>
      <w:tr w:rsidR="003B5FDC" w:rsidRPr="00930D32" w14:paraId="7215B9CC" w14:textId="77777777" w:rsidTr="00D9132C">
        <w:trPr>
          <w:jc w:val="center"/>
        </w:trPr>
        <w:tc>
          <w:tcPr>
            <w:tcW w:w="1350" w:type="dxa"/>
            <w:vMerge/>
            <w:shd w:val="clear" w:color="auto" w:fill="auto"/>
          </w:tcPr>
          <w:p w14:paraId="20AAAAA5" w14:textId="77777777" w:rsidR="003B5FDC" w:rsidRPr="00930D32" w:rsidRDefault="003B5FDC" w:rsidP="003B5FDC">
            <w:pPr>
              <w:spacing w:before="40" w:after="120"/>
              <w:ind w:left="143" w:right="113"/>
              <w:rPr>
                <w:b/>
                <w:bCs/>
              </w:rPr>
            </w:pPr>
          </w:p>
        </w:tc>
        <w:tc>
          <w:tcPr>
            <w:tcW w:w="921" w:type="dxa"/>
            <w:shd w:val="clear" w:color="auto" w:fill="auto"/>
          </w:tcPr>
          <w:p w14:paraId="4E61454C" w14:textId="77429C84" w:rsidR="003B5FDC" w:rsidRDefault="003B5FDC" w:rsidP="003B5FDC">
            <w:pPr>
              <w:spacing w:before="40" w:after="120"/>
              <w:ind w:left="170" w:right="113"/>
            </w:pPr>
            <w:r>
              <w:t>16-17</w:t>
            </w:r>
          </w:p>
        </w:tc>
        <w:tc>
          <w:tcPr>
            <w:tcW w:w="2044" w:type="dxa"/>
            <w:shd w:val="clear" w:color="auto" w:fill="auto"/>
          </w:tcPr>
          <w:p w14:paraId="04AC47C9" w14:textId="51723CE8" w:rsidR="003B5FDC" w:rsidRPr="008D0347" w:rsidRDefault="003B5FDC" w:rsidP="003B5FDC">
            <w:pPr>
              <w:spacing w:before="40" w:after="120"/>
              <w:ind w:left="284" w:right="113" w:hanging="142"/>
              <w:rPr>
                <w:b/>
                <w:bCs/>
              </w:rPr>
            </w:pPr>
            <w:r w:rsidRPr="008D0347">
              <w:rPr>
                <w:b/>
                <w:bCs/>
              </w:rPr>
              <w:t>(b) Reporting and review of implementation</w:t>
            </w:r>
          </w:p>
        </w:tc>
        <w:tc>
          <w:tcPr>
            <w:tcW w:w="3690" w:type="dxa"/>
            <w:shd w:val="clear" w:color="auto" w:fill="auto"/>
          </w:tcPr>
          <w:p w14:paraId="4A15C405" w14:textId="77777777" w:rsidR="00EF525F" w:rsidRPr="00EF525F" w:rsidRDefault="00EF525F" w:rsidP="00EF525F">
            <w:pPr>
              <w:spacing w:before="40" w:after="120" w:line="240" w:lineRule="auto"/>
              <w:ind w:left="176" w:right="113"/>
              <w:rPr>
                <w:iCs/>
              </w:rPr>
            </w:pPr>
            <w:r w:rsidRPr="00EF525F">
              <w:rPr>
                <w:iCs/>
              </w:rPr>
              <w:t>Draft decision on reporting and review of implementation of the Convention (ECE/MP.EIA/WG.2/2023/5)</w:t>
            </w:r>
          </w:p>
          <w:p w14:paraId="400DCCC2" w14:textId="46D6008D" w:rsidR="00EF525F" w:rsidRDefault="00EF525F" w:rsidP="00EF525F">
            <w:pPr>
              <w:spacing w:before="40" w:after="120" w:line="240" w:lineRule="auto"/>
              <w:ind w:left="176" w:right="113"/>
              <w:rPr>
                <w:iCs/>
              </w:rPr>
            </w:pPr>
            <w:r w:rsidRPr="00EF525F">
              <w:rPr>
                <w:iCs/>
              </w:rPr>
              <w:t>Draft decisions by the Meeting of the Parties to the Protoco</w:t>
            </w:r>
            <w:r>
              <w:rPr>
                <w:iCs/>
              </w:rPr>
              <w:t xml:space="preserve">l </w:t>
            </w:r>
            <w:r w:rsidRPr="00EF525F">
              <w:rPr>
                <w:iCs/>
              </w:rPr>
              <w:t>(ECE/MP.EIA/WG.2/2023/6)</w:t>
            </w:r>
          </w:p>
          <w:p w14:paraId="76916F32" w14:textId="77777777" w:rsidR="00871166" w:rsidRDefault="00871166" w:rsidP="00EF525F">
            <w:pPr>
              <w:spacing w:before="40" w:after="120" w:line="240" w:lineRule="auto"/>
              <w:ind w:left="176" w:right="113"/>
              <w:rPr>
                <w:iCs/>
              </w:rPr>
            </w:pPr>
          </w:p>
          <w:p w14:paraId="45D3C457" w14:textId="77777777" w:rsidR="00871166" w:rsidRDefault="00871166" w:rsidP="00EF525F">
            <w:pPr>
              <w:spacing w:before="40" w:after="120" w:line="240" w:lineRule="auto"/>
              <w:ind w:left="176" w:right="113"/>
              <w:rPr>
                <w:iCs/>
              </w:rPr>
            </w:pPr>
          </w:p>
          <w:p w14:paraId="349A4648" w14:textId="77777777" w:rsidR="00871166" w:rsidRDefault="00871166" w:rsidP="00EF525F">
            <w:pPr>
              <w:spacing w:before="40" w:after="120" w:line="240" w:lineRule="auto"/>
              <w:ind w:left="176" w:right="113"/>
              <w:rPr>
                <w:iCs/>
              </w:rPr>
            </w:pPr>
          </w:p>
          <w:p w14:paraId="612C1C6B" w14:textId="77777777" w:rsidR="00871166" w:rsidRDefault="00871166" w:rsidP="00EF525F">
            <w:pPr>
              <w:spacing w:before="40" w:after="120" w:line="240" w:lineRule="auto"/>
              <w:ind w:left="176" w:right="113"/>
              <w:rPr>
                <w:iCs/>
              </w:rPr>
            </w:pPr>
          </w:p>
          <w:p w14:paraId="03A7926F" w14:textId="77777777" w:rsidR="00871166" w:rsidRPr="00EF525F" w:rsidRDefault="00871166" w:rsidP="00EF525F">
            <w:pPr>
              <w:spacing w:before="40" w:after="120" w:line="240" w:lineRule="auto"/>
              <w:ind w:left="176" w:right="113"/>
              <w:rPr>
                <w:iCs/>
              </w:rPr>
            </w:pPr>
          </w:p>
          <w:p w14:paraId="604A8EF5" w14:textId="5BAE647B" w:rsidR="003B5FDC" w:rsidRPr="00460FD5" w:rsidRDefault="00EF525F" w:rsidP="00EF525F">
            <w:pPr>
              <w:spacing w:before="40" w:after="120" w:line="240" w:lineRule="auto"/>
              <w:ind w:left="176" w:right="113"/>
              <w:rPr>
                <w:iCs/>
              </w:rPr>
            </w:pPr>
            <w:r w:rsidRPr="00EF525F">
              <w:rPr>
                <w:iCs/>
              </w:rPr>
              <w:lastRenderedPageBreak/>
              <w:t xml:space="preserve">Templates for the reports of the European Union on the implementation of the Convention </w:t>
            </w:r>
            <w:r w:rsidR="00680118">
              <w:rPr>
                <w:iCs/>
              </w:rPr>
              <w:t>on Environmental</w:t>
            </w:r>
            <w:r w:rsidR="00903767">
              <w:rPr>
                <w:iCs/>
              </w:rPr>
              <w:t xml:space="preserve"> Impact Assessment in a Transboundary Context and the Protocol </w:t>
            </w:r>
            <w:r w:rsidR="00C53E29">
              <w:rPr>
                <w:iCs/>
              </w:rPr>
              <w:t>on Strategic Environmental Assessment</w:t>
            </w:r>
            <w:r w:rsidRPr="00EF525F">
              <w:rPr>
                <w:iCs/>
              </w:rPr>
              <w:t xml:space="preserve"> (ECE/MP.EIA/WG.2/2023/7)</w:t>
            </w:r>
          </w:p>
        </w:tc>
        <w:tc>
          <w:tcPr>
            <w:tcW w:w="4656" w:type="dxa"/>
            <w:shd w:val="clear" w:color="auto" w:fill="auto"/>
          </w:tcPr>
          <w:p w14:paraId="0E0109FE" w14:textId="230F6C1A" w:rsidR="003B5FDC" w:rsidRPr="00011294" w:rsidRDefault="00011294" w:rsidP="003B5FDC">
            <w:pPr>
              <w:pStyle w:val="Bullet1G"/>
              <w:ind w:left="142" w:right="260"/>
              <w:rPr>
                <w:b/>
              </w:rPr>
            </w:pPr>
            <w:r w:rsidRPr="002866FE">
              <w:rPr>
                <w:b/>
                <w:bCs/>
              </w:rPr>
              <w:lastRenderedPageBreak/>
              <w:t>The Working Group</w:t>
            </w:r>
            <w:r w:rsidRPr="00860AAE">
              <w:t xml:space="preserve"> will be invited to consider and agree on draft decisions IX/5 and V/5 on reporting and the review of implementation of</w:t>
            </w:r>
            <w:r w:rsidR="002866FE">
              <w:t>, respectively,</w:t>
            </w:r>
            <w:r w:rsidRPr="00860AAE">
              <w:t xml:space="preserve"> the Convention and the Protocol</w:t>
            </w:r>
            <w:r w:rsidR="00DF1956">
              <w:t>, to be submitted to the MOPs.</w:t>
            </w:r>
          </w:p>
          <w:p w14:paraId="303FE2A4" w14:textId="277521F8" w:rsidR="00011294" w:rsidRPr="00A4146E" w:rsidRDefault="00DB656D" w:rsidP="003B5FDC">
            <w:pPr>
              <w:pStyle w:val="Bullet1G"/>
              <w:ind w:left="142" w:right="260"/>
              <w:rPr>
                <w:b/>
              </w:rPr>
            </w:pPr>
            <w:r w:rsidRPr="00DB656D">
              <w:rPr>
                <w:b/>
              </w:rPr>
              <w:t xml:space="preserve">The Working Group </w:t>
            </w:r>
            <w:r w:rsidRPr="00DB656D">
              <w:rPr>
                <w:bCs/>
              </w:rPr>
              <w:t xml:space="preserve">will also be invited to consider additional amendment proposals by the </w:t>
            </w:r>
            <w:r w:rsidR="00A4146E">
              <w:rPr>
                <w:bCs/>
              </w:rPr>
              <w:t xml:space="preserve">EU </w:t>
            </w:r>
            <w:r w:rsidRPr="00DB656D">
              <w:rPr>
                <w:bCs/>
              </w:rPr>
              <w:t xml:space="preserve">and its </w:t>
            </w:r>
            <w:r w:rsidR="006D4B08">
              <w:rPr>
                <w:bCs/>
              </w:rPr>
              <w:t>m</w:t>
            </w:r>
            <w:r w:rsidRPr="00DB656D">
              <w:rPr>
                <w:bCs/>
              </w:rPr>
              <w:t xml:space="preserve">ember States to </w:t>
            </w:r>
            <w:r w:rsidR="00A95000">
              <w:rPr>
                <w:bCs/>
              </w:rPr>
              <w:t>section II</w:t>
            </w:r>
            <w:r w:rsidRPr="00DB656D">
              <w:rPr>
                <w:bCs/>
              </w:rPr>
              <w:t xml:space="preserve"> on methodology of the draft seventh review of </w:t>
            </w:r>
            <w:r w:rsidR="003D687E">
              <w:rPr>
                <w:bCs/>
              </w:rPr>
              <w:t xml:space="preserve">the </w:t>
            </w:r>
            <w:r w:rsidRPr="00DB656D">
              <w:rPr>
                <w:bCs/>
              </w:rPr>
              <w:t xml:space="preserve">implementation of the Convention (ECE/MP.EIA/WG.2/2022/3) and </w:t>
            </w:r>
            <w:r w:rsidR="007924F1">
              <w:rPr>
                <w:bCs/>
              </w:rPr>
              <w:t xml:space="preserve">section I </w:t>
            </w:r>
            <w:r w:rsidR="006C54A5">
              <w:rPr>
                <w:bCs/>
              </w:rPr>
              <w:t xml:space="preserve">on methodology </w:t>
            </w:r>
            <w:r w:rsidRPr="00DB656D">
              <w:rPr>
                <w:bCs/>
              </w:rPr>
              <w:t>of the draft fourth review of the implementation of the Protocol (ECE/MP.EIA/WG.2/2022/4),</w:t>
            </w:r>
            <w:r w:rsidR="00006422">
              <w:rPr>
                <w:bCs/>
              </w:rPr>
              <w:t xml:space="preserve"> as </w:t>
            </w:r>
            <w:r w:rsidRPr="00DB656D">
              <w:rPr>
                <w:bCs/>
              </w:rPr>
              <w:t xml:space="preserve">agreed by the Working Group at its eleventh session.  </w:t>
            </w:r>
          </w:p>
          <w:p w14:paraId="275B3BE6" w14:textId="707DD116" w:rsidR="00A4146E" w:rsidRPr="00FC5412" w:rsidRDefault="00C57CF3" w:rsidP="003B5FDC">
            <w:pPr>
              <w:pStyle w:val="Bullet1G"/>
              <w:ind w:left="142" w:right="260"/>
              <w:rPr>
                <w:b/>
              </w:rPr>
            </w:pPr>
            <w:r w:rsidRPr="00C57CF3">
              <w:rPr>
                <w:b/>
                <w:bCs/>
              </w:rPr>
              <w:lastRenderedPageBreak/>
              <w:t>The delegations</w:t>
            </w:r>
            <w:r w:rsidRPr="00860AAE">
              <w:t xml:space="preserve"> </w:t>
            </w:r>
            <w:r w:rsidR="00E91CE9">
              <w:t>may also wish</w:t>
            </w:r>
            <w:r w:rsidRPr="00860AAE">
              <w:t xml:space="preserve"> to consider the templates that the Implementation Committee finalized in consultation with the European Commission, to facilitate reporting of the </w:t>
            </w:r>
            <w:r w:rsidR="005A5CA9">
              <w:t>EU</w:t>
            </w:r>
            <w:r w:rsidRPr="00860AAE">
              <w:t xml:space="preserve"> under the Convention and the Protocol.  </w:t>
            </w:r>
          </w:p>
        </w:tc>
      </w:tr>
      <w:tr w:rsidR="003B5FDC" w:rsidRPr="00930D32" w14:paraId="2B02961E" w14:textId="77777777" w:rsidTr="00D9132C">
        <w:trPr>
          <w:jc w:val="center"/>
        </w:trPr>
        <w:tc>
          <w:tcPr>
            <w:tcW w:w="1350" w:type="dxa"/>
            <w:vMerge/>
            <w:shd w:val="clear" w:color="auto" w:fill="auto"/>
          </w:tcPr>
          <w:p w14:paraId="742E50A3" w14:textId="77777777" w:rsidR="003B5FDC" w:rsidRPr="00930D32" w:rsidRDefault="003B5FDC" w:rsidP="003B5FDC">
            <w:pPr>
              <w:spacing w:before="40" w:after="120"/>
              <w:ind w:left="143" w:right="113"/>
              <w:rPr>
                <w:b/>
                <w:bCs/>
              </w:rPr>
            </w:pPr>
          </w:p>
        </w:tc>
        <w:tc>
          <w:tcPr>
            <w:tcW w:w="921" w:type="dxa"/>
            <w:shd w:val="clear" w:color="auto" w:fill="auto"/>
          </w:tcPr>
          <w:p w14:paraId="2FD878EC" w14:textId="1DDE768C" w:rsidR="003B5FDC" w:rsidRDefault="003B5FDC" w:rsidP="003B5FDC">
            <w:pPr>
              <w:spacing w:before="40" w:after="120"/>
              <w:ind w:left="170" w:right="113"/>
            </w:pPr>
            <w:r>
              <w:t>17-17.30</w:t>
            </w:r>
          </w:p>
        </w:tc>
        <w:tc>
          <w:tcPr>
            <w:tcW w:w="2044" w:type="dxa"/>
            <w:shd w:val="clear" w:color="auto" w:fill="auto"/>
          </w:tcPr>
          <w:p w14:paraId="1EA3CB61" w14:textId="06EF8C32" w:rsidR="003B5FDC" w:rsidRPr="008D0347" w:rsidRDefault="003B5FDC" w:rsidP="003B5FDC">
            <w:pPr>
              <w:spacing w:before="40" w:after="120"/>
              <w:ind w:left="284" w:right="113" w:hanging="142"/>
              <w:rPr>
                <w:b/>
                <w:bCs/>
              </w:rPr>
            </w:pPr>
            <w:r w:rsidRPr="008D0347">
              <w:rPr>
                <w:b/>
                <w:bCs/>
              </w:rPr>
              <w:t>(c) Legislative assistance</w:t>
            </w:r>
          </w:p>
        </w:tc>
        <w:tc>
          <w:tcPr>
            <w:tcW w:w="3690" w:type="dxa"/>
            <w:shd w:val="clear" w:color="auto" w:fill="auto"/>
          </w:tcPr>
          <w:p w14:paraId="0CBE1352" w14:textId="0CB153BD" w:rsidR="003B5FDC" w:rsidRPr="00460FD5" w:rsidRDefault="00BA648C" w:rsidP="003B5FDC">
            <w:pPr>
              <w:spacing w:before="40" w:after="120" w:line="240" w:lineRule="auto"/>
              <w:ind w:left="176" w:right="113"/>
              <w:rPr>
                <w:iCs/>
              </w:rPr>
            </w:pPr>
            <w:r w:rsidRPr="00860AAE">
              <w:t>Workplan implementation status (ECE/MP.EIA/WG.2/2023/INF.</w:t>
            </w:r>
            <w:r w:rsidR="005B223C">
              <w:t>9</w:t>
            </w:r>
            <w:r w:rsidRPr="00860AAE">
              <w:t>)</w:t>
            </w:r>
            <w:r>
              <w:t xml:space="preserve"> </w:t>
            </w:r>
          </w:p>
        </w:tc>
        <w:tc>
          <w:tcPr>
            <w:tcW w:w="4656" w:type="dxa"/>
            <w:shd w:val="clear" w:color="auto" w:fill="auto"/>
          </w:tcPr>
          <w:p w14:paraId="72F7E469" w14:textId="18D23F6C" w:rsidR="003B5FDC" w:rsidRPr="00125CE2" w:rsidRDefault="00DD65E7" w:rsidP="003B5FDC">
            <w:pPr>
              <w:pStyle w:val="Bullet1G"/>
              <w:ind w:left="142" w:right="260"/>
            </w:pPr>
            <w:r w:rsidRPr="00DD65E7">
              <w:rPr>
                <w:b/>
                <w:bCs/>
              </w:rPr>
              <w:t xml:space="preserve">Representatives of the concerned countries </w:t>
            </w:r>
            <w:r w:rsidRPr="00DE6C7F">
              <w:t>in</w:t>
            </w:r>
            <w:r w:rsidR="00BE502A" w:rsidRPr="00DE6C7F">
              <w:t>cluding,</w:t>
            </w:r>
            <w:r w:rsidR="00BE502A">
              <w:rPr>
                <w:b/>
                <w:bCs/>
              </w:rPr>
              <w:t xml:space="preserve"> the Republic of Moldova</w:t>
            </w:r>
            <w:r w:rsidRPr="00DD65E7">
              <w:rPr>
                <w:b/>
                <w:bCs/>
              </w:rPr>
              <w:t xml:space="preserve"> </w:t>
            </w:r>
            <w:r w:rsidRPr="00860AAE">
              <w:t>will be invited to report on progress since the last meeting of the Working Group in establishing compliant legislation to implement the Convention and the Protocol further to technical advice received</w:t>
            </w:r>
            <w:r w:rsidR="00DE6C7F">
              <w:t>.</w:t>
            </w:r>
            <w:r w:rsidR="00F332CB">
              <w:t xml:space="preserve"> Updates from any</w:t>
            </w:r>
            <w:r w:rsidR="00DC0126">
              <w:t xml:space="preserve"> </w:t>
            </w:r>
            <w:r w:rsidR="00223E5E" w:rsidRPr="00DD65E7">
              <w:rPr>
                <w:b/>
                <w:bCs/>
              </w:rPr>
              <w:t>Central Asia</w:t>
            </w:r>
            <w:r w:rsidR="00DC0126">
              <w:rPr>
                <w:b/>
                <w:bCs/>
              </w:rPr>
              <w:t>n countries</w:t>
            </w:r>
            <w:r w:rsidR="00F332CB">
              <w:rPr>
                <w:b/>
                <w:bCs/>
              </w:rPr>
              <w:t xml:space="preserve"> </w:t>
            </w:r>
            <w:r w:rsidR="00125CE2">
              <w:t>are also welcome.</w:t>
            </w:r>
          </w:p>
        </w:tc>
      </w:tr>
      <w:tr w:rsidR="00661AC9" w:rsidRPr="00930D32" w14:paraId="3090DA7D" w14:textId="77777777" w:rsidTr="00D9132C">
        <w:trPr>
          <w:trHeight w:val="2920"/>
          <w:jc w:val="center"/>
        </w:trPr>
        <w:tc>
          <w:tcPr>
            <w:tcW w:w="1350" w:type="dxa"/>
            <w:vMerge/>
            <w:shd w:val="clear" w:color="auto" w:fill="auto"/>
          </w:tcPr>
          <w:p w14:paraId="36954FD7" w14:textId="77777777" w:rsidR="00661AC9" w:rsidRPr="00930D32" w:rsidRDefault="00661AC9" w:rsidP="003B5FDC">
            <w:pPr>
              <w:spacing w:before="40" w:after="120"/>
              <w:ind w:left="143" w:right="113"/>
              <w:rPr>
                <w:b/>
                <w:bCs/>
              </w:rPr>
            </w:pPr>
          </w:p>
        </w:tc>
        <w:tc>
          <w:tcPr>
            <w:tcW w:w="921" w:type="dxa"/>
            <w:shd w:val="clear" w:color="auto" w:fill="auto"/>
          </w:tcPr>
          <w:p w14:paraId="1924AACC" w14:textId="7FE2D956" w:rsidR="00661AC9" w:rsidRDefault="00661AC9" w:rsidP="003B5FDC">
            <w:pPr>
              <w:spacing w:before="40" w:after="120"/>
              <w:ind w:left="170" w:right="113"/>
            </w:pPr>
            <w:r>
              <w:t>17.30-18</w:t>
            </w:r>
          </w:p>
        </w:tc>
        <w:tc>
          <w:tcPr>
            <w:tcW w:w="2044" w:type="dxa"/>
            <w:shd w:val="clear" w:color="auto" w:fill="auto"/>
          </w:tcPr>
          <w:p w14:paraId="4A130943" w14:textId="65E78B64" w:rsidR="00661AC9" w:rsidRPr="008D0347" w:rsidRDefault="00661AC9" w:rsidP="003B5FDC">
            <w:pPr>
              <w:spacing w:before="40" w:after="120"/>
              <w:ind w:left="284" w:right="113" w:hanging="142"/>
              <w:rPr>
                <w:b/>
                <w:bCs/>
              </w:rPr>
            </w:pPr>
            <w:r w:rsidRPr="00860AAE">
              <w:rPr>
                <w:b/>
                <w:bCs/>
              </w:rPr>
              <w:t>6. Promoting practical application of the Convention</w:t>
            </w:r>
            <w:r w:rsidR="00CB78EB">
              <w:rPr>
                <w:b/>
                <w:bCs/>
              </w:rPr>
              <w:t xml:space="preserve"> and the </w:t>
            </w:r>
            <w:r w:rsidR="00583F63">
              <w:rPr>
                <w:b/>
                <w:bCs/>
              </w:rPr>
              <w:t>Protocol</w:t>
            </w:r>
          </w:p>
          <w:p w14:paraId="2EB916B9" w14:textId="575719D1" w:rsidR="00661AC9" w:rsidRPr="008D0347" w:rsidRDefault="00661AC9" w:rsidP="003B5FDC">
            <w:pPr>
              <w:spacing w:before="40" w:after="120"/>
              <w:ind w:left="284" w:right="113" w:hanging="142"/>
              <w:rPr>
                <w:b/>
                <w:bCs/>
              </w:rPr>
            </w:pPr>
            <w:r w:rsidRPr="00114E69">
              <w:rPr>
                <w:b/>
                <w:bCs/>
              </w:rPr>
              <w:t>(a) Draft guidance on assessing health impacts in strategic environmental assessment</w:t>
            </w:r>
          </w:p>
        </w:tc>
        <w:tc>
          <w:tcPr>
            <w:tcW w:w="3690" w:type="dxa"/>
            <w:shd w:val="clear" w:color="auto" w:fill="auto"/>
          </w:tcPr>
          <w:p w14:paraId="58CAD9E3" w14:textId="2D6BC5CD" w:rsidR="00012484" w:rsidRPr="00012484" w:rsidRDefault="00012484" w:rsidP="00012484">
            <w:pPr>
              <w:spacing w:before="40" w:after="120" w:line="240" w:lineRule="auto"/>
              <w:ind w:left="176" w:right="113"/>
              <w:rPr>
                <w:iCs/>
              </w:rPr>
            </w:pPr>
            <w:r w:rsidRPr="00012484">
              <w:rPr>
                <w:iCs/>
              </w:rPr>
              <w:t>Draft guidance on assessing health impacts in strategic environmental assessment</w:t>
            </w:r>
            <w:r w:rsidRPr="00012484">
              <w:rPr>
                <w:iCs/>
              </w:rPr>
              <w:tab/>
            </w:r>
            <w:r w:rsidR="0016212E">
              <w:rPr>
                <w:iCs/>
              </w:rPr>
              <w:t>(</w:t>
            </w:r>
            <w:r w:rsidRPr="00012484">
              <w:rPr>
                <w:iCs/>
              </w:rPr>
              <w:t>ECE/MP.EIA/WG.2/202</w:t>
            </w:r>
            <w:r w:rsidR="00037CBF">
              <w:rPr>
                <w:iCs/>
              </w:rPr>
              <w:t>3</w:t>
            </w:r>
            <w:r w:rsidRPr="00012484">
              <w:rPr>
                <w:iCs/>
              </w:rPr>
              <w:t>/8</w:t>
            </w:r>
            <w:r w:rsidR="0016212E">
              <w:rPr>
                <w:iCs/>
              </w:rPr>
              <w:t>)</w:t>
            </w:r>
          </w:p>
          <w:p w14:paraId="0DA97D0B" w14:textId="3DD5631F" w:rsidR="00661AC9" w:rsidRPr="00460FD5" w:rsidRDefault="00661AC9" w:rsidP="00012484">
            <w:pPr>
              <w:spacing w:before="40" w:after="120" w:line="240" w:lineRule="auto"/>
              <w:ind w:left="176" w:right="113"/>
              <w:rPr>
                <w:iCs/>
              </w:rPr>
            </w:pPr>
          </w:p>
        </w:tc>
        <w:tc>
          <w:tcPr>
            <w:tcW w:w="4656" w:type="dxa"/>
            <w:shd w:val="clear" w:color="auto" w:fill="auto"/>
          </w:tcPr>
          <w:p w14:paraId="0C685665" w14:textId="3D9AE35F" w:rsidR="00661AC9" w:rsidRPr="00D40DE3" w:rsidRDefault="002763D8" w:rsidP="003B5FDC">
            <w:pPr>
              <w:pStyle w:val="Bullet1G"/>
              <w:ind w:left="142" w:right="260"/>
              <w:rPr>
                <w:b/>
              </w:rPr>
            </w:pPr>
            <w:r w:rsidRPr="002763D8">
              <w:rPr>
                <w:b/>
                <w:bCs/>
              </w:rPr>
              <w:t>The Working Group</w:t>
            </w:r>
            <w:r w:rsidRPr="00860AAE">
              <w:t xml:space="preserve"> is expected to finalize the draft guidance on assessing health impacts in </w:t>
            </w:r>
            <w:r w:rsidR="00D610BA">
              <w:t>SEA</w:t>
            </w:r>
            <w:r w:rsidRPr="00860AAE">
              <w:t xml:space="preserve">, as requested by the </w:t>
            </w:r>
            <w:r>
              <w:t>MOP</w:t>
            </w:r>
            <w:r w:rsidRPr="00860AAE">
              <w:t xml:space="preserve"> to the Protocol at its last session. It is expected to consider a draft, as last revised by the </w:t>
            </w:r>
            <w:r w:rsidR="00D40DE3">
              <w:t>EU</w:t>
            </w:r>
            <w:r w:rsidRPr="00860AAE">
              <w:t xml:space="preserve"> and its member States, and subsequently agreed by the Bureau, and </w:t>
            </w:r>
            <w:r w:rsidR="00017A3F">
              <w:t xml:space="preserve">to </w:t>
            </w:r>
            <w:r w:rsidRPr="00860AAE">
              <w:t xml:space="preserve">agree on the text of the draft guidance to be submitted to the </w:t>
            </w:r>
            <w:r w:rsidR="00D40DE3">
              <w:t>MOP</w:t>
            </w:r>
            <w:r w:rsidRPr="00860AAE">
              <w:t xml:space="preserve"> to the Protocol at its next session.</w:t>
            </w:r>
          </w:p>
          <w:p w14:paraId="3A2ECD90" w14:textId="23817400" w:rsidR="00D40DE3" w:rsidRPr="00FC5412" w:rsidRDefault="00D40DE3" w:rsidP="00BA175C">
            <w:pPr>
              <w:pStyle w:val="Bullet1G"/>
              <w:ind w:left="142" w:right="260"/>
              <w:rPr>
                <w:b/>
              </w:rPr>
            </w:pPr>
          </w:p>
        </w:tc>
      </w:tr>
      <w:tr w:rsidR="003B5FDC" w:rsidRPr="00930D32" w14:paraId="1C0C99C9" w14:textId="77777777" w:rsidTr="00D9132C">
        <w:trPr>
          <w:jc w:val="center"/>
        </w:trPr>
        <w:tc>
          <w:tcPr>
            <w:tcW w:w="1350" w:type="dxa"/>
            <w:vMerge w:val="restart"/>
            <w:shd w:val="clear" w:color="auto" w:fill="auto"/>
          </w:tcPr>
          <w:p w14:paraId="3BC799BA" w14:textId="77777777" w:rsidR="003B5FDC" w:rsidRDefault="003B5FDC" w:rsidP="003B5FDC">
            <w:pPr>
              <w:spacing w:before="40" w:after="120"/>
              <w:ind w:left="143" w:right="113"/>
              <w:rPr>
                <w:b/>
              </w:rPr>
            </w:pPr>
            <w:r w:rsidRPr="00860AAE">
              <w:rPr>
                <w:b/>
              </w:rPr>
              <w:t>Thursday, 15 June</w:t>
            </w:r>
          </w:p>
          <w:p w14:paraId="75E4B101" w14:textId="77777777" w:rsidR="008131E4" w:rsidRDefault="008131E4" w:rsidP="003B5FDC">
            <w:pPr>
              <w:spacing w:before="40" w:after="120"/>
              <w:ind w:left="143" w:right="113"/>
              <w:rPr>
                <w:b/>
              </w:rPr>
            </w:pPr>
          </w:p>
          <w:p w14:paraId="5878D70B" w14:textId="77777777" w:rsidR="008131E4" w:rsidRDefault="008131E4" w:rsidP="003B5FDC">
            <w:pPr>
              <w:spacing w:before="40" w:after="120"/>
              <w:ind w:left="143" w:right="113"/>
              <w:rPr>
                <w:b/>
              </w:rPr>
            </w:pPr>
          </w:p>
          <w:p w14:paraId="2DEC69A6" w14:textId="77777777" w:rsidR="008131E4" w:rsidRDefault="008131E4" w:rsidP="003B5FDC">
            <w:pPr>
              <w:spacing w:before="40" w:after="120"/>
              <w:ind w:left="143" w:right="113"/>
              <w:rPr>
                <w:b/>
              </w:rPr>
            </w:pPr>
          </w:p>
          <w:p w14:paraId="7BFFF43A" w14:textId="77777777" w:rsidR="008131E4" w:rsidRDefault="008131E4" w:rsidP="003B5FDC">
            <w:pPr>
              <w:spacing w:before="40" w:after="120"/>
              <w:ind w:left="143" w:right="113"/>
              <w:rPr>
                <w:b/>
              </w:rPr>
            </w:pPr>
          </w:p>
          <w:p w14:paraId="0AF43DC3" w14:textId="77777777" w:rsidR="008131E4" w:rsidRDefault="008131E4" w:rsidP="003B5FDC">
            <w:pPr>
              <w:spacing w:before="40" w:after="120"/>
              <w:ind w:left="143" w:right="113"/>
              <w:rPr>
                <w:b/>
              </w:rPr>
            </w:pPr>
          </w:p>
          <w:p w14:paraId="201A36BF" w14:textId="77777777" w:rsidR="008131E4" w:rsidRDefault="008131E4" w:rsidP="003B5FDC">
            <w:pPr>
              <w:spacing w:before="40" w:after="120"/>
              <w:ind w:left="143" w:right="113"/>
              <w:rPr>
                <w:b/>
              </w:rPr>
            </w:pPr>
          </w:p>
          <w:p w14:paraId="76D45D2A" w14:textId="77777777" w:rsidR="008131E4" w:rsidRDefault="008131E4" w:rsidP="003B5FDC">
            <w:pPr>
              <w:spacing w:before="40" w:after="120"/>
              <w:ind w:left="143" w:right="113"/>
              <w:rPr>
                <w:b/>
              </w:rPr>
            </w:pPr>
          </w:p>
          <w:p w14:paraId="472FDE9C" w14:textId="77777777" w:rsidR="008131E4" w:rsidRDefault="008131E4" w:rsidP="003B5FDC">
            <w:pPr>
              <w:spacing w:before="40" w:after="120"/>
              <w:ind w:left="143" w:right="113"/>
              <w:rPr>
                <w:b/>
              </w:rPr>
            </w:pPr>
          </w:p>
          <w:p w14:paraId="2337A7C9" w14:textId="77777777" w:rsidR="008131E4" w:rsidRDefault="008131E4" w:rsidP="003B5FDC">
            <w:pPr>
              <w:spacing w:before="40" w:after="120"/>
              <w:ind w:left="143" w:right="113"/>
              <w:rPr>
                <w:b/>
              </w:rPr>
            </w:pPr>
            <w:r w:rsidRPr="00860AAE">
              <w:rPr>
                <w:b/>
              </w:rPr>
              <w:t>Thursday, 15 June</w:t>
            </w:r>
          </w:p>
          <w:p w14:paraId="2C0DB4D8" w14:textId="77777777" w:rsidR="008131E4" w:rsidRDefault="008131E4" w:rsidP="003B5FDC">
            <w:pPr>
              <w:spacing w:before="40" w:after="120"/>
              <w:ind w:left="143" w:right="113"/>
              <w:rPr>
                <w:b/>
              </w:rPr>
            </w:pPr>
          </w:p>
          <w:p w14:paraId="2DF5BCFB" w14:textId="77777777" w:rsidR="008131E4" w:rsidRDefault="008131E4" w:rsidP="003B5FDC">
            <w:pPr>
              <w:spacing w:before="40" w:after="120"/>
              <w:ind w:left="143" w:right="113"/>
              <w:rPr>
                <w:b/>
              </w:rPr>
            </w:pPr>
          </w:p>
          <w:p w14:paraId="3E2BA17A" w14:textId="77777777" w:rsidR="008131E4" w:rsidRDefault="008131E4" w:rsidP="003B5FDC">
            <w:pPr>
              <w:spacing w:before="40" w:after="120"/>
              <w:ind w:left="143" w:right="113"/>
              <w:rPr>
                <w:b/>
              </w:rPr>
            </w:pPr>
          </w:p>
          <w:p w14:paraId="366D9D85" w14:textId="77777777" w:rsidR="008131E4" w:rsidRDefault="008131E4" w:rsidP="003B5FDC">
            <w:pPr>
              <w:spacing w:before="40" w:after="120"/>
              <w:ind w:left="143" w:right="113"/>
              <w:rPr>
                <w:b/>
              </w:rPr>
            </w:pPr>
          </w:p>
          <w:p w14:paraId="1ECA4709" w14:textId="77777777" w:rsidR="008131E4" w:rsidRDefault="008131E4" w:rsidP="003B5FDC">
            <w:pPr>
              <w:spacing w:before="40" w:after="120"/>
              <w:ind w:left="143" w:right="113"/>
              <w:rPr>
                <w:b/>
              </w:rPr>
            </w:pPr>
          </w:p>
          <w:p w14:paraId="0228C1FA" w14:textId="77777777" w:rsidR="008131E4" w:rsidRDefault="008131E4" w:rsidP="003B5FDC">
            <w:pPr>
              <w:spacing w:before="40" w:after="120"/>
              <w:ind w:left="143" w:right="113"/>
              <w:rPr>
                <w:b/>
              </w:rPr>
            </w:pPr>
          </w:p>
          <w:p w14:paraId="33CB1A26" w14:textId="77777777" w:rsidR="008131E4" w:rsidRDefault="008131E4" w:rsidP="003B5FDC">
            <w:pPr>
              <w:spacing w:before="40" w:after="120"/>
              <w:ind w:left="143" w:right="113"/>
              <w:rPr>
                <w:b/>
              </w:rPr>
            </w:pPr>
          </w:p>
          <w:p w14:paraId="349AAFB3" w14:textId="77777777" w:rsidR="008131E4" w:rsidRDefault="008131E4" w:rsidP="003B5FDC">
            <w:pPr>
              <w:spacing w:before="40" w:after="120"/>
              <w:ind w:left="143" w:right="113"/>
              <w:rPr>
                <w:b/>
              </w:rPr>
            </w:pPr>
          </w:p>
          <w:p w14:paraId="6D3BFF87" w14:textId="77777777" w:rsidR="008131E4" w:rsidRDefault="008131E4" w:rsidP="003B5FDC">
            <w:pPr>
              <w:spacing w:before="40" w:after="120"/>
              <w:ind w:left="143" w:right="113"/>
              <w:rPr>
                <w:b/>
              </w:rPr>
            </w:pPr>
          </w:p>
          <w:p w14:paraId="305DE148" w14:textId="77777777" w:rsidR="008131E4" w:rsidRDefault="008131E4" w:rsidP="003B5FDC">
            <w:pPr>
              <w:spacing w:before="40" w:after="120"/>
              <w:ind w:left="143" w:right="113"/>
              <w:rPr>
                <w:b/>
              </w:rPr>
            </w:pPr>
          </w:p>
          <w:p w14:paraId="1852FBEA" w14:textId="77777777" w:rsidR="008131E4" w:rsidRDefault="008131E4" w:rsidP="003B5FDC">
            <w:pPr>
              <w:spacing w:before="40" w:after="120"/>
              <w:ind w:left="143" w:right="113"/>
              <w:rPr>
                <w:b/>
              </w:rPr>
            </w:pPr>
          </w:p>
          <w:p w14:paraId="332A57AE" w14:textId="77777777" w:rsidR="008131E4" w:rsidRDefault="008131E4" w:rsidP="003B5FDC">
            <w:pPr>
              <w:spacing w:before="40" w:after="120"/>
              <w:ind w:left="143" w:right="113"/>
              <w:rPr>
                <w:b/>
              </w:rPr>
            </w:pPr>
          </w:p>
          <w:p w14:paraId="1298BD69" w14:textId="77777777" w:rsidR="008131E4" w:rsidRDefault="008131E4" w:rsidP="003B5FDC">
            <w:pPr>
              <w:spacing w:before="40" w:after="120"/>
              <w:ind w:left="143" w:right="113"/>
              <w:rPr>
                <w:b/>
              </w:rPr>
            </w:pPr>
          </w:p>
          <w:p w14:paraId="11732EE1" w14:textId="77777777" w:rsidR="008131E4" w:rsidRDefault="008131E4" w:rsidP="003B5FDC">
            <w:pPr>
              <w:spacing w:before="40" w:after="120"/>
              <w:ind w:left="143" w:right="113"/>
              <w:rPr>
                <w:b/>
              </w:rPr>
            </w:pPr>
          </w:p>
          <w:p w14:paraId="6F0AB7B3" w14:textId="77777777" w:rsidR="008131E4" w:rsidRDefault="008131E4" w:rsidP="003B5FDC">
            <w:pPr>
              <w:spacing w:before="40" w:after="120"/>
              <w:ind w:left="143" w:right="113"/>
              <w:rPr>
                <w:b/>
              </w:rPr>
            </w:pPr>
          </w:p>
          <w:p w14:paraId="01029A9A" w14:textId="77777777" w:rsidR="008131E4" w:rsidRDefault="008131E4" w:rsidP="003B5FDC">
            <w:pPr>
              <w:spacing w:before="40" w:after="120"/>
              <w:ind w:left="143" w:right="113"/>
              <w:rPr>
                <w:b/>
              </w:rPr>
            </w:pPr>
          </w:p>
          <w:p w14:paraId="630FD9A8" w14:textId="77777777" w:rsidR="008131E4" w:rsidRDefault="008131E4" w:rsidP="003B5FDC">
            <w:pPr>
              <w:spacing w:before="40" w:after="120"/>
              <w:ind w:left="143" w:right="113"/>
              <w:rPr>
                <w:b/>
              </w:rPr>
            </w:pPr>
          </w:p>
          <w:p w14:paraId="00D8F10C" w14:textId="77777777" w:rsidR="008131E4" w:rsidRDefault="008131E4" w:rsidP="003B5FDC">
            <w:pPr>
              <w:spacing w:before="40" w:after="120"/>
              <w:ind w:left="143" w:right="113"/>
              <w:rPr>
                <w:b/>
              </w:rPr>
            </w:pPr>
          </w:p>
          <w:p w14:paraId="38BE48BA" w14:textId="77777777" w:rsidR="008131E4" w:rsidRDefault="008131E4" w:rsidP="003B5FDC">
            <w:pPr>
              <w:spacing w:before="40" w:after="120"/>
              <w:ind w:left="143" w:right="113"/>
              <w:rPr>
                <w:b/>
              </w:rPr>
            </w:pPr>
          </w:p>
          <w:p w14:paraId="450D595E" w14:textId="77777777" w:rsidR="008131E4" w:rsidRDefault="008131E4" w:rsidP="003B5FDC">
            <w:pPr>
              <w:spacing w:before="40" w:after="120"/>
              <w:ind w:left="143" w:right="113"/>
              <w:rPr>
                <w:b/>
              </w:rPr>
            </w:pPr>
          </w:p>
          <w:p w14:paraId="6BBF79ED" w14:textId="77777777" w:rsidR="008131E4" w:rsidRDefault="008131E4" w:rsidP="003B5FDC">
            <w:pPr>
              <w:spacing w:before="40" w:after="120"/>
              <w:ind w:left="143" w:right="113"/>
              <w:rPr>
                <w:b/>
              </w:rPr>
            </w:pPr>
          </w:p>
          <w:p w14:paraId="69942C65" w14:textId="77777777" w:rsidR="008131E4" w:rsidRDefault="008131E4" w:rsidP="003B5FDC">
            <w:pPr>
              <w:spacing w:before="40" w:after="120"/>
              <w:ind w:left="143" w:right="113"/>
              <w:rPr>
                <w:b/>
              </w:rPr>
            </w:pPr>
          </w:p>
          <w:p w14:paraId="544298DF" w14:textId="77777777" w:rsidR="008131E4" w:rsidRDefault="008131E4" w:rsidP="003B5FDC">
            <w:pPr>
              <w:spacing w:before="40" w:after="120"/>
              <w:ind w:left="143" w:right="113"/>
              <w:rPr>
                <w:b/>
              </w:rPr>
            </w:pPr>
            <w:r w:rsidRPr="00860AAE">
              <w:rPr>
                <w:b/>
              </w:rPr>
              <w:t>Thursday, 15 June</w:t>
            </w:r>
          </w:p>
          <w:p w14:paraId="176F7C83" w14:textId="77777777" w:rsidR="008131E4" w:rsidRDefault="008131E4" w:rsidP="003B5FDC">
            <w:pPr>
              <w:spacing w:before="40" w:after="120"/>
              <w:ind w:left="143" w:right="113"/>
              <w:rPr>
                <w:b/>
              </w:rPr>
            </w:pPr>
          </w:p>
          <w:p w14:paraId="7C527167" w14:textId="77777777" w:rsidR="008131E4" w:rsidRDefault="008131E4" w:rsidP="003B5FDC">
            <w:pPr>
              <w:spacing w:before="40" w:after="120"/>
              <w:ind w:left="143" w:right="113"/>
              <w:rPr>
                <w:b/>
              </w:rPr>
            </w:pPr>
          </w:p>
          <w:p w14:paraId="76F247E2" w14:textId="77777777" w:rsidR="008131E4" w:rsidRDefault="008131E4" w:rsidP="003B5FDC">
            <w:pPr>
              <w:spacing w:before="40" w:after="120"/>
              <w:ind w:left="143" w:right="113"/>
              <w:rPr>
                <w:b/>
              </w:rPr>
            </w:pPr>
          </w:p>
          <w:p w14:paraId="27AA4CC6" w14:textId="77777777" w:rsidR="008131E4" w:rsidRDefault="008131E4" w:rsidP="003B5FDC">
            <w:pPr>
              <w:spacing w:before="40" w:after="120"/>
              <w:ind w:left="143" w:right="113"/>
              <w:rPr>
                <w:b/>
              </w:rPr>
            </w:pPr>
          </w:p>
          <w:p w14:paraId="5A85C73F" w14:textId="77777777" w:rsidR="008131E4" w:rsidRDefault="008131E4" w:rsidP="003B5FDC">
            <w:pPr>
              <w:spacing w:before="40" w:after="120"/>
              <w:ind w:left="143" w:right="113"/>
              <w:rPr>
                <w:b/>
              </w:rPr>
            </w:pPr>
          </w:p>
          <w:p w14:paraId="15ACBEA5" w14:textId="77777777" w:rsidR="008131E4" w:rsidRDefault="008131E4" w:rsidP="003B5FDC">
            <w:pPr>
              <w:spacing w:before="40" w:after="120"/>
              <w:ind w:left="143" w:right="113"/>
              <w:rPr>
                <w:b/>
              </w:rPr>
            </w:pPr>
          </w:p>
          <w:p w14:paraId="55857923" w14:textId="77777777" w:rsidR="008131E4" w:rsidRDefault="008131E4" w:rsidP="003B5FDC">
            <w:pPr>
              <w:spacing w:before="40" w:after="120"/>
              <w:ind w:left="143" w:right="113"/>
              <w:rPr>
                <w:b/>
              </w:rPr>
            </w:pPr>
          </w:p>
          <w:p w14:paraId="176E71DF" w14:textId="77777777" w:rsidR="008131E4" w:rsidRDefault="008131E4" w:rsidP="003B5FDC">
            <w:pPr>
              <w:spacing w:before="40" w:after="120"/>
              <w:ind w:left="143" w:right="113"/>
              <w:rPr>
                <w:b/>
              </w:rPr>
            </w:pPr>
          </w:p>
          <w:p w14:paraId="154F3FDB" w14:textId="77777777" w:rsidR="008131E4" w:rsidRDefault="008131E4" w:rsidP="003B5FDC">
            <w:pPr>
              <w:spacing w:before="40" w:after="120"/>
              <w:ind w:left="143" w:right="113"/>
              <w:rPr>
                <w:b/>
              </w:rPr>
            </w:pPr>
          </w:p>
          <w:p w14:paraId="7B80F963" w14:textId="77777777" w:rsidR="008131E4" w:rsidRDefault="008131E4" w:rsidP="003B5FDC">
            <w:pPr>
              <w:spacing w:before="40" w:after="120"/>
              <w:ind w:left="143" w:right="113"/>
              <w:rPr>
                <w:b/>
              </w:rPr>
            </w:pPr>
          </w:p>
          <w:p w14:paraId="0D0F622B" w14:textId="77777777" w:rsidR="008131E4" w:rsidRDefault="008131E4" w:rsidP="003B5FDC">
            <w:pPr>
              <w:spacing w:before="40" w:after="120"/>
              <w:ind w:left="143" w:right="113"/>
              <w:rPr>
                <w:b/>
              </w:rPr>
            </w:pPr>
          </w:p>
          <w:p w14:paraId="02419BA6" w14:textId="77777777" w:rsidR="008131E4" w:rsidRDefault="008131E4" w:rsidP="003B5FDC">
            <w:pPr>
              <w:spacing w:before="40" w:after="120"/>
              <w:ind w:left="143" w:right="113"/>
              <w:rPr>
                <w:b/>
              </w:rPr>
            </w:pPr>
          </w:p>
          <w:p w14:paraId="62F162B8" w14:textId="77777777" w:rsidR="008131E4" w:rsidRDefault="008131E4" w:rsidP="003B5FDC">
            <w:pPr>
              <w:spacing w:before="40" w:after="120"/>
              <w:ind w:left="143" w:right="113"/>
              <w:rPr>
                <w:b/>
              </w:rPr>
            </w:pPr>
          </w:p>
          <w:p w14:paraId="0086C228" w14:textId="77777777" w:rsidR="008131E4" w:rsidRDefault="008131E4" w:rsidP="003B5FDC">
            <w:pPr>
              <w:spacing w:before="40" w:after="120"/>
              <w:ind w:left="143" w:right="113"/>
              <w:rPr>
                <w:b/>
              </w:rPr>
            </w:pPr>
          </w:p>
          <w:p w14:paraId="5D998B65" w14:textId="77777777" w:rsidR="008131E4" w:rsidRDefault="008131E4" w:rsidP="003B5FDC">
            <w:pPr>
              <w:spacing w:before="40" w:after="120"/>
              <w:ind w:left="143" w:right="113"/>
              <w:rPr>
                <w:b/>
              </w:rPr>
            </w:pPr>
          </w:p>
          <w:p w14:paraId="2EA0CB60" w14:textId="77777777" w:rsidR="008131E4" w:rsidRDefault="008131E4" w:rsidP="003B5FDC">
            <w:pPr>
              <w:spacing w:before="40" w:after="120"/>
              <w:ind w:left="143" w:right="113"/>
              <w:rPr>
                <w:b/>
              </w:rPr>
            </w:pPr>
          </w:p>
          <w:p w14:paraId="437B6B07" w14:textId="77777777" w:rsidR="008131E4" w:rsidRDefault="008131E4" w:rsidP="003B5FDC">
            <w:pPr>
              <w:spacing w:before="40" w:after="120"/>
              <w:ind w:left="143" w:right="113"/>
              <w:rPr>
                <w:b/>
              </w:rPr>
            </w:pPr>
          </w:p>
          <w:p w14:paraId="6D0FBF55" w14:textId="77777777" w:rsidR="008131E4" w:rsidRDefault="008131E4" w:rsidP="003B5FDC">
            <w:pPr>
              <w:spacing w:before="40" w:after="120"/>
              <w:ind w:left="143" w:right="113"/>
              <w:rPr>
                <w:b/>
              </w:rPr>
            </w:pPr>
          </w:p>
          <w:p w14:paraId="06EBE1FC" w14:textId="77777777" w:rsidR="008131E4" w:rsidRDefault="008131E4" w:rsidP="003B5FDC">
            <w:pPr>
              <w:spacing w:before="40" w:after="120"/>
              <w:ind w:left="143" w:right="113"/>
              <w:rPr>
                <w:b/>
              </w:rPr>
            </w:pPr>
          </w:p>
          <w:p w14:paraId="6D3DFD46" w14:textId="77777777" w:rsidR="008131E4" w:rsidRDefault="008131E4" w:rsidP="003B5FDC">
            <w:pPr>
              <w:spacing w:before="40" w:after="120"/>
              <w:ind w:left="143" w:right="113"/>
              <w:rPr>
                <w:b/>
              </w:rPr>
            </w:pPr>
          </w:p>
          <w:p w14:paraId="36EA7DA3" w14:textId="77777777" w:rsidR="008131E4" w:rsidRDefault="008131E4" w:rsidP="003B5FDC">
            <w:pPr>
              <w:spacing w:before="40" w:after="120"/>
              <w:ind w:left="143" w:right="113"/>
              <w:rPr>
                <w:b/>
              </w:rPr>
            </w:pPr>
          </w:p>
          <w:p w14:paraId="7F945A3D" w14:textId="77777777" w:rsidR="008131E4" w:rsidRDefault="008131E4" w:rsidP="003B5FDC">
            <w:pPr>
              <w:spacing w:before="40" w:after="120"/>
              <w:ind w:left="143" w:right="113"/>
              <w:rPr>
                <w:b/>
              </w:rPr>
            </w:pPr>
          </w:p>
          <w:p w14:paraId="10E0DCC3" w14:textId="77777777" w:rsidR="008131E4" w:rsidRDefault="008131E4" w:rsidP="003B5FDC">
            <w:pPr>
              <w:spacing w:before="40" w:after="120"/>
              <w:ind w:left="143" w:right="113"/>
              <w:rPr>
                <w:b/>
              </w:rPr>
            </w:pPr>
          </w:p>
          <w:p w14:paraId="14AAB800" w14:textId="1D81E98D" w:rsidR="008131E4" w:rsidRPr="008131E4" w:rsidRDefault="008131E4" w:rsidP="003B5FDC">
            <w:pPr>
              <w:spacing w:before="40" w:after="120"/>
              <w:ind w:left="143" w:right="113"/>
              <w:rPr>
                <w:bCs/>
              </w:rPr>
            </w:pPr>
            <w:r w:rsidRPr="00860AAE">
              <w:rPr>
                <w:b/>
              </w:rPr>
              <w:t>Thursday, 15 June</w:t>
            </w:r>
          </w:p>
        </w:tc>
        <w:tc>
          <w:tcPr>
            <w:tcW w:w="921" w:type="dxa"/>
            <w:shd w:val="clear" w:color="auto" w:fill="auto"/>
          </w:tcPr>
          <w:p w14:paraId="7461A180" w14:textId="321977A9" w:rsidR="003B5FDC" w:rsidRDefault="003B5FDC" w:rsidP="003B5FDC">
            <w:pPr>
              <w:spacing w:before="40" w:after="120"/>
              <w:ind w:left="170" w:right="113"/>
            </w:pPr>
            <w:r>
              <w:lastRenderedPageBreak/>
              <w:t>10-11</w:t>
            </w:r>
          </w:p>
        </w:tc>
        <w:tc>
          <w:tcPr>
            <w:tcW w:w="2044" w:type="dxa"/>
            <w:shd w:val="clear" w:color="auto" w:fill="auto"/>
            <w:vAlign w:val="bottom"/>
          </w:tcPr>
          <w:p w14:paraId="607DB2F8" w14:textId="5146F717" w:rsidR="003B5FDC" w:rsidRPr="00114E69" w:rsidRDefault="000063F7" w:rsidP="003B5FDC">
            <w:pPr>
              <w:spacing w:before="40" w:after="120"/>
              <w:ind w:left="284" w:right="113" w:hanging="142"/>
              <w:rPr>
                <w:b/>
                <w:bCs/>
              </w:rPr>
            </w:pPr>
            <w:r>
              <w:rPr>
                <w:b/>
                <w:bCs/>
              </w:rPr>
              <w:t xml:space="preserve">6 </w:t>
            </w:r>
            <w:r w:rsidR="003B5FDC" w:rsidRPr="00114E69">
              <w:rPr>
                <w:b/>
                <w:bCs/>
              </w:rPr>
              <w:t xml:space="preserve">(a) Draft guidance on assessing health impacts in strategic environmental assessment </w:t>
            </w:r>
            <w:r w:rsidR="00114E69" w:rsidRPr="00114E69">
              <w:rPr>
                <w:b/>
                <w:bCs/>
              </w:rPr>
              <w:t>(cont’d)</w:t>
            </w:r>
          </w:p>
        </w:tc>
        <w:tc>
          <w:tcPr>
            <w:tcW w:w="3690" w:type="dxa"/>
            <w:shd w:val="clear" w:color="auto" w:fill="auto"/>
          </w:tcPr>
          <w:p w14:paraId="5147BD84" w14:textId="3E487DE5" w:rsidR="003B5FDC" w:rsidRPr="00460FD5" w:rsidRDefault="00BA175C" w:rsidP="003B5FDC">
            <w:pPr>
              <w:spacing w:before="40" w:after="120" w:line="240" w:lineRule="auto"/>
              <w:ind w:left="176" w:right="113"/>
              <w:rPr>
                <w:iCs/>
              </w:rPr>
            </w:pPr>
            <w:r w:rsidRPr="00012484">
              <w:rPr>
                <w:iCs/>
              </w:rPr>
              <w:t>Draft decisions by the Meeting of the Parties to the Protocol</w:t>
            </w:r>
            <w:r>
              <w:rPr>
                <w:iCs/>
              </w:rPr>
              <w:t xml:space="preserve"> </w:t>
            </w:r>
            <w:r w:rsidRPr="00012484">
              <w:rPr>
                <w:iCs/>
              </w:rPr>
              <w:t>(ECE/MP.EIA/WG.2/2023/6)</w:t>
            </w:r>
          </w:p>
        </w:tc>
        <w:tc>
          <w:tcPr>
            <w:tcW w:w="4656" w:type="dxa"/>
            <w:shd w:val="clear" w:color="auto" w:fill="auto"/>
          </w:tcPr>
          <w:p w14:paraId="483E6099" w14:textId="5FD12E6E" w:rsidR="003B5FDC" w:rsidRPr="00FC5412" w:rsidRDefault="00BA175C" w:rsidP="003B5FDC">
            <w:pPr>
              <w:pStyle w:val="Bullet1G"/>
              <w:ind w:left="142" w:right="260"/>
              <w:rPr>
                <w:b/>
              </w:rPr>
            </w:pPr>
            <w:r w:rsidRPr="00711C8E">
              <w:rPr>
                <w:b/>
                <w:bCs/>
              </w:rPr>
              <w:t>The Working Group</w:t>
            </w:r>
            <w:r w:rsidRPr="00860AAE">
              <w:t xml:space="preserve"> is also invited to review and agree on draft decision V/6 on assessing health impacts in strategic environmental assessment and to forward </w:t>
            </w:r>
            <w:r w:rsidR="00490452">
              <w:t xml:space="preserve">it together with the draft guidance </w:t>
            </w:r>
            <w:r w:rsidRPr="00860AAE">
              <w:t>to the Meeting of the Parties</w:t>
            </w:r>
            <w:r w:rsidR="00163F9A">
              <w:t xml:space="preserve"> to the Protocol</w:t>
            </w:r>
            <w:r w:rsidRPr="00860AAE">
              <w:t>.</w:t>
            </w:r>
          </w:p>
        </w:tc>
      </w:tr>
      <w:tr w:rsidR="003B5FDC" w:rsidRPr="00930D32" w14:paraId="7DB9568D" w14:textId="77777777" w:rsidTr="00D9132C">
        <w:trPr>
          <w:jc w:val="center"/>
        </w:trPr>
        <w:tc>
          <w:tcPr>
            <w:tcW w:w="1350" w:type="dxa"/>
            <w:vMerge/>
            <w:shd w:val="clear" w:color="auto" w:fill="auto"/>
          </w:tcPr>
          <w:p w14:paraId="2A0B089D" w14:textId="77777777" w:rsidR="003B5FDC" w:rsidRPr="00930D32" w:rsidRDefault="003B5FDC" w:rsidP="003B5FDC">
            <w:pPr>
              <w:spacing w:before="40" w:after="120"/>
              <w:ind w:left="143" w:right="113"/>
              <w:rPr>
                <w:b/>
                <w:bCs/>
              </w:rPr>
            </w:pPr>
          </w:p>
        </w:tc>
        <w:tc>
          <w:tcPr>
            <w:tcW w:w="921" w:type="dxa"/>
            <w:shd w:val="clear" w:color="auto" w:fill="auto"/>
          </w:tcPr>
          <w:p w14:paraId="045634CC" w14:textId="7EE360F8" w:rsidR="003B5FDC" w:rsidRDefault="003B5FDC" w:rsidP="003B5FDC">
            <w:pPr>
              <w:spacing w:before="40" w:after="120"/>
              <w:ind w:left="170" w:right="113"/>
            </w:pPr>
            <w:r>
              <w:t>11-11.30</w:t>
            </w:r>
          </w:p>
        </w:tc>
        <w:tc>
          <w:tcPr>
            <w:tcW w:w="2044" w:type="dxa"/>
            <w:shd w:val="clear" w:color="auto" w:fill="auto"/>
            <w:vAlign w:val="bottom"/>
          </w:tcPr>
          <w:p w14:paraId="06E9C214" w14:textId="7E12B9A6" w:rsidR="003B5FDC" w:rsidRDefault="00123AD0" w:rsidP="003B5FDC">
            <w:pPr>
              <w:spacing w:before="40" w:after="120"/>
              <w:ind w:left="284" w:right="113" w:hanging="142"/>
              <w:rPr>
                <w:b/>
                <w:bCs/>
              </w:rPr>
            </w:pPr>
            <w:r w:rsidRPr="00114E69">
              <w:rPr>
                <w:b/>
                <w:bCs/>
              </w:rPr>
              <w:t>(b) Subregional cooperation and capacity-building</w:t>
            </w:r>
            <w:r w:rsidR="00A927DD">
              <w:rPr>
                <w:b/>
                <w:bCs/>
              </w:rPr>
              <w:t xml:space="preserve">  </w:t>
            </w:r>
          </w:p>
          <w:p w14:paraId="6BA82C4C" w14:textId="77777777" w:rsidR="001219E7" w:rsidRDefault="001219E7" w:rsidP="003B5FDC">
            <w:pPr>
              <w:spacing w:before="40" w:after="120"/>
              <w:ind w:left="284" w:right="113" w:hanging="142"/>
              <w:rPr>
                <w:b/>
                <w:bCs/>
              </w:rPr>
            </w:pPr>
          </w:p>
          <w:p w14:paraId="14D6252C" w14:textId="77777777" w:rsidR="001219E7" w:rsidRDefault="001219E7" w:rsidP="003B5FDC">
            <w:pPr>
              <w:spacing w:before="40" w:after="120"/>
              <w:ind w:left="284" w:right="113" w:hanging="142"/>
              <w:rPr>
                <w:b/>
                <w:bCs/>
              </w:rPr>
            </w:pPr>
          </w:p>
          <w:p w14:paraId="3519191A" w14:textId="77777777" w:rsidR="00E3318F" w:rsidRDefault="00E3318F" w:rsidP="003B5FDC">
            <w:pPr>
              <w:spacing w:before="40" w:after="120"/>
              <w:ind w:left="284" w:right="113" w:hanging="142"/>
              <w:rPr>
                <w:b/>
                <w:bCs/>
              </w:rPr>
            </w:pPr>
          </w:p>
          <w:p w14:paraId="4A915320" w14:textId="77777777" w:rsidR="00E3318F" w:rsidRDefault="00E3318F" w:rsidP="003B5FDC">
            <w:pPr>
              <w:spacing w:before="40" w:after="120"/>
              <w:ind w:left="284" w:right="113" w:hanging="142"/>
              <w:rPr>
                <w:b/>
                <w:bCs/>
              </w:rPr>
            </w:pPr>
          </w:p>
          <w:p w14:paraId="50DA14C0" w14:textId="77777777" w:rsidR="00E3318F" w:rsidRDefault="00E3318F" w:rsidP="003B5FDC">
            <w:pPr>
              <w:spacing w:before="40" w:after="120"/>
              <w:ind w:left="284" w:right="113" w:hanging="142"/>
              <w:rPr>
                <w:b/>
                <w:bCs/>
              </w:rPr>
            </w:pPr>
          </w:p>
          <w:p w14:paraId="0DC5F5F2" w14:textId="77777777" w:rsidR="00E3318F" w:rsidRDefault="00E3318F" w:rsidP="003B5FDC">
            <w:pPr>
              <w:spacing w:before="40" w:after="120"/>
              <w:ind w:left="284" w:right="113" w:hanging="142"/>
              <w:rPr>
                <w:b/>
                <w:bCs/>
              </w:rPr>
            </w:pPr>
          </w:p>
          <w:p w14:paraId="03989216" w14:textId="77777777" w:rsidR="00E3318F" w:rsidRDefault="00E3318F" w:rsidP="003B5FDC">
            <w:pPr>
              <w:spacing w:before="40" w:after="120"/>
              <w:ind w:left="284" w:right="113" w:hanging="142"/>
              <w:rPr>
                <w:b/>
                <w:bCs/>
              </w:rPr>
            </w:pPr>
          </w:p>
          <w:p w14:paraId="36EC74C8" w14:textId="77777777" w:rsidR="00E3318F" w:rsidRDefault="00E3318F" w:rsidP="003B5FDC">
            <w:pPr>
              <w:spacing w:before="40" w:after="120"/>
              <w:ind w:left="284" w:right="113" w:hanging="142"/>
              <w:rPr>
                <w:b/>
                <w:bCs/>
              </w:rPr>
            </w:pPr>
          </w:p>
          <w:p w14:paraId="0F3F992E" w14:textId="77777777" w:rsidR="00E3318F" w:rsidRDefault="00E3318F" w:rsidP="003B5FDC">
            <w:pPr>
              <w:spacing w:before="40" w:after="120"/>
              <w:ind w:left="284" w:right="113" w:hanging="142"/>
              <w:rPr>
                <w:b/>
                <w:bCs/>
              </w:rPr>
            </w:pPr>
          </w:p>
          <w:p w14:paraId="6BF16FC4" w14:textId="77777777" w:rsidR="00E3318F" w:rsidRDefault="00E3318F" w:rsidP="003B5FDC">
            <w:pPr>
              <w:spacing w:before="40" w:after="120"/>
              <w:ind w:left="284" w:right="113" w:hanging="142"/>
              <w:rPr>
                <w:b/>
                <w:bCs/>
              </w:rPr>
            </w:pPr>
          </w:p>
          <w:p w14:paraId="102FFECC" w14:textId="77777777" w:rsidR="00E3318F" w:rsidRDefault="00E3318F" w:rsidP="003B5FDC">
            <w:pPr>
              <w:spacing w:before="40" w:after="120"/>
              <w:ind w:left="284" w:right="113" w:hanging="142"/>
              <w:rPr>
                <w:b/>
                <w:bCs/>
              </w:rPr>
            </w:pPr>
          </w:p>
          <w:p w14:paraId="0AF7BA8F" w14:textId="77777777" w:rsidR="00E3318F" w:rsidRDefault="00E3318F" w:rsidP="003B5FDC">
            <w:pPr>
              <w:spacing w:before="40" w:after="120"/>
              <w:ind w:left="284" w:right="113" w:hanging="142"/>
              <w:rPr>
                <w:b/>
                <w:bCs/>
              </w:rPr>
            </w:pPr>
          </w:p>
          <w:p w14:paraId="2F69052D" w14:textId="6AF84A2A" w:rsidR="006003CA" w:rsidRDefault="006003CA" w:rsidP="003B5FDC">
            <w:pPr>
              <w:spacing w:before="40" w:after="120"/>
              <w:ind w:left="284" w:right="113" w:hanging="142"/>
              <w:rPr>
                <w:b/>
                <w:bCs/>
              </w:rPr>
            </w:pPr>
          </w:p>
          <w:p w14:paraId="52421DA6" w14:textId="4D7854D4" w:rsidR="006003CA" w:rsidRDefault="006003CA" w:rsidP="003B5FDC">
            <w:pPr>
              <w:spacing w:before="40" w:after="120"/>
              <w:ind w:left="284" w:right="113" w:hanging="142"/>
              <w:rPr>
                <w:b/>
                <w:bCs/>
              </w:rPr>
            </w:pPr>
          </w:p>
          <w:p w14:paraId="1C5B1598" w14:textId="77777777" w:rsidR="006003CA" w:rsidRDefault="006003CA" w:rsidP="003B5FDC">
            <w:pPr>
              <w:spacing w:before="40" w:after="120"/>
              <w:ind w:left="284" w:right="113" w:hanging="142"/>
              <w:rPr>
                <w:b/>
                <w:bCs/>
              </w:rPr>
            </w:pPr>
          </w:p>
          <w:p w14:paraId="7A342DB4" w14:textId="2C8F0CC6" w:rsidR="00E71CF7" w:rsidRPr="00114E69" w:rsidRDefault="00E71CF7" w:rsidP="003B5FDC">
            <w:pPr>
              <w:spacing w:before="40" w:after="120"/>
              <w:ind w:left="284" w:right="113" w:hanging="142"/>
              <w:rPr>
                <w:b/>
                <w:bCs/>
              </w:rPr>
            </w:pPr>
          </w:p>
        </w:tc>
        <w:tc>
          <w:tcPr>
            <w:tcW w:w="3690" w:type="dxa"/>
            <w:shd w:val="clear" w:color="auto" w:fill="auto"/>
          </w:tcPr>
          <w:p w14:paraId="4C0C047D" w14:textId="77777777" w:rsidR="00163F9A" w:rsidRDefault="00163F9A" w:rsidP="00721290">
            <w:pPr>
              <w:spacing w:before="40" w:after="120" w:line="240" w:lineRule="auto"/>
              <w:ind w:left="176" w:right="113"/>
              <w:rPr>
                <w:iCs/>
              </w:rPr>
            </w:pPr>
          </w:p>
          <w:p w14:paraId="4C844B3A" w14:textId="76EF0E7F" w:rsidR="00721290" w:rsidRPr="00721290" w:rsidRDefault="00721290" w:rsidP="00721290">
            <w:pPr>
              <w:spacing w:before="40" w:after="120" w:line="240" w:lineRule="auto"/>
              <w:ind w:left="176" w:right="113"/>
              <w:rPr>
                <w:iCs/>
              </w:rPr>
            </w:pPr>
            <w:r w:rsidRPr="00721290">
              <w:rPr>
                <w:iCs/>
              </w:rPr>
              <w:lastRenderedPageBreak/>
              <w:t xml:space="preserve">Draft report on synergies and possible cooperation activities in marine regions </w:t>
            </w:r>
            <w:r w:rsidR="008A3C1E">
              <w:rPr>
                <w:iCs/>
              </w:rPr>
              <w:t>(</w:t>
            </w:r>
            <w:r w:rsidRPr="00721290">
              <w:rPr>
                <w:iCs/>
              </w:rPr>
              <w:t>ECE/MP.EIA/WG.2/2023/9</w:t>
            </w:r>
            <w:r w:rsidR="008A3C1E">
              <w:rPr>
                <w:iCs/>
              </w:rPr>
              <w:t>)</w:t>
            </w:r>
          </w:p>
          <w:p w14:paraId="3ECA4A0D" w14:textId="307C35B6" w:rsidR="003B5FDC" w:rsidRPr="00460FD5" w:rsidRDefault="00D037AD" w:rsidP="00721290">
            <w:pPr>
              <w:spacing w:before="40" w:after="120" w:line="240" w:lineRule="auto"/>
              <w:ind w:left="176" w:right="113"/>
              <w:rPr>
                <w:iCs/>
              </w:rPr>
            </w:pPr>
            <w:r w:rsidRPr="00860AAE">
              <w:rPr>
                <w:iCs/>
              </w:rPr>
              <w:t>Draft joint decisions by the Meeting</w:t>
            </w:r>
            <w:r>
              <w:rPr>
                <w:iCs/>
              </w:rPr>
              <w:t>s</w:t>
            </w:r>
            <w:r w:rsidRPr="00860AAE">
              <w:rPr>
                <w:iCs/>
              </w:rPr>
              <w:t xml:space="preserve"> of the Parties to the Convention and the Protocol</w:t>
            </w:r>
            <w:r w:rsidRPr="00860AAE">
              <w:t xml:space="preserve"> </w:t>
            </w:r>
            <w:r w:rsidR="00721290" w:rsidRPr="00721290">
              <w:rPr>
                <w:iCs/>
              </w:rPr>
              <w:t>(ECE/MP.EIA/WG.2/2023/3)</w:t>
            </w:r>
          </w:p>
        </w:tc>
        <w:tc>
          <w:tcPr>
            <w:tcW w:w="4656" w:type="dxa"/>
            <w:shd w:val="clear" w:color="auto" w:fill="auto"/>
          </w:tcPr>
          <w:p w14:paraId="1F1426BB" w14:textId="77777777" w:rsidR="00A927DD" w:rsidRPr="00E34A41" w:rsidRDefault="00A927DD" w:rsidP="00A927DD">
            <w:pPr>
              <w:pStyle w:val="Bullet1G"/>
              <w:ind w:left="142" w:right="260"/>
              <w:rPr>
                <w:b/>
              </w:rPr>
            </w:pPr>
            <w:r w:rsidRPr="00E34A41">
              <w:rPr>
                <w:b/>
                <w:bCs/>
              </w:rPr>
              <w:lastRenderedPageBreak/>
              <w:t>The Working Group</w:t>
            </w:r>
            <w:r w:rsidRPr="00860AAE">
              <w:t xml:space="preserve"> will be invited to review progress in and provide guidance for the </w:t>
            </w:r>
            <w:r w:rsidRPr="00860AAE">
              <w:lastRenderedPageBreak/>
              <w:t>implementation of the activities funded by Italy in marine regions, including:</w:t>
            </w:r>
          </w:p>
          <w:p w14:paraId="0A2C7714" w14:textId="23FCE264" w:rsidR="00446B6F" w:rsidRPr="000852B0" w:rsidRDefault="00A927DD" w:rsidP="000852B0">
            <w:pPr>
              <w:pStyle w:val="Bullet1G"/>
              <w:numPr>
                <w:ilvl w:val="0"/>
                <w:numId w:val="22"/>
              </w:numPr>
              <w:ind w:right="260"/>
              <w:rPr>
                <w:bCs/>
              </w:rPr>
            </w:pPr>
            <w:r w:rsidRPr="00DB4EBB">
              <w:rPr>
                <w:bCs/>
              </w:rPr>
              <w:t>A draft report identifying synergies and possible future cooperation activities in marine regions</w:t>
            </w:r>
            <w:r w:rsidR="000852B0">
              <w:rPr>
                <w:bCs/>
              </w:rPr>
              <w:t>;</w:t>
            </w:r>
          </w:p>
          <w:p w14:paraId="29092D1B" w14:textId="05AA9522" w:rsidR="00A927DD" w:rsidRPr="005B01BC" w:rsidRDefault="00A927DD" w:rsidP="00225999">
            <w:pPr>
              <w:pStyle w:val="Bullet1G"/>
              <w:numPr>
                <w:ilvl w:val="0"/>
                <w:numId w:val="22"/>
              </w:numPr>
              <w:ind w:right="260"/>
              <w:rPr>
                <w:bCs/>
              </w:rPr>
            </w:pPr>
            <w:r w:rsidRPr="00225999">
              <w:rPr>
                <w:bCs/>
              </w:rPr>
              <w:t xml:space="preserve">A third joint technical meeting scheduled to be held </w:t>
            </w:r>
            <w:r w:rsidR="00705B70">
              <w:rPr>
                <w:bCs/>
              </w:rPr>
              <w:t>on 16 May</w:t>
            </w:r>
            <w:r w:rsidRPr="00225999">
              <w:rPr>
                <w:bCs/>
              </w:rPr>
              <w:t xml:space="preserve"> 2023;</w:t>
            </w:r>
          </w:p>
          <w:p w14:paraId="6014325C" w14:textId="221DE05D" w:rsidR="00A927DD" w:rsidRPr="00703140" w:rsidRDefault="00244890" w:rsidP="00225999">
            <w:pPr>
              <w:pStyle w:val="Bullet1G"/>
              <w:numPr>
                <w:ilvl w:val="0"/>
                <w:numId w:val="22"/>
              </w:numPr>
              <w:ind w:right="260"/>
              <w:rPr>
                <w:bCs/>
              </w:rPr>
            </w:pPr>
            <w:r>
              <w:rPr>
                <w:bCs/>
              </w:rPr>
              <w:t>C</w:t>
            </w:r>
            <w:r w:rsidR="00A927DD" w:rsidRPr="00225999">
              <w:rPr>
                <w:bCs/>
              </w:rPr>
              <w:t xml:space="preserve">ase studies illustrating good practice and lessons learned by Parties to the Convention and the Protocol in their application of </w:t>
            </w:r>
            <w:r w:rsidR="00517231">
              <w:rPr>
                <w:bCs/>
              </w:rPr>
              <w:t xml:space="preserve">SEA </w:t>
            </w:r>
            <w:r w:rsidR="00A927DD" w:rsidRPr="00225999">
              <w:rPr>
                <w:bCs/>
              </w:rPr>
              <w:t xml:space="preserve">and transboundary </w:t>
            </w:r>
            <w:r w:rsidR="00B0340A">
              <w:rPr>
                <w:bCs/>
              </w:rPr>
              <w:t xml:space="preserve">EIA </w:t>
            </w:r>
            <w:r w:rsidR="00A927DD" w:rsidRPr="00225999">
              <w:rPr>
                <w:bCs/>
              </w:rPr>
              <w:t>to plans, programmes and projects in marine regions.</w:t>
            </w:r>
          </w:p>
          <w:p w14:paraId="01DCCD31" w14:textId="624F7176" w:rsidR="00A927DD" w:rsidRPr="00A13601" w:rsidRDefault="001F50DB" w:rsidP="00A927DD">
            <w:pPr>
              <w:pStyle w:val="Bullet1G"/>
              <w:ind w:left="142" w:right="260"/>
              <w:rPr>
                <w:bCs/>
              </w:rPr>
            </w:pPr>
            <w:r>
              <w:rPr>
                <w:b/>
                <w:bCs/>
              </w:rPr>
              <w:t>The Working Group</w:t>
            </w:r>
            <w:r w:rsidRPr="00AB10D2">
              <w:t xml:space="preserve"> </w:t>
            </w:r>
            <w:r w:rsidR="00406CB6" w:rsidRPr="00AB10D2">
              <w:t>will be expected to review and comment on the draft report prior to forwarding it to the MOPs</w:t>
            </w:r>
            <w:r w:rsidR="00AB10D2" w:rsidRPr="00AB10D2">
              <w:t xml:space="preserve"> at their next sessions.</w:t>
            </w:r>
            <w:r w:rsidR="00AB10D2">
              <w:rPr>
                <w:b/>
                <w:bCs/>
              </w:rPr>
              <w:t xml:space="preserve"> </w:t>
            </w:r>
            <w:r w:rsidR="00A927DD" w:rsidRPr="00A13601">
              <w:rPr>
                <w:b/>
                <w:bCs/>
              </w:rPr>
              <w:t>Delegations</w:t>
            </w:r>
            <w:r w:rsidR="00A927DD" w:rsidRPr="00860AAE">
              <w:t xml:space="preserve"> </w:t>
            </w:r>
            <w:r w:rsidR="002444A1">
              <w:t>will be</w:t>
            </w:r>
            <w:r w:rsidR="00A927DD" w:rsidRPr="00860AAE">
              <w:t xml:space="preserve"> invited to volunteer to contribute to the implementation of the proposed cooperation activities and/or to propose other activities, as well as to present relevant good practice</w:t>
            </w:r>
            <w:r w:rsidR="00B85785">
              <w:t>,</w:t>
            </w:r>
            <w:r w:rsidR="00A927DD" w:rsidRPr="00860AAE">
              <w:t xml:space="preserve"> notifying the secretariat by 15 May 2023.</w:t>
            </w:r>
          </w:p>
          <w:p w14:paraId="7187B1B5" w14:textId="31E2C786" w:rsidR="003B5FDC" w:rsidRPr="00FC5412" w:rsidRDefault="00A927DD" w:rsidP="00A927DD">
            <w:pPr>
              <w:pStyle w:val="Bullet1G"/>
              <w:ind w:left="142" w:right="260"/>
              <w:rPr>
                <w:b/>
              </w:rPr>
            </w:pPr>
            <w:r w:rsidRPr="00080227">
              <w:rPr>
                <w:b/>
                <w:bCs/>
              </w:rPr>
              <w:t>The Working Group</w:t>
            </w:r>
            <w:r w:rsidRPr="00860AAE">
              <w:t xml:space="preserve"> </w:t>
            </w:r>
            <w:r w:rsidR="00FA571F">
              <w:t>will be</w:t>
            </w:r>
            <w:r w:rsidRPr="00860AAE">
              <w:t xml:space="preserve"> invited to review and agree on draft decision IX/3–V/3 on cooperation in marine regions.  </w:t>
            </w:r>
          </w:p>
        </w:tc>
      </w:tr>
      <w:tr w:rsidR="003B5FDC" w:rsidRPr="00930D32" w14:paraId="1299B706" w14:textId="77777777" w:rsidTr="00D9132C">
        <w:trPr>
          <w:jc w:val="center"/>
        </w:trPr>
        <w:tc>
          <w:tcPr>
            <w:tcW w:w="1350" w:type="dxa"/>
            <w:vMerge/>
            <w:shd w:val="clear" w:color="auto" w:fill="auto"/>
          </w:tcPr>
          <w:p w14:paraId="36765D24" w14:textId="77777777" w:rsidR="003B5FDC" w:rsidRPr="00930D32" w:rsidRDefault="003B5FDC" w:rsidP="003B5FDC">
            <w:pPr>
              <w:spacing w:before="40" w:after="120"/>
              <w:ind w:left="143" w:right="113"/>
              <w:rPr>
                <w:b/>
                <w:bCs/>
              </w:rPr>
            </w:pPr>
          </w:p>
        </w:tc>
        <w:tc>
          <w:tcPr>
            <w:tcW w:w="921" w:type="dxa"/>
            <w:shd w:val="clear" w:color="auto" w:fill="auto"/>
          </w:tcPr>
          <w:p w14:paraId="75DFF27C" w14:textId="31F3534A" w:rsidR="003B5FDC" w:rsidRDefault="003B5FDC" w:rsidP="003B5FDC">
            <w:pPr>
              <w:spacing w:before="40" w:after="120"/>
              <w:ind w:left="170" w:right="113"/>
            </w:pPr>
            <w:r>
              <w:t>11.30-noon</w:t>
            </w:r>
          </w:p>
        </w:tc>
        <w:tc>
          <w:tcPr>
            <w:tcW w:w="2044" w:type="dxa"/>
            <w:shd w:val="clear" w:color="auto" w:fill="auto"/>
            <w:vAlign w:val="bottom"/>
          </w:tcPr>
          <w:p w14:paraId="2FCFEF06" w14:textId="4F752805" w:rsidR="00C61EA6" w:rsidRDefault="003B5FDC" w:rsidP="00C61EA6">
            <w:pPr>
              <w:spacing w:before="40" w:after="120"/>
              <w:ind w:left="284" w:right="113" w:hanging="142"/>
              <w:rPr>
                <w:b/>
                <w:bCs/>
              </w:rPr>
            </w:pPr>
            <w:r w:rsidRPr="00114E69">
              <w:rPr>
                <w:b/>
                <w:bCs/>
              </w:rPr>
              <w:t>(c</w:t>
            </w:r>
            <w:r w:rsidRPr="00226350">
              <w:rPr>
                <w:b/>
                <w:bCs/>
              </w:rPr>
              <w:t>) Exchange of good practices</w:t>
            </w:r>
          </w:p>
          <w:p w14:paraId="5C8D34C3" w14:textId="77777777" w:rsidR="00215360" w:rsidRDefault="00215360" w:rsidP="00C61EA6">
            <w:pPr>
              <w:spacing w:before="40" w:after="120"/>
              <w:ind w:left="284" w:right="113" w:hanging="142"/>
              <w:rPr>
                <w:b/>
                <w:bCs/>
              </w:rPr>
            </w:pPr>
          </w:p>
          <w:p w14:paraId="517DC965" w14:textId="77777777" w:rsidR="00226350" w:rsidRDefault="00226350" w:rsidP="006003CA">
            <w:pPr>
              <w:spacing w:before="40" w:after="120"/>
              <w:ind w:left="284" w:right="113" w:hanging="142"/>
              <w:rPr>
                <w:b/>
                <w:bCs/>
              </w:rPr>
            </w:pPr>
          </w:p>
          <w:p w14:paraId="75D0E5E2" w14:textId="77777777" w:rsidR="00E71CF7" w:rsidRDefault="00E71CF7" w:rsidP="006003CA">
            <w:pPr>
              <w:spacing w:before="40" w:after="120"/>
              <w:ind w:left="284" w:right="113" w:hanging="142"/>
              <w:rPr>
                <w:b/>
                <w:bCs/>
              </w:rPr>
            </w:pPr>
          </w:p>
          <w:p w14:paraId="40F9BB28" w14:textId="77777777" w:rsidR="00E71CF7" w:rsidRDefault="00E71CF7" w:rsidP="00C61EA6">
            <w:pPr>
              <w:spacing w:before="40" w:after="120"/>
              <w:ind w:right="113"/>
              <w:rPr>
                <w:b/>
                <w:bCs/>
              </w:rPr>
            </w:pPr>
          </w:p>
          <w:p w14:paraId="26A4A7FC" w14:textId="77777777" w:rsidR="00E71CF7" w:rsidRDefault="00E71CF7" w:rsidP="006003CA">
            <w:pPr>
              <w:spacing w:before="40" w:after="120"/>
              <w:ind w:left="284" w:right="113" w:hanging="142"/>
              <w:rPr>
                <w:b/>
                <w:bCs/>
              </w:rPr>
            </w:pPr>
          </w:p>
          <w:p w14:paraId="2B667908" w14:textId="2B3263EF" w:rsidR="00E71CF7" w:rsidRPr="00114E69" w:rsidRDefault="00E71CF7" w:rsidP="00BB6736">
            <w:pPr>
              <w:spacing w:before="40" w:after="120"/>
              <w:ind w:right="113"/>
              <w:rPr>
                <w:b/>
                <w:bCs/>
              </w:rPr>
            </w:pPr>
          </w:p>
        </w:tc>
        <w:tc>
          <w:tcPr>
            <w:tcW w:w="3690" w:type="dxa"/>
            <w:shd w:val="clear" w:color="auto" w:fill="auto"/>
          </w:tcPr>
          <w:p w14:paraId="153DF6A9" w14:textId="77777777" w:rsidR="003B5FDC" w:rsidRPr="00460FD5" w:rsidRDefault="003B5FDC" w:rsidP="003B5FDC">
            <w:pPr>
              <w:spacing w:before="40" w:after="120" w:line="240" w:lineRule="auto"/>
              <w:ind w:left="176" w:right="113"/>
              <w:rPr>
                <w:iCs/>
              </w:rPr>
            </w:pPr>
          </w:p>
        </w:tc>
        <w:tc>
          <w:tcPr>
            <w:tcW w:w="4656" w:type="dxa"/>
            <w:shd w:val="clear" w:color="auto" w:fill="auto"/>
          </w:tcPr>
          <w:p w14:paraId="4D5A1EE1" w14:textId="287B7F28" w:rsidR="00A13601" w:rsidRPr="00643A99" w:rsidRDefault="00643A99" w:rsidP="003B5FDC">
            <w:pPr>
              <w:pStyle w:val="Bullet1G"/>
              <w:ind w:left="142" w:right="260"/>
              <w:rPr>
                <w:bCs/>
              </w:rPr>
            </w:pPr>
            <w:r w:rsidRPr="00AE2787">
              <w:rPr>
                <w:b/>
                <w:bCs/>
              </w:rPr>
              <w:t>Delegations</w:t>
            </w:r>
            <w:r w:rsidRPr="00643A99">
              <w:t xml:space="preserve"> </w:t>
            </w:r>
            <w:r w:rsidR="00296846">
              <w:t>will be</w:t>
            </w:r>
            <w:r w:rsidRPr="00643A99">
              <w:t xml:space="preserve"> invited to put forward proposals for the preparation of fact sheets on the practical application of the Convention and the Protocol, to be presented during the meetings of the Working Group and posted on the ECE website.</w:t>
            </w:r>
            <w:r w:rsidR="00080227" w:rsidRPr="00860AAE">
              <w:t xml:space="preserve"> </w:t>
            </w:r>
          </w:p>
          <w:p w14:paraId="052C6134" w14:textId="5C1F34F7" w:rsidR="00643A99" w:rsidRPr="00DB4EBB" w:rsidRDefault="00AE2787" w:rsidP="003B5FDC">
            <w:pPr>
              <w:pStyle w:val="Bullet1G"/>
              <w:ind w:left="142" w:right="260"/>
              <w:rPr>
                <w:bCs/>
              </w:rPr>
            </w:pPr>
            <w:r w:rsidRPr="00AE2787">
              <w:rPr>
                <w:b/>
                <w:bCs/>
              </w:rPr>
              <w:t>Delegations</w:t>
            </w:r>
            <w:r w:rsidRPr="00860AAE">
              <w:t xml:space="preserve"> may wish to propose funding for an online database of Parties’ good practice or for the collection and compilation of good practice, which is foreseen in the workplan, subject to the identification of additional resources and funding for consultants.</w:t>
            </w:r>
          </w:p>
        </w:tc>
      </w:tr>
      <w:tr w:rsidR="003B5FDC" w:rsidRPr="00930D32" w14:paraId="7970084A" w14:textId="77777777" w:rsidTr="00D9132C">
        <w:trPr>
          <w:jc w:val="center"/>
        </w:trPr>
        <w:tc>
          <w:tcPr>
            <w:tcW w:w="1350" w:type="dxa"/>
            <w:vMerge/>
            <w:shd w:val="clear" w:color="auto" w:fill="auto"/>
          </w:tcPr>
          <w:p w14:paraId="3B3553A5" w14:textId="77777777" w:rsidR="003B5FDC" w:rsidRPr="00930D32" w:rsidRDefault="003B5FDC" w:rsidP="003B5FDC">
            <w:pPr>
              <w:spacing w:before="40" w:after="120"/>
              <w:ind w:left="143" w:right="113"/>
              <w:rPr>
                <w:b/>
                <w:bCs/>
              </w:rPr>
            </w:pPr>
          </w:p>
        </w:tc>
        <w:tc>
          <w:tcPr>
            <w:tcW w:w="921" w:type="dxa"/>
            <w:shd w:val="clear" w:color="auto" w:fill="auto"/>
          </w:tcPr>
          <w:p w14:paraId="07D6B551" w14:textId="08E6FFDC" w:rsidR="003B5FDC" w:rsidRDefault="007A30E2" w:rsidP="003B5FDC">
            <w:pPr>
              <w:spacing w:before="40" w:after="120"/>
              <w:ind w:left="170" w:right="113"/>
            </w:pPr>
            <w:r>
              <w:t>N</w:t>
            </w:r>
            <w:r w:rsidR="003B5FDC" w:rsidRPr="00860AAE">
              <w:t>oon–12.30</w:t>
            </w:r>
          </w:p>
        </w:tc>
        <w:tc>
          <w:tcPr>
            <w:tcW w:w="2044" w:type="dxa"/>
            <w:shd w:val="clear" w:color="auto" w:fill="auto"/>
            <w:vAlign w:val="bottom"/>
          </w:tcPr>
          <w:p w14:paraId="175DAF73" w14:textId="58962193" w:rsidR="00E7003C" w:rsidRDefault="003B5FDC" w:rsidP="00C61EA6">
            <w:pPr>
              <w:spacing w:before="40" w:after="120"/>
              <w:ind w:left="284" w:right="113" w:hanging="142"/>
              <w:rPr>
                <w:b/>
                <w:bCs/>
              </w:rPr>
            </w:pPr>
            <w:r w:rsidRPr="00114E69">
              <w:rPr>
                <w:b/>
                <w:bCs/>
              </w:rPr>
              <w:t>(d) Capacity</w:t>
            </w:r>
            <w:r w:rsidR="00575479">
              <w:rPr>
                <w:b/>
                <w:bCs/>
              </w:rPr>
              <w:t>-</w:t>
            </w:r>
            <w:r w:rsidRPr="00114E69">
              <w:rPr>
                <w:b/>
                <w:bCs/>
              </w:rPr>
              <w:t>building activities</w:t>
            </w:r>
            <w:r w:rsidR="00C61EA6">
              <w:rPr>
                <w:b/>
                <w:bCs/>
              </w:rPr>
              <w:t xml:space="preserve"> </w:t>
            </w:r>
          </w:p>
          <w:p w14:paraId="4F7EDE4E" w14:textId="77777777" w:rsidR="005A35D8" w:rsidRDefault="005A35D8" w:rsidP="00C61EA6">
            <w:pPr>
              <w:spacing w:before="40" w:after="120"/>
              <w:ind w:left="284" w:right="113" w:hanging="142"/>
              <w:rPr>
                <w:b/>
                <w:bCs/>
              </w:rPr>
            </w:pPr>
          </w:p>
          <w:p w14:paraId="4FC7EB54" w14:textId="77777777" w:rsidR="005A35D8" w:rsidRDefault="005A35D8" w:rsidP="00C61EA6">
            <w:pPr>
              <w:spacing w:before="40" w:after="120"/>
              <w:ind w:left="284" w:right="113" w:hanging="142"/>
              <w:rPr>
                <w:b/>
                <w:bCs/>
              </w:rPr>
            </w:pPr>
          </w:p>
          <w:p w14:paraId="4A4974EC" w14:textId="77777777" w:rsidR="005A35D8" w:rsidRDefault="005A35D8" w:rsidP="00C61EA6">
            <w:pPr>
              <w:spacing w:before="40" w:after="120"/>
              <w:ind w:left="284" w:right="113" w:hanging="142"/>
              <w:rPr>
                <w:b/>
                <w:bCs/>
              </w:rPr>
            </w:pPr>
          </w:p>
          <w:p w14:paraId="3DD06BB2" w14:textId="77777777" w:rsidR="005A35D8" w:rsidRDefault="005A35D8" w:rsidP="00C61EA6">
            <w:pPr>
              <w:spacing w:before="40" w:after="120"/>
              <w:ind w:left="284" w:right="113" w:hanging="142"/>
              <w:rPr>
                <w:b/>
                <w:bCs/>
              </w:rPr>
            </w:pPr>
          </w:p>
          <w:p w14:paraId="1302D78A" w14:textId="77777777" w:rsidR="005A35D8" w:rsidRDefault="005A35D8" w:rsidP="00C61EA6">
            <w:pPr>
              <w:spacing w:before="40" w:after="120"/>
              <w:ind w:left="284" w:right="113" w:hanging="142"/>
              <w:rPr>
                <w:b/>
                <w:bCs/>
              </w:rPr>
            </w:pPr>
          </w:p>
          <w:p w14:paraId="5994BEDC" w14:textId="77777777" w:rsidR="005A35D8" w:rsidRDefault="005A35D8" w:rsidP="00C61EA6">
            <w:pPr>
              <w:spacing w:before="40" w:after="120"/>
              <w:ind w:left="284" w:right="113" w:hanging="142"/>
              <w:rPr>
                <w:b/>
                <w:bCs/>
              </w:rPr>
            </w:pPr>
          </w:p>
          <w:p w14:paraId="32510994" w14:textId="77777777" w:rsidR="005A35D8" w:rsidRDefault="005A35D8" w:rsidP="00C61EA6">
            <w:pPr>
              <w:spacing w:before="40" w:after="120"/>
              <w:ind w:left="284" w:right="113" w:hanging="142"/>
              <w:rPr>
                <w:b/>
                <w:bCs/>
              </w:rPr>
            </w:pPr>
          </w:p>
          <w:p w14:paraId="34F07635" w14:textId="77777777" w:rsidR="005A35D8" w:rsidRDefault="005A35D8" w:rsidP="00C61EA6">
            <w:pPr>
              <w:spacing w:before="40" w:after="120"/>
              <w:ind w:left="284" w:right="113" w:hanging="142"/>
              <w:rPr>
                <w:b/>
                <w:bCs/>
              </w:rPr>
            </w:pPr>
          </w:p>
          <w:p w14:paraId="288B5C53" w14:textId="77777777" w:rsidR="005A35D8" w:rsidRDefault="005A35D8" w:rsidP="00C61EA6">
            <w:pPr>
              <w:spacing w:before="40" w:after="120"/>
              <w:ind w:left="284" w:right="113" w:hanging="142"/>
              <w:rPr>
                <w:b/>
                <w:bCs/>
              </w:rPr>
            </w:pPr>
          </w:p>
          <w:p w14:paraId="0F02F4CC" w14:textId="77777777" w:rsidR="005A35D8" w:rsidRDefault="005A35D8" w:rsidP="00C61EA6">
            <w:pPr>
              <w:spacing w:before="40" w:after="120"/>
              <w:ind w:left="284" w:right="113" w:hanging="142"/>
              <w:rPr>
                <w:b/>
                <w:bCs/>
              </w:rPr>
            </w:pPr>
          </w:p>
          <w:p w14:paraId="687AFD94" w14:textId="77777777" w:rsidR="005A35D8" w:rsidRDefault="005A35D8" w:rsidP="00C61EA6">
            <w:pPr>
              <w:spacing w:before="40" w:after="120"/>
              <w:ind w:left="284" w:right="113" w:hanging="142"/>
              <w:rPr>
                <w:b/>
                <w:bCs/>
              </w:rPr>
            </w:pPr>
          </w:p>
          <w:p w14:paraId="2F42E643" w14:textId="77777777" w:rsidR="005A35D8" w:rsidRDefault="005A35D8" w:rsidP="005A35D8">
            <w:pPr>
              <w:spacing w:before="40" w:after="120"/>
              <w:ind w:right="113"/>
              <w:rPr>
                <w:b/>
                <w:bCs/>
              </w:rPr>
            </w:pPr>
          </w:p>
          <w:p w14:paraId="230A829D" w14:textId="2524FF2A" w:rsidR="00AB3F8A" w:rsidRDefault="00C61EA6" w:rsidP="00C61EA6">
            <w:pPr>
              <w:spacing w:before="40" w:after="120"/>
              <w:ind w:left="284" w:right="113" w:hanging="142"/>
              <w:rPr>
                <w:b/>
                <w:bCs/>
              </w:rPr>
            </w:pPr>
            <w:r>
              <w:rPr>
                <w:b/>
                <w:bCs/>
              </w:rPr>
              <w:t xml:space="preserve">    </w:t>
            </w:r>
            <w:r w:rsidR="00AB3F8A">
              <w:rPr>
                <w:b/>
                <w:bCs/>
              </w:rPr>
              <w:t xml:space="preserve"> </w:t>
            </w:r>
          </w:p>
          <w:p w14:paraId="52F69CC5" w14:textId="2A33DF4E" w:rsidR="00AB3F8A" w:rsidRPr="00114E69" w:rsidRDefault="00AB3F8A" w:rsidP="00AB3F8A">
            <w:pPr>
              <w:spacing w:before="40" w:after="120"/>
              <w:ind w:left="284" w:right="113" w:hanging="142"/>
              <w:rPr>
                <w:b/>
                <w:bCs/>
              </w:rPr>
            </w:pPr>
          </w:p>
        </w:tc>
        <w:tc>
          <w:tcPr>
            <w:tcW w:w="3690" w:type="dxa"/>
            <w:shd w:val="clear" w:color="auto" w:fill="auto"/>
          </w:tcPr>
          <w:p w14:paraId="59E9222F" w14:textId="3F0EDDB2" w:rsidR="003B5FDC" w:rsidRPr="00460FD5" w:rsidRDefault="00F44634" w:rsidP="003B5FDC">
            <w:pPr>
              <w:spacing w:before="40" w:after="120" w:line="240" w:lineRule="auto"/>
              <w:ind w:left="176" w:right="113"/>
              <w:rPr>
                <w:iCs/>
              </w:rPr>
            </w:pPr>
            <w:r w:rsidRPr="00F44634">
              <w:rPr>
                <w:iCs/>
              </w:rPr>
              <w:t>Workplan implementation status (ECE/MP.EIA/WG.2/2023/INF.</w:t>
            </w:r>
            <w:r w:rsidR="00513817">
              <w:rPr>
                <w:iCs/>
              </w:rPr>
              <w:t>9</w:t>
            </w:r>
            <w:r w:rsidRPr="00F44634">
              <w:rPr>
                <w:iCs/>
              </w:rPr>
              <w:t>)</w:t>
            </w:r>
            <w:r w:rsidR="00C85435">
              <w:rPr>
                <w:iCs/>
              </w:rPr>
              <w:t xml:space="preserve"> </w:t>
            </w:r>
          </w:p>
        </w:tc>
        <w:tc>
          <w:tcPr>
            <w:tcW w:w="4656" w:type="dxa"/>
            <w:shd w:val="clear" w:color="auto" w:fill="auto"/>
          </w:tcPr>
          <w:p w14:paraId="2C27B9D9" w14:textId="0FB5AD63" w:rsidR="003B5FDC" w:rsidRPr="002F6304" w:rsidRDefault="002F6304" w:rsidP="003B5FDC">
            <w:pPr>
              <w:pStyle w:val="Bullet1G"/>
              <w:ind w:left="142" w:right="260"/>
              <w:rPr>
                <w:b/>
              </w:rPr>
            </w:pPr>
            <w:r w:rsidRPr="00392E46">
              <w:rPr>
                <w:b/>
                <w:bCs/>
              </w:rPr>
              <w:t>The secretariat and delegations from the countries or organizations concerned</w:t>
            </w:r>
            <w:r w:rsidRPr="00860AAE">
              <w:t xml:space="preserve"> will be invited to provide any updates on capacity</w:t>
            </w:r>
            <w:r w:rsidR="00A157C8">
              <w:t>-</w:t>
            </w:r>
            <w:r w:rsidRPr="00860AAE">
              <w:t>building activities undertaken or planned for since the last meeting of the Working Group to promote ratification and application of the Convention</w:t>
            </w:r>
            <w:r w:rsidR="00A157C8">
              <w:t xml:space="preserve"> and the Protocol</w:t>
            </w:r>
            <w:r w:rsidRPr="00860AAE">
              <w:t>, including:</w:t>
            </w:r>
          </w:p>
          <w:p w14:paraId="5C7275AC" w14:textId="1E5956FE" w:rsidR="002F6304" w:rsidRPr="00024908" w:rsidRDefault="00B9703C" w:rsidP="00392E46">
            <w:pPr>
              <w:pStyle w:val="Bullet1G"/>
              <w:ind w:left="142" w:right="260"/>
              <w:rPr>
                <w:b/>
                <w:bCs/>
              </w:rPr>
            </w:pPr>
            <w:r w:rsidRPr="00860AAE">
              <w:t>(a)</w:t>
            </w:r>
            <w:r w:rsidRPr="00860AAE">
              <w:tab/>
              <w:t xml:space="preserve">Activities funded through the EU4Environment Programme, undertaken, in progress or planned since </w:t>
            </w:r>
            <w:r w:rsidR="002A2693">
              <w:t>the last meeting</w:t>
            </w:r>
            <w:r w:rsidRPr="00860AAE">
              <w:t xml:space="preserve"> in accordance with the workplan for </w:t>
            </w:r>
            <w:r w:rsidRPr="007841B0">
              <w:t>202</w:t>
            </w:r>
            <w:r w:rsidR="003B1DF5" w:rsidRPr="007841B0">
              <w:t>1</w:t>
            </w:r>
            <w:r w:rsidRPr="007841B0">
              <w:t>–202</w:t>
            </w:r>
            <w:r w:rsidR="00F80DAC" w:rsidRPr="007841B0">
              <w:t>3</w:t>
            </w:r>
            <w:r w:rsidRPr="007841B0">
              <w:t xml:space="preserve"> </w:t>
            </w:r>
            <w:r w:rsidRPr="00860AAE">
              <w:t>to promote the practical application of the Convention</w:t>
            </w:r>
            <w:r w:rsidR="00733581">
              <w:t xml:space="preserve"> and the Protocol</w:t>
            </w:r>
            <w:r w:rsidRPr="00860AAE">
              <w:t xml:space="preserve"> in Eastern Europe and the Caucasus</w:t>
            </w:r>
            <w:r w:rsidR="00A3675B">
              <w:t xml:space="preserve"> </w:t>
            </w:r>
            <w:r w:rsidR="00A3675B" w:rsidRPr="00024908">
              <w:rPr>
                <w:b/>
                <w:bCs/>
              </w:rPr>
              <w:t>(Azerbaijan, the Republic of Moldova and Ukraine)</w:t>
            </w:r>
            <w:r w:rsidRPr="00024908">
              <w:rPr>
                <w:b/>
                <w:bCs/>
              </w:rPr>
              <w:t>;</w:t>
            </w:r>
          </w:p>
          <w:p w14:paraId="0571124B" w14:textId="2C56BC6A" w:rsidR="00B9703C" w:rsidRPr="00392E46" w:rsidRDefault="00720C81" w:rsidP="00392E46">
            <w:pPr>
              <w:pStyle w:val="Bullet1G"/>
              <w:ind w:left="142" w:right="260"/>
              <w:rPr>
                <w:bCs/>
              </w:rPr>
            </w:pPr>
            <w:r w:rsidRPr="00392E46">
              <w:rPr>
                <w:bCs/>
              </w:rPr>
              <w:t>(b)</w:t>
            </w:r>
            <w:r w:rsidRPr="00392E46">
              <w:rPr>
                <w:bCs/>
              </w:rPr>
              <w:tab/>
            </w:r>
            <w:r w:rsidR="00844F10">
              <w:rPr>
                <w:bCs/>
              </w:rPr>
              <w:t>Any c</w:t>
            </w:r>
            <w:r w:rsidRPr="00392E46">
              <w:rPr>
                <w:bCs/>
              </w:rPr>
              <w:t>apacity</w:t>
            </w:r>
            <w:r w:rsidR="00A71623">
              <w:rPr>
                <w:bCs/>
              </w:rPr>
              <w:t>-</w:t>
            </w:r>
            <w:r w:rsidRPr="00392E46">
              <w:rPr>
                <w:bCs/>
              </w:rPr>
              <w:t xml:space="preserve">building activities in Central Asia building on the outcomes of the joint </w:t>
            </w:r>
            <w:r w:rsidR="00844F10">
              <w:rPr>
                <w:bCs/>
              </w:rPr>
              <w:t>UN</w:t>
            </w:r>
            <w:r w:rsidRPr="00392E46">
              <w:rPr>
                <w:bCs/>
              </w:rPr>
              <w:t>ECE/OSCE project;</w:t>
            </w:r>
          </w:p>
          <w:p w14:paraId="687574CA" w14:textId="2BB95744" w:rsidR="00720C81" w:rsidRPr="001C71C5" w:rsidRDefault="00007726" w:rsidP="00392E46">
            <w:pPr>
              <w:pStyle w:val="Bullet1G"/>
              <w:ind w:left="142" w:right="260"/>
              <w:rPr>
                <w:b/>
              </w:rPr>
            </w:pPr>
            <w:r w:rsidRPr="00392E46">
              <w:rPr>
                <w:bCs/>
              </w:rPr>
              <w:t>(c)</w:t>
            </w:r>
            <w:r w:rsidRPr="00392E46">
              <w:rPr>
                <w:bCs/>
              </w:rPr>
              <w:tab/>
              <w:t xml:space="preserve">Preparation of the draft informal pamphlets, or “FasTips” by the </w:t>
            </w:r>
            <w:r w:rsidRPr="001C71C5">
              <w:rPr>
                <w:b/>
              </w:rPr>
              <w:t xml:space="preserve">International Association </w:t>
            </w:r>
            <w:r w:rsidR="005B274B" w:rsidRPr="001C71C5">
              <w:rPr>
                <w:b/>
              </w:rPr>
              <w:t>for</w:t>
            </w:r>
            <w:r w:rsidRPr="001C71C5">
              <w:rPr>
                <w:b/>
              </w:rPr>
              <w:t xml:space="preserve"> Impact Assessment.</w:t>
            </w:r>
            <w:r w:rsidR="007E01BD" w:rsidRPr="001C71C5">
              <w:rPr>
                <w:b/>
              </w:rPr>
              <w:t xml:space="preserve"> </w:t>
            </w:r>
          </w:p>
          <w:p w14:paraId="5FD13F23" w14:textId="771B0E37" w:rsidR="00007726" w:rsidRPr="00FC5412" w:rsidRDefault="00392E46" w:rsidP="003B5FDC">
            <w:pPr>
              <w:pStyle w:val="Bullet1G"/>
              <w:ind w:left="142" w:right="260"/>
              <w:rPr>
                <w:b/>
              </w:rPr>
            </w:pPr>
            <w:r w:rsidRPr="007D3A5A">
              <w:rPr>
                <w:b/>
                <w:bCs/>
              </w:rPr>
              <w:t>The Working Group</w:t>
            </w:r>
            <w:r w:rsidRPr="00860AAE">
              <w:t xml:space="preserve"> is expected to take note of the information and, as relevant, provide advice for the implementation or follow-up of the activities.</w:t>
            </w:r>
          </w:p>
        </w:tc>
      </w:tr>
      <w:tr w:rsidR="003B5FDC" w:rsidRPr="00930D32" w14:paraId="002B70AF" w14:textId="77777777" w:rsidTr="00D9132C">
        <w:trPr>
          <w:jc w:val="center"/>
        </w:trPr>
        <w:tc>
          <w:tcPr>
            <w:tcW w:w="1350" w:type="dxa"/>
            <w:vMerge/>
            <w:shd w:val="clear" w:color="auto" w:fill="auto"/>
          </w:tcPr>
          <w:p w14:paraId="62BCC179" w14:textId="77777777" w:rsidR="003B5FDC" w:rsidRPr="00930D32" w:rsidRDefault="003B5FDC" w:rsidP="003B5FDC">
            <w:pPr>
              <w:spacing w:before="40" w:after="120"/>
              <w:ind w:left="143" w:right="113"/>
              <w:rPr>
                <w:b/>
                <w:bCs/>
              </w:rPr>
            </w:pPr>
          </w:p>
        </w:tc>
        <w:tc>
          <w:tcPr>
            <w:tcW w:w="921" w:type="dxa"/>
            <w:shd w:val="clear" w:color="auto" w:fill="auto"/>
          </w:tcPr>
          <w:p w14:paraId="7E573C3C" w14:textId="695A521C" w:rsidR="003B5FDC" w:rsidRPr="00860AAE" w:rsidRDefault="003B5FDC" w:rsidP="003B5FDC">
            <w:pPr>
              <w:spacing w:before="40" w:after="120"/>
              <w:ind w:left="170" w:right="113"/>
            </w:pPr>
            <w:r w:rsidRPr="00860AAE">
              <w:t>12.30–1</w:t>
            </w:r>
            <w:r>
              <w:t>3</w:t>
            </w:r>
          </w:p>
        </w:tc>
        <w:tc>
          <w:tcPr>
            <w:tcW w:w="2044" w:type="dxa"/>
            <w:shd w:val="clear" w:color="auto" w:fill="auto"/>
            <w:vAlign w:val="bottom"/>
          </w:tcPr>
          <w:p w14:paraId="0A584F0E" w14:textId="2AC7E904" w:rsidR="003B5FDC" w:rsidRDefault="003B5FDC" w:rsidP="003B5FDC">
            <w:pPr>
              <w:spacing w:before="40" w:after="120"/>
              <w:ind w:left="284" w:right="113" w:hanging="142"/>
              <w:rPr>
                <w:b/>
                <w:bCs/>
              </w:rPr>
            </w:pPr>
            <w:r w:rsidRPr="00860AAE">
              <w:rPr>
                <w:b/>
                <w:bCs/>
              </w:rPr>
              <w:t>7. Management, coordination and visibility of intersessional activities</w:t>
            </w:r>
          </w:p>
          <w:p w14:paraId="633A3714" w14:textId="77777777" w:rsidR="00571549" w:rsidRDefault="00571549" w:rsidP="003B5FDC">
            <w:pPr>
              <w:spacing w:before="40" w:after="120"/>
              <w:ind w:left="284" w:right="113" w:hanging="142"/>
              <w:rPr>
                <w:b/>
                <w:bCs/>
              </w:rPr>
            </w:pPr>
          </w:p>
          <w:p w14:paraId="3A5DF32F" w14:textId="77777777" w:rsidR="00571549" w:rsidRDefault="00571549" w:rsidP="003B5FDC">
            <w:pPr>
              <w:spacing w:before="40" w:after="120"/>
              <w:ind w:left="284" w:right="113" w:hanging="142"/>
              <w:rPr>
                <w:b/>
                <w:bCs/>
              </w:rPr>
            </w:pPr>
          </w:p>
          <w:p w14:paraId="5FBAA0B7" w14:textId="77777777" w:rsidR="00571549" w:rsidRDefault="00571549" w:rsidP="003B5FDC">
            <w:pPr>
              <w:spacing w:before="40" w:after="120"/>
              <w:ind w:left="284" w:right="113" w:hanging="142"/>
              <w:rPr>
                <w:b/>
                <w:bCs/>
              </w:rPr>
            </w:pPr>
          </w:p>
          <w:p w14:paraId="4932B682" w14:textId="77777777" w:rsidR="00571549" w:rsidRDefault="00571549" w:rsidP="003B5FDC">
            <w:pPr>
              <w:spacing w:before="40" w:after="120"/>
              <w:ind w:left="284" w:right="113" w:hanging="142"/>
              <w:rPr>
                <w:b/>
                <w:bCs/>
              </w:rPr>
            </w:pPr>
          </w:p>
          <w:p w14:paraId="73ACBB17" w14:textId="77777777" w:rsidR="00571549" w:rsidRDefault="00571549" w:rsidP="003B5FDC">
            <w:pPr>
              <w:spacing w:before="40" w:after="120"/>
              <w:ind w:left="284" w:right="113" w:hanging="142"/>
              <w:rPr>
                <w:b/>
                <w:bCs/>
              </w:rPr>
            </w:pPr>
          </w:p>
          <w:p w14:paraId="3BA1E022" w14:textId="77777777" w:rsidR="00571549" w:rsidRDefault="00571549" w:rsidP="003B5FDC">
            <w:pPr>
              <w:spacing w:before="40" w:after="120"/>
              <w:ind w:left="284" w:right="113" w:hanging="142"/>
              <w:rPr>
                <w:b/>
                <w:bCs/>
              </w:rPr>
            </w:pPr>
          </w:p>
          <w:p w14:paraId="0CB66DBB" w14:textId="77777777" w:rsidR="00571549" w:rsidRDefault="00571549" w:rsidP="003B5FDC">
            <w:pPr>
              <w:spacing w:before="40" w:after="120"/>
              <w:ind w:left="284" w:right="113" w:hanging="142"/>
              <w:rPr>
                <w:b/>
                <w:bCs/>
              </w:rPr>
            </w:pPr>
          </w:p>
          <w:p w14:paraId="73AED59C" w14:textId="4C2042FB" w:rsidR="00571549" w:rsidRPr="00860AAE" w:rsidRDefault="00571549" w:rsidP="003B5FDC">
            <w:pPr>
              <w:spacing w:before="40" w:after="120"/>
              <w:ind w:left="284" w:right="113" w:hanging="142"/>
            </w:pPr>
          </w:p>
        </w:tc>
        <w:tc>
          <w:tcPr>
            <w:tcW w:w="3690" w:type="dxa"/>
            <w:shd w:val="clear" w:color="auto" w:fill="auto"/>
          </w:tcPr>
          <w:p w14:paraId="1545BFC7" w14:textId="28BCFBFC" w:rsidR="003B5FDC" w:rsidRPr="00460FD5" w:rsidRDefault="004F4D5F" w:rsidP="003B5FDC">
            <w:pPr>
              <w:spacing w:before="40" w:after="120" w:line="240" w:lineRule="auto"/>
              <w:ind w:left="176" w:right="113"/>
              <w:rPr>
                <w:iCs/>
              </w:rPr>
            </w:pPr>
            <w:r w:rsidRPr="004F4D5F">
              <w:rPr>
                <w:iCs/>
              </w:rPr>
              <w:lastRenderedPageBreak/>
              <w:t>Procedural matters of relevance to meetings with remote participation due to extraordinary circumstances (ECE/MP.EIA/WG.2/2023/INF.</w:t>
            </w:r>
            <w:r w:rsidR="007A126C">
              <w:rPr>
                <w:iCs/>
              </w:rPr>
              <w:t>11</w:t>
            </w:r>
            <w:r w:rsidRPr="004F4D5F">
              <w:rPr>
                <w:iCs/>
              </w:rPr>
              <w:t>)</w:t>
            </w:r>
          </w:p>
        </w:tc>
        <w:tc>
          <w:tcPr>
            <w:tcW w:w="4656" w:type="dxa"/>
            <w:shd w:val="clear" w:color="auto" w:fill="auto"/>
          </w:tcPr>
          <w:p w14:paraId="40779D24" w14:textId="3CF683A8" w:rsidR="00CA4207" w:rsidRPr="00CA4207" w:rsidRDefault="002328E6" w:rsidP="003B5FDC">
            <w:pPr>
              <w:pStyle w:val="Bullet1G"/>
              <w:ind w:left="142" w:right="260"/>
              <w:rPr>
                <w:b/>
              </w:rPr>
            </w:pPr>
            <w:r w:rsidRPr="002328E6">
              <w:rPr>
                <w:b/>
                <w:bCs/>
              </w:rPr>
              <w:t>The Working Group</w:t>
            </w:r>
            <w:r w:rsidRPr="00860AAE">
              <w:t xml:space="preserve"> may wish to consider and comment </w:t>
            </w:r>
            <w:r w:rsidR="00BB76D0">
              <w:t xml:space="preserve">on </w:t>
            </w:r>
            <w:r w:rsidRPr="00860AAE">
              <w:t xml:space="preserve">the </w:t>
            </w:r>
            <w:r w:rsidR="005A100C">
              <w:t xml:space="preserve">revision </w:t>
            </w:r>
            <w:r w:rsidRPr="00860AAE">
              <w:t xml:space="preserve">proposals from the </w:t>
            </w:r>
            <w:r>
              <w:t>EU</w:t>
            </w:r>
            <w:r w:rsidRPr="00860AAE">
              <w:t xml:space="preserve"> and its </w:t>
            </w:r>
            <w:r w:rsidR="009A1292">
              <w:t>m</w:t>
            </w:r>
            <w:r w:rsidRPr="00860AAE">
              <w:t xml:space="preserve">ember States </w:t>
            </w:r>
            <w:r w:rsidR="00BB2B68">
              <w:t>regarding</w:t>
            </w:r>
            <w:r w:rsidRPr="00860AAE">
              <w:t xml:space="preserve"> the informal note on procedural matters of relevance to meetings with remote participation due to extraordinary circumstances, which the Bureau had prepared in 2020, with the secretariat’s support, in consultation with the Treaty Section of the Office of Legal Affairs and any related recommendations from the Bureau. At the request of the Bureau the document is presented in a track-changes mode. </w:t>
            </w:r>
          </w:p>
          <w:p w14:paraId="2FDB03BF" w14:textId="121B94B3" w:rsidR="003B5FDC" w:rsidRPr="00FC5412" w:rsidRDefault="00CA4207" w:rsidP="003B5FDC">
            <w:pPr>
              <w:pStyle w:val="Bullet1G"/>
              <w:ind w:left="142" w:right="260"/>
              <w:rPr>
                <w:b/>
              </w:rPr>
            </w:pPr>
            <w:r w:rsidRPr="00CA4207">
              <w:rPr>
                <w:b/>
                <w:bCs/>
              </w:rPr>
              <w:lastRenderedPageBreak/>
              <w:t>T</w:t>
            </w:r>
            <w:r w:rsidR="002328E6" w:rsidRPr="00CA4207">
              <w:rPr>
                <w:b/>
                <w:bCs/>
              </w:rPr>
              <w:t>he Working Group</w:t>
            </w:r>
            <w:r w:rsidR="002328E6" w:rsidRPr="00860AAE">
              <w:t xml:space="preserve"> is invited to agree on </w:t>
            </w:r>
            <w:r w:rsidR="007A126C">
              <w:t>a</w:t>
            </w:r>
            <w:r w:rsidR="002328E6" w:rsidRPr="00860AAE">
              <w:t xml:space="preserve"> revised version of the note and recommend to the </w:t>
            </w:r>
            <w:r>
              <w:t>MOP</w:t>
            </w:r>
            <w:r w:rsidR="009738F5">
              <w:t>s</w:t>
            </w:r>
            <w:r w:rsidR="002328E6" w:rsidRPr="00860AAE">
              <w:t xml:space="preserve"> that </w:t>
            </w:r>
            <w:r w:rsidR="009738F5">
              <w:t>said</w:t>
            </w:r>
            <w:r w:rsidR="002328E6" w:rsidRPr="00860AAE">
              <w:t xml:space="preserve"> version be applied, and, as needed, further adapted, should the extraordinary circumstances arise again.</w:t>
            </w:r>
          </w:p>
        </w:tc>
      </w:tr>
      <w:tr w:rsidR="003B5FDC" w:rsidRPr="00930D32" w14:paraId="0BCEE18F" w14:textId="77777777" w:rsidTr="00D9132C">
        <w:trPr>
          <w:jc w:val="center"/>
        </w:trPr>
        <w:tc>
          <w:tcPr>
            <w:tcW w:w="1350" w:type="dxa"/>
            <w:vMerge/>
            <w:shd w:val="clear" w:color="auto" w:fill="auto"/>
          </w:tcPr>
          <w:p w14:paraId="7CF87906" w14:textId="77777777" w:rsidR="003B5FDC" w:rsidRPr="00930D32" w:rsidRDefault="003B5FDC" w:rsidP="003B5FDC">
            <w:pPr>
              <w:spacing w:before="40" w:after="120"/>
              <w:ind w:left="143" w:right="113"/>
              <w:rPr>
                <w:b/>
                <w:bCs/>
              </w:rPr>
            </w:pPr>
          </w:p>
        </w:tc>
        <w:tc>
          <w:tcPr>
            <w:tcW w:w="921" w:type="dxa"/>
            <w:shd w:val="clear" w:color="auto" w:fill="auto"/>
          </w:tcPr>
          <w:p w14:paraId="6347D769" w14:textId="38A2DCB5" w:rsidR="003B5FDC" w:rsidRPr="00860AAE" w:rsidRDefault="003B5FDC" w:rsidP="003B5FDC">
            <w:pPr>
              <w:spacing w:before="40" w:after="120"/>
              <w:ind w:left="170" w:right="113"/>
            </w:pPr>
            <w:r>
              <w:rPr>
                <w:bCs/>
              </w:rPr>
              <w:t>15</w:t>
            </w:r>
            <w:r w:rsidRPr="00860AAE">
              <w:t>–</w:t>
            </w:r>
            <w:r>
              <w:rPr>
                <w:bCs/>
              </w:rPr>
              <w:t>15</w:t>
            </w:r>
            <w:r w:rsidRPr="00860AAE">
              <w:rPr>
                <w:bCs/>
              </w:rPr>
              <w:t>.30</w:t>
            </w:r>
          </w:p>
        </w:tc>
        <w:tc>
          <w:tcPr>
            <w:tcW w:w="2044" w:type="dxa"/>
            <w:shd w:val="clear" w:color="auto" w:fill="auto"/>
            <w:vAlign w:val="bottom"/>
          </w:tcPr>
          <w:p w14:paraId="25E316D8" w14:textId="7B6B35A2" w:rsidR="003B5FDC" w:rsidRDefault="003B5FDC" w:rsidP="003B5FDC">
            <w:pPr>
              <w:spacing w:before="40" w:after="120"/>
              <w:ind w:left="284" w:right="113" w:hanging="142"/>
              <w:rPr>
                <w:b/>
                <w:bCs/>
                <w:color w:val="FF0000"/>
              </w:rPr>
            </w:pPr>
            <w:r w:rsidRPr="00860AAE">
              <w:rPr>
                <w:b/>
                <w:bCs/>
              </w:rPr>
              <w:t xml:space="preserve">8. </w:t>
            </w:r>
            <w:r w:rsidR="00B52402" w:rsidRPr="002B6C68">
              <w:rPr>
                <w:b/>
                <w:bCs/>
              </w:rPr>
              <w:t>Related events</w:t>
            </w:r>
          </w:p>
          <w:p w14:paraId="5AF5808F" w14:textId="1751DFC5" w:rsidR="00FA3E51" w:rsidRDefault="00FA3E51" w:rsidP="003B5FDC">
            <w:pPr>
              <w:spacing w:before="40" w:after="120"/>
              <w:ind w:left="284" w:right="113" w:hanging="142"/>
              <w:rPr>
                <w:b/>
                <w:bCs/>
                <w:color w:val="FF0000"/>
              </w:rPr>
            </w:pPr>
          </w:p>
          <w:p w14:paraId="3B0238AC" w14:textId="5F44E97C" w:rsidR="00FA3E51" w:rsidRDefault="00FA3E51" w:rsidP="003B5FDC">
            <w:pPr>
              <w:spacing w:before="40" w:after="120"/>
              <w:ind w:left="284" w:right="113" w:hanging="142"/>
              <w:rPr>
                <w:b/>
                <w:bCs/>
                <w:color w:val="FF0000"/>
              </w:rPr>
            </w:pPr>
          </w:p>
          <w:p w14:paraId="71BE336E" w14:textId="28C7E6B1" w:rsidR="00FA3E51" w:rsidRDefault="00FA3E51" w:rsidP="003B5FDC">
            <w:pPr>
              <w:spacing w:before="40" w:after="120"/>
              <w:ind w:left="284" w:right="113" w:hanging="142"/>
              <w:rPr>
                <w:b/>
                <w:bCs/>
                <w:color w:val="FF0000"/>
              </w:rPr>
            </w:pPr>
          </w:p>
          <w:p w14:paraId="17E9E527" w14:textId="0308BC46" w:rsidR="00FA3E51" w:rsidRDefault="00FA3E51" w:rsidP="003B5FDC">
            <w:pPr>
              <w:spacing w:before="40" w:after="120"/>
              <w:ind w:left="284" w:right="113" w:hanging="142"/>
              <w:rPr>
                <w:b/>
                <w:bCs/>
                <w:color w:val="FF0000"/>
              </w:rPr>
            </w:pPr>
          </w:p>
          <w:p w14:paraId="012B7844" w14:textId="7BB169F8" w:rsidR="00FA3E51" w:rsidRDefault="00FA3E51" w:rsidP="003B5FDC">
            <w:pPr>
              <w:spacing w:before="40" w:after="120"/>
              <w:ind w:left="284" w:right="113" w:hanging="142"/>
              <w:rPr>
                <w:b/>
                <w:bCs/>
                <w:color w:val="FF0000"/>
              </w:rPr>
            </w:pPr>
          </w:p>
          <w:p w14:paraId="603B58CE" w14:textId="77777777" w:rsidR="00FA3E51" w:rsidRPr="00B52402" w:rsidRDefault="00FA3E51" w:rsidP="003B5FDC">
            <w:pPr>
              <w:spacing w:before="40" w:after="120"/>
              <w:ind w:left="284" w:right="113" w:hanging="142"/>
              <w:rPr>
                <w:b/>
                <w:bCs/>
                <w:color w:val="FF0000"/>
              </w:rPr>
            </w:pPr>
          </w:p>
          <w:p w14:paraId="561FB747" w14:textId="76D35EA7" w:rsidR="00B52402" w:rsidRPr="00860AAE" w:rsidRDefault="00B52402" w:rsidP="003B5FDC">
            <w:pPr>
              <w:spacing w:before="40" w:after="120"/>
              <w:ind w:left="284" w:right="113" w:hanging="142"/>
              <w:rPr>
                <w:b/>
                <w:bCs/>
              </w:rPr>
            </w:pPr>
          </w:p>
        </w:tc>
        <w:tc>
          <w:tcPr>
            <w:tcW w:w="3690" w:type="dxa"/>
            <w:shd w:val="clear" w:color="auto" w:fill="auto"/>
          </w:tcPr>
          <w:p w14:paraId="12F85195" w14:textId="1F757A2E" w:rsidR="003B5FDC" w:rsidRPr="00D34037" w:rsidRDefault="00000000" w:rsidP="00D34037">
            <w:pPr>
              <w:pStyle w:val="ListParagraph"/>
              <w:numPr>
                <w:ilvl w:val="0"/>
                <w:numId w:val="3"/>
              </w:numPr>
              <w:tabs>
                <w:tab w:val="clear" w:pos="720"/>
                <w:tab w:val="num" w:pos="270"/>
              </w:tabs>
              <w:spacing w:before="40" w:after="120" w:line="240" w:lineRule="auto"/>
              <w:ind w:left="270" w:right="113" w:hanging="180"/>
              <w:rPr>
                <w:iCs/>
              </w:rPr>
            </w:pPr>
            <w:hyperlink r:id="rId18" w:history="1">
              <w:r w:rsidR="00ED0581" w:rsidRPr="00D34037">
                <w:rPr>
                  <w:rStyle w:val="Hyperlink"/>
                  <w:color w:val="4472C4"/>
                  <w:u w:val="single"/>
                </w:rPr>
                <w:t>2023</w:t>
              </w:r>
              <w:r w:rsidR="0040589F" w:rsidRPr="00D34037">
                <w:rPr>
                  <w:rStyle w:val="Hyperlink"/>
                  <w:color w:val="4472C4"/>
                  <w:u w:val="single"/>
                </w:rPr>
                <w:t xml:space="preserve"> UNECE</w:t>
              </w:r>
              <w:r w:rsidR="00ED0581" w:rsidRPr="00D34037">
                <w:rPr>
                  <w:rStyle w:val="Hyperlink"/>
                  <w:color w:val="4472C4"/>
                  <w:u w:val="single"/>
                </w:rPr>
                <w:t xml:space="preserve"> Regional Forum on Sustainable Development</w:t>
              </w:r>
            </w:hyperlink>
            <w:r w:rsidR="007B023E" w:rsidRPr="00D34037">
              <w:rPr>
                <w:rStyle w:val="Hyperlink"/>
                <w:color w:val="4472C4"/>
              </w:rPr>
              <w:t xml:space="preserve"> </w:t>
            </w:r>
            <w:r w:rsidR="0021148C" w:rsidRPr="0021148C">
              <w:rPr>
                <w:iCs/>
              </w:rPr>
              <w:t>https://regionalforum.unece.org/events/regional-forum-2023</w:t>
            </w:r>
            <w:r w:rsidR="007B023E" w:rsidRPr="00D34037">
              <w:rPr>
                <w:iCs/>
              </w:rPr>
              <w:t xml:space="preserve"> </w:t>
            </w:r>
          </w:p>
          <w:p w14:paraId="7C7CDFAC" w14:textId="3EF51A13" w:rsidR="00F24137" w:rsidRPr="00D34037" w:rsidRDefault="00000000" w:rsidP="00D34037">
            <w:pPr>
              <w:pStyle w:val="ListParagraph"/>
              <w:numPr>
                <w:ilvl w:val="0"/>
                <w:numId w:val="3"/>
              </w:numPr>
              <w:tabs>
                <w:tab w:val="clear" w:pos="720"/>
                <w:tab w:val="num" w:pos="270"/>
              </w:tabs>
              <w:spacing w:before="40" w:after="120" w:line="240" w:lineRule="auto"/>
              <w:ind w:left="270" w:right="113" w:hanging="180"/>
              <w:rPr>
                <w:color w:val="4472C4"/>
                <w:u w:val="single"/>
              </w:rPr>
            </w:pPr>
            <w:hyperlink r:id="rId19" w:history="1">
              <w:r w:rsidR="00F24137" w:rsidRPr="00D34037">
                <w:rPr>
                  <w:rStyle w:val="Hyperlink"/>
                  <w:color w:val="4472C4"/>
                  <w:u w:val="single"/>
                </w:rPr>
                <w:t>The Seventh Ministerial Conference on Environment and Health</w:t>
              </w:r>
            </w:hyperlink>
            <w:r w:rsidR="00D34037">
              <w:rPr>
                <w:rStyle w:val="Hyperlink"/>
                <w:color w:val="4472C4"/>
                <w:u w:val="single"/>
              </w:rPr>
              <w:br/>
            </w:r>
            <w:r w:rsidR="00A1632D" w:rsidRPr="00D34037">
              <w:rPr>
                <w:iCs/>
              </w:rPr>
              <w:t>https://www.who.int/europe/news-room/events/item/2023/07/05/default-calendar/seventh-ministerial-conference-on-environment-and-health</w:t>
            </w:r>
          </w:p>
          <w:p w14:paraId="19C6FA5C" w14:textId="27C3A53C" w:rsidR="007B023E" w:rsidRPr="007B023E" w:rsidRDefault="007B023E" w:rsidP="003B5FDC">
            <w:pPr>
              <w:spacing w:before="40" w:after="120" w:line="240" w:lineRule="auto"/>
              <w:ind w:left="176" w:right="113"/>
              <w:rPr>
                <w:iCs/>
              </w:rPr>
            </w:pPr>
          </w:p>
        </w:tc>
        <w:tc>
          <w:tcPr>
            <w:tcW w:w="4656" w:type="dxa"/>
            <w:shd w:val="clear" w:color="auto" w:fill="auto"/>
          </w:tcPr>
          <w:p w14:paraId="658D2A1D" w14:textId="1173D932" w:rsidR="003B5FDC" w:rsidRPr="00BE1859" w:rsidRDefault="00BE1859" w:rsidP="003B5FDC">
            <w:pPr>
              <w:pStyle w:val="Bullet1G"/>
              <w:ind w:left="142" w:right="260"/>
              <w:rPr>
                <w:b/>
              </w:rPr>
            </w:pPr>
            <w:r w:rsidRPr="00083F3B">
              <w:rPr>
                <w:b/>
                <w:bCs/>
              </w:rPr>
              <w:t>The secretariat or delegations</w:t>
            </w:r>
            <w:r w:rsidR="00401D1E">
              <w:rPr>
                <w:b/>
                <w:bCs/>
              </w:rPr>
              <w:t>, including WHO</w:t>
            </w:r>
            <w:r w:rsidRPr="00083F3B">
              <w:rPr>
                <w:b/>
                <w:bCs/>
              </w:rPr>
              <w:t xml:space="preserve"> </w:t>
            </w:r>
            <w:r w:rsidRPr="00860AAE">
              <w:t xml:space="preserve">will report on </w:t>
            </w:r>
            <w:r w:rsidR="00401D1E">
              <w:t xml:space="preserve">outcomes or </w:t>
            </w:r>
            <w:r w:rsidR="00ED2D1B">
              <w:t xml:space="preserve">preparation of </w:t>
            </w:r>
            <w:r w:rsidRPr="00860AAE">
              <w:t>re</w:t>
            </w:r>
            <w:r w:rsidR="001B0A94">
              <w:t>lated</w:t>
            </w:r>
            <w:r w:rsidRPr="00860AAE">
              <w:t xml:space="preserve"> events, including</w:t>
            </w:r>
            <w:r>
              <w:t>:</w:t>
            </w:r>
          </w:p>
          <w:p w14:paraId="13193922" w14:textId="766F9D85" w:rsidR="00BE1859" w:rsidRPr="004C09BA" w:rsidRDefault="004C09BA" w:rsidP="00083F3B">
            <w:pPr>
              <w:pStyle w:val="Bullet1G"/>
              <w:ind w:left="142" w:right="260"/>
              <w:rPr>
                <w:b/>
              </w:rPr>
            </w:pPr>
            <w:r w:rsidRPr="00860AAE">
              <w:t>(a)</w:t>
            </w:r>
            <w:r w:rsidRPr="00860AAE">
              <w:tab/>
              <w:t>The</w:t>
            </w:r>
            <w:r w:rsidR="005746CB">
              <w:t xml:space="preserve"> </w:t>
            </w:r>
            <w:r w:rsidRPr="00860AAE">
              <w:t>Regional Forum on Sustainable Development for the United Nations Economic Commission for Europe Region (Geneva</w:t>
            </w:r>
            <w:r w:rsidR="00C6299D">
              <w:t>,</w:t>
            </w:r>
            <w:r w:rsidRPr="00860AAE">
              <w:t xml:space="preserve"> 29–30 March 2023</w:t>
            </w:r>
            <w:r>
              <w:t>)</w:t>
            </w:r>
            <w:r w:rsidR="0059601E">
              <w:t>;</w:t>
            </w:r>
            <w:r w:rsidR="005F246C">
              <w:t xml:space="preserve"> </w:t>
            </w:r>
          </w:p>
          <w:p w14:paraId="43FEDA98" w14:textId="5AF1878D" w:rsidR="004C09BA" w:rsidRDefault="00D021B5" w:rsidP="00083F3B">
            <w:pPr>
              <w:pStyle w:val="Bullet1G"/>
              <w:ind w:left="142" w:right="260"/>
              <w:rPr>
                <w:bCs/>
              </w:rPr>
            </w:pPr>
            <w:r w:rsidRPr="00D021B5">
              <w:rPr>
                <w:bCs/>
              </w:rPr>
              <w:t>(b)</w:t>
            </w:r>
            <w:r w:rsidRPr="00D021B5">
              <w:rPr>
                <w:bCs/>
              </w:rPr>
              <w:tab/>
              <w:t>The</w:t>
            </w:r>
            <w:r w:rsidR="005746CB">
              <w:rPr>
                <w:bCs/>
              </w:rPr>
              <w:t xml:space="preserve"> </w:t>
            </w:r>
            <w:r w:rsidRPr="00D021B5">
              <w:rPr>
                <w:bCs/>
              </w:rPr>
              <w:t>Seventh Ministerial Conference on Environment and Health (Budapest, 5–7 July 2023).</w:t>
            </w:r>
          </w:p>
          <w:p w14:paraId="017F4D8E" w14:textId="03CAC5F1" w:rsidR="00083F3B" w:rsidRPr="00D021B5" w:rsidRDefault="00083F3B" w:rsidP="003B5FDC">
            <w:pPr>
              <w:pStyle w:val="Bullet1G"/>
              <w:ind w:left="142" w:right="260"/>
              <w:rPr>
                <w:bCs/>
              </w:rPr>
            </w:pPr>
            <w:r w:rsidRPr="00083F3B">
              <w:rPr>
                <w:b/>
                <w:bCs/>
              </w:rPr>
              <w:t>The Working Group</w:t>
            </w:r>
            <w:r w:rsidRPr="00860AAE">
              <w:t xml:space="preserve"> will be invited to note and comment on the information provided</w:t>
            </w:r>
            <w:r>
              <w:t>.</w:t>
            </w:r>
          </w:p>
        </w:tc>
      </w:tr>
      <w:tr w:rsidR="003B5FDC" w:rsidRPr="00930D32" w14:paraId="5B855A00" w14:textId="77777777" w:rsidTr="00D9132C">
        <w:trPr>
          <w:jc w:val="center"/>
        </w:trPr>
        <w:tc>
          <w:tcPr>
            <w:tcW w:w="1350" w:type="dxa"/>
            <w:vMerge/>
            <w:shd w:val="clear" w:color="auto" w:fill="auto"/>
          </w:tcPr>
          <w:p w14:paraId="4C3A3F1D" w14:textId="77777777" w:rsidR="003B5FDC" w:rsidRPr="00930D32" w:rsidRDefault="003B5FDC" w:rsidP="003B5FDC">
            <w:pPr>
              <w:spacing w:before="40" w:after="120"/>
              <w:ind w:left="143" w:right="113"/>
              <w:rPr>
                <w:b/>
                <w:bCs/>
              </w:rPr>
            </w:pPr>
          </w:p>
        </w:tc>
        <w:tc>
          <w:tcPr>
            <w:tcW w:w="921" w:type="dxa"/>
            <w:shd w:val="clear" w:color="auto" w:fill="auto"/>
          </w:tcPr>
          <w:p w14:paraId="71940D47" w14:textId="2A5B4FC7" w:rsidR="003B5FDC" w:rsidRDefault="003B5FDC" w:rsidP="003B5FDC">
            <w:pPr>
              <w:spacing w:before="40" w:after="120"/>
              <w:ind w:left="170" w:right="113"/>
              <w:rPr>
                <w:bCs/>
              </w:rPr>
            </w:pPr>
            <w:r>
              <w:rPr>
                <w:bCs/>
              </w:rPr>
              <w:t>15</w:t>
            </w:r>
            <w:r w:rsidRPr="00860AAE">
              <w:rPr>
                <w:bCs/>
              </w:rPr>
              <w:t>.30</w:t>
            </w:r>
            <w:r w:rsidRPr="00860AAE">
              <w:t>–</w:t>
            </w:r>
            <w:r>
              <w:rPr>
                <w:bCs/>
              </w:rPr>
              <w:t>16</w:t>
            </w:r>
          </w:p>
        </w:tc>
        <w:tc>
          <w:tcPr>
            <w:tcW w:w="2044" w:type="dxa"/>
            <w:shd w:val="clear" w:color="auto" w:fill="auto"/>
            <w:vAlign w:val="bottom"/>
          </w:tcPr>
          <w:p w14:paraId="5A3B2C14" w14:textId="1B5F57E5" w:rsidR="003B5FDC" w:rsidRDefault="003B5FDC" w:rsidP="003B5FDC">
            <w:pPr>
              <w:spacing w:before="40" w:after="120"/>
              <w:ind w:left="284" w:right="113" w:hanging="142"/>
              <w:rPr>
                <w:b/>
                <w:bCs/>
              </w:rPr>
            </w:pPr>
            <w:r w:rsidRPr="00860AAE">
              <w:rPr>
                <w:b/>
                <w:bCs/>
              </w:rPr>
              <w:t>9. Other business</w:t>
            </w:r>
          </w:p>
          <w:p w14:paraId="33BBA30A" w14:textId="77777777" w:rsidR="004B02AE" w:rsidRDefault="004B02AE" w:rsidP="003B5FDC">
            <w:pPr>
              <w:spacing w:before="40" w:after="120"/>
              <w:ind w:left="284" w:right="113" w:hanging="142"/>
              <w:rPr>
                <w:b/>
                <w:bCs/>
              </w:rPr>
            </w:pPr>
          </w:p>
          <w:p w14:paraId="57CE6383" w14:textId="4A9F3EDB" w:rsidR="0009350C" w:rsidRPr="00860AAE" w:rsidRDefault="0009350C" w:rsidP="00226350">
            <w:pPr>
              <w:spacing w:before="40" w:after="120"/>
              <w:ind w:right="113"/>
              <w:rPr>
                <w:b/>
                <w:bCs/>
              </w:rPr>
            </w:pPr>
          </w:p>
        </w:tc>
        <w:tc>
          <w:tcPr>
            <w:tcW w:w="3690" w:type="dxa"/>
            <w:shd w:val="clear" w:color="auto" w:fill="auto"/>
          </w:tcPr>
          <w:p w14:paraId="23CC8936" w14:textId="42BAA99C" w:rsidR="003B5FDC" w:rsidRPr="00460FD5" w:rsidRDefault="005550FA" w:rsidP="003B5FDC">
            <w:pPr>
              <w:spacing w:before="40" w:after="120" w:line="240" w:lineRule="auto"/>
              <w:ind w:left="176" w:right="113"/>
              <w:rPr>
                <w:iCs/>
              </w:rPr>
            </w:pPr>
            <w:r w:rsidRPr="00930D32">
              <w:rPr>
                <w:bCs/>
              </w:rPr>
              <w:t>(</w:t>
            </w:r>
            <w:r w:rsidRPr="00930D32">
              <w:rPr>
                <w:bCs/>
                <w:i/>
              </w:rPr>
              <w:t>none</w:t>
            </w:r>
            <w:r w:rsidRPr="00930D32">
              <w:rPr>
                <w:bCs/>
              </w:rPr>
              <w:t>)</w:t>
            </w:r>
          </w:p>
        </w:tc>
        <w:tc>
          <w:tcPr>
            <w:tcW w:w="4656" w:type="dxa"/>
            <w:shd w:val="clear" w:color="auto" w:fill="auto"/>
          </w:tcPr>
          <w:p w14:paraId="78B89051" w14:textId="5B1994B0" w:rsidR="003B5FDC" w:rsidRPr="00FC5412" w:rsidRDefault="0047122C" w:rsidP="003B5FDC">
            <w:pPr>
              <w:pStyle w:val="Bullet1G"/>
              <w:ind w:left="142" w:right="260"/>
              <w:rPr>
                <w:b/>
              </w:rPr>
            </w:pPr>
            <w:r w:rsidRPr="0047122C">
              <w:rPr>
                <w:b/>
              </w:rPr>
              <w:t>Delegations</w:t>
            </w:r>
            <w:r w:rsidRPr="00930D32">
              <w:rPr>
                <w:bCs/>
              </w:rPr>
              <w:t xml:space="preserve"> wishing to raise other business should contact the Chair and the secretariat as soon as possible ahead of the meeting.</w:t>
            </w:r>
          </w:p>
        </w:tc>
      </w:tr>
      <w:tr w:rsidR="003B5FDC" w:rsidRPr="00930D32" w14:paraId="7A089F7F" w14:textId="77777777" w:rsidTr="00D9132C">
        <w:trPr>
          <w:jc w:val="center"/>
        </w:trPr>
        <w:tc>
          <w:tcPr>
            <w:tcW w:w="1350" w:type="dxa"/>
            <w:vMerge/>
            <w:shd w:val="clear" w:color="auto" w:fill="auto"/>
          </w:tcPr>
          <w:p w14:paraId="49913399" w14:textId="77777777" w:rsidR="003B5FDC" w:rsidRPr="00930D32" w:rsidRDefault="003B5FDC" w:rsidP="003B5FDC">
            <w:pPr>
              <w:spacing w:before="40" w:after="120"/>
              <w:ind w:left="143" w:right="113"/>
              <w:rPr>
                <w:b/>
                <w:bCs/>
              </w:rPr>
            </w:pPr>
          </w:p>
        </w:tc>
        <w:tc>
          <w:tcPr>
            <w:tcW w:w="921" w:type="dxa"/>
            <w:shd w:val="clear" w:color="auto" w:fill="auto"/>
          </w:tcPr>
          <w:p w14:paraId="62754055" w14:textId="6C4F543A" w:rsidR="003B5FDC" w:rsidRDefault="003B5FDC" w:rsidP="003B5FDC">
            <w:pPr>
              <w:spacing w:before="40" w:after="120"/>
              <w:ind w:left="170" w:right="113"/>
              <w:rPr>
                <w:bCs/>
              </w:rPr>
            </w:pPr>
            <w:r>
              <w:t>16</w:t>
            </w:r>
            <w:r w:rsidRPr="00860AAE">
              <w:t>–</w:t>
            </w:r>
            <w:r>
              <w:t>18</w:t>
            </w:r>
          </w:p>
        </w:tc>
        <w:tc>
          <w:tcPr>
            <w:tcW w:w="2044" w:type="dxa"/>
            <w:shd w:val="clear" w:color="auto" w:fill="auto"/>
            <w:vAlign w:val="bottom"/>
          </w:tcPr>
          <w:p w14:paraId="4731EF38" w14:textId="46F5A2E9" w:rsidR="003B5FDC" w:rsidRPr="00860AAE" w:rsidRDefault="003B5FDC" w:rsidP="003B5FDC">
            <w:pPr>
              <w:spacing w:before="40" w:after="120"/>
              <w:ind w:left="284" w:right="113" w:hanging="142"/>
              <w:rPr>
                <w:b/>
                <w:bCs/>
              </w:rPr>
            </w:pPr>
            <w:r w:rsidRPr="00860AAE">
              <w:rPr>
                <w:b/>
                <w:bCs/>
              </w:rPr>
              <w:t>10. Presentation of the main decisions taken and closing of the meeting</w:t>
            </w:r>
          </w:p>
        </w:tc>
        <w:tc>
          <w:tcPr>
            <w:tcW w:w="3690" w:type="dxa"/>
            <w:shd w:val="clear" w:color="auto" w:fill="auto"/>
          </w:tcPr>
          <w:p w14:paraId="61B31839" w14:textId="77777777" w:rsidR="003B5FDC" w:rsidRPr="00460FD5" w:rsidRDefault="003B5FDC" w:rsidP="003B5FDC">
            <w:pPr>
              <w:spacing w:before="40" w:after="120" w:line="240" w:lineRule="auto"/>
              <w:ind w:left="176" w:right="113"/>
              <w:rPr>
                <w:iCs/>
              </w:rPr>
            </w:pPr>
          </w:p>
        </w:tc>
        <w:tc>
          <w:tcPr>
            <w:tcW w:w="4656" w:type="dxa"/>
            <w:shd w:val="clear" w:color="auto" w:fill="auto"/>
          </w:tcPr>
          <w:p w14:paraId="2EB53D97" w14:textId="0AC4A243" w:rsidR="003B5FDC" w:rsidRPr="00FC5412" w:rsidRDefault="004E330B" w:rsidP="003B5FDC">
            <w:pPr>
              <w:pStyle w:val="Bullet1G"/>
              <w:ind w:left="142" w:right="260"/>
              <w:rPr>
                <w:b/>
              </w:rPr>
            </w:pPr>
            <w:r w:rsidRPr="00930D32">
              <w:rPr>
                <w:bCs/>
              </w:rPr>
              <w:t xml:space="preserve">The </w:t>
            </w:r>
            <w:r w:rsidRPr="00930D32">
              <w:rPr>
                <w:b/>
              </w:rPr>
              <w:t>Working Group</w:t>
            </w:r>
            <w:r w:rsidRPr="00930D32">
              <w:rPr>
                <w:b/>
                <w:bCs/>
              </w:rPr>
              <w:t xml:space="preserve"> </w:t>
            </w:r>
            <w:r w:rsidRPr="00930D32">
              <w:rPr>
                <w:bCs/>
              </w:rPr>
              <w:t>is expected to agree on the main decisions taken at the meeting.</w:t>
            </w:r>
            <w:r w:rsidR="00142D1A">
              <w:rPr>
                <w:bCs/>
              </w:rPr>
              <w:t xml:space="preserve"> </w:t>
            </w:r>
          </w:p>
        </w:tc>
      </w:tr>
    </w:tbl>
    <w:bookmarkEnd w:id="1"/>
    <w:p w14:paraId="50AC606F" w14:textId="77777777" w:rsidR="00F507EC" w:rsidRPr="002D426F" w:rsidRDefault="007D01A8" w:rsidP="009F7903">
      <w:pPr>
        <w:spacing w:before="240"/>
        <w:ind w:left="1134" w:right="1134"/>
        <w:jc w:val="center"/>
      </w:pPr>
      <w:r w:rsidRPr="002D426F">
        <w:rPr>
          <w:u w:val="single"/>
        </w:rPr>
        <w:tab/>
      </w:r>
      <w:r w:rsidRPr="002D426F">
        <w:rPr>
          <w:u w:val="single"/>
        </w:rPr>
        <w:tab/>
      </w:r>
      <w:r w:rsidRPr="002D426F">
        <w:rPr>
          <w:u w:val="single"/>
        </w:rPr>
        <w:tab/>
      </w:r>
    </w:p>
    <w:sectPr w:rsidR="00F507EC" w:rsidRPr="002D426F" w:rsidSect="006B2C5E">
      <w:headerReference w:type="even" r:id="rId20"/>
      <w:headerReference w:type="default" r:id="rId21"/>
      <w:footerReference w:type="even" r:id="rId22"/>
      <w:footerReference w:type="default" r:id="rId23"/>
      <w:headerReference w:type="first" r:id="rId24"/>
      <w:endnotePr>
        <w:numFmt w:val="decimal"/>
      </w:endnotePr>
      <w:pgSz w:w="16840" w:h="11907" w:orient="landscape" w:code="9"/>
      <w:pgMar w:top="1138" w:right="1699" w:bottom="1138" w:left="2275"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1253" w14:textId="77777777" w:rsidR="00340386" w:rsidRDefault="00340386"/>
  </w:endnote>
  <w:endnote w:type="continuationSeparator" w:id="0">
    <w:p w14:paraId="7DB0933B" w14:textId="77777777" w:rsidR="00340386" w:rsidRDefault="00340386"/>
  </w:endnote>
  <w:endnote w:type="continuationNotice" w:id="1">
    <w:p w14:paraId="69D27455" w14:textId="77777777" w:rsidR="00340386" w:rsidRDefault="0034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2CFD" w14:textId="77777777" w:rsidR="009A5236" w:rsidRPr="0048161B" w:rsidRDefault="009A5236" w:rsidP="0048161B">
    <w:pPr>
      <w:pStyle w:val="Footer"/>
      <w:tabs>
        <w:tab w:val="right" w:pos="9638"/>
      </w:tabs>
      <w:rPr>
        <w:sz w:val="18"/>
      </w:rPr>
    </w:pP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2</w:t>
    </w:r>
    <w:r w:rsidRPr="004816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6363" w14:textId="77777777" w:rsidR="009A5236" w:rsidRPr="0048161B" w:rsidRDefault="009A5236" w:rsidP="0048161B">
    <w:pPr>
      <w:pStyle w:val="Footer"/>
      <w:tabs>
        <w:tab w:val="right" w:pos="9638"/>
      </w:tabs>
      <w:rPr>
        <w:b/>
        <w:sz w:val="18"/>
      </w:rPr>
    </w:pPr>
    <w:r>
      <w:tab/>
    </w: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3</w:t>
    </w:r>
    <w:r w:rsidRPr="004816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7EF9" w14:textId="504DA740" w:rsidR="009A5236" w:rsidRPr="0048161B" w:rsidRDefault="000549B2">
    <w:pPr>
      <w:pStyle w:val="Footer"/>
      <w:rPr>
        <w:sz w:val="20"/>
      </w:rPr>
    </w:pPr>
    <w:r>
      <w:rPr>
        <w:noProof/>
        <w:lang w:val="fr-FR" w:eastAsia="fr-FR"/>
      </w:rPr>
      <w:drawing>
        <wp:anchor distT="0" distB="0" distL="114300" distR="114300" simplePos="0" relativeHeight="251655680" behindDoc="0" locked="1" layoutInCell="1" allowOverlap="1" wp14:anchorId="17266434" wp14:editId="42AF0B34">
          <wp:simplePos x="0" y="0"/>
          <wp:positionH relativeFrom="column">
            <wp:posOffset>5148580</wp:posOffset>
          </wp:positionH>
          <wp:positionV relativeFrom="paragraph">
            <wp:posOffset>-114935</wp:posOffset>
          </wp:positionV>
          <wp:extent cx="930275" cy="23050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0FAF" w14:textId="77777777" w:rsidR="009A5236" w:rsidRPr="006E0021" w:rsidRDefault="009A5236" w:rsidP="006E00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F63D" w14:textId="77777777" w:rsidR="009A5236" w:rsidRPr="006E0021" w:rsidRDefault="009A5236" w:rsidP="006E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263D" w14:textId="77777777" w:rsidR="00340386" w:rsidRPr="000B175B" w:rsidRDefault="00340386" w:rsidP="000B175B">
      <w:pPr>
        <w:tabs>
          <w:tab w:val="right" w:pos="2155"/>
        </w:tabs>
        <w:spacing w:after="80"/>
        <w:ind w:left="680"/>
        <w:rPr>
          <w:u w:val="single"/>
        </w:rPr>
      </w:pPr>
      <w:r>
        <w:rPr>
          <w:u w:val="single"/>
        </w:rPr>
        <w:tab/>
      </w:r>
    </w:p>
  </w:footnote>
  <w:footnote w:type="continuationSeparator" w:id="0">
    <w:p w14:paraId="6AE0352C" w14:textId="77777777" w:rsidR="00340386" w:rsidRPr="00FC68B7" w:rsidRDefault="00340386" w:rsidP="00FC68B7">
      <w:pPr>
        <w:tabs>
          <w:tab w:val="left" w:pos="2155"/>
        </w:tabs>
        <w:spacing w:after="80"/>
        <w:ind w:left="680"/>
        <w:rPr>
          <w:u w:val="single"/>
        </w:rPr>
      </w:pPr>
      <w:r>
        <w:rPr>
          <w:u w:val="single"/>
        </w:rPr>
        <w:tab/>
      </w:r>
    </w:p>
  </w:footnote>
  <w:footnote w:type="continuationNotice" w:id="1">
    <w:p w14:paraId="516F0BEA" w14:textId="77777777" w:rsidR="00340386" w:rsidRDefault="00340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F774" w14:textId="77777777" w:rsidR="009A5236" w:rsidRPr="0048161B" w:rsidRDefault="009A5236">
    <w:pPr>
      <w:pStyle w:val="Header"/>
    </w:pPr>
    <w:r>
      <w:t>ECE/MP.EIA/IC/2010/INF.1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8B8" w14:textId="77777777" w:rsidR="009A5236" w:rsidRPr="0048161B" w:rsidRDefault="009A5236" w:rsidP="0048161B">
    <w:pPr>
      <w:pStyle w:val="Header"/>
      <w:jc w:val="right"/>
    </w:pPr>
    <w:r>
      <w:t>ECE/MP.EIA/IC/2010/INF.1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A99" w14:textId="581F24B6" w:rsidR="009A5236" w:rsidRPr="006E0021" w:rsidRDefault="000549B2" w:rsidP="006E0021">
    <w:r>
      <w:rPr>
        <w:noProof/>
        <w:lang w:val="en-US" w:eastAsia="zh-CN"/>
      </w:rPr>
      <mc:AlternateContent>
        <mc:Choice Requires="wps">
          <w:drawing>
            <wp:anchor distT="0" distB="0" distL="114300" distR="114300" simplePos="0" relativeHeight="251656704" behindDoc="0" locked="0" layoutInCell="1" allowOverlap="1" wp14:anchorId="36DEDA16" wp14:editId="23E30AB9">
              <wp:simplePos x="0" y="0"/>
              <wp:positionH relativeFrom="page">
                <wp:posOffset>9791700</wp:posOffset>
              </wp:positionH>
              <wp:positionV relativeFrom="margin">
                <wp:posOffset>0</wp:posOffset>
              </wp:positionV>
              <wp:extent cx="330200" cy="6120130"/>
              <wp:effectExtent l="0" t="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88673" w14:textId="0FAB95CA" w:rsidR="009A5236" w:rsidRPr="001F3DE7" w:rsidRDefault="009A5236" w:rsidP="006E0021">
                          <w:pPr>
                            <w:pStyle w:val="Header"/>
                          </w:pPr>
                          <w:r>
                            <w:t>ECE/MP.EIA/WG.2/20</w:t>
                          </w:r>
                          <w:r w:rsidR="00603434">
                            <w:t>2</w:t>
                          </w:r>
                          <w:r w:rsidR="000549B2">
                            <w:t>3</w:t>
                          </w:r>
                          <w:r>
                            <w:t>/</w:t>
                          </w:r>
                          <w:r w:rsidRPr="001F3DE7">
                            <w:t>INF.1</w:t>
                          </w:r>
                        </w:p>
                        <w:p w14:paraId="472AA964" w14:textId="77777777" w:rsidR="009A5236" w:rsidRDefault="009A523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EDA16" id="_x0000_t202" coordsize="21600,21600" o:spt="202" path="m,l,21600r21600,l21600,xe">
              <v:stroke joinstyle="miter"/>
              <v:path gradientshapeok="t" o:connecttype="rect"/>
            </v:shapetype>
            <v:shape id="Text Box 3" o:spid="_x0000_s1026" type="#_x0000_t202" style="position:absolute;margin-left:771pt;margin-top:0;width:26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" stroked="f">
              <v:textbox style="layout-flow:vertical" inset="0,0,0,0">
                <w:txbxContent>
                  <w:p w14:paraId="08588673" w14:textId="0FAB95CA" w:rsidR="009A5236" w:rsidRPr="001F3DE7" w:rsidRDefault="009A5236" w:rsidP="006E0021">
                    <w:pPr>
                      <w:pStyle w:val="Header"/>
                    </w:pPr>
                    <w:r>
                      <w:t>ECE/MP.EIA/WG.2/20</w:t>
                    </w:r>
                    <w:r w:rsidR="00603434">
                      <w:t>2</w:t>
                    </w:r>
                    <w:r w:rsidR="000549B2">
                      <w:t>3</w:t>
                    </w:r>
                    <w:r>
                      <w:t>/</w:t>
                    </w:r>
                    <w:r w:rsidRPr="001F3DE7">
                      <w:t>INF.1</w:t>
                    </w:r>
                  </w:p>
                  <w:p w14:paraId="472AA964" w14:textId="77777777" w:rsidR="009A5236" w:rsidRDefault="009A5236"/>
                </w:txbxContent>
              </v:textbox>
              <w10:wrap anchorx="page" anchory="margin"/>
            </v:shape>
          </w:pict>
        </mc:Fallback>
      </mc:AlternateContent>
    </w:r>
    <w:r>
      <w:rPr>
        <w:noProof/>
        <w:lang w:val="en-US" w:eastAsia="zh-CN"/>
      </w:rPr>
      <mc:AlternateContent>
        <mc:Choice Requires="wps">
          <w:drawing>
            <wp:anchor distT="0" distB="0" distL="114300" distR="114300" simplePos="0" relativeHeight="251657728" behindDoc="0" locked="0" layoutInCell="1" allowOverlap="1" wp14:anchorId="1E614481" wp14:editId="2C00768C">
              <wp:simplePos x="0" y="0"/>
              <wp:positionH relativeFrom="margin">
                <wp:posOffset>-431800</wp:posOffset>
              </wp:positionH>
              <wp:positionV relativeFrom="margin">
                <wp:posOffset>0</wp:posOffset>
              </wp:positionV>
              <wp:extent cx="222885" cy="6120130"/>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10433" w14:textId="77777777" w:rsidR="009A5236" w:rsidRPr="0048161B" w:rsidRDefault="009A5236" w:rsidP="006E0021">
                          <w:pPr>
                            <w:pStyle w:val="Footer"/>
                            <w:tabs>
                              <w:tab w:val="right" w:pos="9638"/>
                            </w:tabs>
                            <w:rPr>
                              <w:sz w:val="18"/>
                            </w:rPr>
                          </w:pP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12</w:t>
                          </w:r>
                          <w:r w:rsidRPr="0048161B">
                            <w:rPr>
                              <w:b/>
                              <w:sz w:val="18"/>
                            </w:rPr>
                            <w:fldChar w:fldCharType="end"/>
                          </w:r>
                          <w:r>
                            <w:rPr>
                              <w:sz w:val="18"/>
                            </w:rPr>
                            <w:tab/>
                          </w:r>
                        </w:p>
                        <w:p w14:paraId="43BAD6B8" w14:textId="77777777" w:rsidR="009A5236" w:rsidRDefault="009A523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4481" id="Text Box 4" o:spid="_x0000_s1027"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" stroked="f">
              <v:textbox style="layout-flow:vertical" inset="0,0,0,0">
                <w:txbxContent>
                  <w:p w14:paraId="0D710433" w14:textId="77777777" w:rsidR="009A5236" w:rsidRPr="0048161B" w:rsidRDefault="009A5236" w:rsidP="006E0021">
                    <w:pPr>
                      <w:pStyle w:val="Footer"/>
                      <w:tabs>
                        <w:tab w:val="right" w:pos="9638"/>
                      </w:tabs>
                      <w:rPr>
                        <w:sz w:val="18"/>
                      </w:rPr>
                    </w:pP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12</w:t>
                    </w:r>
                    <w:r w:rsidRPr="0048161B">
                      <w:rPr>
                        <w:b/>
                        <w:sz w:val="18"/>
                      </w:rPr>
                      <w:fldChar w:fldCharType="end"/>
                    </w:r>
                    <w:r>
                      <w:rPr>
                        <w:sz w:val="18"/>
                      </w:rPr>
                      <w:tab/>
                    </w:r>
                  </w:p>
                  <w:p w14:paraId="43BAD6B8" w14:textId="77777777" w:rsidR="009A5236" w:rsidRDefault="009A5236"/>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038" w14:textId="4FFB31A3" w:rsidR="009A5236" w:rsidRPr="006E0021" w:rsidRDefault="000549B2" w:rsidP="006E0021">
    <w:r>
      <w:rPr>
        <w:noProof/>
        <w:lang w:val="en-US" w:eastAsia="zh-CN"/>
      </w:rPr>
      <mc:AlternateContent>
        <mc:Choice Requires="wps">
          <w:drawing>
            <wp:anchor distT="0" distB="0" distL="114300" distR="114300" simplePos="0" relativeHeight="251658752" behindDoc="0" locked="0" layoutInCell="1" allowOverlap="1" wp14:anchorId="148DB96B" wp14:editId="10816B39">
              <wp:simplePos x="0" y="0"/>
              <wp:positionH relativeFrom="page">
                <wp:posOffset>9791700</wp:posOffset>
              </wp:positionH>
              <wp:positionV relativeFrom="margin">
                <wp:posOffset>0</wp:posOffset>
              </wp:positionV>
              <wp:extent cx="349250" cy="6120130"/>
              <wp:effectExtent l="0" t="0" r="317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F9D06" w14:textId="65AF94F9" w:rsidR="009A5236" w:rsidRPr="0048161B" w:rsidRDefault="009A5236" w:rsidP="001F3DE7">
                          <w:pPr>
                            <w:pStyle w:val="Header"/>
                            <w:jc w:val="right"/>
                          </w:pPr>
                          <w:r w:rsidRPr="001F3DE7">
                            <w:t>ECE/MP.EIA/WG.</w:t>
                          </w:r>
                          <w:r>
                            <w:t>2</w:t>
                          </w:r>
                          <w:r w:rsidRPr="001F3DE7">
                            <w:t>/20</w:t>
                          </w:r>
                          <w:r w:rsidR="00893571">
                            <w:t>2</w:t>
                          </w:r>
                          <w:r w:rsidR="006B2C5E">
                            <w:t>3</w:t>
                          </w:r>
                          <w:r>
                            <w:t>/</w:t>
                          </w:r>
                          <w:r w:rsidRPr="001F3DE7">
                            <w:t>INF.1</w:t>
                          </w:r>
                        </w:p>
                        <w:p w14:paraId="20A7CC9E" w14:textId="77777777" w:rsidR="009A5236" w:rsidRDefault="009A523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DB96B" id="_x0000_t202" coordsize="21600,21600" o:spt="202" path="m,l,21600r21600,l21600,xe">
              <v:stroke joinstyle="miter"/>
              <v:path gradientshapeok="t" o:connecttype="rect"/>
            </v:shapetype>
            <v:shape id="Text Box 5" o:spid="_x0000_s1028" type="#_x0000_t202" style="position:absolute;margin-left:771pt;margin-top:0;width:27.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" stroked="f">
              <v:textbox style="layout-flow:vertical" inset="0,0,0,0">
                <w:txbxContent>
                  <w:p w14:paraId="3F2F9D06" w14:textId="65AF94F9" w:rsidR="009A5236" w:rsidRPr="0048161B" w:rsidRDefault="009A5236" w:rsidP="001F3DE7">
                    <w:pPr>
                      <w:pStyle w:val="Header"/>
                      <w:jc w:val="right"/>
                    </w:pPr>
                    <w:r w:rsidRPr="001F3DE7">
                      <w:t>ECE/MP.EIA/WG.</w:t>
                    </w:r>
                    <w:r>
                      <w:t>2</w:t>
                    </w:r>
                    <w:r w:rsidRPr="001F3DE7">
                      <w:t>/20</w:t>
                    </w:r>
                    <w:r w:rsidR="00893571">
                      <w:t>2</w:t>
                    </w:r>
                    <w:r w:rsidR="006B2C5E">
                      <w:t>3</w:t>
                    </w:r>
                    <w:r>
                      <w:t>/</w:t>
                    </w:r>
                    <w:r w:rsidRPr="001F3DE7">
                      <w:t>INF.1</w:t>
                    </w:r>
                  </w:p>
                  <w:p w14:paraId="20A7CC9E" w14:textId="77777777" w:rsidR="009A5236" w:rsidRDefault="009A5236"/>
                </w:txbxContent>
              </v:textbox>
              <w10:wrap anchorx="page" anchory="margin"/>
            </v:shape>
          </w:pict>
        </mc:Fallback>
      </mc:AlternateContent>
    </w:r>
    <w:r>
      <w:rPr>
        <w:noProof/>
        <w:lang w:val="en-US" w:eastAsia="zh-CN"/>
      </w:rPr>
      <mc:AlternateContent>
        <mc:Choice Requires="wps">
          <w:drawing>
            <wp:anchor distT="0" distB="0" distL="114300" distR="114300" simplePos="0" relativeHeight="251659776" behindDoc="0" locked="0" layoutInCell="1" allowOverlap="1" wp14:anchorId="1C0F0C53" wp14:editId="449A5C16">
              <wp:simplePos x="0" y="0"/>
              <wp:positionH relativeFrom="margin">
                <wp:posOffset>-431800</wp:posOffset>
              </wp:positionH>
              <wp:positionV relativeFrom="margin">
                <wp:posOffset>0</wp:posOffset>
              </wp:positionV>
              <wp:extent cx="222885" cy="6120130"/>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8ED8E" w14:textId="77777777" w:rsidR="009A5236" w:rsidRPr="0048161B" w:rsidRDefault="009A5236" w:rsidP="006E0021">
                          <w:pPr>
                            <w:pStyle w:val="Footer"/>
                            <w:tabs>
                              <w:tab w:val="right" w:pos="9638"/>
                            </w:tabs>
                            <w:rPr>
                              <w:b/>
                              <w:sz w:val="18"/>
                            </w:rPr>
                          </w:pPr>
                          <w:r>
                            <w:tab/>
                          </w: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13</w:t>
                          </w:r>
                          <w:r w:rsidRPr="0048161B">
                            <w:rPr>
                              <w:b/>
                              <w:sz w:val="18"/>
                            </w:rPr>
                            <w:fldChar w:fldCharType="end"/>
                          </w:r>
                        </w:p>
                        <w:p w14:paraId="17EE1A6F" w14:textId="77777777" w:rsidR="009A5236" w:rsidRDefault="009A523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F0C53" id="Text Box 6" o:spid="_x0000_s1029"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" stroked="f">
              <v:textbox style="layout-flow:vertical" inset="0,0,0,0">
                <w:txbxContent>
                  <w:p w14:paraId="19E8ED8E" w14:textId="77777777" w:rsidR="009A5236" w:rsidRPr="0048161B" w:rsidRDefault="009A5236" w:rsidP="006E0021">
                    <w:pPr>
                      <w:pStyle w:val="Footer"/>
                      <w:tabs>
                        <w:tab w:val="right" w:pos="9638"/>
                      </w:tabs>
                      <w:rPr>
                        <w:b/>
                        <w:sz w:val="18"/>
                      </w:rPr>
                    </w:pPr>
                    <w:r>
                      <w:tab/>
                    </w: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13</w:t>
                    </w:r>
                    <w:r w:rsidRPr="0048161B">
                      <w:rPr>
                        <w:b/>
                        <w:sz w:val="18"/>
                      </w:rPr>
                      <w:fldChar w:fldCharType="end"/>
                    </w:r>
                  </w:p>
                  <w:p w14:paraId="17EE1A6F" w14:textId="77777777" w:rsidR="009A5236" w:rsidRDefault="009A5236"/>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7DF" w14:textId="77777777" w:rsidR="009A5236" w:rsidRDefault="009A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C611009"/>
    <w:multiLevelType w:val="hybridMultilevel"/>
    <w:tmpl w:val="12140284"/>
    <w:lvl w:ilvl="0" w:tplc="8C4849AC">
      <w:start w:val="1"/>
      <w:numFmt w:val="bullet"/>
      <w:lvlText w:val="•"/>
      <w:lvlJc w:val="left"/>
      <w:pPr>
        <w:ind w:left="862" w:hanging="360"/>
      </w:pPr>
      <w:rPr>
        <w:rFonts w:ascii="Times New Roman" w:hAnsi="Times New Roman" w:cs="Times New Roman" w:hint="default"/>
        <w:b w:val="0"/>
        <w:i w:val="0"/>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C7F231F"/>
    <w:multiLevelType w:val="hybridMultilevel"/>
    <w:tmpl w:val="17B6DF28"/>
    <w:lvl w:ilvl="0" w:tplc="018A4686">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E87119B"/>
    <w:multiLevelType w:val="hybridMultilevel"/>
    <w:tmpl w:val="03A8BEEE"/>
    <w:lvl w:ilvl="0" w:tplc="5568D396">
      <w:start w:val="1"/>
      <w:numFmt w:val="bullet"/>
      <w:lvlText w:val="•"/>
      <w:lvlJc w:val="left"/>
      <w:pPr>
        <w:tabs>
          <w:tab w:val="num" w:pos="720"/>
        </w:tabs>
        <w:ind w:left="720" w:hanging="360"/>
      </w:pPr>
      <w:rPr>
        <w:rFonts w:ascii="Times New Roman" w:hAnsi="Times New Roman" w:cs="Times New Roman" w:hint="default"/>
        <w:b w:val="0"/>
        <w:i w:val="0"/>
        <w:color w:val="auto"/>
        <w:sz w:val="20"/>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46D35"/>
    <w:multiLevelType w:val="hybridMultilevel"/>
    <w:tmpl w:val="75E66316"/>
    <w:lvl w:ilvl="0" w:tplc="89BEB92C">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16C7240"/>
    <w:multiLevelType w:val="hybridMultilevel"/>
    <w:tmpl w:val="C494E3EC"/>
    <w:lvl w:ilvl="0" w:tplc="15EEBAB8">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269F"/>
    <w:multiLevelType w:val="hybridMultilevel"/>
    <w:tmpl w:val="19B0ECF8"/>
    <w:lvl w:ilvl="0" w:tplc="748A63F4">
      <w:start w:val="7"/>
      <w:numFmt w:val="decimal"/>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7" w15:restartNumberingAfterBreak="0">
    <w:nsid w:val="49E75AE8"/>
    <w:multiLevelType w:val="hybridMultilevel"/>
    <w:tmpl w:val="8DEAE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774DFD"/>
    <w:multiLevelType w:val="hybridMultilevel"/>
    <w:tmpl w:val="4BC42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C75C6"/>
    <w:multiLevelType w:val="hybridMultilevel"/>
    <w:tmpl w:val="DBFE1C88"/>
    <w:lvl w:ilvl="0" w:tplc="3BDAA094">
      <w:start w:val="8"/>
      <w:numFmt w:val="bullet"/>
      <w:lvlText w:val="-"/>
      <w:lvlJc w:val="left"/>
      <w:pPr>
        <w:ind w:left="536" w:hanging="360"/>
      </w:pPr>
      <w:rPr>
        <w:rFonts w:ascii="Times New Roman" w:eastAsia="Times New Roman" w:hAnsi="Times New Roman"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0" w15:restartNumberingAfterBreak="0">
    <w:nsid w:val="5DF95A47"/>
    <w:multiLevelType w:val="hybridMultilevel"/>
    <w:tmpl w:val="DBCE0A26"/>
    <w:lvl w:ilvl="0" w:tplc="15EEBAB8">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62E0063F"/>
    <w:multiLevelType w:val="hybridMultilevel"/>
    <w:tmpl w:val="AF18A072"/>
    <w:lvl w:ilvl="0" w:tplc="E96EB63C">
      <w:start w:val="7"/>
      <w:numFmt w:val="decimal"/>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12" w15:restartNumberingAfterBreak="0">
    <w:nsid w:val="65925DC1"/>
    <w:multiLevelType w:val="hybridMultilevel"/>
    <w:tmpl w:val="ED9655A4"/>
    <w:lvl w:ilvl="0" w:tplc="8C4849AC">
      <w:start w:val="1"/>
      <w:numFmt w:val="bullet"/>
      <w:lvlText w:val="•"/>
      <w:lvlJc w:val="left"/>
      <w:pPr>
        <w:tabs>
          <w:tab w:val="num" w:pos="3005"/>
        </w:tabs>
        <w:ind w:left="3005" w:hanging="170"/>
      </w:pPr>
      <w:rPr>
        <w:rFonts w:ascii="Times New Roman" w:hAnsi="Times New Roman" w:cs="Times New Roman"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5832717">
    <w:abstractNumId w:val="12"/>
  </w:num>
  <w:num w:numId="2" w16cid:durableId="1850680161">
    <w:abstractNumId w:val="13"/>
  </w:num>
  <w:num w:numId="3" w16cid:durableId="1888295095">
    <w:abstractNumId w:val="3"/>
  </w:num>
  <w:num w:numId="4" w16cid:durableId="1709333919">
    <w:abstractNumId w:val="8"/>
  </w:num>
  <w:num w:numId="5" w16cid:durableId="152642640">
    <w:abstractNumId w:val="2"/>
  </w:num>
  <w:num w:numId="6" w16cid:durableId="1239825752">
    <w:abstractNumId w:val="11"/>
  </w:num>
  <w:num w:numId="7" w16cid:durableId="1716850212">
    <w:abstractNumId w:val="6"/>
  </w:num>
  <w:num w:numId="8" w16cid:durableId="670134991">
    <w:abstractNumId w:val="10"/>
  </w:num>
  <w:num w:numId="9" w16cid:durableId="1467694857">
    <w:abstractNumId w:val="5"/>
  </w:num>
  <w:num w:numId="10" w16cid:durableId="1622103146">
    <w:abstractNumId w:val="3"/>
  </w:num>
  <w:num w:numId="11" w16cid:durableId="539123591">
    <w:abstractNumId w:val="3"/>
  </w:num>
  <w:num w:numId="12" w16cid:durableId="1091313697">
    <w:abstractNumId w:val="3"/>
  </w:num>
  <w:num w:numId="13" w16cid:durableId="1664429936">
    <w:abstractNumId w:val="3"/>
  </w:num>
  <w:num w:numId="14" w16cid:durableId="1912428642">
    <w:abstractNumId w:val="3"/>
  </w:num>
  <w:num w:numId="15" w16cid:durableId="1578250261">
    <w:abstractNumId w:val="3"/>
  </w:num>
  <w:num w:numId="16" w16cid:durableId="300696293">
    <w:abstractNumId w:val="9"/>
  </w:num>
  <w:num w:numId="17" w16cid:durableId="1208448253">
    <w:abstractNumId w:val="7"/>
  </w:num>
  <w:num w:numId="18" w16cid:durableId="195318688">
    <w:abstractNumId w:val="3"/>
  </w:num>
  <w:num w:numId="19" w16cid:durableId="1150945782">
    <w:abstractNumId w:val="3"/>
  </w:num>
  <w:num w:numId="20" w16cid:durableId="2096706088">
    <w:abstractNumId w:val="0"/>
  </w:num>
  <w:num w:numId="21" w16cid:durableId="661471089">
    <w:abstractNumId w:val="1"/>
  </w:num>
  <w:num w:numId="22" w16cid:durableId="18020741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1B"/>
    <w:rsid w:val="00001140"/>
    <w:rsid w:val="00001DFC"/>
    <w:rsid w:val="00002A7D"/>
    <w:rsid w:val="000038A8"/>
    <w:rsid w:val="00005439"/>
    <w:rsid w:val="000063F7"/>
    <w:rsid w:val="00006422"/>
    <w:rsid w:val="00006790"/>
    <w:rsid w:val="00007726"/>
    <w:rsid w:val="00007F9B"/>
    <w:rsid w:val="000103BE"/>
    <w:rsid w:val="00011294"/>
    <w:rsid w:val="00011E4C"/>
    <w:rsid w:val="00012484"/>
    <w:rsid w:val="000125DC"/>
    <w:rsid w:val="00013AE5"/>
    <w:rsid w:val="000159E7"/>
    <w:rsid w:val="00016258"/>
    <w:rsid w:val="00016449"/>
    <w:rsid w:val="00017A3F"/>
    <w:rsid w:val="0002152D"/>
    <w:rsid w:val="0002250F"/>
    <w:rsid w:val="00024908"/>
    <w:rsid w:val="00027624"/>
    <w:rsid w:val="0003057F"/>
    <w:rsid w:val="00031868"/>
    <w:rsid w:val="00031925"/>
    <w:rsid w:val="000322F9"/>
    <w:rsid w:val="00032ABF"/>
    <w:rsid w:val="000341B0"/>
    <w:rsid w:val="00034752"/>
    <w:rsid w:val="000351A6"/>
    <w:rsid w:val="00035747"/>
    <w:rsid w:val="000363FA"/>
    <w:rsid w:val="000365EF"/>
    <w:rsid w:val="00036A19"/>
    <w:rsid w:val="000376CF"/>
    <w:rsid w:val="00037CBF"/>
    <w:rsid w:val="00040B93"/>
    <w:rsid w:val="000420E1"/>
    <w:rsid w:val="000430F5"/>
    <w:rsid w:val="000443A6"/>
    <w:rsid w:val="00044498"/>
    <w:rsid w:val="000452FC"/>
    <w:rsid w:val="00050F6B"/>
    <w:rsid w:val="00052723"/>
    <w:rsid w:val="000549B2"/>
    <w:rsid w:val="00060709"/>
    <w:rsid w:val="00065865"/>
    <w:rsid w:val="00066135"/>
    <w:rsid w:val="000678CD"/>
    <w:rsid w:val="00072C8C"/>
    <w:rsid w:val="000767E1"/>
    <w:rsid w:val="0007692B"/>
    <w:rsid w:val="00076C1C"/>
    <w:rsid w:val="00080227"/>
    <w:rsid w:val="00080513"/>
    <w:rsid w:val="00081CE0"/>
    <w:rsid w:val="00081DC8"/>
    <w:rsid w:val="0008307A"/>
    <w:rsid w:val="00083302"/>
    <w:rsid w:val="00083E01"/>
    <w:rsid w:val="00083F3B"/>
    <w:rsid w:val="00084D30"/>
    <w:rsid w:val="000852B0"/>
    <w:rsid w:val="000853B3"/>
    <w:rsid w:val="00086FCF"/>
    <w:rsid w:val="00090320"/>
    <w:rsid w:val="000908A1"/>
    <w:rsid w:val="000909F2"/>
    <w:rsid w:val="00090D3A"/>
    <w:rsid w:val="0009264E"/>
    <w:rsid w:val="00092E89"/>
    <w:rsid w:val="000931C0"/>
    <w:rsid w:val="00093443"/>
    <w:rsid w:val="0009350C"/>
    <w:rsid w:val="00095031"/>
    <w:rsid w:val="00096098"/>
    <w:rsid w:val="000A07B0"/>
    <w:rsid w:val="000A1419"/>
    <w:rsid w:val="000A2E09"/>
    <w:rsid w:val="000A3F01"/>
    <w:rsid w:val="000A6D5E"/>
    <w:rsid w:val="000B175B"/>
    <w:rsid w:val="000B24FE"/>
    <w:rsid w:val="000B33D5"/>
    <w:rsid w:val="000B3A0F"/>
    <w:rsid w:val="000C1AA6"/>
    <w:rsid w:val="000C2258"/>
    <w:rsid w:val="000C2930"/>
    <w:rsid w:val="000C3310"/>
    <w:rsid w:val="000C464C"/>
    <w:rsid w:val="000C4F66"/>
    <w:rsid w:val="000C75F5"/>
    <w:rsid w:val="000D40A4"/>
    <w:rsid w:val="000D478E"/>
    <w:rsid w:val="000D5D04"/>
    <w:rsid w:val="000D6364"/>
    <w:rsid w:val="000E0415"/>
    <w:rsid w:val="000E5387"/>
    <w:rsid w:val="000E5A17"/>
    <w:rsid w:val="000E7C69"/>
    <w:rsid w:val="000F083B"/>
    <w:rsid w:val="000F4C45"/>
    <w:rsid w:val="000F5144"/>
    <w:rsid w:val="000F7715"/>
    <w:rsid w:val="00100172"/>
    <w:rsid w:val="00100699"/>
    <w:rsid w:val="00100F4D"/>
    <w:rsid w:val="001015E8"/>
    <w:rsid w:val="001019DC"/>
    <w:rsid w:val="001036E8"/>
    <w:rsid w:val="0010380C"/>
    <w:rsid w:val="001048DF"/>
    <w:rsid w:val="00106F83"/>
    <w:rsid w:val="001073EA"/>
    <w:rsid w:val="00111019"/>
    <w:rsid w:val="00113FC1"/>
    <w:rsid w:val="00114E69"/>
    <w:rsid w:val="00117CF3"/>
    <w:rsid w:val="00120D17"/>
    <w:rsid w:val="001216D5"/>
    <w:rsid w:val="001219E7"/>
    <w:rsid w:val="00121E0F"/>
    <w:rsid w:val="0012336F"/>
    <w:rsid w:val="00123AD0"/>
    <w:rsid w:val="00125CE2"/>
    <w:rsid w:val="00127E27"/>
    <w:rsid w:val="00130792"/>
    <w:rsid w:val="001316A7"/>
    <w:rsid w:val="001346C1"/>
    <w:rsid w:val="0013514C"/>
    <w:rsid w:val="00140AFF"/>
    <w:rsid w:val="00142D1A"/>
    <w:rsid w:val="00144282"/>
    <w:rsid w:val="00146D5C"/>
    <w:rsid w:val="0014776D"/>
    <w:rsid w:val="00147A85"/>
    <w:rsid w:val="001501ED"/>
    <w:rsid w:val="00150798"/>
    <w:rsid w:val="00150984"/>
    <w:rsid w:val="00151F53"/>
    <w:rsid w:val="001526B7"/>
    <w:rsid w:val="00156B99"/>
    <w:rsid w:val="00160102"/>
    <w:rsid w:val="00161025"/>
    <w:rsid w:val="0016212E"/>
    <w:rsid w:val="00163F9A"/>
    <w:rsid w:val="00166124"/>
    <w:rsid w:val="00166D61"/>
    <w:rsid w:val="00167BE1"/>
    <w:rsid w:val="00176B81"/>
    <w:rsid w:val="00180D31"/>
    <w:rsid w:val="00181087"/>
    <w:rsid w:val="001848D5"/>
    <w:rsid w:val="00184A44"/>
    <w:rsid w:val="00184DDA"/>
    <w:rsid w:val="001856E6"/>
    <w:rsid w:val="00185940"/>
    <w:rsid w:val="001900CD"/>
    <w:rsid w:val="0019078B"/>
    <w:rsid w:val="00191386"/>
    <w:rsid w:val="001965CF"/>
    <w:rsid w:val="0019668C"/>
    <w:rsid w:val="001A0452"/>
    <w:rsid w:val="001A0FD3"/>
    <w:rsid w:val="001A1079"/>
    <w:rsid w:val="001A39BC"/>
    <w:rsid w:val="001A7E4E"/>
    <w:rsid w:val="001B0A94"/>
    <w:rsid w:val="001B4B04"/>
    <w:rsid w:val="001B5875"/>
    <w:rsid w:val="001B594C"/>
    <w:rsid w:val="001C384E"/>
    <w:rsid w:val="001C4B9C"/>
    <w:rsid w:val="001C6663"/>
    <w:rsid w:val="001C6749"/>
    <w:rsid w:val="001C71C5"/>
    <w:rsid w:val="001C7895"/>
    <w:rsid w:val="001D26DF"/>
    <w:rsid w:val="001D43A3"/>
    <w:rsid w:val="001D55A6"/>
    <w:rsid w:val="001E1E87"/>
    <w:rsid w:val="001E2A88"/>
    <w:rsid w:val="001E4FDF"/>
    <w:rsid w:val="001E6D33"/>
    <w:rsid w:val="001E72EE"/>
    <w:rsid w:val="001F0CD5"/>
    <w:rsid w:val="001F1599"/>
    <w:rsid w:val="001F19C4"/>
    <w:rsid w:val="001F20BE"/>
    <w:rsid w:val="001F3DE7"/>
    <w:rsid w:val="001F4B83"/>
    <w:rsid w:val="001F4D2D"/>
    <w:rsid w:val="001F50DB"/>
    <w:rsid w:val="001F61FE"/>
    <w:rsid w:val="001F73EE"/>
    <w:rsid w:val="001F7447"/>
    <w:rsid w:val="00200FB6"/>
    <w:rsid w:val="002043F0"/>
    <w:rsid w:val="00204DFA"/>
    <w:rsid w:val="00207BE3"/>
    <w:rsid w:val="00210B6D"/>
    <w:rsid w:val="0021148C"/>
    <w:rsid w:val="002116C8"/>
    <w:rsid w:val="00211E0B"/>
    <w:rsid w:val="002124C6"/>
    <w:rsid w:val="00212BA4"/>
    <w:rsid w:val="0021308F"/>
    <w:rsid w:val="002139BE"/>
    <w:rsid w:val="00213C23"/>
    <w:rsid w:val="00214F2E"/>
    <w:rsid w:val="00215360"/>
    <w:rsid w:val="002156F2"/>
    <w:rsid w:val="002159D4"/>
    <w:rsid w:val="00221248"/>
    <w:rsid w:val="00221381"/>
    <w:rsid w:val="0022145C"/>
    <w:rsid w:val="00223E5E"/>
    <w:rsid w:val="00224B91"/>
    <w:rsid w:val="00225999"/>
    <w:rsid w:val="00226350"/>
    <w:rsid w:val="002302D7"/>
    <w:rsid w:val="00230B1D"/>
    <w:rsid w:val="00232575"/>
    <w:rsid w:val="002328E6"/>
    <w:rsid w:val="00237B98"/>
    <w:rsid w:val="002419BB"/>
    <w:rsid w:val="00243300"/>
    <w:rsid w:val="0024426F"/>
    <w:rsid w:val="002444A1"/>
    <w:rsid w:val="00244882"/>
    <w:rsid w:val="00244890"/>
    <w:rsid w:val="002453AD"/>
    <w:rsid w:val="00246614"/>
    <w:rsid w:val="00247258"/>
    <w:rsid w:val="0024768A"/>
    <w:rsid w:val="00250D26"/>
    <w:rsid w:val="0025125E"/>
    <w:rsid w:val="002512EA"/>
    <w:rsid w:val="002512F4"/>
    <w:rsid w:val="00251993"/>
    <w:rsid w:val="002539CE"/>
    <w:rsid w:val="00255A38"/>
    <w:rsid w:val="00256532"/>
    <w:rsid w:val="00256E79"/>
    <w:rsid w:val="00256EE5"/>
    <w:rsid w:val="00257018"/>
    <w:rsid w:val="00257CAC"/>
    <w:rsid w:val="002619A7"/>
    <w:rsid w:val="00261FC7"/>
    <w:rsid w:val="0026299A"/>
    <w:rsid w:val="00264549"/>
    <w:rsid w:val="002676F1"/>
    <w:rsid w:val="0027237A"/>
    <w:rsid w:val="00273D35"/>
    <w:rsid w:val="00274091"/>
    <w:rsid w:val="002763D8"/>
    <w:rsid w:val="00277F00"/>
    <w:rsid w:val="00280441"/>
    <w:rsid w:val="002814CA"/>
    <w:rsid w:val="00281D2B"/>
    <w:rsid w:val="00282CCA"/>
    <w:rsid w:val="00283C7D"/>
    <w:rsid w:val="00285D21"/>
    <w:rsid w:val="002865CD"/>
    <w:rsid w:val="002866FE"/>
    <w:rsid w:val="002877C3"/>
    <w:rsid w:val="002933D9"/>
    <w:rsid w:val="002934DA"/>
    <w:rsid w:val="00296846"/>
    <w:rsid w:val="002974E9"/>
    <w:rsid w:val="00297DF1"/>
    <w:rsid w:val="002A2405"/>
    <w:rsid w:val="002A2693"/>
    <w:rsid w:val="002A75E3"/>
    <w:rsid w:val="002A7F94"/>
    <w:rsid w:val="002B109A"/>
    <w:rsid w:val="002B1BDF"/>
    <w:rsid w:val="002B63BA"/>
    <w:rsid w:val="002B6C68"/>
    <w:rsid w:val="002B7459"/>
    <w:rsid w:val="002C158D"/>
    <w:rsid w:val="002C167E"/>
    <w:rsid w:val="002C358A"/>
    <w:rsid w:val="002C4BEF"/>
    <w:rsid w:val="002C4D96"/>
    <w:rsid w:val="002C6BBF"/>
    <w:rsid w:val="002C6D45"/>
    <w:rsid w:val="002C6D9A"/>
    <w:rsid w:val="002D0438"/>
    <w:rsid w:val="002D104D"/>
    <w:rsid w:val="002D12CB"/>
    <w:rsid w:val="002D17F4"/>
    <w:rsid w:val="002D278B"/>
    <w:rsid w:val="002D426F"/>
    <w:rsid w:val="002D43F9"/>
    <w:rsid w:val="002D48F0"/>
    <w:rsid w:val="002D558A"/>
    <w:rsid w:val="002D6E53"/>
    <w:rsid w:val="002D77AE"/>
    <w:rsid w:val="002D7A29"/>
    <w:rsid w:val="002D7F74"/>
    <w:rsid w:val="002E666B"/>
    <w:rsid w:val="002E676D"/>
    <w:rsid w:val="002F046D"/>
    <w:rsid w:val="002F0961"/>
    <w:rsid w:val="002F219A"/>
    <w:rsid w:val="002F3EC1"/>
    <w:rsid w:val="002F4213"/>
    <w:rsid w:val="002F6304"/>
    <w:rsid w:val="00301764"/>
    <w:rsid w:val="00301ABD"/>
    <w:rsid w:val="003031C0"/>
    <w:rsid w:val="00303DB3"/>
    <w:rsid w:val="00303EA2"/>
    <w:rsid w:val="00303EC6"/>
    <w:rsid w:val="0030487F"/>
    <w:rsid w:val="00304C76"/>
    <w:rsid w:val="00305630"/>
    <w:rsid w:val="003073F1"/>
    <w:rsid w:val="00307582"/>
    <w:rsid w:val="00307EED"/>
    <w:rsid w:val="003102A1"/>
    <w:rsid w:val="00310328"/>
    <w:rsid w:val="00310C50"/>
    <w:rsid w:val="00310C59"/>
    <w:rsid w:val="003117A3"/>
    <w:rsid w:val="00314C2A"/>
    <w:rsid w:val="003158C9"/>
    <w:rsid w:val="00320DEA"/>
    <w:rsid w:val="00321359"/>
    <w:rsid w:val="003217D2"/>
    <w:rsid w:val="003229AE"/>
    <w:rsid w:val="003229D8"/>
    <w:rsid w:val="00325C8C"/>
    <w:rsid w:val="003277D5"/>
    <w:rsid w:val="0033118D"/>
    <w:rsid w:val="003334DB"/>
    <w:rsid w:val="0033407E"/>
    <w:rsid w:val="00334822"/>
    <w:rsid w:val="00336C97"/>
    <w:rsid w:val="00337F88"/>
    <w:rsid w:val="00340227"/>
    <w:rsid w:val="00340386"/>
    <w:rsid w:val="0034211A"/>
    <w:rsid w:val="00342432"/>
    <w:rsid w:val="0034329A"/>
    <w:rsid w:val="00343478"/>
    <w:rsid w:val="00343E41"/>
    <w:rsid w:val="00344536"/>
    <w:rsid w:val="00345DC4"/>
    <w:rsid w:val="00347ACF"/>
    <w:rsid w:val="003511C2"/>
    <w:rsid w:val="0035223F"/>
    <w:rsid w:val="00352D4B"/>
    <w:rsid w:val="00354A0E"/>
    <w:rsid w:val="0035638C"/>
    <w:rsid w:val="003566E2"/>
    <w:rsid w:val="00357BAE"/>
    <w:rsid w:val="00365790"/>
    <w:rsid w:val="0036658A"/>
    <w:rsid w:val="00366EAB"/>
    <w:rsid w:val="00372388"/>
    <w:rsid w:val="00373D2A"/>
    <w:rsid w:val="00373F81"/>
    <w:rsid w:val="003764E2"/>
    <w:rsid w:val="00377F98"/>
    <w:rsid w:val="0038095B"/>
    <w:rsid w:val="00381481"/>
    <w:rsid w:val="00381902"/>
    <w:rsid w:val="00382597"/>
    <w:rsid w:val="00382F3D"/>
    <w:rsid w:val="00384D43"/>
    <w:rsid w:val="00385A71"/>
    <w:rsid w:val="003866E7"/>
    <w:rsid w:val="00387070"/>
    <w:rsid w:val="003917ED"/>
    <w:rsid w:val="00392E46"/>
    <w:rsid w:val="00394162"/>
    <w:rsid w:val="0039646B"/>
    <w:rsid w:val="003A1301"/>
    <w:rsid w:val="003A1A9B"/>
    <w:rsid w:val="003A1DA1"/>
    <w:rsid w:val="003A3184"/>
    <w:rsid w:val="003A393B"/>
    <w:rsid w:val="003A3C2C"/>
    <w:rsid w:val="003A46BB"/>
    <w:rsid w:val="003A4EC7"/>
    <w:rsid w:val="003A534A"/>
    <w:rsid w:val="003A5AAB"/>
    <w:rsid w:val="003A63C8"/>
    <w:rsid w:val="003A7295"/>
    <w:rsid w:val="003A7A88"/>
    <w:rsid w:val="003B1DF5"/>
    <w:rsid w:val="003B1F60"/>
    <w:rsid w:val="003B4531"/>
    <w:rsid w:val="003B5FDC"/>
    <w:rsid w:val="003B61F0"/>
    <w:rsid w:val="003B6AA1"/>
    <w:rsid w:val="003B7170"/>
    <w:rsid w:val="003B756C"/>
    <w:rsid w:val="003B77B6"/>
    <w:rsid w:val="003B7FD1"/>
    <w:rsid w:val="003C0817"/>
    <w:rsid w:val="003C2386"/>
    <w:rsid w:val="003C2CC4"/>
    <w:rsid w:val="003C396A"/>
    <w:rsid w:val="003C3E6B"/>
    <w:rsid w:val="003C4D4B"/>
    <w:rsid w:val="003C5EAC"/>
    <w:rsid w:val="003C6DDA"/>
    <w:rsid w:val="003D2B5A"/>
    <w:rsid w:val="003D4B23"/>
    <w:rsid w:val="003D5077"/>
    <w:rsid w:val="003D54EC"/>
    <w:rsid w:val="003D6660"/>
    <w:rsid w:val="003D687E"/>
    <w:rsid w:val="003E0017"/>
    <w:rsid w:val="003E0ACF"/>
    <w:rsid w:val="003E0AEE"/>
    <w:rsid w:val="003E2450"/>
    <w:rsid w:val="003E278A"/>
    <w:rsid w:val="003E3331"/>
    <w:rsid w:val="003E5707"/>
    <w:rsid w:val="003F022A"/>
    <w:rsid w:val="003F0401"/>
    <w:rsid w:val="003F5100"/>
    <w:rsid w:val="003F7B00"/>
    <w:rsid w:val="00400D2B"/>
    <w:rsid w:val="00400DB3"/>
    <w:rsid w:val="00401D1E"/>
    <w:rsid w:val="00402D43"/>
    <w:rsid w:val="0040415C"/>
    <w:rsid w:val="0040589F"/>
    <w:rsid w:val="004067AE"/>
    <w:rsid w:val="00406CB6"/>
    <w:rsid w:val="004113D6"/>
    <w:rsid w:val="00412364"/>
    <w:rsid w:val="00413520"/>
    <w:rsid w:val="0041399B"/>
    <w:rsid w:val="00414BBD"/>
    <w:rsid w:val="00414D7F"/>
    <w:rsid w:val="00414DFA"/>
    <w:rsid w:val="00415B5C"/>
    <w:rsid w:val="0042019B"/>
    <w:rsid w:val="00420959"/>
    <w:rsid w:val="00422327"/>
    <w:rsid w:val="00423A6D"/>
    <w:rsid w:val="00424450"/>
    <w:rsid w:val="004268C1"/>
    <w:rsid w:val="004325CB"/>
    <w:rsid w:val="0043349A"/>
    <w:rsid w:val="00433933"/>
    <w:rsid w:val="004348BA"/>
    <w:rsid w:val="00434A6B"/>
    <w:rsid w:val="00436178"/>
    <w:rsid w:val="00440A07"/>
    <w:rsid w:val="004418A8"/>
    <w:rsid w:val="00443277"/>
    <w:rsid w:val="00444A0C"/>
    <w:rsid w:val="00446B6F"/>
    <w:rsid w:val="00447BBE"/>
    <w:rsid w:val="00450D93"/>
    <w:rsid w:val="00450EE0"/>
    <w:rsid w:val="0045132C"/>
    <w:rsid w:val="00452FFA"/>
    <w:rsid w:val="004535CB"/>
    <w:rsid w:val="004556DD"/>
    <w:rsid w:val="0045581A"/>
    <w:rsid w:val="00455D6A"/>
    <w:rsid w:val="004573BF"/>
    <w:rsid w:val="004608CA"/>
    <w:rsid w:val="00460FD5"/>
    <w:rsid w:val="0046235E"/>
    <w:rsid w:val="00462880"/>
    <w:rsid w:val="00463112"/>
    <w:rsid w:val="004631E0"/>
    <w:rsid w:val="0046504E"/>
    <w:rsid w:val="004662EC"/>
    <w:rsid w:val="004671AD"/>
    <w:rsid w:val="0047095F"/>
    <w:rsid w:val="0047122C"/>
    <w:rsid w:val="00474274"/>
    <w:rsid w:val="00476090"/>
    <w:rsid w:val="00476F24"/>
    <w:rsid w:val="004776BE"/>
    <w:rsid w:val="004814CE"/>
    <w:rsid w:val="0048161B"/>
    <w:rsid w:val="00481CA5"/>
    <w:rsid w:val="00481EB0"/>
    <w:rsid w:val="00482A35"/>
    <w:rsid w:val="004848F4"/>
    <w:rsid w:val="004865BC"/>
    <w:rsid w:val="00487571"/>
    <w:rsid w:val="00490452"/>
    <w:rsid w:val="00491CA5"/>
    <w:rsid w:val="00493A71"/>
    <w:rsid w:val="00494EC1"/>
    <w:rsid w:val="004A661C"/>
    <w:rsid w:val="004A6E7D"/>
    <w:rsid w:val="004A7713"/>
    <w:rsid w:val="004B02AE"/>
    <w:rsid w:val="004B1D59"/>
    <w:rsid w:val="004B2228"/>
    <w:rsid w:val="004B2851"/>
    <w:rsid w:val="004B2FD6"/>
    <w:rsid w:val="004B349D"/>
    <w:rsid w:val="004B35B2"/>
    <w:rsid w:val="004B4871"/>
    <w:rsid w:val="004B4E8D"/>
    <w:rsid w:val="004B6634"/>
    <w:rsid w:val="004C09BA"/>
    <w:rsid w:val="004C3373"/>
    <w:rsid w:val="004C3A04"/>
    <w:rsid w:val="004C427C"/>
    <w:rsid w:val="004C47C6"/>
    <w:rsid w:val="004C55B0"/>
    <w:rsid w:val="004C7CFE"/>
    <w:rsid w:val="004D06FE"/>
    <w:rsid w:val="004D0DF9"/>
    <w:rsid w:val="004D32EE"/>
    <w:rsid w:val="004D3E56"/>
    <w:rsid w:val="004E098E"/>
    <w:rsid w:val="004E2424"/>
    <w:rsid w:val="004E26AE"/>
    <w:rsid w:val="004E330B"/>
    <w:rsid w:val="004E3D19"/>
    <w:rsid w:val="004E4658"/>
    <w:rsid w:val="004E53BE"/>
    <w:rsid w:val="004E552C"/>
    <w:rsid w:val="004E561D"/>
    <w:rsid w:val="004E5DDA"/>
    <w:rsid w:val="004F0C62"/>
    <w:rsid w:val="004F37E8"/>
    <w:rsid w:val="004F4D5F"/>
    <w:rsid w:val="004F56DD"/>
    <w:rsid w:val="004F59A7"/>
    <w:rsid w:val="004F6BA0"/>
    <w:rsid w:val="004F7E42"/>
    <w:rsid w:val="00501928"/>
    <w:rsid w:val="00501AB0"/>
    <w:rsid w:val="00501BAB"/>
    <w:rsid w:val="00503BEA"/>
    <w:rsid w:val="005071E0"/>
    <w:rsid w:val="00510E8F"/>
    <w:rsid w:val="00511975"/>
    <w:rsid w:val="005132BE"/>
    <w:rsid w:val="00513817"/>
    <w:rsid w:val="00514118"/>
    <w:rsid w:val="00515009"/>
    <w:rsid w:val="005151FD"/>
    <w:rsid w:val="00515B6B"/>
    <w:rsid w:val="00516CA6"/>
    <w:rsid w:val="00517231"/>
    <w:rsid w:val="00522D8B"/>
    <w:rsid w:val="005234F2"/>
    <w:rsid w:val="00527C26"/>
    <w:rsid w:val="00532A2C"/>
    <w:rsid w:val="00533616"/>
    <w:rsid w:val="005343A8"/>
    <w:rsid w:val="00535ABA"/>
    <w:rsid w:val="0053768B"/>
    <w:rsid w:val="00541BD9"/>
    <w:rsid w:val="005420F2"/>
    <w:rsid w:val="005424AE"/>
    <w:rsid w:val="0054285C"/>
    <w:rsid w:val="00542EE0"/>
    <w:rsid w:val="00543DAA"/>
    <w:rsid w:val="005449F0"/>
    <w:rsid w:val="00544CBE"/>
    <w:rsid w:val="00544FDB"/>
    <w:rsid w:val="005468E4"/>
    <w:rsid w:val="0055075C"/>
    <w:rsid w:val="005535B5"/>
    <w:rsid w:val="00553AFB"/>
    <w:rsid w:val="005542A0"/>
    <w:rsid w:val="00554AD0"/>
    <w:rsid w:val="00555049"/>
    <w:rsid w:val="005550FA"/>
    <w:rsid w:val="00555FA7"/>
    <w:rsid w:val="00561B33"/>
    <w:rsid w:val="00562A45"/>
    <w:rsid w:val="00564316"/>
    <w:rsid w:val="00566E3B"/>
    <w:rsid w:val="00567981"/>
    <w:rsid w:val="00570F13"/>
    <w:rsid w:val="00571549"/>
    <w:rsid w:val="00571F1A"/>
    <w:rsid w:val="0057373A"/>
    <w:rsid w:val="005739C2"/>
    <w:rsid w:val="005746CB"/>
    <w:rsid w:val="005747D4"/>
    <w:rsid w:val="00574D20"/>
    <w:rsid w:val="00575479"/>
    <w:rsid w:val="00576DEC"/>
    <w:rsid w:val="005815DF"/>
    <w:rsid w:val="00583340"/>
    <w:rsid w:val="00583F5D"/>
    <w:rsid w:val="00583F63"/>
    <w:rsid w:val="00584173"/>
    <w:rsid w:val="00584DF2"/>
    <w:rsid w:val="00585E30"/>
    <w:rsid w:val="00587CF9"/>
    <w:rsid w:val="00590DE9"/>
    <w:rsid w:val="005917CD"/>
    <w:rsid w:val="005930AF"/>
    <w:rsid w:val="00594000"/>
    <w:rsid w:val="00594162"/>
    <w:rsid w:val="00594C73"/>
    <w:rsid w:val="00595520"/>
    <w:rsid w:val="00595C63"/>
    <w:rsid w:val="0059601E"/>
    <w:rsid w:val="005A0793"/>
    <w:rsid w:val="005A0FA5"/>
    <w:rsid w:val="005A100C"/>
    <w:rsid w:val="005A3163"/>
    <w:rsid w:val="005A35D8"/>
    <w:rsid w:val="005A3BC4"/>
    <w:rsid w:val="005A44B9"/>
    <w:rsid w:val="005A5CA9"/>
    <w:rsid w:val="005A63C2"/>
    <w:rsid w:val="005A652E"/>
    <w:rsid w:val="005A68C2"/>
    <w:rsid w:val="005A6C90"/>
    <w:rsid w:val="005A712C"/>
    <w:rsid w:val="005A73B0"/>
    <w:rsid w:val="005B01BC"/>
    <w:rsid w:val="005B18FA"/>
    <w:rsid w:val="005B1BA0"/>
    <w:rsid w:val="005B223C"/>
    <w:rsid w:val="005B274B"/>
    <w:rsid w:val="005B3321"/>
    <w:rsid w:val="005B3512"/>
    <w:rsid w:val="005B3661"/>
    <w:rsid w:val="005B3DB3"/>
    <w:rsid w:val="005B4F95"/>
    <w:rsid w:val="005B565E"/>
    <w:rsid w:val="005B6362"/>
    <w:rsid w:val="005B6E1F"/>
    <w:rsid w:val="005B78DC"/>
    <w:rsid w:val="005C01B1"/>
    <w:rsid w:val="005C0AA1"/>
    <w:rsid w:val="005C202F"/>
    <w:rsid w:val="005C39A3"/>
    <w:rsid w:val="005C3F22"/>
    <w:rsid w:val="005C4D3C"/>
    <w:rsid w:val="005C5501"/>
    <w:rsid w:val="005C5DDA"/>
    <w:rsid w:val="005D0DD1"/>
    <w:rsid w:val="005D127E"/>
    <w:rsid w:val="005D15CA"/>
    <w:rsid w:val="005D19AC"/>
    <w:rsid w:val="005D56AC"/>
    <w:rsid w:val="005D682C"/>
    <w:rsid w:val="005D69DD"/>
    <w:rsid w:val="005E35D5"/>
    <w:rsid w:val="005E4FC7"/>
    <w:rsid w:val="005E6E25"/>
    <w:rsid w:val="005E6EF3"/>
    <w:rsid w:val="005E74C7"/>
    <w:rsid w:val="005F120E"/>
    <w:rsid w:val="005F151E"/>
    <w:rsid w:val="005F246C"/>
    <w:rsid w:val="005F3066"/>
    <w:rsid w:val="005F33A1"/>
    <w:rsid w:val="005F3E61"/>
    <w:rsid w:val="005F400F"/>
    <w:rsid w:val="005F598B"/>
    <w:rsid w:val="006003CA"/>
    <w:rsid w:val="00601414"/>
    <w:rsid w:val="00603434"/>
    <w:rsid w:val="00603E98"/>
    <w:rsid w:val="00604DDD"/>
    <w:rsid w:val="0060612B"/>
    <w:rsid w:val="00606227"/>
    <w:rsid w:val="00606AE9"/>
    <w:rsid w:val="006101B9"/>
    <w:rsid w:val="006115CC"/>
    <w:rsid w:val="00611CE0"/>
    <w:rsid w:val="00611FC4"/>
    <w:rsid w:val="00614F19"/>
    <w:rsid w:val="006176FB"/>
    <w:rsid w:val="006208A5"/>
    <w:rsid w:val="006209EC"/>
    <w:rsid w:val="00622BC2"/>
    <w:rsid w:val="0062330C"/>
    <w:rsid w:val="006259EC"/>
    <w:rsid w:val="00625C14"/>
    <w:rsid w:val="0062685D"/>
    <w:rsid w:val="006279F9"/>
    <w:rsid w:val="00630064"/>
    <w:rsid w:val="00630DA5"/>
    <w:rsid w:val="00630FCB"/>
    <w:rsid w:val="00634754"/>
    <w:rsid w:val="00635EDE"/>
    <w:rsid w:val="00635EEA"/>
    <w:rsid w:val="00636534"/>
    <w:rsid w:val="00636BAA"/>
    <w:rsid w:val="0063745D"/>
    <w:rsid w:val="00640553"/>
    <w:rsid w:val="00640B26"/>
    <w:rsid w:val="006430B2"/>
    <w:rsid w:val="006432B1"/>
    <w:rsid w:val="00643682"/>
    <w:rsid w:val="00643928"/>
    <w:rsid w:val="00643A99"/>
    <w:rsid w:val="006460CA"/>
    <w:rsid w:val="0064660C"/>
    <w:rsid w:val="006466B7"/>
    <w:rsid w:val="006477A1"/>
    <w:rsid w:val="00653114"/>
    <w:rsid w:val="00653AE1"/>
    <w:rsid w:val="00654C54"/>
    <w:rsid w:val="00656496"/>
    <w:rsid w:val="006601BE"/>
    <w:rsid w:val="00661AC9"/>
    <w:rsid w:val="006649C0"/>
    <w:rsid w:val="00665BB9"/>
    <w:rsid w:val="00666669"/>
    <w:rsid w:val="00666D55"/>
    <w:rsid w:val="006704CA"/>
    <w:rsid w:val="00671B4A"/>
    <w:rsid w:val="0067201D"/>
    <w:rsid w:val="006770B2"/>
    <w:rsid w:val="00680118"/>
    <w:rsid w:val="00683B3F"/>
    <w:rsid w:val="0069084E"/>
    <w:rsid w:val="006931C1"/>
    <w:rsid w:val="006940E1"/>
    <w:rsid w:val="0069549C"/>
    <w:rsid w:val="006A0ADF"/>
    <w:rsid w:val="006A0F3B"/>
    <w:rsid w:val="006A2320"/>
    <w:rsid w:val="006A2C0F"/>
    <w:rsid w:val="006A3C72"/>
    <w:rsid w:val="006A439C"/>
    <w:rsid w:val="006A4C77"/>
    <w:rsid w:val="006A6CEF"/>
    <w:rsid w:val="006A7392"/>
    <w:rsid w:val="006B03A1"/>
    <w:rsid w:val="006B17F5"/>
    <w:rsid w:val="006B18B2"/>
    <w:rsid w:val="006B1D25"/>
    <w:rsid w:val="006B1D3E"/>
    <w:rsid w:val="006B2C5E"/>
    <w:rsid w:val="006B41E7"/>
    <w:rsid w:val="006B5214"/>
    <w:rsid w:val="006B67D9"/>
    <w:rsid w:val="006B6B7B"/>
    <w:rsid w:val="006B7081"/>
    <w:rsid w:val="006B731F"/>
    <w:rsid w:val="006C2163"/>
    <w:rsid w:val="006C54A5"/>
    <w:rsid w:val="006C5535"/>
    <w:rsid w:val="006C709A"/>
    <w:rsid w:val="006C7CFC"/>
    <w:rsid w:val="006D0589"/>
    <w:rsid w:val="006D0ECA"/>
    <w:rsid w:val="006D103F"/>
    <w:rsid w:val="006D10D6"/>
    <w:rsid w:val="006D17A3"/>
    <w:rsid w:val="006D3181"/>
    <w:rsid w:val="006D4AD5"/>
    <w:rsid w:val="006D4B08"/>
    <w:rsid w:val="006D6DFC"/>
    <w:rsid w:val="006E0021"/>
    <w:rsid w:val="006E0F63"/>
    <w:rsid w:val="006E2743"/>
    <w:rsid w:val="006E3DDE"/>
    <w:rsid w:val="006E523D"/>
    <w:rsid w:val="006E564B"/>
    <w:rsid w:val="006E66CA"/>
    <w:rsid w:val="006E7154"/>
    <w:rsid w:val="006E7B02"/>
    <w:rsid w:val="006F129C"/>
    <w:rsid w:val="006F35FE"/>
    <w:rsid w:val="006F6DE2"/>
    <w:rsid w:val="007003AD"/>
    <w:rsid w:val="007003CD"/>
    <w:rsid w:val="0070049E"/>
    <w:rsid w:val="00700DB9"/>
    <w:rsid w:val="00701137"/>
    <w:rsid w:val="00701250"/>
    <w:rsid w:val="007022A1"/>
    <w:rsid w:val="00702529"/>
    <w:rsid w:val="00703140"/>
    <w:rsid w:val="007045F0"/>
    <w:rsid w:val="00704E9C"/>
    <w:rsid w:val="007051C2"/>
    <w:rsid w:val="00705B70"/>
    <w:rsid w:val="0070673F"/>
    <w:rsid w:val="0070701E"/>
    <w:rsid w:val="0071109E"/>
    <w:rsid w:val="00711C8E"/>
    <w:rsid w:val="00711EA5"/>
    <w:rsid w:val="007122FA"/>
    <w:rsid w:val="007124CF"/>
    <w:rsid w:val="00716F84"/>
    <w:rsid w:val="00720503"/>
    <w:rsid w:val="00720C81"/>
    <w:rsid w:val="00721290"/>
    <w:rsid w:val="00723476"/>
    <w:rsid w:val="0072632A"/>
    <w:rsid w:val="0072785D"/>
    <w:rsid w:val="00727E8E"/>
    <w:rsid w:val="00730BE6"/>
    <w:rsid w:val="007324E6"/>
    <w:rsid w:val="00733581"/>
    <w:rsid w:val="00733C4F"/>
    <w:rsid w:val="00734BFB"/>
    <w:rsid w:val="007358E8"/>
    <w:rsid w:val="007362A2"/>
    <w:rsid w:val="00736ECE"/>
    <w:rsid w:val="00740999"/>
    <w:rsid w:val="00740F1F"/>
    <w:rsid w:val="00742A58"/>
    <w:rsid w:val="00742AB6"/>
    <w:rsid w:val="007438F7"/>
    <w:rsid w:val="00743AC3"/>
    <w:rsid w:val="00743DEE"/>
    <w:rsid w:val="0074481D"/>
    <w:rsid w:val="0074533B"/>
    <w:rsid w:val="007465D9"/>
    <w:rsid w:val="00750326"/>
    <w:rsid w:val="00750489"/>
    <w:rsid w:val="00751E03"/>
    <w:rsid w:val="007520A3"/>
    <w:rsid w:val="007534FF"/>
    <w:rsid w:val="00755829"/>
    <w:rsid w:val="007566E6"/>
    <w:rsid w:val="00756AF3"/>
    <w:rsid w:val="00757998"/>
    <w:rsid w:val="007601C3"/>
    <w:rsid w:val="0076110D"/>
    <w:rsid w:val="007631A2"/>
    <w:rsid w:val="0076382A"/>
    <w:rsid w:val="007643BC"/>
    <w:rsid w:val="00764E2C"/>
    <w:rsid w:val="00765261"/>
    <w:rsid w:val="007657F5"/>
    <w:rsid w:val="00767FA7"/>
    <w:rsid w:val="007710C1"/>
    <w:rsid w:val="00772C31"/>
    <w:rsid w:val="00772D4C"/>
    <w:rsid w:val="00772E40"/>
    <w:rsid w:val="00775E50"/>
    <w:rsid w:val="007763DE"/>
    <w:rsid w:val="00780D07"/>
    <w:rsid w:val="00781FC3"/>
    <w:rsid w:val="0078262F"/>
    <w:rsid w:val="007841B0"/>
    <w:rsid w:val="00784CCC"/>
    <w:rsid w:val="00785432"/>
    <w:rsid w:val="00787CA9"/>
    <w:rsid w:val="007924F1"/>
    <w:rsid w:val="007950B9"/>
    <w:rsid w:val="007959FE"/>
    <w:rsid w:val="00797289"/>
    <w:rsid w:val="007A0424"/>
    <w:rsid w:val="007A0906"/>
    <w:rsid w:val="007A0CF1"/>
    <w:rsid w:val="007A126C"/>
    <w:rsid w:val="007A2321"/>
    <w:rsid w:val="007A2F6A"/>
    <w:rsid w:val="007A30E2"/>
    <w:rsid w:val="007A4F61"/>
    <w:rsid w:val="007A71B5"/>
    <w:rsid w:val="007A76A6"/>
    <w:rsid w:val="007B023E"/>
    <w:rsid w:val="007B06B3"/>
    <w:rsid w:val="007B0CAD"/>
    <w:rsid w:val="007B65E8"/>
    <w:rsid w:val="007B6BA5"/>
    <w:rsid w:val="007B6E2A"/>
    <w:rsid w:val="007B7ABB"/>
    <w:rsid w:val="007C0F4E"/>
    <w:rsid w:val="007C2324"/>
    <w:rsid w:val="007C3390"/>
    <w:rsid w:val="007C35B1"/>
    <w:rsid w:val="007C3683"/>
    <w:rsid w:val="007C3D2C"/>
    <w:rsid w:val="007C42D8"/>
    <w:rsid w:val="007C4F4B"/>
    <w:rsid w:val="007C6AD5"/>
    <w:rsid w:val="007D01A8"/>
    <w:rsid w:val="007D0C5C"/>
    <w:rsid w:val="007D183F"/>
    <w:rsid w:val="007D259C"/>
    <w:rsid w:val="007D2B0E"/>
    <w:rsid w:val="007D3656"/>
    <w:rsid w:val="007D3A5A"/>
    <w:rsid w:val="007D49C6"/>
    <w:rsid w:val="007D49DA"/>
    <w:rsid w:val="007D5A1B"/>
    <w:rsid w:val="007D5D8D"/>
    <w:rsid w:val="007D7362"/>
    <w:rsid w:val="007E01BD"/>
    <w:rsid w:val="007E0FAF"/>
    <w:rsid w:val="007E2C37"/>
    <w:rsid w:val="007E552F"/>
    <w:rsid w:val="007E5BD9"/>
    <w:rsid w:val="007F3735"/>
    <w:rsid w:val="007F4086"/>
    <w:rsid w:val="007F442A"/>
    <w:rsid w:val="007F5CE2"/>
    <w:rsid w:val="007F6611"/>
    <w:rsid w:val="007F67B4"/>
    <w:rsid w:val="007F6EBC"/>
    <w:rsid w:val="007F76DC"/>
    <w:rsid w:val="008006DB"/>
    <w:rsid w:val="00800963"/>
    <w:rsid w:val="00801069"/>
    <w:rsid w:val="00801504"/>
    <w:rsid w:val="0080614D"/>
    <w:rsid w:val="0081023B"/>
    <w:rsid w:val="00810BAC"/>
    <w:rsid w:val="00811884"/>
    <w:rsid w:val="00812363"/>
    <w:rsid w:val="008131E4"/>
    <w:rsid w:val="00813999"/>
    <w:rsid w:val="008149F3"/>
    <w:rsid w:val="00815D1C"/>
    <w:rsid w:val="00815F7F"/>
    <w:rsid w:val="008175E9"/>
    <w:rsid w:val="00817B12"/>
    <w:rsid w:val="00817D6F"/>
    <w:rsid w:val="00823E27"/>
    <w:rsid w:val="008242D7"/>
    <w:rsid w:val="00824B1B"/>
    <w:rsid w:val="0082577B"/>
    <w:rsid w:val="00831FA2"/>
    <w:rsid w:val="00833676"/>
    <w:rsid w:val="00836275"/>
    <w:rsid w:val="00836807"/>
    <w:rsid w:val="00837858"/>
    <w:rsid w:val="00837BB4"/>
    <w:rsid w:val="00840641"/>
    <w:rsid w:val="00841EA7"/>
    <w:rsid w:val="00844227"/>
    <w:rsid w:val="00844A77"/>
    <w:rsid w:val="00844F10"/>
    <w:rsid w:val="008519DD"/>
    <w:rsid w:val="00851E8D"/>
    <w:rsid w:val="00853521"/>
    <w:rsid w:val="008550F3"/>
    <w:rsid w:val="0085620B"/>
    <w:rsid w:val="00857AE7"/>
    <w:rsid w:val="0086049A"/>
    <w:rsid w:val="008625AB"/>
    <w:rsid w:val="00866738"/>
    <w:rsid w:val="00866836"/>
    <w:rsid w:val="00866893"/>
    <w:rsid w:val="00866F02"/>
    <w:rsid w:val="008673DA"/>
    <w:rsid w:val="00867D18"/>
    <w:rsid w:val="00871166"/>
    <w:rsid w:val="00871AF3"/>
    <w:rsid w:val="00871F9A"/>
    <w:rsid w:val="00871FD5"/>
    <w:rsid w:val="00873286"/>
    <w:rsid w:val="00873D91"/>
    <w:rsid w:val="008758CF"/>
    <w:rsid w:val="00880840"/>
    <w:rsid w:val="00881048"/>
    <w:rsid w:val="0088172E"/>
    <w:rsid w:val="00881EFA"/>
    <w:rsid w:val="008846F5"/>
    <w:rsid w:val="008852E0"/>
    <w:rsid w:val="008854EE"/>
    <w:rsid w:val="00885C73"/>
    <w:rsid w:val="0088702C"/>
    <w:rsid w:val="008879CB"/>
    <w:rsid w:val="008934BB"/>
    <w:rsid w:val="00893571"/>
    <w:rsid w:val="00893980"/>
    <w:rsid w:val="00893C73"/>
    <w:rsid w:val="00895014"/>
    <w:rsid w:val="00896CB5"/>
    <w:rsid w:val="00897574"/>
    <w:rsid w:val="008979B1"/>
    <w:rsid w:val="008A0AB4"/>
    <w:rsid w:val="008A149F"/>
    <w:rsid w:val="008A3784"/>
    <w:rsid w:val="008A3C1E"/>
    <w:rsid w:val="008A4987"/>
    <w:rsid w:val="008A52CA"/>
    <w:rsid w:val="008A5653"/>
    <w:rsid w:val="008A667F"/>
    <w:rsid w:val="008A6B25"/>
    <w:rsid w:val="008A6C4F"/>
    <w:rsid w:val="008A7949"/>
    <w:rsid w:val="008A7CD3"/>
    <w:rsid w:val="008B389E"/>
    <w:rsid w:val="008B38B7"/>
    <w:rsid w:val="008C1466"/>
    <w:rsid w:val="008C2DA4"/>
    <w:rsid w:val="008C4066"/>
    <w:rsid w:val="008C6510"/>
    <w:rsid w:val="008D0347"/>
    <w:rsid w:val="008D045E"/>
    <w:rsid w:val="008D2188"/>
    <w:rsid w:val="008D2EFE"/>
    <w:rsid w:val="008D3F25"/>
    <w:rsid w:val="008D4D82"/>
    <w:rsid w:val="008D4F49"/>
    <w:rsid w:val="008D527B"/>
    <w:rsid w:val="008D5A0F"/>
    <w:rsid w:val="008D5E34"/>
    <w:rsid w:val="008D6E8D"/>
    <w:rsid w:val="008E0E46"/>
    <w:rsid w:val="008E4CB8"/>
    <w:rsid w:val="008E5605"/>
    <w:rsid w:val="008E5EE6"/>
    <w:rsid w:val="008E69B6"/>
    <w:rsid w:val="008E7116"/>
    <w:rsid w:val="008E74CF"/>
    <w:rsid w:val="008E7B48"/>
    <w:rsid w:val="008F033B"/>
    <w:rsid w:val="008F047C"/>
    <w:rsid w:val="008F0818"/>
    <w:rsid w:val="008F143B"/>
    <w:rsid w:val="008F1F54"/>
    <w:rsid w:val="008F3881"/>
    <w:rsid w:val="008F3882"/>
    <w:rsid w:val="008F3A6D"/>
    <w:rsid w:val="008F4331"/>
    <w:rsid w:val="008F4B7C"/>
    <w:rsid w:val="008F7798"/>
    <w:rsid w:val="009016B2"/>
    <w:rsid w:val="00902B53"/>
    <w:rsid w:val="00903767"/>
    <w:rsid w:val="00904462"/>
    <w:rsid w:val="0090501C"/>
    <w:rsid w:val="00905518"/>
    <w:rsid w:val="00907DFF"/>
    <w:rsid w:val="00911002"/>
    <w:rsid w:val="00911E1A"/>
    <w:rsid w:val="00912C9F"/>
    <w:rsid w:val="009135C8"/>
    <w:rsid w:val="00913FA2"/>
    <w:rsid w:val="009165E5"/>
    <w:rsid w:val="00926E47"/>
    <w:rsid w:val="009272B1"/>
    <w:rsid w:val="00930627"/>
    <w:rsid w:val="00930D32"/>
    <w:rsid w:val="009311BD"/>
    <w:rsid w:val="00936977"/>
    <w:rsid w:val="00937506"/>
    <w:rsid w:val="009404AF"/>
    <w:rsid w:val="00941252"/>
    <w:rsid w:val="009418E5"/>
    <w:rsid w:val="0094262F"/>
    <w:rsid w:val="00947162"/>
    <w:rsid w:val="00950FD4"/>
    <w:rsid w:val="0095616B"/>
    <w:rsid w:val="00956671"/>
    <w:rsid w:val="00960548"/>
    <w:rsid w:val="009610D0"/>
    <w:rsid w:val="0096375C"/>
    <w:rsid w:val="009662E6"/>
    <w:rsid w:val="0097008D"/>
    <w:rsid w:val="0097095E"/>
    <w:rsid w:val="00971AC9"/>
    <w:rsid w:val="00972BC8"/>
    <w:rsid w:val="009735C2"/>
    <w:rsid w:val="009735D8"/>
    <w:rsid w:val="009738F5"/>
    <w:rsid w:val="00974244"/>
    <w:rsid w:val="00975230"/>
    <w:rsid w:val="009822E0"/>
    <w:rsid w:val="009845C4"/>
    <w:rsid w:val="00984E8E"/>
    <w:rsid w:val="00985470"/>
    <w:rsid w:val="009858E8"/>
    <w:rsid w:val="0098592B"/>
    <w:rsid w:val="00985CBC"/>
    <w:rsid w:val="00985FC4"/>
    <w:rsid w:val="00987A0A"/>
    <w:rsid w:val="00990766"/>
    <w:rsid w:val="00991261"/>
    <w:rsid w:val="00993540"/>
    <w:rsid w:val="00994A47"/>
    <w:rsid w:val="00995647"/>
    <w:rsid w:val="00995B23"/>
    <w:rsid w:val="009964C4"/>
    <w:rsid w:val="00996F4A"/>
    <w:rsid w:val="009A1292"/>
    <w:rsid w:val="009A3A2A"/>
    <w:rsid w:val="009A5236"/>
    <w:rsid w:val="009A5413"/>
    <w:rsid w:val="009A696D"/>
    <w:rsid w:val="009A781E"/>
    <w:rsid w:val="009A7B81"/>
    <w:rsid w:val="009B12B4"/>
    <w:rsid w:val="009B3EA6"/>
    <w:rsid w:val="009B4F3C"/>
    <w:rsid w:val="009B5378"/>
    <w:rsid w:val="009C02CA"/>
    <w:rsid w:val="009C0C55"/>
    <w:rsid w:val="009C2824"/>
    <w:rsid w:val="009C3489"/>
    <w:rsid w:val="009C492E"/>
    <w:rsid w:val="009C6D62"/>
    <w:rsid w:val="009D01C0"/>
    <w:rsid w:val="009D02E8"/>
    <w:rsid w:val="009D153E"/>
    <w:rsid w:val="009D1CA5"/>
    <w:rsid w:val="009D1E18"/>
    <w:rsid w:val="009D245F"/>
    <w:rsid w:val="009D312A"/>
    <w:rsid w:val="009D32A8"/>
    <w:rsid w:val="009D35E4"/>
    <w:rsid w:val="009D391D"/>
    <w:rsid w:val="009D581E"/>
    <w:rsid w:val="009D6A08"/>
    <w:rsid w:val="009D7429"/>
    <w:rsid w:val="009D742B"/>
    <w:rsid w:val="009E0A16"/>
    <w:rsid w:val="009E0DDD"/>
    <w:rsid w:val="009E2A1C"/>
    <w:rsid w:val="009E30C7"/>
    <w:rsid w:val="009E4722"/>
    <w:rsid w:val="009E6CB7"/>
    <w:rsid w:val="009E7970"/>
    <w:rsid w:val="009F0CC2"/>
    <w:rsid w:val="009F0E33"/>
    <w:rsid w:val="009F13F4"/>
    <w:rsid w:val="009F1ABA"/>
    <w:rsid w:val="009F2EAC"/>
    <w:rsid w:val="009F57E3"/>
    <w:rsid w:val="009F6A7B"/>
    <w:rsid w:val="009F6D5B"/>
    <w:rsid w:val="009F7244"/>
    <w:rsid w:val="009F7903"/>
    <w:rsid w:val="00A02E5D"/>
    <w:rsid w:val="00A02FBF"/>
    <w:rsid w:val="00A03817"/>
    <w:rsid w:val="00A05F87"/>
    <w:rsid w:val="00A06E54"/>
    <w:rsid w:val="00A0786F"/>
    <w:rsid w:val="00A10F4F"/>
    <w:rsid w:val="00A11067"/>
    <w:rsid w:val="00A111AB"/>
    <w:rsid w:val="00A112F1"/>
    <w:rsid w:val="00A13319"/>
    <w:rsid w:val="00A135E0"/>
    <w:rsid w:val="00A13601"/>
    <w:rsid w:val="00A136A7"/>
    <w:rsid w:val="00A15264"/>
    <w:rsid w:val="00A157C8"/>
    <w:rsid w:val="00A1632D"/>
    <w:rsid w:val="00A16FF8"/>
    <w:rsid w:val="00A1704A"/>
    <w:rsid w:val="00A17780"/>
    <w:rsid w:val="00A20E68"/>
    <w:rsid w:val="00A218FC"/>
    <w:rsid w:val="00A23E58"/>
    <w:rsid w:val="00A2520D"/>
    <w:rsid w:val="00A25E0D"/>
    <w:rsid w:val="00A27695"/>
    <w:rsid w:val="00A300A0"/>
    <w:rsid w:val="00A317B8"/>
    <w:rsid w:val="00A33F09"/>
    <w:rsid w:val="00A349C2"/>
    <w:rsid w:val="00A3675B"/>
    <w:rsid w:val="00A4146E"/>
    <w:rsid w:val="00A424EE"/>
    <w:rsid w:val="00A425EB"/>
    <w:rsid w:val="00A42863"/>
    <w:rsid w:val="00A44097"/>
    <w:rsid w:val="00A458CD"/>
    <w:rsid w:val="00A5380F"/>
    <w:rsid w:val="00A55054"/>
    <w:rsid w:val="00A55E3F"/>
    <w:rsid w:val="00A56EA2"/>
    <w:rsid w:val="00A57452"/>
    <w:rsid w:val="00A57646"/>
    <w:rsid w:val="00A60B0E"/>
    <w:rsid w:val="00A639CE"/>
    <w:rsid w:val="00A654FF"/>
    <w:rsid w:val="00A65B71"/>
    <w:rsid w:val="00A66CBA"/>
    <w:rsid w:val="00A71060"/>
    <w:rsid w:val="00A7156E"/>
    <w:rsid w:val="00A71623"/>
    <w:rsid w:val="00A71939"/>
    <w:rsid w:val="00A72F22"/>
    <w:rsid w:val="00A733BC"/>
    <w:rsid w:val="00A748A6"/>
    <w:rsid w:val="00A7506F"/>
    <w:rsid w:val="00A75C42"/>
    <w:rsid w:val="00A76A69"/>
    <w:rsid w:val="00A82C06"/>
    <w:rsid w:val="00A82C9A"/>
    <w:rsid w:val="00A8519D"/>
    <w:rsid w:val="00A879A4"/>
    <w:rsid w:val="00A927DD"/>
    <w:rsid w:val="00A93884"/>
    <w:rsid w:val="00A95000"/>
    <w:rsid w:val="00A97527"/>
    <w:rsid w:val="00AA0EC3"/>
    <w:rsid w:val="00AA0FF8"/>
    <w:rsid w:val="00AA13E5"/>
    <w:rsid w:val="00AA1BB9"/>
    <w:rsid w:val="00AA4BE6"/>
    <w:rsid w:val="00AA5B9E"/>
    <w:rsid w:val="00AA6D1E"/>
    <w:rsid w:val="00AA6F1A"/>
    <w:rsid w:val="00AB10D2"/>
    <w:rsid w:val="00AB2970"/>
    <w:rsid w:val="00AB3E1C"/>
    <w:rsid w:val="00AB3F8A"/>
    <w:rsid w:val="00AB5784"/>
    <w:rsid w:val="00AC0F2C"/>
    <w:rsid w:val="00AC327D"/>
    <w:rsid w:val="00AC4163"/>
    <w:rsid w:val="00AC502A"/>
    <w:rsid w:val="00AC5923"/>
    <w:rsid w:val="00AC66F5"/>
    <w:rsid w:val="00AC6BC1"/>
    <w:rsid w:val="00AC76D1"/>
    <w:rsid w:val="00AD124A"/>
    <w:rsid w:val="00AD1966"/>
    <w:rsid w:val="00AD1A2B"/>
    <w:rsid w:val="00AD1B20"/>
    <w:rsid w:val="00AD54BD"/>
    <w:rsid w:val="00AE1D38"/>
    <w:rsid w:val="00AE2787"/>
    <w:rsid w:val="00AE3647"/>
    <w:rsid w:val="00AE729B"/>
    <w:rsid w:val="00AE752D"/>
    <w:rsid w:val="00AE7637"/>
    <w:rsid w:val="00AE788D"/>
    <w:rsid w:val="00AF0E18"/>
    <w:rsid w:val="00AF58C1"/>
    <w:rsid w:val="00AF5D39"/>
    <w:rsid w:val="00AF64AF"/>
    <w:rsid w:val="00AF672A"/>
    <w:rsid w:val="00AF7047"/>
    <w:rsid w:val="00B008AF"/>
    <w:rsid w:val="00B0131A"/>
    <w:rsid w:val="00B02768"/>
    <w:rsid w:val="00B02E03"/>
    <w:rsid w:val="00B02E4A"/>
    <w:rsid w:val="00B03159"/>
    <w:rsid w:val="00B0327B"/>
    <w:rsid w:val="00B0340A"/>
    <w:rsid w:val="00B04A3F"/>
    <w:rsid w:val="00B051B5"/>
    <w:rsid w:val="00B058CB"/>
    <w:rsid w:val="00B0616B"/>
    <w:rsid w:val="00B06643"/>
    <w:rsid w:val="00B10404"/>
    <w:rsid w:val="00B10953"/>
    <w:rsid w:val="00B12F4B"/>
    <w:rsid w:val="00B137A9"/>
    <w:rsid w:val="00B13E48"/>
    <w:rsid w:val="00B15055"/>
    <w:rsid w:val="00B162F3"/>
    <w:rsid w:val="00B201D0"/>
    <w:rsid w:val="00B20A67"/>
    <w:rsid w:val="00B21BD8"/>
    <w:rsid w:val="00B252E4"/>
    <w:rsid w:val="00B25D45"/>
    <w:rsid w:val="00B26E51"/>
    <w:rsid w:val="00B27C06"/>
    <w:rsid w:val="00B30179"/>
    <w:rsid w:val="00B326B2"/>
    <w:rsid w:val="00B32B08"/>
    <w:rsid w:val="00B330EB"/>
    <w:rsid w:val="00B33BFC"/>
    <w:rsid w:val="00B35F4C"/>
    <w:rsid w:val="00B37B15"/>
    <w:rsid w:val="00B37D22"/>
    <w:rsid w:val="00B4030B"/>
    <w:rsid w:val="00B40669"/>
    <w:rsid w:val="00B41053"/>
    <w:rsid w:val="00B41A7F"/>
    <w:rsid w:val="00B425AB"/>
    <w:rsid w:val="00B42E69"/>
    <w:rsid w:val="00B43929"/>
    <w:rsid w:val="00B44436"/>
    <w:rsid w:val="00B45A1F"/>
    <w:rsid w:val="00B45C02"/>
    <w:rsid w:val="00B46B0A"/>
    <w:rsid w:val="00B519FB"/>
    <w:rsid w:val="00B52402"/>
    <w:rsid w:val="00B539E9"/>
    <w:rsid w:val="00B5512E"/>
    <w:rsid w:val="00B55B1D"/>
    <w:rsid w:val="00B56CA7"/>
    <w:rsid w:val="00B601F3"/>
    <w:rsid w:val="00B64B01"/>
    <w:rsid w:val="00B67526"/>
    <w:rsid w:val="00B677B3"/>
    <w:rsid w:val="00B705F2"/>
    <w:rsid w:val="00B71B79"/>
    <w:rsid w:val="00B72A1E"/>
    <w:rsid w:val="00B73AB8"/>
    <w:rsid w:val="00B818AC"/>
    <w:rsid w:val="00B81E12"/>
    <w:rsid w:val="00B827E8"/>
    <w:rsid w:val="00B82DB3"/>
    <w:rsid w:val="00B8353A"/>
    <w:rsid w:val="00B8395A"/>
    <w:rsid w:val="00B85785"/>
    <w:rsid w:val="00B870E0"/>
    <w:rsid w:val="00B90E9D"/>
    <w:rsid w:val="00B90EA3"/>
    <w:rsid w:val="00B914A9"/>
    <w:rsid w:val="00B92027"/>
    <w:rsid w:val="00B92CCE"/>
    <w:rsid w:val="00B9703C"/>
    <w:rsid w:val="00BA175C"/>
    <w:rsid w:val="00BA3377"/>
    <w:rsid w:val="00BA339B"/>
    <w:rsid w:val="00BA63C3"/>
    <w:rsid w:val="00BA648C"/>
    <w:rsid w:val="00BA7085"/>
    <w:rsid w:val="00BB195C"/>
    <w:rsid w:val="00BB2B68"/>
    <w:rsid w:val="00BB40EC"/>
    <w:rsid w:val="00BB50DE"/>
    <w:rsid w:val="00BB51B1"/>
    <w:rsid w:val="00BB54B3"/>
    <w:rsid w:val="00BB6736"/>
    <w:rsid w:val="00BB76D0"/>
    <w:rsid w:val="00BC1E7E"/>
    <w:rsid w:val="00BC2A35"/>
    <w:rsid w:val="00BC5847"/>
    <w:rsid w:val="00BC74E9"/>
    <w:rsid w:val="00BC79C6"/>
    <w:rsid w:val="00BD0D81"/>
    <w:rsid w:val="00BD101B"/>
    <w:rsid w:val="00BD17EC"/>
    <w:rsid w:val="00BD1E93"/>
    <w:rsid w:val="00BD27C0"/>
    <w:rsid w:val="00BD4057"/>
    <w:rsid w:val="00BD6A4C"/>
    <w:rsid w:val="00BE0B29"/>
    <w:rsid w:val="00BE1859"/>
    <w:rsid w:val="00BE227B"/>
    <w:rsid w:val="00BE36A9"/>
    <w:rsid w:val="00BE3F73"/>
    <w:rsid w:val="00BE502A"/>
    <w:rsid w:val="00BE618E"/>
    <w:rsid w:val="00BE7BEC"/>
    <w:rsid w:val="00BF0A5A"/>
    <w:rsid w:val="00BF0E63"/>
    <w:rsid w:val="00BF1197"/>
    <w:rsid w:val="00BF12A3"/>
    <w:rsid w:val="00BF16D7"/>
    <w:rsid w:val="00BF2373"/>
    <w:rsid w:val="00BF2B0F"/>
    <w:rsid w:val="00BF2BD1"/>
    <w:rsid w:val="00BF6603"/>
    <w:rsid w:val="00BF6E25"/>
    <w:rsid w:val="00C02E49"/>
    <w:rsid w:val="00C033E9"/>
    <w:rsid w:val="00C044E2"/>
    <w:rsid w:val="00C048CB"/>
    <w:rsid w:val="00C059B7"/>
    <w:rsid w:val="00C066F3"/>
    <w:rsid w:val="00C112EC"/>
    <w:rsid w:val="00C150EC"/>
    <w:rsid w:val="00C2014F"/>
    <w:rsid w:val="00C22A61"/>
    <w:rsid w:val="00C25DE8"/>
    <w:rsid w:val="00C30F5A"/>
    <w:rsid w:val="00C31258"/>
    <w:rsid w:val="00C31732"/>
    <w:rsid w:val="00C31861"/>
    <w:rsid w:val="00C33653"/>
    <w:rsid w:val="00C35B9B"/>
    <w:rsid w:val="00C37EF2"/>
    <w:rsid w:val="00C41A81"/>
    <w:rsid w:val="00C4293C"/>
    <w:rsid w:val="00C43C7F"/>
    <w:rsid w:val="00C45524"/>
    <w:rsid w:val="00C463DD"/>
    <w:rsid w:val="00C46AB9"/>
    <w:rsid w:val="00C47D9B"/>
    <w:rsid w:val="00C5066C"/>
    <w:rsid w:val="00C51B66"/>
    <w:rsid w:val="00C52654"/>
    <w:rsid w:val="00C538C5"/>
    <w:rsid w:val="00C53E29"/>
    <w:rsid w:val="00C54664"/>
    <w:rsid w:val="00C57CF3"/>
    <w:rsid w:val="00C61EA6"/>
    <w:rsid w:val="00C62037"/>
    <w:rsid w:val="00C624E3"/>
    <w:rsid w:val="00C6299D"/>
    <w:rsid w:val="00C62B67"/>
    <w:rsid w:val="00C632FB"/>
    <w:rsid w:val="00C641C3"/>
    <w:rsid w:val="00C64F8A"/>
    <w:rsid w:val="00C6566F"/>
    <w:rsid w:val="00C6642C"/>
    <w:rsid w:val="00C669E7"/>
    <w:rsid w:val="00C70001"/>
    <w:rsid w:val="00C70975"/>
    <w:rsid w:val="00C7236B"/>
    <w:rsid w:val="00C745C3"/>
    <w:rsid w:val="00C75C30"/>
    <w:rsid w:val="00C77FB2"/>
    <w:rsid w:val="00C80E3F"/>
    <w:rsid w:val="00C81B50"/>
    <w:rsid w:val="00C82C64"/>
    <w:rsid w:val="00C85435"/>
    <w:rsid w:val="00C9015C"/>
    <w:rsid w:val="00C92491"/>
    <w:rsid w:val="00C92B0E"/>
    <w:rsid w:val="00C93ED2"/>
    <w:rsid w:val="00C94672"/>
    <w:rsid w:val="00C94C2B"/>
    <w:rsid w:val="00C973EE"/>
    <w:rsid w:val="00C97CFD"/>
    <w:rsid w:val="00CA1D84"/>
    <w:rsid w:val="00CA24A4"/>
    <w:rsid w:val="00CA4207"/>
    <w:rsid w:val="00CA6C95"/>
    <w:rsid w:val="00CA7501"/>
    <w:rsid w:val="00CB0439"/>
    <w:rsid w:val="00CB0A07"/>
    <w:rsid w:val="00CB117A"/>
    <w:rsid w:val="00CB13BC"/>
    <w:rsid w:val="00CB348D"/>
    <w:rsid w:val="00CB6D40"/>
    <w:rsid w:val="00CB70A5"/>
    <w:rsid w:val="00CB7420"/>
    <w:rsid w:val="00CB78EB"/>
    <w:rsid w:val="00CB7ECC"/>
    <w:rsid w:val="00CC1CC8"/>
    <w:rsid w:val="00CC21B6"/>
    <w:rsid w:val="00CC2B21"/>
    <w:rsid w:val="00CC31CB"/>
    <w:rsid w:val="00CC3F4B"/>
    <w:rsid w:val="00CC6358"/>
    <w:rsid w:val="00CC64A1"/>
    <w:rsid w:val="00CC73DA"/>
    <w:rsid w:val="00CD09DB"/>
    <w:rsid w:val="00CD178E"/>
    <w:rsid w:val="00CD2432"/>
    <w:rsid w:val="00CD46F5"/>
    <w:rsid w:val="00CD67C3"/>
    <w:rsid w:val="00CD6F73"/>
    <w:rsid w:val="00CD704C"/>
    <w:rsid w:val="00CD73CB"/>
    <w:rsid w:val="00CE1869"/>
    <w:rsid w:val="00CE1DE6"/>
    <w:rsid w:val="00CE2138"/>
    <w:rsid w:val="00CE2150"/>
    <w:rsid w:val="00CE2522"/>
    <w:rsid w:val="00CE284B"/>
    <w:rsid w:val="00CE4A8F"/>
    <w:rsid w:val="00CE5338"/>
    <w:rsid w:val="00CE63FA"/>
    <w:rsid w:val="00CF071D"/>
    <w:rsid w:val="00CF3914"/>
    <w:rsid w:val="00CF3988"/>
    <w:rsid w:val="00CF45CE"/>
    <w:rsid w:val="00CF4FD9"/>
    <w:rsid w:val="00CF5B62"/>
    <w:rsid w:val="00D005B0"/>
    <w:rsid w:val="00D021B5"/>
    <w:rsid w:val="00D037AD"/>
    <w:rsid w:val="00D04CA2"/>
    <w:rsid w:val="00D06C78"/>
    <w:rsid w:val="00D1010F"/>
    <w:rsid w:val="00D118A1"/>
    <w:rsid w:val="00D12E63"/>
    <w:rsid w:val="00D15B04"/>
    <w:rsid w:val="00D17EF1"/>
    <w:rsid w:val="00D2031B"/>
    <w:rsid w:val="00D20E9A"/>
    <w:rsid w:val="00D234D7"/>
    <w:rsid w:val="00D25C6F"/>
    <w:rsid w:val="00D25FE2"/>
    <w:rsid w:val="00D264AF"/>
    <w:rsid w:val="00D312FB"/>
    <w:rsid w:val="00D32360"/>
    <w:rsid w:val="00D32D81"/>
    <w:rsid w:val="00D33FBF"/>
    <w:rsid w:val="00D34037"/>
    <w:rsid w:val="00D341E8"/>
    <w:rsid w:val="00D37DA9"/>
    <w:rsid w:val="00D406A7"/>
    <w:rsid w:val="00D40DE3"/>
    <w:rsid w:val="00D417E3"/>
    <w:rsid w:val="00D43252"/>
    <w:rsid w:val="00D432E6"/>
    <w:rsid w:val="00D433C4"/>
    <w:rsid w:val="00D43EA8"/>
    <w:rsid w:val="00D44B8D"/>
    <w:rsid w:val="00D44D86"/>
    <w:rsid w:val="00D4521B"/>
    <w:rsid w:val="00D50B7D"/>
    <w:rsid w:val="00D50E19"/>
    <w:rsid w:val="00D52012"/>
    <w:rsid w:val="00D52450"/>
    <w:rsid w:val="00D52F6D"/>
    <w:rsid w:val="00D54D9D"/>
    <w:rsid w:val="00D610BA"/>
    <w:rsid w:val="00D62F88"/>
    <w:rsid w:val="00D63A39"/>
    <w:rsid w:val="00D64F66"/>
    <w:rsid w:val="00D65158"/>
    <w:rsid w:val="00D67230"/>
    <w:rsid w:val="00D704E5"/>
    <w:rsid w:val="00D719B7"/>
    <w:rsid w:val="00D72727"/>
    <w:rsid w:val="00D72794"/>
    <w:rsid w:val="00D72EE9"/>
    <w:rsid w:val="00D74AAD"/>
    <w:rsid w:val="00D758DC"/>
    <w:rsid w:val="00D82EBC"/>
    <w:rsid w:val="00D82FB3"/>
    <w:rsid w:val="00D84B94"/>
    <w:rsid w:val="00D84E99"/>
    <w:rsid w:val="00D85688"/>
    <w:rsid w:val="00D85BD2"/>
    <w:rsid w:val="00D86C2A"/>
    <w:rsid w:val="00D86D91"/>
    <w:rsid w:val="00D90E02"/>
    <w:rsid w:val="00D91320"/>
    <w:rsid w:val="00D9132C"/>
    <w:rsid w:val="00D9334B"/>
    <w:rsid w:val="00D95F0A"/>
    <w:rsid w:val="00D978C6"/>
    <w:rsid w:val="00D97B6B"/>
    <w:rsid w:val="00DA00BA"/>
    <w:rsid w:val="00DA0956"/>
    <w:rsid w:val="00DA2474"/>
    <w:rsid w:val="00DA3239"/>
    <w:rsid w:val="00DA357F"/>
    <w:rsid w:val="00DA3980"/>
    <w:rsid w:val="00DA3E12"/>
    <w:rsid w:val="00DA4518"/>
    <w:rsid w:val="00DB0D7D"/>
    <w:rsid w:val="00DB0FEB"/>
    <w:rsid w:val="00DB4EBB"/>
    <w:rsid w:val="00DB656D"/>
    <w:rsid w:val="00DB7863"/>
    <w:rsid w:val="00DC0126"/>
    <w:rsid w:val="00DC18AD"/>
    <w:rsid w:val="00DC2485"/>
    <w:rsid w:val="00DC4CA6"/>
    <w:rsid w:val="00DC5E5E"/>
    <w:rsid w:val="00DC69C2"/>
    <w:rsid w:val="00DD4A11"/>
    <w:rsid w:val="00DD65E7"/>
    <w:rsid w:val="00DD6D87"/>
    <w:rsid w:val="00DD6E9B"/>
    <w:rsid w:val="00DD73D7"/>
    <w:rsid w:val="00DE013D"/>
    <w:rsid w:val="00DE17FF"/>
    <w:rsid w:val="00DE3F24"/>
    <w:rsid w:val="00DE4B69"/>
    <w:rsid w:val="00DE6248"/>
    <w:rsid w:val="00DE6C7F"/>
    <w:rsid w:val="00DF0483"/>
    <w:rsid w:val="00DF1956"/>
    <w:rsid w:val="00DF4070"/>
    <w:rsid w:val="00DF4ED8"/>
    <w:rsid w:val="00DF7CAE"/>
    <w:rsid w:val="00E0065F"/>
    <w:rsid w:val="00E03034"/>
    <w:rsid w:val="00E06F6D"/>
    <w:rsid w:val="00E105F2"/>
    <w:rsid w:val="00E11EF7"/>
    <w:rsid w:val="00E12CEC"/>
    <w:rsid w:val="00E13058"/>
    <w:rsid w:val="00E13503"/>
    <w:rsid w:val="00E16304"/>
    <w:rsid w:val="00E225B2"/>
    <w:rsid w:val="00E25357"/>
    <w:rsid w:val="00E2612A"/>
    <w:rsid w:val="00E262EC"/>
    <w:rsid w:val="00E2775E"/>
    <w:rsid w:val="00E31177"/>
    <w:rsid w:val="00E311A0"/>
    <w:rsid w:val="00E3318F"/>
    <w:rsid w:val="00E34A41"/>
    <w:rsid w:val="00E40B25"/>
    <w:rsid w:val="00E40C41"/>
    <w:rsid w:val="00E41027"/>
    <w:rsid w:val="00E41E65"/>
    <w:rsid w:val="00E423C0"/>
    <w:rsid w:val="00E424CB"/>
    <w:rsid w:val="00E43B3C"/>
    <w:rsid w:val="00E43C71"/>
    <w:rsid w:val="00E44CF5"/>
    <w:rsid w:val="00E4526D"/>
    <w:rsid w:val="00E53F20"/>
    <w:rsid w:val="00E547CE"/>
    <w:rsid w:val="00E548A6"/>
    <w:rsid w:val="00E63B71"/>
    <w:rsid w:val="00E6414C"/>
    <w:rsid w:val="00E65F06"/>
    <w:rsid w:val="00E66A74"/>
    <w:rsid w:val="00E66D4B"/>
    <w:rsid w:val="00E67AED"/>
    <w:rsid w:val="00E7003C"/>
    <w:rsid w:val="00E71232"/>
    <w:rsid w:val="00E7169A"/>
    <w:rsid w:val="00E71CF7"/>
    <w:rsid w:val="00E7260F"/>
    <w:rsid w:val="00E7302A"/>
    <w:rsid w:val="00E752DF"/>
    <w:rsid w:val="00E75643"/>
    <w:rsid w:val="00E76327"/>
    <w:rsid w:val="00E7754E"/>
    <w:rsid w:val="00E7785F"/>
    <w:rsid w:val="00E80E75"/>
    <w:rsid w:val="00E81344"/>
    <w:rsid w:val="00E81526"/>
    <w:rsid w:val="00E85622"/>
    <w:rsid w:val="00E859C5"/>
    <w:rsid w:val="00E8702D"/>
    <w:rsid w:val="00E900A8"/>
    <w:rsid w:val="00E902F6"/>
    <w:rsid w:val="00E90F0C"/>
    <w:rsid w:val="00E911EE"/>
    <w:rsid w:val="00E916A9"/>
    <w:rsid w:val="00E916DE"/>
    <w:rsid w:val="00E91CE9"/>
    <w:rsid w:val="00E925AD"/>
    <w:rsid w:val="00E9394E"/>
    <w:rsid w:val="00E94179"/>
    <w:rsid w:val="00E944B4"/>
    <w:rsid w:val="00E95109"/>
    <w:rsid w:val="00E96630"/>
    <w:rsid w:val="00E97D90"/>
    <w:rsid w:val="00EA1257"/>
    <w:rsid w:val="00EA1945"/>
    <w:rsid w:val="00EA49C3"/>
    <w:rsid w:val="00EA66D1"/>
    <w:rsid w:val="00EA685C"/>
    <w:rsid w:val="00EA722D"/>
    <w:rsid w:val="00EB02D5"/>
    <w:rsid w:val="00EB083C"/>
    <w:rsid w:val="00EB1EFE"/>
    <w:rsid w:val="00EB1FD8"/>
    <w:rsid w:val="00EB3FB3"/>
    <w:rsid w:val="00EB768B"/>
    <w:rsid w:val="00EC1A09"/>
    <w:rsid w:val="00EC2BB4"/>
    <w:rsid w:val="00EC4B14"/>
    <w:rsid w:val="00EC6A88"/>
    <w:rsid w:val="00EC7250"/>
    <w:rsid w:val="00EC7BFF"/>
    <w:rsid w:val="00ED0581"/>
    <w:rsid w:val="00ED18DC"/>
    <w:rsid w:val="00ED2842"/>
    <w:rsid w:val="00ED296E"/>
    <w:rsid w:val="00ED2D1B"/>
    <w:rsid w:val="00ED34C2"/>
    <w:rsid w:val="00ED4299"/>
    <w:rsid w:val="00ED6201"/>
    <w:rsid w:val="00ED6500"/>
    <w:rsid w:val="00ED6910"/>
    <w:rsid w:val="00ED7898"/>
    <w:rsid w:val="00ED7A2A"/>
    <w:rsid w:val="00EE0EAA"/>
    <w:rsid w:val="00EE38A0"/>
    <w:rsid w:val="00EF0AB7"/>
    <w:rsid w:val="00EF148A"/>
    <w:rsid w:val="00EF1D7F"/>
    <w:rsid w:val="00EF2D67"/>
    <w:rsid w:val="00EF44B8"/>
    <w:rsid w:val="00EF525F"/>
    <w:rsid w:val="00EF6709"/>
    <w:rsid w:val="00EF7251"/>
    <w:rsid w:val="00F0137E"/>
    <w:rsid w:val="00F019C9"/>
    <w:rsid w:val="00F03A47"/>
    <w:rsid w:val="00F03E15"/>
    <w:rsid w:val="00F0532F"/>
    <w:rsid w:val="00F057B0"/>
    <w:rsid w:val="00F12ED2"/>
    <w:rsid w:val="00F1634C"/>
    <w:rsid w:val="00F17460"/>
    <w:rsid w:val="00F2111E"/>
    <w:rsid w:val="00F21786"/>
    <w:rsid w:val="00F24137"/>
    <w:rsid w:val="00F24879"/>
    <w:rsid w:val="00F249E7"/>
    <w:rsid w:val="00F25A62"/>
    <w:rsid w:val="00F2706E"/>
    <w:rsid w:val="00F27B17"/>
    <w:rsid w:val="00F305F5"/>
    <w:rsid w:val="00F317A8"/>
    <w:rsid w:val="00F31AA6"/>
    <w:rsid w:val="00F332CB"/>
    <w:rsid w:val="00F3742B"/>
    <w:rsid w:val="00F3766F"/>
    <w:rsid w:val="00F40668"/>
    <w:rsid w:val="00F4076F"/>
    <w:rsid w:val="00F40D98"/>
    <w:rsid w:val="00F41FDB"/>
    <w:rsid w:val="00F44631"/>
    <w:rsid w:val="00F44634"/>
    <w:rsid w:val="00F451A3"/>
    <w:rsid w:val="00F45C5E"/>
    <w:rsid w:val="00F47683"/>
    <w:rsid w:val="00F4780D"/>
    <w:rsid w:val="00F507EC"/>
    <w:rsid w:val="00F51C94"/>
    <w:rsid w:val="00F5353D"/>
    <w:rsid w:val="00F53AFC"/>
    <w:rsid w:val="00F5465E"/>
    <w:rsid w:val="00F56D63"/>
    <w:rsid w:val="00F609A9"/>
    <w:rsid w:val="00F60C0E"/>
    <w:rsid w:val="00F64E7D"/>
    <w:rsid w:val="00F70765"/>
    <w:rsid w:val="00F70D80"/>
    <w:rsid w:val="00F72469"/>
    <w:rsid w:val="00F7260D"/>
    <w:rsid w:val="00F73AAD"/>
    <w:rsid w:val="00F77825"/>
    <w:rsid w:val="00F77F6D"/>
    <w:rsid w:val="00F80369"/>
    <w:rsid w:val="00F80C99"/>
    <w:rsid w:val="00F80DAC"/>
    <w:rsid w:val="00F82843"/>
    <w:rsid w:val="00F829C5"/>
    <w:rsid w:val="00F82CDC"/>
    <w:rsid w:val="00F84890"/>
    <w:rsid w:val="00F85207"/>
    <w:rsid w:val="00F857ED"/>
    <w:rsid w:val="00F867EC"/>
    <w:rsid w:val="00F86B2F"/>
    <w:rsid w:val="00F91B2B"/>
    <w:rsid w:val="00F91C45"/>
    <w:rsid w:val="00F926FB"/>
    <w:rsid w:val="00F93400"/>
    <w:rsid w:val="00F93705"/>
    <w:rsid w:val="00F93DBB"/>
    <w:rsid w:val="00F945BF"/>
    <w:rsid w:val="00F94E13"/>
    <w:rsid w:val="00FA3E51"/>
    <w:rsid w:val="00FA571F"/>
    <w:rsid w:val="00FB0122"/>
    <w:rsid w:val="00FB0825"/>
    <w:rsid w:val="00FB2802"/>
    <w:rsid w:val="00FB28B8"/>
    <w:rsid w:val="00FB3708"/>
    <w:rsid w:val="00FB3724"/>
    <w:rsid w:val="00FB4D9D"/>
    <w:rsid w:val="00FB6075"/>
    <w:rsid w:val="00FB6D4A"/>
    <w:rsid w:val="00FB6FC4"/>
    <w:rsid w:val="00FB784B"/>
    <w:rsid w:val="00FB7A57"/>
    <w:rsid w:val="00FC03CD"/>
    <w:rsid w:val="00FC0646"/>
    <w:rsid w:val="00FC0CE1"/>
    <w:rsid w:val="00FC12EA"/>
    <w:rsid w:val="00FC26AF"/>
    <w:rsid w:val="00FC4461"/>
    <w:rsid w:val="00FC469D"/>
    <w:rsid w:val="00FC5412"/>
    <w:rsid w:val="00FC6786"/>
    <w:rsid w:val="00FC68B7"/>
    <w:rsid w:val="00FD02E4"/>
    <w:rsid w:val="00FD222E"/>
    <w:rsid w:val="00FD2A8C"/>
    <w:rsid w:val="00FD43F4"/>
    <w:rsid w:val="00FD4776"/>
    <w:rsid w:val="00FD75B7"/>
    <w:rsid w:val="00FE24CA"/>
    <w:rsid w:val="00FE6985"/>
    <w:rsid w:val="00FE79E5"/>
    <w:rsid w:val="00FF0374"/>
    <w:rsid w:val="00FF116B"/>
    <w:rsid w:val="00FF36A7"/>
    <w:rsid w:val="00FF3772"/>
    <w:rsid w:val="00FF4515"/>
    <w:rsid w:val="00FF7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A220"/>
  <w15:chartTrackingRefBased/>
  <w15:docId w15:val="{82539CED-D775-4F7B-8610-628D644F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DEE"/>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8161B"/>
    <w:rPr>
      <w:b/>
      <w:sz w:val="28"/>
      <w:lang w:val="en-GB" w:eastAsia="en-US" w:bidi="ar-SA"/>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594C73"/>
    <w:rPr>
      <w:rFonts w:ascii="Tahoma" w:hAnsi="Tahoma" w:cs="Tahoma"/>
      <w:sz w:val="16"/>
      <w:szCs w:val="16"/>
    </w:rPr>
  </w:style>
  <w:style w:type="character" w:styleId="Strong">
    <w:name w:val="Strong"/>
    <w:uiPriority w:val="22"/>
    <w:qFormat/>
    <w:rsid w:val="00E4526D"/>
    <w:rPr>
      <w:b/>
      <w:bCs/>
    </w:rPr>
  </w:style>
  <w:style w:type="paragraph" w:customStyle="1" w:styleId="Default">
    <w:name w:val="Default"/>
    <w:rsid w:val="002D12CB"/>
    <w:pPr>
      <w:autoSpaceDE w:val="0"/>
      <w:autoSpaceDN w:val="0"/>
      <w:adjustRightInd w:val="0"/>
    </w:pPr>
    <w:rPr>
      <w:color w:val="000000"/>
      <w:sz w:val="24"/>
      <w:szCs w:val="24"/>
      <w:lang w:eastAsia="en-GB"/>
    </w:rPr>
  </w:style>
  <w:style w:type="paragraph" w:customStyle="1" w:styleId="ExecutiveSummaryHeading">
    <w:name w:val="Executive Summary Heading"/>
    <w:basedOn w:val="Normal"/>
    <w:next w:val="BodyText"/>
    <w:uiPriority w:val="99"/>
    <w:rsid w:val="000C3310"/>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styleId="BodyText">
    <w:name w:val="Body Text"/>
    <w:basedOn w:val="Normal"/>
    <w:link w:val="BodyTextChar"/>
    <w:rsid w:val="000C3310"/>
    <w:pPr>
      <w:spacing w:after="120"/>
    </w:pPr>
  </w:style>
  <w:style w:type="character" w:customStyle="1" w:styleId="BodyTextChar">
    <w:name w:val="Body Text Char"/>
    <w:link w:val="BodyText"/>
    <w:rsid w:val="000C3310"/>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link w:val="FootnoteText"/>
    <w:rsid w:val="002933D9"/>
    <w:rPr>
      <w:sz w:val="18"/>
      <w:lang w:eastAsia="en-US"/>
    </w:rPr>
  </w:style>
  <w:style w:type="character" w:customStyle="1" w:styleId="H1GChar">
    <w:name w:val="_ H_1_G Char"/>
    <w:link w:val="H1G"/>
    <w:rsid w:val="002933D9"/>
    <w:rPr>
      <w:b/>
      <w:sz w:val="24"/>
      <w:lang w:eastAsia="en-US"/>
    </w:rPr>
  </w:style>
  <w:style w:type="paragraph" w:customStyle="1" w:styleId="bodytext0">
    <w:name w:val="bodytext"/>
    <w:basedOn w:val="Normal"/>
    <w:rsid w:val="000E5A17"/>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0E5A17"/>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727E8E"/>
    <w:rPr>
      <w:sz w:val="16"/>
      <w:szCs w:val="16"/>
    </w:rPr>
  </w:style>
  <w:style w:type="paragraph" w:styleId="CommentText">
    <w:name w:val="annotation text"/>
    <w:basedOn w:val="Normal"/>
    <w:link w:val="CommentTextChar"/>
    <w:rsid w:val="00727E8E"/>
  </w:style>
  <w:style w:type="character" w:customStyle="1" w:styleId="CommentTextChar">
    <w:name w:val="Comment Text Char"/>
    <w:link w:val="CommentText"/>
    <w:rsid w:val="00727E8E"/>
    <w:rPr>
      <w:lang w:eastAsia="en-US"/>
    </w:rPr>
  </w:style>
  <w:style w:type="paragraph" w:styleId="CommentSubject">
    <w:name w:val="annotation subject"/>
    <w:basedOn w:val="CommentText"/>
    <w:next w:val="CommentText"/>
    <w:link w:val="CommentSubjectChar"/>
    <w:rsid w:val="00727E8E"/>
    <w:rPr>
      <w:b/>
      <w:bCs/>
    </w:rPr>
  </w:style>
  <w:style w:type="character" w:customStyle="1" w:styleId="CommentSubjectChar">
    <w:name w:val="Comment Subject Char"/>
    <w:link w:val="CommentSubject"/>
    <w:rsid w:val="00727E8E"/>
    <w:rPr>
      <w:b/>
      <w:bCs/>
      <w:lang w:eastAsia="en-US"/>
    </w:rPr>
  </w:style>
  <w:style w:type="paragraph" w:styleId="ListParagraph">
    <w:name w:val="List Paragraph"/>
    <w:basedOn w:val="Normal"/>
    <w:uiPriority w:val="34"/>
    <w:qFormat/>
    <w:rsid w:val="00BD0D81"/>
    <w:pPr>
      <w:ind w:left="720"/>
    </w:pPr>
  </w:style>
  <w:style w:type="character" w:customStyle="1" w:styleId="SingleTxtGChar">
    <w:name w:val="_ Single Txt_G Char"/>
    <w:link w:val="SingleTxtG"/>
    <w:rsid w:val="00BD0D81"/>
    <w:rPr>
      <w:lang w:eastAsia="en-US"/>
    </w:rPr>
  </w:style>
  <w:style w:type="character" w:styleId="UnresolvedMention">
    <w:name w:val="Unresolved Mention"/>
    <w:uiPriority w:val="99"/>
    <w:semiHidden/>
    <w:unhideWhenUsed/>
    <w:rsid w:val="0026299A"/>
    <w:rPr>
      <w:color w:val="605E5C"/>
      <w:shd w:val="clear" w:color="auto" w:fill="E1DFDD"/>
    </w:rPr>
  </w:style>
  <w:style w:type="character" w:customStyle="1" w:styleId="H23GChar">
    <w:name w:val="_ H_2/3_G Char"/>
    <w:link w:val="H23G"/>
    <w:rsid w:val="00CB70A5"/>
    <w:rPr>
      <w:b/>
      <w:lang w:eastAsia="en-US"/>
    </w:rPr>
  </w:style>
  <w:style w:type="paragraph" w:styleId="ListNumber5">
    <w:name w:val="List Number 5"/>
    <w:basedOn w:val="Normal"/>
    <w:rsid w:val="002763D8"/>
    <w:pPr>
      <w:numPr>
        <w:numId w:val="20"/>
      </w:numPr>
    </w:pPr>
  </w:style>
  <w:style w:type="character" w:customStyle="1" w:styleId="Heading5Char">
    <w:name w:val="Heading 5 Char"/>
    <w:basedOn w:val="DefaultParagraphFont"/>
    <w:link w:val="Heading5"/>
    <w:rsid w:val="007631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6276">
      <w:bodyDiv w:val="1"/>
      <w:marLeft w:val="0"/>
      <w:marRight w:val="0"/>
      <w:marTop w:val="0"/>
      <w:marBottom w:val="0"/>
      <w:divBdr>
        <w:top w:val="none" w:sz="0" w:space="0" w:color="auto"/>
        <w:left w:val="none" w:sz="0" w:space="0" w:color="auto"/>
        <w:bottom w:val="none" w:sz="0" w:space="0" w:color="auto"/>
        <w:right w:val="none" w:sz="0" w:space="0" w:color="auto"/>
      </w:divBdr>
      <w:divsChild>
        <w:div w:id="33039513">
          <w:marLeft w:val="0"/>
          <w:marRight w:val="0"/>
          <w:marTop w:val="0"/>
          <w:marBottom w:val="0"/>
          <w:divBdr>
            <w:top w:val="none" w:sz="0" w:space="0" w:color="auto"/>
            <w:left w:val="none" w:sz="0" w:space="0" w:color="auto"/>
            <w:bottom w:val="none" w:sz="0" w:space="0" w:color="auto"/>
            <w:right w:val="none" w:sz="0" w:space="0" w:color="auto"/>
          </w:divBdr>
        </w:div>
        <w:div w:id="91974881">
          <w:marLeft w:val="0"/>
          <w:marRight w:val="0"/>
          <w:marTop w:val="0"/>
          <w:marBottom w:val="0"/>
          <w:divBdr>
            <w:top w:val="none" w:sz="0" w:space="0" w:color="auto"/>
            <w:left w:val="none" w:sz="0" w:space="0" w:color="auto"/>
            <w:bottom w:val="none" w:sz="0" w:space="0" w:color="auto"/>
            <w:right w:val="none" w:sz="0" w:space="0" w:color="auto"/>
          </w:divBdr>
        </w:div>
        <w:div w:id="191043560">
          <w:marLeft w:val="0"/>
          <w:marRight w:val="0"/>
          <w:marTop w:val="0"/>
          <w:marBottom w:val="0"/>
          <w:divBdr>
            <w:top w:val="none" w:sz="0" w:space="0" w:color="auto"/>
            <w:left w:val="none" w:sz="0" w:space="0" w:color="auto"/>
            <w:bottom w:val="none" w:sz="0" w:space="0" w:color="auto"/>
            <w:right w:val="none" w:sz="0" w:space="0" w:color="auto"/>
          </w:divBdr>
        </w:div>
        <w:div w:id="202450099">
          <w:marLeft w:val="0"/>
          <w:marRight w:val="0"/>
          <w:marTop w:val="0"/>
          <w:marBottom w:val="0"/>
          <w:divBdr>
            <w:top w:val="none" w:sz="0" w:space="0" w:color="auto"/>
            <w:left w:val="none" w:sz="0" w:space="0" w:color="auto"/>
            <w:bottom w:val="none" w:sz="0" w:space="0" w:color="auto"/>
            <w:right w:val="none" w:sz="0" w:space="0" w:color="auto"/>
          </w:divBdr>
        </w:div>
        <w:div w:id="379210309">
          <w:marLeft w:val="0"/>
          <w:marRight w:val="0"/>
          <w:marTop w:val="0"/>
          <w:marBottom w:val="0"/>
          <w:divBdr>
            <w:top w:val="none" w:sz="0" w:space="0" w:color="auto"/>
            <w:left w:val="none" w:sz="0" w:space="0" w:color="auto"/>
            <w:bottom w:val="none" w:sz="0" w:space="0" w:color="auto"/>
            <w:right w:val="none" w:sz="0" w:space="0" w:color="auto"/>
          </w:divBdr>
        </w:div>
        <w:div w:id="451636058">
          <w:marLeft w:val="0"/>
          <w:marRight w:val="0"/>
          <w:marTop w:val="0"/>
          <w:marBottom w:val="0"/>
          <w:divBdr>
            <w:top w:val="none" w:sz="0" w:space="0" w:color="auto"/>
            <w:left w:val="none" w:sz="0" w:space="0" w:color="auto"/>
            <w:bottom w:val="none" w:sz="0" w:space="0" w:color="auto"/>
            <w:right w:val="none" w:sz="0" w:space="0" w:color="auto"/>
          </w:divBdr>
        </w:div>
        <w:div w:id="598415676">
          <w:marLeft w:val="0"/>
          <w:marRight w:val="0"/>
          <w:marTop w:val="0"/>
          <w:marBottom w:val="0"/>
          <w:divBdr>
            <w:top w:val="none" w:sz="0" w:space="0" w:color="auto"/>
            <w:left w:val="none" w:sz="0" w:space="0" w:color="auto"/>
            <w:bottom w:val="none" w:sz="0" w:space="0" w:color="auto"/>
            <w:right w:val="none" w:sz="0" w:space="0" w:color="auto"/>
          </w:divBdr>
        </w:div>
        <w:div w:id="740369744">
          <w:marLeft w:val="0"/>
          <w:marRight w:val="0"/>
          <w:marTop w:val="0"/>
          <w:marBottom w:val="0"/>
          <w:divBdr>
            <w:top w:val="none" w:sz="0" w:space="0" w:color="auto"/>
            <w:left w:val="none" w:sz="0" w:space="0" w:color="auto"/>
            <w:bottom w:val="none" w:sz="0" w:space="0" w:color="auto"/>
            <w:right w:val="none" w:sz="0" w:space="0" w:color="auto"/>
          </w:divBdr>
        </w:div>
        <w:div w:id="855965781">
          <w:marLeft w:val="0"/>
          <w:marRight w:val="0"/>
          <w:marTop w:val="0"/>
          <w:marBottom w:val="0"/>
          <w:divBdr>
            <w:top w:val="none" w:sz="0" w:space="0" w:color="auto"/>
            <w:left w:val="none" w:sz="0" w:space="0" w:color="auto"/>
            <w:bottom w:val="none" w:sz="0" w:space="0" w:color="auto"/>
            <w:right w:val="none" w:sz="0" w:space="0" w:color="auto"/>
          </w:divBdr>
        </w:div>
        <w:div w:id="1029598761">
          <w:marLeft w:val="0"/>
          <w:marRight w:val="0"/>
          <w:marTop w:val="0"/>
          <w:marBottom w:val="0"/>
          <w:divBdr>
            <w:top w:val="none" w:sz="0" w:space="0" w:color="auto"/>
            <w:left w:val="none" w:sz="0" w:space="0" w:color="auto"/>
            <w:bottom w:val="none" w:sz="0" w:space="0" w:color="auto"/>
            <w:right w:val="none" w:sz="0" w:space="0" w:color="auto"/>
          </w:divBdr>
        </w:div>
        <w:div w:id="1205408612">
          <w:marLeft w:val="0"/>
          <w:marRight w:val="0"/>
          <w:marTop w:val="0"/>
          <w:marBottom w:val="0"/>
          <w:divBdr>
            <w:top w:val="none" w:sz="0" w:space="0" w:color="auto"/>
            <w:left w:val="none" w:sz="0" w:space="0" w:color="auto"/>
            <w:bottom w:val="none" w:sz="0" w:space="0" w:color="auto"/>
            <w:right w:val="none" w:sz="0" w:space="0" w:color="auto"/>
          </w:divBdr>
        </w:div>
        <w:div w:id="1391610872">
          <w:marLeft w:val="0"/>
          <w:marRight w:val="0"/>
          <w:marTop w:val="0"/>
          <w:marBottom w:val="0"/>
          <w:divBdr>
            <w:top w:val="none" w:sz="0" w:space="0" w:color="auto"/>
            <w:left w:val="none" w:sz="0" w:space="0" w:color="auto"/>
            <w:bottom w:val="none" w:sz="0" w:space="0" w:color="auto"/>
            <w:right w:val="none" w:sz="0" w:space="0" w:color="auto"/>
          </w:divBdr>
        </w:div>
        <w:div w:id="1457136883">
          <w:marLeft w:val="0"/>
          <w:marRight w:val="0"/>
          <w:marTop w:val="0"/>
          <w:marBottom w:val="0"/>
          <w:divBdr>
            <w:top w:val="none" w:sz="0" w:space="0" w:color="auto"/>
            <w:left w:val="none" w:sz="0" w:space="0" w:color="auto"/>
            <w:bottom w:val="none" w:sz="0" w:space="0" w:color="auto"/>
            <w:right w:val="none" w:sz="0" w:space="0" w:color="auto"/>
          </w:divBdr>
        </w:div>
        <w:div w:id="1642078197">
          <w:marLeft w:val="0"/>
          <w:marRight w:val="0"/>
          <w:marTop w:val="0"/>
          <w:marBottom w:val="0"/>
          <w:divBdr>
            <w:top w:val="none" w:sz="0" w:space="0" w:color="auto"/>
            <w:left w:val="none" w:sz="0" w:space="0" w:color="auto"/>
            <w:bottom w:val="none" w:sz="0" w:space="0" w:color="auto"/>
            <w:right w:val="none" w:sz="0" w:space="0" w:color="auto"/>
          </w:divBdr>
        </w:div>
        <w:div w:id="1648320938">
          <w:marLeft w:val="0"/>
          <w:marRight w:val="0"/>
          <w:marTop w:val="0"/>
          <w:marBottom w:val="0"/>
          <w:divBdr>
            <w:top w:val="none" w:sz="0" w:space="0" w:color="auto"/>
            <w:left w:val="none" w:sz="0" w:space="0" w:color="auto"/>
            <w:bottom w:val="none" w:sz="0" w:space="0" w:color="auto"/>
            <w:right w:val="none" w:sz="0" w:space="0" w:color="auto"/>
          </w:divBdr>
        </w:div>
        <w:div w:id="1916626953">
          <w:marLeft w:val="0"/>
          <w:marRight w:val="0"/>
          <w:marTop w:val="0"/>
          <w:marBottom w:val="0"/>
          <w:divBdr>
            <w:top w:val="none" w:sz="0" w:space="0" w:color="auto"/>
            <w:left w:val="none" w:sz="0" w:space="0" w:color="auto"/>
            <w:bottom w:val="none" w:sz="0" w:space="0" w:color="auto"/>
            <w:right w:val="none" w:sz="0" w:space="0" w:color="auto"/>
          </w:divBdr>
        </w:div>
      </w:divsChild>
    </w:div>
    <w:div w:id="231236988">
      <w:bodyDiv w:val="1"/>
      <w:marLeft w:val="0"/>
      <w:marRight w:val="0"/>
      <w:marTop w:val="0"/>
      <w:marBottom w:val="0"/>
      <w:divBdr>
        <w:top w:val="none" w:sz="0" w:space="0" w:color="auto"/>
        <w:left w:val="none" w:sz="0" w:space="0" w:color="auto"/>
        <w:bottom w:val="none" w:sz="0" w:space="0" w:color="auto"/>
        <w:right w:val="none" w:sz="0" w:space="0" w:color="auto"/>
      </w:divBdr>
    </w:div>
    <w:div w:id="453525171">
      <w:bodyDiv w:val="1"/>
      <w:marLeft w:val="0"/>
      <w:marRight w:val="0"/>
      <w:marTop w:val="0"/>
      <w:marBottom w:val="0"/>
      <w:divBdr>
        <w:top w:val="none" w:sz="0" w:space="0" w:color="auto"/>
        <w:left w:val="none" w:sz="0" w:space="0" w:color="auto"/>
        <w:bottom w:val="none" w:sz="0" w:space="0" w:color="auto"/>
        <w:right w:val="none" w:sz="0" w:space="0" w:color="auto"/>
      </w:divBdr>
    </w:div>
    <w:div w:id="557320065">
      <w:bodyDiv w:val="1"/>
      <w:marLeft w:val="0"/>
      <w:marRight w:val="0"/>
      <w:marTop w:val="0"/>
      <w:marBottom w:val="0"/>
      <w:divBdr>
        <w:top w:val="none" w:sz="0" w:space="0" w:color="auto"/>
        <w:left w:val="none" w:sz="0" w:space="0" w:color="auto"/>
        <w:bottom w:val="none" w:sz="0" w:space="0" w:color="auto"/>
        <w:right w:val="none" w:sz="0" w:space="0" w:color="auto"/>
      </w:divBdr>
      <w:divsChild>
        <w:div w:id="721517254">
          <w:marLeft w:val="0"/>
          <w:marRight w:val="0"/>
          <w:marTop w:val="0"/>
          <w:marBottom w:val="0"/>
          <w:divBdr>
            <w:top w:val="none" w:sz="0" w:space="0" w:color="auto"/>
            <w:left w:val="none" w:sz="0" w:space="0" w:color="auto"/>
            <w:bottom w:val="none" w:sz="0" w:space="0" w:color="auto"/>
            <w:right w:val="none" w:sz="0" w:space="0" w:color="auto"/>
          </w:divBdr>
        </w:div>
        <w:div w:id="796265302">
          <w:marLeft w:val="0"/>
          <w:marRight w:val="0"/>
          <w:marTop w:val="0"/>
          <w:marBottom w:val="0"/>
          <w:divBdr>
            <w:top w:val="none" w:sz="0" w:space="0" w:color="auto"/>
            <w:left w:val="none" w:sz="0" w:space="0" w:color="auto"/>
            <w:bottom w:val="none" w:sz="0" w:space="0" w:color="auto"/>
            <w:right w:val="none" w:sz="0" w:space="0" w:color="auto"/>
          </w:divBdr>
        </w:div>
        <w:div w:id="1247350530">
          <w:marLeft w:val="0"/>
          <w:marRight w:val="0"/>
          <w:marTop w:val="0"/>
          <w:marBottom w:val="0"/>
          <w:divBdr>
            <w:top w:val="none" w:sz="0" w:space="0" w:color="auto"/>
            <w:left w:val="none" w:sz="0" w:space="0" w:color="auto"/>
            <w:bottom w:val="none" w:sz="0" w:space="0" w:color="auto"/>
            <w:right w:val="none" w:sz="0" w:space="0" w:color="auto"/>
          </w:divBdr>
        </w:div>
        <w:div w:id="1471897290">
          <w:marLeft w:val="0"/>
          <w:marRight w:val="0"/>
          <w:marTop w:val="0"/>
          <w:marBottom w:val="0"/>
          <w:divBdr>
            <w:top w:val="none" w:sz="0" w:space="0" w:color="auto"/>
            <w:left w:val="none" w:sz="0" w:space="0" w:color="auto"/>
            <w:bottom w:val="none" w:sz="0" w:space="0" w:color="auto"/>
            <w:right w:val="none" w:sz="0" w:space="0" w:color="auto"/>
          </w:divBdr>
        </w:div>
        <w:div w:id="1568998362">
          <w:marLeft w:val="0"/>
          <w:marRight w:val="0"/>
          <w:marTop w:val="0"/>
          <w:marBottom w:val="0"/>
          <w:divBdr>
            <w:top w:val="none" w:sz="0" w:space="0" w:color="auto"/>
            <w:left w:val="none" w:sz="0" w:space="0" w:color="auto"/>
            <w:bottom w:val="none" w:sz="0" w:space="0" w:color="auto"/>
            <w:right w:val="none" w:sz="0" w:space="0" w:color="auto"/>
          </w:divBdr>
        </w:div>
      </w:divsChild>
    </w:div>
    <w:div w:id="879512512">
      <w:bodyDiv w:val="1"/>
      <w:marLeft w:val="0"/>
      <w:marRight w:val="0"/>
      <w:marTop w:val="0"/>
      <w:marBottom w:val="0"/>
      <w:divBdr>
        <w:top w:val="none" w:sz="0" w:space="0" w:color="auto"/>
        <w:left w:val="none" w:sz="0" w:space="0" w:color="auto"/>
        <w:bottom w:val="none" w:sz="0" w:space="0" w:color="auto"/>
        <w:right w:val="none" w:sz="0" w:space="0" w:color="auto"/>
      </w:divBdr>
    </w:div>
    <w:div w:id="1101603041">
      <w:bodyDiv w:val="1"/>
      <w:marLeft w:val="0"/>
      <w:marRight w:val="0"/>
      <w:marTop w:val="0"/>
      <w:marBottom w:val="0"/>
      <w:divBdr>
        <w:top w:val="none" w:sz="0" w:space="0" w:color="auto"/>
        <w:left w:val="none" w:sz="0" w:space="0" w:color="auto"/>
        <w:bottom w:val="none" w:sz="0" w:space="0" w:color="auto"/>
        <w:right w:val="none" w:sz="0" w:space="0" w:color="auto"/>
      </w:divBdr>
    </w:div>
    <w:div w:id="1191993377">
      <w:bodyDiv w:val="1"/>
      <w:marLeft w:val="0"/>
      <w:marRight w:val="0"/>
      <w:marTop w:val="0"/>
      <w:marBottom w:val="0"/>
      <w:divBdr>
        <w:top w:val="none" w:sz="0" w:space="0" w:color="auto"/>
        <w:left w:val="none" w:sz="0" w:space="0" w:color="auto"/>
        <w:bottom w:val="none" w:sz="0" w:space="0" w:color="auto"/>
        <w:right w:val="none" w:sz="0" w:space="0" w:color="auto"/>
      </w:divBdr>
    </w:div>
    <w:div w:id="1341077892">
      <w:bodyDiv w:val="1"/>
      <w:marLeft w:val="0"/>
      <w:marRight w:val="0"/>
      <w:marTop w:val="0"/>
      <w:marBottom w:val="0"/>
      <w:divBdr>
        <w:top w:val="none" w:sz="0" w:space="0" w:color="auto"/>
        <w:left w:val="none" w:sz="0" w:space="0" w:color="auto"/>
        <w:bottom w:val="none" w:sz="0" w:space="0" w:color="auto"/>
        <w:right w:val="none" w:sz="0" w:space="0" w:color="auto"/>
      </w:divBdr>
    </w:div>
    <w:div w:id="1430663212">
      <w:bodyDiv w:val="1"/>
      <w:marLeft w:val="0"/>
      <w:marRight w:val="0"/>
      <w:marTop w:val="0"/>
      <w:marBottom w:val="0"/>
      <w:divBdr>
        <w:top w:val="none" w:sz="0" w:space="0" w:color="auto"/>
        <w:left w:val="none" w:sz="0" w:space="0" w:color="auto"/>
        <w:bottom w:val="none" w:sz="0" w:space="0" w:color="auto"/>
        <w:right w:val="none" w:sz="0" w:space="0" w:color="auto"/>
      </w:divBdr>
      <w:divsChild>
        <w:div w:id="604121573">
          <w:marLeft w:val="0"/>
          <w:marRight w:val="0"/>
          <w:marTop w:val="0"/>
          <w:marBottom w:val="0"/>
          <w:divBdr>
            <w:top w:val="none" w:sz="0" w:space="0" w:color="auto"/>
            <w:left w:val="none" w:sz="0" w:space="0" w:color="auto"/>
            <w:bottom w:val="none" w:sz="0" w:space="0" w:color="auto"/>
            <w:right w:val="none" w:sz="0" w:space="0" w:color="auto"/>
          </w:divBdr>
        </w:div>
        <w:div w:id="789326360">
          <w:marLeft w:val="0"/>
          <w:marRight w:val="0"/>
          <w:marTop w:val="0"/>
          <w:marBottom w:val="0"/>
          <w:divBdr>
            <w:top w:val="none" w:sz="0" w:space="0" w:color="auto"/>
            <w:left w:val="none" w:sz="0" w:space="0" w:color="auto"/>
            <w:bottom w:val="none" w:sz="0" w:space="0" w:color="auto"/>
            <w:right w:val="none" w:sz="0" w:space="0" w:color="auto"/>
          </w:divBdr>
        </w:div>
        <w:div w:id="1229926415">
          <w:marLeft w:val="0"/>
          <w:marRight w:val="0"/>
          <w:marTop w:val="0"/>
          <w:marBottom w:val="0"/>
          <w:divBdr>
            <w:top w:val="none" w:sz="0" w:space="0" w:color="auto"/>
            <w:left w:val="none" w:sz="0" w:space="0" w:color="auto"/>
            <w:bottom w:val="none" w:sz="0" w:space="0" w:color="auto"/>
            <w:right w:val="none" w:sz="0" w:space="0" w:color="auto"/>
          </w:divBdr>
        </w:div>
        <w:div w:id="2048332285">
          <w:marLeft w:val="0"/>
          <w:marRight w:val="0"/>
          <w:marTop w:val="0"/>
          <w:marBottom w:val="0"/>
          <w:divBdr>
            <w:top w:val="none" w:sz="0" w:space="0" w:color="auto"/>
            <w:left w:val="none" w:sz="0" w:space="0" w:color="auto"/>
            <w:bottom w:val="none" w:sz="0" w:space="0" w:color="auto"/>
            <w:right w:val="none" w:sz="0" w:space="0" w:color="auto"/>
          </w:divBdr>
        </w:div>
      </w:divsChild>
    </w:div>
    <w:div w:id="15866468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600">
          <w:marLeft w:val="0"/>
          <w:marRight w:val="150"/>
          <w:marTop w:val="0"/>
          <w:marBottom w:val="0"/>
          <w:divBdr>
            <w:top w:val="none" w:sz="0" w:space="0" w:color="auto"/>
            <w:left w:val="none" w:sz="0" w:space="0" w:color="auto"/>
            <w:bottom w:val="none" w:sz="0" w:space="0" w:color="auto"/>
            <w:right w:val="none" w:sz="0" w:space="0" w:color="auto"/>
          </w:divBdr>
        </w:div>
      </w:divsChild>
    </w:div>
    <w:div w:id="1860775058">
      <w:bodyDiv w:val="1"/>
      <w:marLeft w:val="0"/>
      <w:marRight w:val="0"/>
      <w:marTop w:val="0"/>
      <w:marBottom w:val="0"/>
      <w:divBdr>
        <w:top w:val="none" w:sz="0" w:space="0" w:color="auto"/>
        <w:left w:val="none" w:sz="0" w:space="0" w:color="auto"/>
        <w:bottom w:val="none" w:sz="0" w:space="0" w:color="auto"/>
        <w:right w:val="none" w:sz="0" w:space="0" w:color="auto"/>
      </w:divBdr>
      <w:divsChild>
        <w:div w:id="9374288">
          <w:marLeft w:val="0"/>
          <w:marRight w:val="0"/>
          <w:marTop w:val="0"/>
          <w:marBottom w:val="0"/>
          <w:divBdr>
            <w:top w:val="none" w:sz="0" w:space="0" w:color="auto"/>
            <w:left w:val="none" w:sz="0" w:space="0" w:color="auto"/>
            <w:bottom w:val="none" w:sz="0" w:space="0" w:color="auto"/>
            <w:right w:val="none" w:sz="0" w:space="0" w:color="auto"/>
          </w:divBdr>
        </w:div>
        <w:div w:id="257639032">
          <w:marLeft w:val="0"/>
          <w:marRight w:val="0"/>
          <w:marTop w:val="0"/>
          <w:marBottom w:val="0"/>
          <w:divBdr>
            <w:top w:val="none" w:sz="0" w:space="0" w:color="auto"/>
            <w:left w:val="none" w:sz="0" w:space="0" w:color="auto"/>
            <w:bottom w:val="none" w:sz="0" w:space="0" w:color="auto"/>
            <w:right w:val="none" w:sz="0" w:space="0" w:color="auto"/>
          </w:divBdr>
        </w:div>
        <w:div w:id="316302658">
          <w:marLeft w:val="0"/>
          <w:marRight w:val="0"/>
          <w:marTop w:val="0"/>
          <w:marBottom w:val="0"/>
          <w:divBdr>
            <w:top w:val="none" w:sz="0" w:space="0" w:color="auto"/>
            <w:left w:val="none" w:sz="0" w:space="0" w:color="auto"/>
            <w:bottom w:val="none" w:sz="0" w:space="0" w:color="auto"/>
            <w:right w:val="none" w:sz="0" w:space="0" w:color="auto"/>
          </w:divBdr>
        </w:div>
        <w:div w:id="322663842">
          <w:marLeft w:val="0"/>
          <w:marRight w:val="0"/>
          <w:marTop w:val="0"/>
          <w:marBottom w:val="0"/>
          <w:divBdr>
            <w:top w:val="none" w:sz="0" w:space="0" w:color="auto"/>
            <w:left w:val="none" w:sz="0" w:space="0" w:color="auto"/>
            <w:bottom w:val="none" w:sz="0" w:space="0" w:color="auto"/>
            <w:right w:val="none" w:sz="0" w:space="0" w:color="auto"/>
          </w:divBdr>
        </w:div>
        <w:div w:id="542789102">
          <w:marLeft w:val="0"/>
          <w:marRight w:val="0"/>
          <w:marTop w:val="0"/>
          <w:marBottom w:val="0"/>
          <w:divBdr>
            <w:top w:val="none" w:sz="0" w:space="0" w:color="auto"/>
            <w:left w:val="none" w:sz="0" w:space="0" w:color="auto"/>
            <w:bottom w:val="none" w:sz="0" w:space="0" w:color="auto"/>
            <w:right w:val="none" w:sz="0" w:space="0" w:color="auto"/>
          </w:divBdr>
        </w:div>
        <w:div w:id="555433494">
          <w:marLeft w:val="0"/>
          <w:marRight w:val="0"/>
          <w:marTop w:val="0"/>
          <w:marBottom w:val="0"/>
          <w:divBdr>
            <w:top w:val="none" w:sz="0" w:space="0" w:color="auto"/>
            <w:left w:val="none" w:sz="0" w:space="0" w:color="auto"/>
            <w:bottom w:val="none" w:sz="0" w:space="0" w:color="auto"/>
            <w:right w:val="none" w:sz="0" w:space="0" w:color="auto"/>
          </w:divBdr>
        </w:div>
        <w:div w:id="570775228">
          <w:marLeft w:val="0"/>
          <w:marRight w:val="0"/>
          <w:marTop w:val="0"/>
          <w:marBottom w:val="0"/>
          <w:divBdr>
            <w:top w:val="none" w:sz="0" w:space="0" w:color="auto"/>
            <w:left w:val="none" w:sz="0" w:space="0" w:color="auto"/>
            <w:bottom w:val="none" w:sz="0" w:space="0" w:color="auto"/>
            <w:right w:val="none" w:sz="0" w:space="0" w:color="auto"/>
          </w:divBdr>
        </w:div>
        <w:div w:id="711616943">
          <w:marLeft w:val="0"/>
          <w:marRight w:val="0"/>
          <w:marTop w:val="0"/>
          <w:marBottom w:val="0"/>
          <w:divBdr>
            <w:top w:val="none" w:sz="0" w:space="0" w:color="auto"/>
            <w:left w:val="none" w:sz="0" w:space="0" w:color="auto"/>
            <w:bottom w:val="none" w:sz="0" w:space="0" w:color="auto"/>
            <w:right w:val="none" w:sz="0" w:space="0" w:color="auto"/>
          </w:divBdr>
        </w:div>
        <w:div w:id="819150996">
          <w:marLeft w:val="0"/>
          <w:marRight w:val="0"/>
          <w:marTop w:val="0"/>
          <w:marBottom w:val="0"/>
          <w:divBdr>
            <w:top w:val="none" w:sz="0" w:space="0" w:color="auto"/>
            <w:left w:val="none" w:sz="0" w:space="0" w:color="auto"/>
            <w:bottom w:val="none" w:sz="0" w:space="0" w:color="auto"/>
            <w:right w:val="none" w:sz="0" w:space="0" w:color="auto"/>
          </w:divBdr>
        </w:div>
        <w:div w:id="922183908">
          <w:marLeft w:val="0"/>
          <w:marRight w:val="0"/>
          <w:marTop w:val="0"/>
          <w:marBottom w:val="0"/>
          <w:divBdr>
            <w:top w:val="none" w:sz="0" w:space="0" w:color="auto"/>
            <w:left w:val="none" w:sz="0" w:space="0" w:color="auto"/>
            <w:bottom w:val="none" w:sz="0" w:space="0" w:color="auto"/>
            <w:right w:val="none" w:sz="0" w:space="0" w:color="auto"/>
          </w:divBdr>
        </w:div>
        <w:div w:id="1001077877">
          <w:marLeft w:val="0"/>
          <w:marRight w:val="0"/>
          <w:marTop w:val="0"/>
          <w:marBottom w:val="0"/>
          <w:divBdr>
            <w:top w:val="none" w:sz="0" w:space="0" w:color="auto"/>
            <w:left w:val="none" w:sz="0" w:space="0" w:color="auto"/>
            <w:bottom w:val="none" w:sz="0" w:space="0" w:color="auto"/>
            <w:right w:val="none" w:sz="0" w:space="0" w:color="auto"/>
          </w:divBdr>
        </w:div>
        <w:div w:id="1064448456">
          <w:marLeft w:val="0"/>
          <w:marRight w:val="0"/>
          <w:marTop w:val="0"/>
          <w:marBottom w:val="0"/>
          <w:divBdr>
            <w:top w:val="none" w:sz="0" w:space="0" w:color="auto"/>
            <w:left w:val="none" w:sz="0" w:space="0" w:color="auto"/>
            <w:bottom w:val="none" w:sz="0" w:space="0" w:color="auto"/>
            <w:right w:val="none" w:sz="0" w:space="0" w:color="auto"/>
          </w:divBdr>
        </w:div>
        <w:div w:id="1689217668">
          <w:marLeft w:val="0"/>
          <w:marRight w:val="0"/>
          <w:marTop w:val="0"/>
          <w:marBottom w:val="0"/>
          <w:divBdr>
            <w:top w:val="none" w:sz="0" w:space="0" w:color="auto"/>
            <w:left w:val="none" w:sz="0" w:space="0" w:color="auto"/>
            <w:bottom w:val="none" w:sz="0" w:space="0" w:color="auto"/>
            <w:right w:val="none" w:sz="0" w:space="0" w:color="auto"/>
          </w:divBdr>
        </w:div>
        <w:div w:id="1883402895">
          <w:marLeft w:val="0"/>
          <w:marRight w:val="0"/>
          <w:marTop w:val="0"/>
          <w:marBottom w:val="0"/>
          <w:divBdr>
            <w:top w:val="none" w:sz="0" w:space="0" w:color="auto"/>
            <w:left w:val="none" w:sz="0" w:space="0" w:color="auto"/>
            <w:bottom w:val="none" w:sz="0" w:space="0" w:color="auto"/>
            <w:right w:val="none" w:sz="0" w:space="0" w:color="auto"/>
          </w:divBdr>
        </w:div>
        <w:div w:id="1922520635">
          <w:marLeft w:val="0"/>
          <w:marRight w:val="0"/>
          <w:marTop w:val="0"/>
          <w:marBottom w:val="0"/>
          <w:divBdr>
            <w:top w:val="none" w:sz="0" w:space="0" w:color="auto"/>
            <w:left w:val="none" w:sz="0" w:space="0" w:color="auto"/>
            <w:bottom w:val="none" w:sz="0" w:space="0" w:color="auto"/>
            <w:right w:val="none" w:sz="0" w:space="0" w:color="auto"/>
          </w:divBdr>
        </w:div>
        <w:div w:id="198535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egionalforum.unece.org/events/regional-forum-20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unece.org/practical-information-delegate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events/event/364361"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who.int/europe/news-room/events/item/2023/07/05/default-calendar/seventh-ministerial-conference-on-environment-and-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nvoisin\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6653-982A-4CB6-B39B-75E341D1E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12935-7C06-442F-BEE6-5AD7457E92CC}">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7967AF0B-B282-4F95-9B07-F61B4D252DCA}">
  <ds:schemaRefs>
    <ds:schemaRef ds:uri="http://schemas.microsoft.com/sharepoint/v3/contenttype/forms"/>
  </ds:schemaRefs>
</ds:datastoreItem>
</file>

<file path=customXml/itemProps4.xml><?xml version="1.0" encoding="utf-8"?>
<ds:datastoreItem xmlns:ds="http://schemas.openxmlformats.org/officeDocument/2006/customXml" ds:itemID="{38535735-0E0A-4034-87CB-8A5E265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6</TotalTime>
  <Pages>11</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20720</CharactersWithSpaces>
  <SharedDoc>false</SharedDoc>
  <HLinks>
    <vt:vector size="48" baseType="variant">
      <vt:variant>
        <vt:i4>4849748</vt:i4>
      </vt:variant>
      <vt:variant>
        <vt:i4>21</vt:i4>
      </vt:variant>
      <vt:variant>
        <vt:i4>0</vt:i4>
      </vt:variant>
      <vt:variant>
        <vt:i4>5</vt:i4>
      </vt:variant>
      <vt:variant>
        <vt:lpwstr>https://unece.org/unece-and-sdgs/working-group-transforming-extractive-industries-sustainable-development</vt:lpwstr>
      </vt:variant>
      <vt:variant>
        <vt:lpwstr/>
      </vt:variant>
      <vt:variant>
        <vt:i4>6094924</vt:i4>
      </vt:variant>
      <vt:variant>
        <vt:i4>18</vt:i4>
      </vt:variant>
      <vt:variant>
        <vt:i4>0</vt:i4>
      </vt:variant>
      <vt:variant>
        <vt:i4>5</vt:i4>
      </vt:variant>
      <vt:variant>
        <vt:lpwstr>https://unece.org/nicosia-conference</vt:lpwstr>
      </vt:variant>
      <vt:variant>
        <vt:lpwstr/>
      </vt:variant>
      <vt:variant>
        <vt:i4>5570655</vt:i4>
      </vt:variant>
      <vt:variant>
        <vt:i4>15</vt:i4>
      </vt:variant>
      <vt:variant>
        <vt:i4>0</vt:i4>
      </vt:variant>
      <vt:variant>
        <vt:i4>5</vt:i4>
      </vt:variant>
      <vt:variant>
        <vt:lpwstr>https://regionalforum.unece.org/</vt:lpwstr>
      </vt:variant>
      <vt:variant>
        <vt:lpwstr/>
      </vt:variant>
      <vt:variant>
        <vt:i4>5570655</vt:i4>
      </vt:variant>
      <vt:variant>
        <vt:i4>12</vt:i4>
      </vt:variant>
      <vt:variant>
        <vt:i4>0</vt:i4>
      </vt:variant>
      <vt:variant>
        <vt:i4>5</vt:i4>
      </vt:variant>
      <vt:variant>
        <vt:lpwstr>https://regionalforum.unece.org/</vt:lpwstr>
      </vt:variant>
      <vt:variant>
        <vt:lpwstr/>
      </vt:variant>
      <vt:variant>
        <vt:i4>77</vt:i4>
      </vt:variant>
      <vt:variant>
        <vt:i4>9</vt:i4>
      </vt:variant>
      <vt:variant>
        <vt:i4>0</vt:i4>
      </vt:variant>
      <vt:variant>
        <vt:i4>5</vt:i4>
      </vt:variant>
      <vt:variant>
        <vt:lpwstr>https://unece.org/info/Environmental-Policy/Environmental-Impact-Assessment/events/367411</vt:lpwstr>
      </vt:variant>
      <vt:variant>
        <vt:lpwstr/>
      </vt:variant>
      <vt:variant>
        <vt:i4>589888</vt:i4>
      </vt:variant>
      <vt:variant>
        <vt:i4>6</vt:i4>
      </vt:variant>
      <vt:variant>
        <vt:i4>0</vt:i4>
      </vt:variant>
      <vt:variant>
        <vt:i4>5</vt:i4>
      </vt:variant>
      <vt:variant>
        <vt:lpwstr>https://unece.org/info/Environmental-Policy/Environmental-Impact-Assessment/events/368973</vt:lpwstr>
      </vt:variant>
      <vt:variant>
        <vt:lpwstr/>
      </vt:variant>
      <vt:variant>
        <vt:i4>327767</vt:i4>
      </vt:variant>
      <vt:variant>
        <vt:i4>3</vt:i4>
      </vt:variant>
      <vt:variant>
        <vt:i4>0</vt:i4>
      </vt:variant>
      <vt:variant>
        <vt:i4>5</vt:i4>
      </vt:variant>
      <vt:variant>
        <vt:lpwstr>https://unece.org/practical-information-delegates</vt:lpwstr>
      </vt:variant>
      <vt:variant>
        <vt:lpwstr/>
      </vt:variant>
      <vt:variant>
        <vt:i4>1572872</vt:i4>
      </vt:variant>
      <vt:variant>
        <vt:i4>0</vt:i4>
      </vt:variant>
      <vt:variant>
        <vt:i4>0</vt:i4>
      </vt:variant>
      <vt:variant>
        <vt:i4>5</vt:i4>
      </vt:variant>
      <vt:variant>
        <vt:lpwstr>https://unece.org/environmental-policy/events/working-group-eia-and-sea-espoo-convention-11th-meeting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10</cp:revision>
  <cp:lastPrinted>2023-05-10T16:07:00Z</cp:lastPrinted>
  <dcterms:created xsi:type="dcterms:W3CDTF">2023-05-11T07:56:00Z</dcterms:created>
  <dcterms:modified xsi:type="dcterms:W3CDTF">2023-05-11T08:03:00Z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0x010100B302F79B5BE87D40B73359BB004DC9B5</vt:lpwstr>
  </property>
  <property fmtid="{D5CDD505-2E9C-101B-9397-08002B2CF9AE}" pid="4" name="GrammarlyDocumentId">
    <vt:lpwstr>117ca80dca3c3c31cdba6c3ed6169ab225f57eeee19e6991404772f7a4b49036</vt:lpwstr>
  </property>
</Properties>
</file>