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F7D7E36" w14:textId="77777777" w:rsidTr="00C97039">
        <w:trPr>
          <w:trHeight w:hRule="exact" w:val="851"/>
        </w:trPr>
        <w:tc>
          <w:tcPr>
            <w:tcW w:w="1276" w:type="dxa"/>
            <w:tcBorders>
              <w:bottom w:val="single" w:sz="4" w:space="0" w:color="auto"/>
            </w:tcBorders>
          </w:tcPr>
          <w:p w14:paraId="563746AB" w14:textId="77777777" w:rsidR="00F35BAF" w:rsidRPr="00DB58B5" w:rsidRDefault="00F35BAF" w:rsidP="008E5AA2"/>
        </w:tc>
        <w:tc>
          <w:tcPr>
            <w:tcW w:w="2268" w:type="dxa"/>
            <w:tcBorders>
              <w:bottom w:val="single" w:sz="4" w:space="0" w:color="auto"/>
            </w:tcBorders>
            <w:vAlign w:val="bottom"/>
          </w:tcPr>
          <w:p w14:paraId="219EEB4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B41459" w14:textId="665DC15E" w:rsidR="00F35BAF" w:rsidRPr="00DB58B5" w:rsidRDefault="008E5AA2" w:rsidP="008E5AA2">
            <w:pPr>
              <w:jc w:val="right"/>
            </w:pPr>
            <w:r w:rsidRPr="008E5AA2">
              <w:rPr>
                <w:sz w:val="40"/>
              </w:rPr>
              <w:t>ECE</w:t>
            </w:r>
            <w:r>
              <w:t>/TRANS/WP.29/GRSG/2023/10</w:t>
            </w:r>
          </w:p>
        </w:tc>
      </w:tr>
      <w:tr w:rsidR="00F35BAF" w:rsidRPr="00DB58B5" w14:paraId="433175F0" w14:textId="77777777" w:rsidTr="00C97039">
        <w:trPr>
          <w:trHeight w:hRule="exact" w:val="2835"/>
        </w:trPr>
        <w:tc>
          <w:tcPr>
            <w:tcW w:w="1276" w:type="dxa"/>
            <w:tcBorders>
              <w:top w:val="single" w:sz="4" w:space="0" w:color="auto"/>
              <w:bottom w:val="single" w:sz="12" w:space="0" w:color="auto"/>
            </w:tcBorders>
          </w:tcPr>
          <w:p w14:paraId="6C5FBC53" w14:textId="77777777" w:rsidR="00F35BAF" w:rsidRPr="00DB58B5" w:rsidRDefault="00F35BAF" w:rsidP="00C97039">
            <w:pPr>
              <w:spacing w:before="120"/>
              <w:jc w:val="center"/>
            </w:pPr>
            <w:r>
              <w:rPr>
                <w:noProof/>
                <w:lang w:eastAsia="fr-CH"/>
              </w:rPr>
              <w:drawing>
                <wp:inline distT="0" distB="0" distL="0" distR="0" wp14:anchorId="16487FEA" wp14:editId="765FF6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C8AC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47A332D" w14:textId="77777777" w:rsidR="00F35BAF" w:rsidRDefault="008E5AA2" w:rsidP="00C97039">
            <w:pPr>
              <w:spacing w:before="240"/>
            </w:pPr>
            <w:proofErr w:type="spellStart"/>
            <w:r>
              <w:t>Distr</w:t>
            </w:r>
            <w:proofErr w:type="spellEnd"/>
            <w:r>
              <w:t>. générale</w:t>
            </w:r>
          </w:p>
          <w:p w14:paraId="67CA6059" w14:textId="77777777" w:rsidR="008E5AA2" w:rsidRDefault="008E5AA2" w:rsidP="008E5AA2">
            <w:pPr>
              <w:spacing w:line="240" w:lineRule="exact"/>
            </w:pPr>
            <w:r>
              <w:t>10 janvier 2023</w:t>
            </w:r>
          </w:p>
          <w:p w14:paraId="5C2470EC" w14:textId="77777777" w:rsidR="008E5AA2" w:rsidRDefault="008E5AA2" w:rsidP="008E5AA2">
            <w:pPr>
              <w:spacing w:line="240" w:lineRule="exact"/>
            </w:pPr>
            <w:r>
              <w:t>Français</w:t>
            </w:r>
          </w:p>
          <w:p w14:paraId="4098DBB5" w14:textId="76C2FA0A" w:rsidR="008E5AA2" w:rsidRPr="00DB58B5" w:rsidRDefault="008E5AA2" w:rsidP="008E5AA2">
            <w:pPr>
              <w:spacing w:line="240" w:lineRule="exact"/>
            </w:pPr>
            <w:r>
              <w:t>Original : anglais</w:t>
            </w:r>
          </w:p>
        </w:tc>
      </w:tr>
    </w:tbl>
    <w:p w14:paraId="5B864117" w14:textId="77777777" w:rsidR="007F20FA" w:rsidRPr="000312C0" w:rsidRDefault="007F20FA" w:rsidP="007F20FA">
      <w:pPr>
        <w:spacing w:before="120"/>
        <w:rPr>
          <w:b/>
          <w:sz w:val="28"/>
          <w:szCs w:val="28"/>
        </w:rPr>
      </w:pPr>
      <w:r w:rsidRPr="000312C0">
        <w:rPr>
          <w:b/>
          <w:sz w:val="28"/>
          <w:szCs w:val="28"/>
        </w:rPr>
        <w:t>Commission économique pour l’Europe</w:t>
      </w:r>
    </w:p>
    <w:p w14:paraId="487C0571" w14:textId="77777777" w:rsidR="007F20FA" w:rsidRDefault="007F20FA" w:rsidP="007F20FA">
      <w:pPr>
        <w:spacing w:before="120"/>
        <w:rPr>
          <w:sz w:val="28"/>
          <w:szCs w:val="28"/>
        </w:rPr>
      </w:pPr>
      <w:r w:rsidRPr="00685843">
        <w:rPr>
          <w:sz w:val="28"/>
          <w:szCs w:val="28"/>
        </w:rPr>
        <w:t>Comité des transports intérieurs</w:t>
      </w:r>
    </w:p>
    <w:p w14:paraId="1E00C915" w14:textId="12074B0E" w:rsidR="00917E76" w:rsidRPr="00D317C3" w:rsidRDefault="00917E76" w:rsidP="00917E76">
      <w:pPr>
        <w:spacing w:before="120"/>
        <w:rPr>
          <w:b/>
          <w:sz w:val="32"/>
          <w:szCs w:val="32"/>
          <w:lang w:val="fr-FR"/>
        </w:rPr>
      </w:pPr>
      <w:r w:rsidRPr="00D317C3">
        <w:rPr>
          <w:b/>
          <w:bCs/>
          <w:sz w:val="24"/>
          <w:szCs w:val="24"/>
          <w:lang w:val="fr-FR"/>
        </w:rPr>
        <w:t>Forum mondial de l</w:t>
      </w:r>
      <w:r>
        <w:rPr>
          <w:b/>
          <w:bCs/>
          <w:sz w:val="24"/>
          <w:szCs w:val="24"/>
          <w:lang w:val="fr-FR"/>
        </w:rPr>
        <w:t>’</w:t>
      </w:r>
      <w:r w:rsidRPr="00D317C3">
        <w:rPr>
          <w:b/>
          <w:bCs/>
          <w:sz w:val="24"/>
          <w:szCs w:val="24"/>
          <w:lang w:val="fr-FR"/>
        </w:rPr>
        <w:t xml:space="preserve">harmonisation des Règlements </w:t>
      </w:r>
      <w:r w:rsidR="000F0507">
        <w:rPr>
          <w:b/>
          <w:bCs/>
          <w:sz w:val="24"/>
          <w:szCs w:val="24"/>
          <w:lang w:val="fr-FR"/>
        </w:rPr>
        <w:br/>
      </w:r>
      <w:r w:rsidRPr="00D317C3">
        <w:rPr>
          <w:b/>
          <w:bCs/>
          <w:sz w:val="24"/>
          <w:szCs w:val="24"/>
          <w:lang w:val="fr-FR"/>
        </w:rPr>
        <w:t>concernant les véhicules</w:t>
      </w:r>
    </w:p>
    <w:p w14:paraId="1F2EFF00" w14:textId="3CD703C5" w:rsidR="00917E76" w:rsidRPr="00D317C3" w:rsidRDefault="00917E76" w:rsidP="00917E76">
      <w:pPr>
        <w:tabs>
          <w:tab w:val="left" w:pos="7256"/>
        </w:tabs>
        <w:spacing w:before="120" w:after="120"/>
        <w:rPr>
          <w:b/>
          <w:bCs/>
          <w:lang w:val="fr-FR"/>
        </w:rPr>
      </w:pPr>
      <w:r w:rsidRPr="00D317C3">
        <w:rPr>
          <w:b/>
          <w:bCs/>
          <w:lang w:val="fr-FR"/>
        </w:rPr>
        <w:t>Groupe de travail des dispositions générales de sécurité</w:t>
      </w:r>
    </w:p>
    <w:p w14:paraId="68F96AB4" w14:textId="77777777" w:rsidR="00917E76" w:rsidRPr="00D317C3" w:rsidRDefault="00917E76" w:rsidP="00917E76">
      <w:pPr>
        <w:rPr>
          <w:b/>
          <w:lang w:val="fr-FR"/>
        </w:rPr>
      </w:pPr>
      <w:r w:rsidRPr="00D317C3">
        <w:rPr>
          <w:b/>
          <w:bCs/>
          <w:lang w:val="fr-FR"/>
        </w:rPr>
        <w:t>125</w:t>
      </w:r>
      <w:r w:rsidRPr="00D317C3">
        <w:rPr>
          <w:b/>
          <w:bCs/>
          <w:vertAlign w:val="superscript"/>
          <w:lang w:val="fr-FR"/>
        </w:rPr>
        <w:t>e</w:t>
      </w:r>
      <w:r w:rsidRPr="00D317C3">
        <w:rPr>
          <w:b/>
          <w:bCs/>
          <w:lang w:val="fr-FR"/>
        </w:rPr>
        <w:t xml:space="preserve"> session</w:t>
      </w:r>
      <w:r w:rsidRPr="00D317C3">
        <w:rPr>
          <w:lang w:val="fr-FR"/>
        </w:rPr>
        <w:t xml:space="preserve"> </w:t>
      </w:r>
    </w:p>
    <w:p w14:paraId="437F7513" w14:textId="77777777" w:rsidR="00917E76" w:rsidRPr="00D317C3" w:rsidRDefault="00917E76" w:rsidP="00917E76">
      <w:pPr>
        <w:rPr>
          <w:bCs/>
          <w:lang w:val="fr-FR"/>
        </w:rPr>
      </w:pPr>
      <w:r w:rsidRPr="00D317C3">
        <w:rPr>
          <w:lang w:val="fr-FR"/>
        </w:rPr>
        <w:t>Genève, 27-31 mars 2023</w:t>
      </w:r>
    </w:p>
    <w:p w14:paraId="0BBB3325" w14:textId="77777777" w:rsidR="00917E76" w:rsidRPr="00D317C3" w:rsidRDefault="00917E76" w:rsidP="00917E76">
      <w:pPr>
        <w:rPr>
          <w:bCs/>
          <w:lang w:val="fr-FR"/>
        </w:rPr>
      </w:pPr>
      <w:r w:rsidRPr="00D317C3">
        <w:rPr>
          <w:lang w:val="fr-FR"/>
        </w:rPr>
        <w:t>Point 4 e) de l</w:t>
      </w:r>
      <w:r>
        <w:rPr>
          <w:lang w:val="fr-FR"/>
        </w:rPr>
        <w:t>’</w:t>
      </w:r>
      <w:r w:rsidRPr="00D317C3">
        <w:rPr>
          <w:lang w:val="fr-FR"/>
        </w:rPr>
        <w:t>ordre du jour provisoire</w:t>
      </w:r>
    </w:p>
    <w:p w14:paraId="27A5D2BB" w14:textId="5D93771A" w:rsidR="00917E76" w:rsidRPr="00D317C3" w:rsidRDefault="00917E76" w:rsidP="00917E76">
      <w:pPr>
        <w:rPr>
          <w:b/>
          <w:bCs/>
          <w:lang w:val="fr-FR"/>
        </w:rPr>
      </w:pPr>
      <w:r w:rsidRPr="00D317C3">
        <w:rPr>
          <w:b/>
          <w:bCs/>
          <w:lang w:val="fr-FR"/>
        </w:rPr>
        <w:t>Détection de la présence d</w:t>
      </w:r>
      <w:r>
        <w:rPr>
          <w:b/>
          <w:bCs/>
          <w:lang w:val="fr-FR"/>
        </w:rPr>
        <w:t>’</w:t>
      </w:r>
      <w:r w:rsidRPr="00D317C3">
        <w:rPr>
          <w:b/>
          <w:bCs/>
          <w:lang w:val="fr-FR"/>
        </w:rPr>
        <w:t xml:space="preserve">usagers de la route vulnérables </w:t>
      </w:r>
      <w:r w:rsidR="000F0507">
        <w:rPr>
          <w:b/>
          <w:bCs/>
          <w:lang w:val="fr-FR"/>
        </w:rPr>
        <w:br/>
      </w:r>
      <w:r w:rsidRPr="00D317C3">
        <w:rPr>
          <w:b/>
          <w:bCs/>
          <w:lang w:val="fr-FR"/>
        </w:rPr>
        <w:t>à proximité du véhicule :</w:t>
      </w:r>
    </w:p>
    <w:p w14:paraId="1F9223EE" w14:textId="7D4D187A" w:rsidR="00917E76" w:rsidRPr="00D317C3" w:rsidRDefault="00917E76" w:rsidP="000F0507">
      <w:pPr>
        <w:rPr>
          <w:lang w:val="fr-FR"/>
        </w:rPr>
      </w:pPr>
      <w:r w:rsidRPr="00D317C3">
        <w:rPr>
          <w:b/>
          <w:bCs/>
          <w:lang w:val="fr-FR"/>
        </w:rPr>
        <w:t>Règlement ONU n</w:t>
      </w:r>
      <w:r w:rsidRPr="00D317C3">
        <w:rPr>
          <w:b/>
          <w:bCs/>
          <w:vertAlign w:val="superscript"/>
          <w:lang w:val="fr-FR"/>
        </w:rPr>
        <w:t>o</w:t>
      </w:r>
      <w:r w:rsidRPr="00D317C3">
        <w:rPr>
          <w:b/>
          <w:bCs/>
          <w:lang w:val="fr-FR"/>
        </w:rPr>
        <w:t xml:space="preserve"> [167] (Vision directe des usagers </w:t>
      </w:r>
      <w:r w:rsidR="000F0507">
        <w:rPr>
          <w:b/>
          <w:bCs/>
          <w:lang w:val="fr-FR"/>
        </w:rPr>
        <w:br/>
      </w:r>
      <w:r w:rsidRPr="00D317C3">
        <w:rPr>
          <w:b/>
          <w:bCs/>
          <w:lang w:val="fr-FR"/>
        </w:rPr>
        <w:t>de la route vulnérables)</w:t>
      </w:r>
    </w:p>
    <w:p w14:paraId="44792CB0" w14:textId="1EF38F16" w:rsidR="00917E76" w:rsidRPr="00D317C3" w:rsidRDefault="00917E76" w:rsidP="00C5170A">
      <w:pPr>
        <w:pStyle w:val="HChG"/>
        <w:rPr>
          <w:lang w:val="fr-FR"/>
        </w:rPr>
      </w:pPr>
      <w:r w:rsidRPr="00D317C3">
        <w:rPr>
          <w:lang w:val="fr-FR"/>
        </w:rPr>
        <w:tab/>
      </w:r>
      <w:r w:rsidRPr="00D317C3">
        <w:rPr>
          <w:lang w:val="fr-FR"/>
        </w:rPr>
        <w:tab/>
        <w:t xml:space="preserve">Proposition de complément 1 à la version originale </w:t>
      </w:r>
      <w:r w:rsidR="00C5170A">
        <w:rPr>
          <w:lang w:val="fr-FR"/>
        </w:rPr>
        <w:br/>
      </w:r>
      <w:r w:rsidRPr="00D317C3">
        <w:rPr>
          <w:lang w:val="fr-FR"/>
        </w:rPr>
        <w:t>du Règlement ONU n</w:t>
      </w:r>
      <w:r w:rsidRPr="00D317C3">
        <w:rPr>
          <w:vertAlign w:val="superscript"/>
          <w:lang w:val="fr-FR"/>
        </w:rPr>
        <w:t>o</w:t>
      </w:r>
      <w:r w:rsidRPr="00D317C3">
        <w:rPr>
          <w:lang w:val="fr-FR"/>
        </w:rPr>
        <w:t xml:space="preserve"> [167] (Vision directe </w:t>
      </w:r>
      <w:r w:rsidR="00C5170A">
        <w:rPr>
          <w:lang w:val="fr-FR"/>
        </w:rPr>
        <w:br/>
      </w:r>
      <w:r w:rsidRPr="00D317C3">
        <w:rPr>
          <w:lang w:val="fr-FR"/>
        </w:rPr>
        <w:t>des usagers de la route vulnérables)</w:t>
      </w:r>
    </w:p>
    <w:p w14:paraId="77B443DC" w14:textId="0338D811" w:rsidR="00917E76" w:rsidRPr="00D317C3" w:rsidRDefault="00917E76" w:rsidP="00C5170A">
      <w:pPr>
        <w:pStyle w:val="H1G"/>
        <w:rPr>
          <w:lang w:val="fr-FR"/>
        </w:rPr>
      </w:pPr>
      <w:r w:rsidRPr="00D317C3">
        <w:rPr>
          <w:lang w:val="fr-FR"/>
        </w:rPr>
        <w:tab/>
      </w:r>
      <w:r w:rsidRPr="00D317C3">
        <w:rPr>
          <w:lang w:val="fr-FR"/>
        </w:rPr>
        <w:tab/>
        <w:t>Communication de l</w:t>
      </w:r>
      <w:r>
        <w:rPr>
          <w:lang w:val="fr-FR"/>
        </w:rPr>
        <w:t>’</w:t>
      </w:r>
      <w:r w:rsidRPr="00D317C3">
        <w:rPr>
          <w:lang w:val="fr-FR"/>
        </w:rPr>
        <w:t xml:space="preserve">expert du groupe de travail informel </w:t>
      </w:r>
      <w:r w:rsidR="00245C17">
        <w:rPr>
          <w:lang w:val="fr-FR"/>
        </w:rPr>
        <w:br/>
      </w:r>
      <w:r w:rsidRPr="00D317C3">
        <w:rPr>
          <w:lang w:val="fr-FR"/>
        </w:rPr>
        <w:t>de la détection de la présence d</w:t>
      </w:r>
      <w:r>
        <w:rPr>
          <w:lang w:val="fr-FR"/>
        </w:rPr>
        <w:t>’</w:t>
      </w:r>
      <w:r w:rsidRPr="00D317C3">
        <w:rPr>
          <w:lang w:val="fr-FR"/>
        </w:rPr>
        <w:t xml:space="preserve">usagers de la route vulnérables </w:t>
      </w:r>
      <w:r w:rsidR="00245C17">
        <w:rPr>
          <w:lang w:val="fr-FR"/>
        </w:rPr>
        <w:br/>
      </w:r>
      <w:r w:rsidRPr="00D317C3">
        <w:rPr>
          <w:lang w:val="fr-FR"/>
        </w:rPr>
        <w:t>à proximité du véhicule</w:t>
      </w:r>
      <w:r w:rsidRPr="00245C17">
        <w:rPr>
          <w:b w:val="0"/>
          <w:bCs/>
          <w:sz w:val="20"/>
          <w:lang w:val="fr-FR"/>
        </w:rPr>
        <w:footnoteReference w:customMarkFollows="1" w:id="2"/>
        <w:t>*</w:t>
      </w:r>
      <w:r w:rsidRPr="00D317C3">
        <w:rPr>
          <w:lang w:val="fr-FR"/>
        </w:rPr>
        <w:t xml:space="preserve"> </w:t>
      </w:r>
    </w:p>
    <w:p w14:paraId="599C4CA6" w14:textId="38EA05E8" w:rsidR="00917E76" w:rsidRPr="00D317C3" w:rsidRDefault="00917E76" w:rsidP="00C5170A">
      <w:pPr>
        <w:pStyle w:val="SingleTxtG"/>
        <w:ind w:firstLine="563"/>
        <w:rPr>
          <w:lang w:val="fr-FR"/>
        </w:rPr>
      </w:pPr>
      <w:r w:rsidRPr="00D317C3">
        <w:rPr>
          <w:lang w:val="fr-FR"/>
        </w:rPr>
        <w:t>Le texte ci-après, établi par les experts du groupe de travail informel de la détection de la présence d</w:t>
      </w:r>
      <w:r>
        <w:rPr>
          <w:lang w:val="fr-FR"/>
        </w:rPr>
        <w:t>’</w:t>
      </w:r>
      <w:r w:rsidRPr="00D317C3">
        <w:rPr>
          <w:lang w:val="fr-FR"/>
        </w:rPr>
        <w:t>usagers de la route vulnérables à proximité du véhicule (VRU-Proxi), vise à modifier le Règlement ONU n</w:t>
      </w:r>
      <w:r w:rsidRPr="00D317C3">
        <w:rPr>
          <w:vertAlign w:val="superscript"/>
          <w:lang w:val="fr-FR"/>
        </w:rPr>
        <w:t>o</w:t>
      </w:r>
      <w:r w:rsidR="00245C17">
        <w:rPr>
          <w:lang w:val="fr-FR"/>
        </w:rPr>
        <w:t> </w:t>
      </w:r>
      <w:r w:rsidRPr="00D317C3">
        <w:rPr>
          <w:lang w:val="fr-FR"/>
        </w:rPr>
        <w:t>[167]</w:t>
      </w:r>
      <w:r>
        <w:rPr>
          <w:lang w:val="fr-FR"/>
        </w:rPr>
        <w:t>, qui porte sur</w:t>
      </w:r>
      <w:r w:rsidRPr="00D317C3">
        <w:rPr>
          <w:lang w:val="fr-FR"/>
        </w:rPr>
        <w:t xml:space="preserve"> la vision directe des usagers de la route vulnérables, tel qu</w:t>
      </w:r>
      <w:r>
        <w:rPr>
          <w:lang w:val="fr-FR"/>
        </w:rPr>
        <w:t>’</w:t>
      </w:r>
      <w:r w:rsidRPr="00D317C3">
        <w:rPr>
          <w:lang w:val="fr-FR"/>
        </w:rPr>
        <w:t>adopté</w:t>
      </w:r>
      <w:r>
        <w:rPr>
          <w:lang w:val="fr-FR"/>
        </w:rPr>
        <w:t xml:space="preserve"> </w:t>
      </w:r>
      <w:r w:rsidRPr="00DD6D35">
        <w:rPr>
          <w:lang w:val="fr-FR"/>
        </w:rPr>
        <w:t>à la 188</w:t>
      </w:r>
      <w:r w:rsidRPr="00245C17">
        <w:rPr>
          <w:vertAlign w:val="superscript"/>
          <w:lang w:val="fr-FR"/>
        </w:rPr>
        <w:t>e</w:t>
      </w:r>
      <w:r w:rsidRPr="00DD6D35">
        <w:rPr>
          <w:lang w:val="fr-FR"/>
        </w:rPr>
        <w:t xml:space="preserve"> session</w:t>
      </w:r>
      <w:r>
        <w:rPr>
          <w:lang w:val="fr-FR"/>
        </w:rPr>
        <w:t xml:space="preserve"> </w:t>
      </w:r>
      <w:r w:rsidRPr="00DD6D35">
        <w:rPr>
          <w:lang w:val="fr-FR"/>
        </w:rPr>
        <w:t>du Forum mondial de l</w:t>
      </w:r>
      <w:r>
        <w:rPr>
          <w:lang w:val="fr-FR"/>
        </w:rPr>
        <w:t>’</w:t>
      </w:r>
      <w:r w:rsidRPr="00DD6D35">
        <w:rPr>
          <w:lang w:val="fr-FR"/>
        </w:rPr>
        <w:t>harmonisation des Règlements concernant les véhicules (WP.29), contenu dans le document ECE/TRANS/WP.29/2022/140/Rev.1</w:t>
      </w:r>
      <w:r w:rsidRPr="00D317C3">
        <w:rPr>
          <w:lang w:val="fr-FR"/>
        </w:rPr>
        <w:t>. Les modifications qu</w:t>
      </w:r>
      <w:r>
        <w:rPr>
          <w:lang w:val="fr-FR"/>
        </w:rPr>
        <w:t>’</w:t>
      </w:r>
      <w:r w:rsidRPr="00D317C3">
        <w:rPr>
          <w:lang w:val="fr-FR"/>
        </w:rPr>
        <w:t>il est proposé d</w:t>
      </w:r>
      <w:r>
        <w:rPr>
          <w:lang w:val="fr-FR"/>
        </w:rPr>
        <w:t>’</w:t>
      </w:r>
      <w:r w:rsidRPr="00D317C3">
        <w:rPr>
          <w:lang w:val="fr-FR"/>
        </w:rPr>
        <w:t xml:space="preserve">apporter au texte adopté figurent en caractères gras pour les ajouts et biffés pour les suppressions. </w:t>
      </w:r>
    </w:p>
    <w:p w14:paraId="5C3574B7" w14:textId="77777777" w:rsidR="00917E76" w:rsidRPr="00D317C3" w:rsidRDefault="00917E76" w:rsidP="00917E76">
      <w:pPr>
        <w:suppressAutoHyphens w:val="0"/>
        <w:spacing w:line="240" w:lineRule="auto"/>
        <w:jc w:val="both"/>
        <w:rPr>
          <w:lang w:val="fr-FR"/>
        </w:rPr>
      </w:pPr>
      <w:r w:rsidRPr="00D317C3">
        <w:rPr>
          <w:lang w:val="fr-FR"/>
        </w:rPr>
        <w:br w:type="page"/>
      </w:r>
    </w:p>
    <w:p w14:paraId="09CB665A" w14:textId="77777777" w:rsidR="00917E76" w:rsidRPr="00D317C3" w:rsidRDefault="00917E76" w:rsidP="00245C17">
      <w:pPr>
        <w:pStyle w:val="HChG"/>
        <w:rPr>
          <w:lang w:val="fr-FR"/>
        </w:rPr>
      </w:pPr>
      <w:r w:rsidRPr="00D317C3">
        <w:rPr>
          <w:lang w:val="fr-FR"/>
        </w:rPr>
        <w:lastRenderedPageBreak/>
        <w:tab/>
        <w:t>I.</w:t>
      </w:r>
      <w:r w:rsidRPr="00D317C3">
        <w:rPr>
          <w:lang w:val="fr-FR"/>
        </w:rPr>
        <w:tab/>
        <w:t>Proposition</w:t>
      </w:r>
    </w:p>
    <w:p w14:paraId="5B224450" w14:textId="77777777" w:rsidR="00917E76" w:rsidRPr="00D317C3" w:rsidRDefault="00917E76" w:rsidP="00245C17">
      <w:pPr>
        <w:pStyle w:val="SingleTxtG"/>
        <w:keepNext/>
        <w:rPr>
          <w:lang w:val="fr-FR"/>
        </w:rPr>
      </w:pPr>
      <w:r w:rsidRPr="00245C17">
        <w:rPr>
          <w:i/>
          <w:iCs/>
          <w:lang w:val="fr-FR"/>
        </w:rPr>
        <w:t>Table des matières</w:t>
      </w:r>
      <w:r w:rsidRPr="00D317C3">
        <w:rPr>
          <w:lang w:val="fr-FR"/>
        </w:rPr>
        <w:t>, lire :</w:t>
      </w:r>
    </w:p>
    <w:p w14:paraId="6AEF107C" w14:textId="135E9BFF" w:rsidR="005039D0" w:rsidRPr="00EA2FF5" w:rsidRDefault="00917E76" w:rsidP="00EA2FF5">
      <w:pPr>
        <w:spacing w:after="120"/>
        <w:rPr>
          <w:sz w:val="28"/>
        </w:rPr>
      </w:pPr>
      <w:r w:rsidRPr="00D317C3">
        <w:rPr>
          <w:lang w:val="fr-FR"/>
        </w:rPr>
        <w:t>« </w:t>
      </w:r>
      <w:r w:rsidR="005039D0" w:rsidRPr="005039D0">
        <w:rPr>
          <w:sz w:val="28"/>
        </w:rPr>
        <w:t>Table des matières</w:t>
      </w:r>
    </w:p>
    <w:p w14:paraId="3CFFC475" w14:textId="5C620291" w:rsidR="00917E76" w:rsidRPr="00D317C3" w:rsidRDefault="00917E76" w:rsidP="006B0993">
      <w:pPr>
        <w:tabs>
          <w:tab w:val="right" w:pos="9638"/>
        </w:tabs>
        <w:spacing w:after="100"/>
        <w:ind w:left="283"/>
        <w:rPr>
          <w:i/>
          <w:sz w:val="18"/>
          <w:lang w:val="fr-FR"/>
        </w:rPr>
      </w:pPr>
      <w:r w:rsidRPr="00D317C3">
        <w:rPr>
          <w:lang w:val="fr-FR"/>
        </w:rPr>
        <w:tab/>
      </w:r>
      <w:r w:rsidR="005039D0" w:rsidRPr="005039D0">
        <w:rPr>
          <w:i/>
          <w:sz w:val="18"/>
        </w:rPr>
        <w:t>Page</w:t>
      </w:r>
      <w:r w:rsidR="00245C17" w:rsidRPr="00245C17">
        <w:rPr>
          <w:rStyle w:val="Appelnotedebasdep"/>
          <w:sz w:val="20"/>
          <w:vertAlign w:val="baseline"/>
        </w:rPr>
        <w:footnoteReference w:customMarkFollows="1" w:id="3"/>
        <w:t>**</w:t>
      </w:r>
    </w:p>
    <w:p w14:paraId="3B208316" w14:textId="2F934D58" w:rsidR="00917E76" w:rsidRDefault="00917E76" w:rsidP="006B0993">
      <w:pPr>
        <w:tabs>
          <w:tab w:val="right" w:pos="851"/>
          <w:tab w:val="left" w:pos="1134"/>
          <w:tab w:val="left" w:pos="1559"/>
          <w:tab w:val="left" w:leader="dot" w:pos="8929"/>
          <w:tab w:val="right" w:pos="9638"/>
        </w:tabs>
        <w:spacing w:after="100"/>
        <w:rPr>
          <w:lang w:val="fr-FR"/>
        </w:rPr>
      </w:pPr>
      <w:r w:rsidRPr="00D317C3">
        <w:rPr>
          <w:lang w:val="fr-FR"/>
        </w:rPr>
        <w:tab/>
        <w:t>...</w:t>
      </w:r>
    </w:p>
    <w:p w14:paraId="5D7D7C1F" w14:textId="77777777" w:rsidR="00EA2FF5" w:rsidRPr="005039D0" w:rsidRDefault="00EA2FF5" w:rsidP="006B0993">
      <w:pPr>
        <w:tabs>
          <w:tab w:val="right" w:pos="850"/>
        </w:tabs>
        <w:spacing w:after="100"/>
      </w:pPr>
      <w:r>
        <w:tab/>
        <w:t>Annexes</w:t>
      </w:r>
    </w:p>
    <w:p w14:paraId="320F97EA" w14:textId="77777777" w:rsidR="00EA2FF5" w:rsidRDefault="00EA2FF5" w:rsidP="006B0993">
      <w:pPr>
        <w:tabs>
          <w:tab w:val="right" w:pos="850"/>
          <w:tab w:val="right" w:leader="dot" w:pos="8787"/>
          <w:tab w:val="right" w:pos="9638"/>
        </w:tabs>
        <w:spacing w:after="100"/>
        <w:ind w:left="1134" w:hanging="1134"/>
      </w:pPr>
      <w:r>
        <w:tab/>
      </w:r>
      <w:r>
        <w:tab/>
        <w:t>…</w:t>
      </w:r>
    </w:p>
    <w:p w14:paraId="2E306736" w14:textId="7C3C8B11" w:rsidR="00917E76" w:rsidRPr="00D317C3" w:rsidRDefault="00917E76" w:rsidP="00A802B6">
      <w:pPr>
        <w:tabs>
          <w:tab w:val="right" w:pos="850"/>
          <w:tab w:val="right" w:leader="dot" w:pos="8787"/>
          <w:tab w:val="right" w:pos="9638"/>
        </w:tabs>
        <w:spacing w:after="240"/>
        <w:ind w:left="1134" w:hanging="1134"/>
        <w:rPr>
          <w:b/>
          <w:bCs/>
          <w:lang w:val="fr-FR"/>
        </w:rPr>
      </w:pPr>
      <w:r w:rsidRPr="00D317C3">
        <w:rPr>
          <w:lang w:val="fr-FR"/>
        </w:rPr>
        <w:tab/>
      </w:r>
      <w:r w:rsidRPr="00D317C3">
        <w:rPr>
          <w:b/>
          <w:bCs/>
          <w:lang w:val="fr-FR"/>
        </w:rPr>
        <w:t>8</w:t>
      </w:r>
      <w:r w:rsidR="00053671">
        <w:rPr>
          <w:b/>
          <w:bCs/>
          <w:lang w:val="fr-FR"/>
        </w:rPr>
        <w:t>.</w:t>
      </w:r>
      <w:r w:rsidRPr="00D317C3">
        <w:rPr>
          <w:lang w:val="fr-FR"/>
        </w:rPr>
        <w:tab/>
      </w:r>
      <w:r w:rsidRPr="00D317C3">
        <w:rPr>
          <w:b/>
          <w:bCs/>
          <w:lang w:val="fr-FR"/>
        </w:rPr>
        <w:t>Autre méthode de détermination du volume visible vers l</w:t>
      </w:r>
      <w:r>
        <w:rPr>
          <w:b/>
          <w:bCs/>
          <w:lang w:val="fr-FR"/>
        </w:rPr>
        <w:t>’</w:t>
      </w:r>
      <w:r w:rsidRPr="00D317C3">
        <w:rPr>
          <w:b/>
          <w:bCs/>
          <w:lang w:val="fr-FR"/>
        </w:rPr>
        <w:t>avant</w:t>
      </w:r>
      <w:r w:rsidRPr="00D317C3">
        <w:rPr>
          <w:lang w:val="fr-FR"/>
        </w:rPr>
        <w:tab/>
      </w:r>
      <w:r w:rsidRPr="00D317C3">
        <w:rPr>
          <w:lang w:val="fr-FR"/>
        </w:rPr>
        <w:tab/>
        <w:t> ».</w:t>
      </w:r>
    </w:p>
    <w:p w14:paraId="11F43EB7" w14:textId="5F64DB30" w:rsidR="00917E76" w:rsidRPr="00D317C3" w:rsidRDefault="00917E76" w:rsidP="00A802B6">
      <w:pPr>
        <w:pStyle w:val="SingleTxtG"/>
        <w:keepNext/>
        <w:spacing w:before="120"/>
        <w:rPr>
          <w:lang w:val="fr-FR"/>
        </w:rPr>
      </w:pPr>
      <w:r w:rsidRPr="00A802B6">
        <w:rPr>
          <w:i/>
          <w:iCs/>
          <w:lang w:val="fr-FR"/>
        </w:rPr>
        <w:t>Paragraphe 5.3</w:t>
      </w:r>
      <w:r w:rsidRPr="00D317C3">
        <w:rPr>
          <w:lang w:val="fr-FR"/>
        </w:rPr>
        <w:t>, lire</w:t>
      </w:r>
      <w:r w:rsidR="001C0D7A">
        <w:rPr>
          <w:lang w:val="fr-FR"/>
        </w:rPr>
        <w:t> :</w:t>
      </w:r>
    </w:p>
    <w:p w14:paraId="6216A7E7" w14:textId="77777777" w:rsidR="00917E76" w:rsidRPr="00D317C3" w:rsidRDefault="00917E76" w:rsidP="004F7E86">
      <w:pPr>
        <w:spacing w:after="120"/>
        <w:ind w:left="2268" w:right="1134" w:hanging="1134"/>
        <w:jc w:val="both"/>
        <w:rPr>
          <w:lang w:val="fr-FR"/>
        </w:rPr>
      </w:pPr>
      <w:r w:rsidRPr="00D317C3">
        <w:rPr>
          <w:lang w:val="fr-FR"/>
        </w:rPr>
        <w:t>« 5.3</w:t>
      </w:r>
      <w:r w:rsidRPr="00D317C3">
        <w:rPr>
          <w:lang w:val="fr-FR"/>
        </w:rPr>
        <w:tab/>
      </w:r>
      <w:r w:rsidRPr="00D317C3">
        <w:rPr>
          <w:lang w:val="fr-FR"/>
        </w:rPr>
        <w:tab/>
        <w:t>S</w:t>
      </w:r>
      <w:r>
        <w:rPr>
          <w:lang w:val="fr-FR"/>
        </w:rPr>
        <w:t>’</w:t>
      </w:r>
      <w:r w:rsidRPr="00D317C3">
        <w:rPr>
          <w:lang w:val="fr-FR"/>
        </w:rPr>
        <w:t>il peut être démontré que la raison pour laquelle un véhicule ne peut pas respecter la limite du volume visible vers l</w:t>
      </w:r>
      <w:r>
        <w:rPr>
          <w:lang w:val="fr-FR"/>
        </w:rPr>
        <w:t>’</w:t>
      </w:r>
      <w:r w:rsidRPr="00D317C3">
        <w:rPr>
          <w:lang w:val="fr-FR"/>
        </w:rPr>
        <w:t>avant est liée à une conception novatrice, par exemple lorsque les montants A sont plus rapprochés que dans une conception conventionnelle, alors le véhicule peut</w:t>
      </w:r>
      <w:r w:rsidRPr="00D317C3">
        <w:rPr>
          <w:b/>
          <w:bCs/>
          <w:lang w:val="fr-FR"/>
        </w:rPr>
        <w:t>, à la discrétion du constructeur,</w:t>
      </w:r>
      <w:r w:rsidRPr="00D317C3">
        <w:rPr>
          <w:lang w:val="fr-FR"/>
        </w:rPr>
        <w:t xml:space="preserve"> être considéré comme conforme s</w:t>
      </w:r>
      <w:r>
        <w:rPr>
          <w:lang w:val="fr-FR"/>
        </w:rPr>
        <w:t>’</w:t>
      </w:r>
      <w:r w:rsidRPr="00D317C3">
        <w:rPr>
          <w:lang w:val="fr-FR"/>
        </w:rPr>
        <w:t xml:space="preserve">il respecte toutes les autres limites applicables en plus des prescriptions suivantes. </w:t>
      </w:r>
      <w:r w:rsidRPr="00D317C3">
        <w:rPr>
          <w:strike/>
          <w:lang w:val="fr-FR"/>
        </w:rPr>
        <w:t>La démonstration doit être faite en plaçant cinq accessoires d</w:t>
      </w:r>
      <w:r>
        <w:rPr>
          <w:strike/>
          <w:lang w:val="fr-FR"/>
        </w:rPr>
        <w:t>’</w:t>
      </w:r>
      <w:r w:rsidRPr="00D317C3">
        <w:rPr>
          <w:strike/>
          <w:lang w:val="fr-FR"/>
        </w:rPr>
        <w:t>essai à égale distance entre les plans longitudinaux du véhicule du côté conducteur et du côté passager.</w:t>
      </w:r>
      <w:r w:rsidRPr="00D317C3">
        <w:rPr>
          <w:lang w:val="fr-FR"/>
        </w:rPr>
        <w:t xml:space="preserve"> </w:t>
      </w:r>
      <w:r w:rsidRPr="00D317C3">
        <w:rPr>
          <w:strike/>
          <w:lang w:val="fr-FR"/>
        </w:rPr>
        <w:t>On déplace ces accessoires dans le plan longitudinal jusqu</w:t>
      </w:r>
      <w:r>
        <w:rPr>
          <w:strike/>
          <w:lang w:val="fr-FR"/>
        </w:rPr>
        <w:t>’</w:t>
      </w:r>
      <w:r w:rsidRPr="00D317C3">
        <w:rPr>
          <w:strike/>
          <w:lang w:val="fr-FR"/>
        </w:rPr>
        <w:t>à ce qu</w:t>
      </w:r>
      <w:r>
        <w:rPr>
          <w:strike/>
          <w:lang w:val="fr-FR"/>
        </w:rPr>
        <w:t>’</w:t>
      </w:r>
      <w:r w:rsidRPr="00D317C3">
        <w:rPr>
          <w:strike/>
          <w:lang w:val="fr-FR"/>
        </w:rPr>
        <w:t>ils soient positionnés de telle sorte que seul leur sommet soit visible depuis le point E2 à travers toute fenêtre ou zone vitrée.</w:t>
      </w:r>
      <w:r w:rsidRPr="00D317C3">
        <w:rPr>
          <w:lang w:val="fr-FR"/>
        </w:rPr>
        <w:t xml:space="preserve"> </w:t>
      </w:r>
      <w:r w:rsidRPr="00D317C3">
        <w:rPr>
          <w:strike/>
          <w:lang w:val="fr-FR"/>
        </w:rPr>
        <w:t>Les accessoires d</w:t>
      </w:r>
      <w:r>
        <w:rPr>
          <w:strike/>
          <w:lang w:val="fr-FR"/>
        </w:rPr>
        <w:t>’</w:t>
      </w:r>
      <w:r w:rsidRPr="00D317C3">
        <w:rPr>
          <w:strike/>
          <w:lang w:val="fr-FR"/>
        </w:rPr>
        <w:t>essai sont des poteaux d</w:t>
      </w:r>
      <w:r>
        <w:rPr>
          <w:strike/>
          <w:lang w:val="fr-FR"/>
        </w:rPr>
        <w:t>’</w:t>
      </w:r>
      <w:r w:rsidRPr="00D317C3">
        <w:rPr>
          <w:strike/>
          <w:lang w:val="fr-FR"/>
        </w:rPr>
        <w:t>une hauteur de 1,40 m et d</w:t>
      </w:r>
      <w:r>
        <w:rPr>
          <w:strike/>
          <w:lang w:val="fr-FR"/>
        </w:rPr>
        <w:t>’</w:t>
      </w:r>
      <w:r w:rsidRPr="00D317C3">
        <w:rPr>
          <w:strike/>
          <w:lang w:val="fr-FR"/>
        </w:rPr>
        <w:t>un diamètre de 30 </w:t>
      </w:r>
      <w:proofErr w:type="spellStart"/>
      <w:r w:rsidRPr="00D317C3">
        <w:rPr>
          <w:strike/>
          <w:lang w:val="fr-FR"/>
        </w:rPr>
        <w:t>mm.</w:t>
      </w:r>
      <w:proofErr w:type="spellEnd"/>
      <w:r w:rsidRPr="00D317C3">
        <w:rPr>
          <w:lang w:val="fr-FR"/>
        </w:rPr>
        <w:t xml:space="preserve"> </w:t>
      </w:r>
      <w:r w:rsidRPr="00D317C3">
        <w:rPr>
          <w:strike/>
          <w:lang w:val="fr-FR"/>
        </w:rPr>
        <w:t>Un repère représentant l</w:t>
      </w:r>
      <w:r>
        <w:rPr>
          <w:strike/>
          <w:lang w:val="fr-FR"/>
        </w:rPr>
        <w:t>’</w:t>
      </w:r>
      <w:r w:rsidRPr="00D317C3">
        <w:rPr>
          <w:strike/>
          <w:lang w:val="fr-FR"/>
        </w:rPr>
        <w:t>épaule d</w:t>
      </w:r>
      <w:r>
        <w:rPr>
          <w:strike/>
          <w:lang w:val="fr-FR"/>
        </w:rPr>
        <w:t>’</w:t>
      </w:r>
      <w:r w:rsidRPr="00D317C3">
        <w:rPr>
          <w:strike/>
          <w:lang w:val="fr-FR"/>
        </w:rPr>
        <w:t>un usager de la route vulnérable est placé à 0,130 m plus près du véhicule, dans le plan longitudinal, que le centre du poteau.</w:t>
      </w:r>
      <w:r w:rsidRPr="00D317C3">
        <w:rPr>
          <w:lang w:val="fr-FR"/>
        </w:rPr>
        <w:t xml:space="preserve"> </w:t>
      </w:r>
      <w:r w:rsidRPr="00D317C3">
        <w:rPr>
          <w:strike/>
          <w:lang w:val="fr-FR"/>
        </w:rPr>
        <w:t>On calcule la distance moyenne dans le plan longitudinal entre le plan frontal du véhicule et le témoin d</w:t>
      </w:r>
      <w:r>
        <w:rPr>
          <w:strike/>
          <w:lang w:val="fr-FR"/>
        </w:rPr>
        <w:t>’</w:t>
      </w:r>
      <w:r w:rsidRPr="00D317C3">
        <w:rPr>
          <w:strike/>
          <w:lang w:val="fr-FR"/>
        </w:rPr>
        <w:t>épaule pour chaque poteau lorsque seul son sommet est visible.</w:t>
      </w:r>
      <w:r w:rsidRPr="00D317C3">
        <w:rPr>
          <w:lang w:val="fr-FR"/>
        </w:rPr>
        <w:t xml:space="preserve"> </w:t>
      </w:r>
      <w:r w:rsidRPr="00D317C3">
        <w:rPr>
          <w:strike/>
          <w:lang w:val="fr-FR"/>
        </w:rPr>
        <w:t>Pour tout accessoire d</w:t>
      </w:r>
      <w:r>
        <w:rPr>
          <w:strike/>
          <w:lang w:val="fr-FR"/>
        </w:rPr>
        <w:t>’</w:t>
      </w:r>
      <w:r w:rsidRPr="00D317C3">
        <w:rPr>
          <w:strike/>
          <w:lang w:val="fr-FR"/>
        </w:rPr>
        <w:t>essai dont le point de repère de l</w:t>
      </w:r>
      <w:r>
        <w:rPr>
          <w:strike/>
          <w:lang w:val="fr-FR"/>
        </w:rPr>
        <w:t>’</w:t>
      </w:r>
      <w:r w:rsidRPr="00D317C3">
        <w:rPr>
          <w:strike/>
          <w:lang w:val="fr-FR"/>
        </w:rPr>
        <w:t>épaule se trouve à l</w:t>
      </w:r>
      <w:r>
        <w:rPr>
          <w:strike/>
          <w:lang w:val="fr-FR"/>
        </w:rPr>
        <w:t>’</w:t>
      </w:r>
      <w:r w:rsidRPr="00D317C3">
        <w:rPr>
          <w:strike/>
          <w:lang w:val="fr-FR"/>
        </w:rPr>
        <w:t>arrière du plan frontal, une distance de 0,0 m est utilisée pour calculer la moyenne.</w:t>
      </w:r>
      <w:r w:rsidRPr="00D317C3">
        <w:rPr>
          <w:lang w:val="fr-FR"/>
        </w:rPr>
        <w:t xml:space="preserve"> </w:t>
      </w:r>
      <w:r w:rsidRPr="00D317C3">
        <w:rPr>
          <w:strike/>
          <w:lang w:val="fr-FR"/>
        </w:rPr>
        <w:t>La distance moyenne doit être égale ou inférieure à :</w:t>
      </w:r>
    </w:p>
    <w:p w14:paraId="1A343651" w14:textId="0BA8B8F3" w:rsidR="00917E76" w:rsidRPr="00D317C3" w:rsidRDefault="00917E76" w:rsidP="00917E76">
      <w:pPr>
        <w:spacing w:after="120"/>
        <w:ind w:left="2259" w:right="1134"/>
        <w:jc w:val="both"/>
        <w:rPr>
          <w:b/>
          <w:bCs/>
          <w:lang w:val="fr-FR"/>
        </w:rPr>
      </w:pPr>
      <w:r w:rsidRPr="00D317C3">
        <w:rPr>
          <w:b/>
          <w:bCs/>
          <w:lang w:val="fr-FR"/>
        </w:rPr>
        <w:t>Le volume de la zone d</w:t>
      </w:r>
      <w:r>
        <w:rPr>
          <w:b/>
          <w:bCs/>
          <w:lang w:val="fr-FR"/>
        </w:rPr>
        <w:t>’</w:t>
      </w:r>
      <w:r w:rsidRPr="00D317C3">
        <w:rPr>
          <w:b/>
          <w:bCs/>
          <w:lang w:val="fr-FR"/>
        </w:rPr>
        <w:t xml:space="preserve">évaluation avant qui est visible à travers toute surface vitrée </w:t>
      </w:r>
      <w:r>
        <w:rPr>
          <w:b/>
          <w:bCs/>
          <w:lang w:val="fr-FR"/>
        </w:rPr>
        <w:t xml:space="preserve">peut </w:t>
      </w:r>
      <w:r w:rsidRPr="00D317C3">
        <w:rPr>
          <w:b/>
          <w:bCs/>
          <w:lang w:val="fr-FR"/>
        </w:rPr>
        <w:t xml:space="preserve">également </w:t>
      </w:r>
      <w:r>
        <w:rPr>
          <w:b/>
          <w:bCs/>
          <w:lang w:val="fr-FR"/>
        </w:rPr>
        <w:t xml:space="preserve">être </w:t>
      </w:r>
      <w:r w:rsidRPr="00D317C3">
        <w:rPr>
          <w:b/>
          <w:bCs/>
          <w:lang w:val="fr-FR"/>
        </w:rPr>
        <w:t xml:space="preserve">calculé selon la méthode </w:t>
      </w:r>
      <w:r>
        <w:rPr>
          <w:b/>
          <w:bCs/>
          <w:lang w:val="fr-FR"/>
        </w:rPr>
        <w:t>décrite</w:t>
      </w:r>
      <w:r w:rsidRPr="00D317C3">
        <w:rPr>
          <w:b/>
          <w:bCs/>
          <w:lang w:val="fr-FR"/>
        </w:rPr>
        <w:t xml:space="preserve"> à l</w:t>
      </w:r>
      <w:r>
        <w:rPr>
          <w:b/>
          <w:bCs/>
          <w:lang w:val="fr-FR"/>
        </w:rPr>
        <w:t>’</w:t>
      </w:r>
      <w:r w:rsidRPr="00D317C3">
        <w:rPr>
          <w:b/>
          <w:bCs/>
          <w:lang w:val="fr-FR"/>
        </w:rPr>
        <w:t>annexe 8.</w:t>
      </w:r>
      <w:r w:rsidRPr="00D317C3">
        <w:rPr>
          <w:lang w:val="fr-FR"/>
        </w:rPr>
        <w:t xml:space="preserve"> </w:t>
      </w:r>
      <w:r w:rsidRPr="00D317C3">
        <w:rPr>
          <w:b/>
          <w:bCs/>
          <w:lang w:val="fr-FR"/>
        </w:rPr>
        <w:t xml:space="preserve">Si cette méthode est utilisée, </w:t>
      </w:r>
      <w:r>
        <w:rPr>
          <w:b/>
          <w:bCs/>
          <w:lang w:val="fr-FR"/>
        </w:rPr>
        <w:t xml:space="preserve">le </w:t>
      </w:r>
      <w:r w:rsidRPr="00D317C3">
        <w:rPr>
          <w:b/>
          <w:bCs/>
          <w:lang w:val="fr-FR"/>
        </w:rPr>
        <w:t>volume visible vers l</w:t>
      </w:r>
      <w:r>
        <w:rPr>
          <w:b/>
          <w:bCs/>
          <w:lang w:val="fr-FR"/>
        </w:rPr>
        <w:t>’</w:t>
      </w:r>
      <w:r w:rsidRPr="00D317C3">
        <w:rPr>
          <w:b/>
          <w:bCs/>
          <w:lang w:val="fr-FR"/>
        </w:rPr>
        <w:t xml:space="preserve">avant doit </w:t>
      </w:r>
      <w:r>
        <w:rPr>
          <w:b/>
          <w:bCs/>
          <w:lang w:val="fr-FR"/>
        </w:rPr>
        <w:t xml:space="preserve">au minimum </w:t>
      </w:r>
      <w:r w:rsidRPr="00D317C3">
        <w:rPr>
          <w:b/>
          <w:bCs/>
          <w:lang w:val="fr-FR"/>
        </w:rPr>
        <w:t>être de [6 m</w:t>
      </w:r>
      <w:r w:rsidRPr="00D317C3">
        <w:rPr>
          <w:b/>
          <w:bCs/>
          <w:vertAlign w:val="superscript"/>
          <w:lang w:val="fr-FR"/>
        </w:rPr>
        <w:t>3</w:t>
      </w:r>
      <w:r w:rsidRPr="00D317C3">
        <w:rPr>
          <w:b/>
          <w:bCs/>
          <w:lang w:val="fr-FR"/>
        </w:rPr>
        <w:t>] pour les véhicules du niveau 1 et de [4,5</w:t>
      </w:r>
      <w:r w:rsidR="00843EF5">
        <w:rPr>
          <w:b/>
          <w:bCs/>
          <w:lang w:val="fr-FR"/>
        </w:rPr>
        <w:t> </w:t>
      </w:r>
      <w:r w:rsidRPr="00D317C3">
        <w:rPr>
          <w:b/>
          <w:bCs/>
          <w:lang w:val="fr-FR"/>
        </w:rPr>
        <w:t>m</w:t>
      </w:r>
      <w:r w:rsidRPr="00D317C3">
        <w:rPr>
          <w:b/>
          <w:bCs/>
          <w:vertAlign w:val="superscript"/>
          <w:lang w:val="fr-FR"/>
        </w:rPr>
        <w:t>3</w:t>
      </w:r>
      <w:r w:rsidRPr="00D317C3">
        <w:rPr>
          <w:b/>
          <w:bCs/>
          <w:lang w:val="fr-FR"/>
        </w:rPr>
        <w:t>] pour les véhicules du niveau 2 ou 3.</w:t>
      </w:r>
    </w:p>
    <w:p w14:paraId="60147C65" w14:textId="56517954" w:rsidR="00917E76" w:rsidRPr="004F7E86" w:rsidRDefault="00917E76" w:rsidP="00917E76">
      <w:pPr>
        <w:spacing w:after="120"/>
        <w:ind w:left="2259" w:right="1134" w:hanging="1125"/>
        <w:jc w:val="both"/>
        <w:rPr>
          <w:strike/>
          <w:lang w:val="fr-FR"/>
        </w:rPr>
      </w:pPr>
      <w:r w:rsidRPr="004F7E86">
        <w:rPr>
          <w:strike/>
          <w:lang w:val="fr-FR"/>
        </w:rPr>
        <w:t>5.3.1</w:t>
      </w:r>
      <w:r w:rsidRPr="004F7E86">
        <w:rPr>
          <w:strike/>
          <w:lang w:val="fr-FR"/>
        </w:rPr>
        <w:tab/>
        <w:t>Niveau 1 : 1,65 m ;</w:t>
      </w:r>
    </w:p>
    <w:p w14:paraId="0CF506A9" w14:textId="285169B8" w:rsidR="00917E76" w:rsidRPr="004F7E86" w:rsidRDefault="00917E76" w:rsidP="00917E76">
      <w:pPr>
        <w:spacing w:after="120"/>
        <w:ind w:left="2259" w:right="1134" w:hanging="1125"/>
        <w:jc w:val="both"/>
        <w:rPr>
          <w:strike/>
          <w:lang w:val="fr-FR"/>
        </w:rPr>
      </w:pPr>
      <w:r w:rsidRPr="004F7E86">
        <w:rPr>
          <w:strike/>
          <w:lang w:val="fr-FR"/>
        </w:rPr>
        <w:t>5.3.2</w:t>
      </w:r>
      <w:r w:rsidRPr="004F7E86">
        <w:rPr>
          <w:strike/>
          <w:lang w:val="fr-FR"/>
        </w:rPr>
        <w:tab/>
        <w:t>Niveau 2 : 1,97 m ;</w:t>
      </w:r>
      <w:bookmarkStart w:id="0" w:name="_Hlk89848629"/>
      <w:bookmarkEnd w:id="0"/>
    </w:p>
    <w:p w14:paraId="2F0D3E50" w14:textId="1F30A5B2" w:rsidR="00917E76" w:rsidRPr="004F7E86" w:rsidRDefault="00917E76" w:rsidP="00917E76">
      <w:pPr>
        <w:spacing w:after="120"/>
        <w:ind w:left="2259" w:right="1134" w:hanging="1125"/>
        <w:jc w:val="both"/>
        <w:rPr>
          <w:strike/>
          <w:lang w:val="fr-FR"/>
        </w:rPr>
      </w:pPr>
      <w:r w:rsidRPr="004F7E86">
        <w:rPr>
          <w:strike/>
          <w:lang w:val="fr-FR"/>
        </w:rPr>
        <w:t>5.3.3</w:t>
      </w:r>
      <w:r w:rsidRPr="004F7E86">
        <w:rPr>
          <w:strike/>
          <w:lang w:val="fr-FR"/>
        </w:rPr>
        <w:tab/>
        <w:t>Niveau 3 : 1</w:t>
      </w:r>
      <w:r w:rsidR="00C0544E">
        <w:rPr>
          <w:strike/>
          <w:lang w:val="fr-FR"/>
        </w:rPr>
        <w:t>,97</w:t>
      </w:r>
      <w:r w:rsidRPr="004F7E86">
        <w:rPr>
          <w:strike/>
          <w:lang w:val="fr-FR"/>
        </w:rPr>
        <w:t> m. ».</w:t>
      </w:r>
    </w:p>
    <w:p w14:paraId="2A1C5064" w14:textId="1A1E7B86" w:rsidR="00917E76" w:rsidRPr="00D317C3" w:rsidRDefault="00917E76" w:rsidP="004F7E86">
      <w:pPr>
        <w:pStyle w:val="SingleTxtG"/>
        <w:rPr>
          <w:lang w:val="fr-FR"/>
        </w:rPr>
      </w:pPr>
      <w:r w:rsidRPr="00D317C3">
        <w:rPr>
          <w:lang w:val="fr-FR"/>
        </w:rPr>
        <w:tab/>
      </w:r>
      <w:r w:rsidRPr="004F7E86">
        <w:rPr>
          <w:i/>
          <w:iCs/>
          <w:lang w:val="fr-FR"/>
        </w:rPr>
        <w:t>Ajouter la nouvelle annexe 8</w:t>
      </w:r>
      <w:r w:rsidRPr="00D317C3">
        <w:rPr>
          <w:lang w:val="fr-FR"/>
        </w:rPr>
        <w:t>, libellée comme suit :</w:t>
      </w:r>
    </w:p>
    <w:p w14:paraId="1B44D131" w14:textId="77777777" w:rsidR="00917E76" w:rsidRPr="00D317C3" w:rsidRDefault="00917E76" w:rsidP="006B0993">
      <w:pPr>
        <w:pStyle w:val="HChG"/>
        <w:spacing w:before="320"/>
        <w:rPr>
          <w:sz w:val="24"/>
          <w:szCs w:val="24"/>
          <w:lang w:val="fr-FR"/>
        </w:rPr>
      </w:pPr>
      <w:r w:rsidRPr="004F7E86">
        <w:rPr>
          <w:b w:val="0"/>
          <w:bCs/>
          <w:sz w:val="20"/>
          <w:lang w:val="fr-FR"/>
        </w:rPr>
        <w:t>« </w:t>
      </w:r>
      <w:r w:rsidRPr="00D317C3">
        <w:rPr>
          <w:lang w:val="fr-FR"/>
        </w:rPr>
        <w:t>Annexe 8</w:t>
      </w:r>
    </w:p>
    <w:p w14:paraId="3A19F581" w14:textId="06157183" w:rsidR="00917E76" w:rsidRPr="00D317C3" w:rsidRDefault="004F7E86" w:rsidP="006B0993">
      <w:pPr>
        <w:pStyle w:val="HChG"/>
        <w:spacing w:before="320"/>
        <w:rPr>
          <w:sz w:val="24"/>
          <w:szCs w:val="24"/>
          <w:lang w:val="fr-FR"/>
        </w:rPr>
      </w:pPr>
      <w:bookmarkStart w:id="1" w:name="_Hlk123720936"/>
      <w:r>
        <w:rPr>
          <w:lang w:val="fr-FR"/>
        </w:rPr>
        <w:tab/>
      </w:r>
      <w:r>
        <w:rPr>
          <w:lang w:val="fr-FR"/>
        </w:rPr>
        <w:tab/>
      </w:r>
      <w:r w:rsidR="00917E76" w:rsidRPr="00D317C3">
        <w:rPr>
          <w:lang w:val="fr-FR"/>
        </w:rPr>
        <w:t xml:space="preserve">Autre méthode de détermination du volume visible </w:t>
      </w:r>
      <w:r w:rsidR="00CB2FD6">
        <w:rPr>
          <w:lang w:val="fr-FR"/>
        </w:rPr>
        <w:br/>
      </w:r>
      <w:r w:rsidR="00917E76" w:rsidRPr="00D317C3">
        <w:rPr>
          <w:lang w:val="fr-FR"/>
        </w:rPr>
        <w:t>vers l</w:t>
      </w:r>
      <w:r w:rsidR="00917E76">
        <w:rPr>
          <w:lang w:val="fr-FR"/>
        </w:rPr>
        <w:t>’</w:t>
      </w:r>
      <w:r w:rsidR="00917E76" w:rsidRPr="00D317C3">
        <w:rPr>
          <w:lang w:val="fr-FR"/>
        </w:rPr>
        <w:t>avant</w:t>
      </w:r>
    </w:p>
    <w:bookmarkEnd w:id="1"/>
    <w:p w14:paraId="10EC3241" w14:textId="77777777" w:rsidR="00917E76" w:rsidRPr="00CB2FD6" w:rsidRDefault="00917E76" w:rsidP="00CB2FD6">
      <w:pPr>
        <w:pStyle w:val="SingleTxtG"/>
        <w:ind w:left="2268" w:hanging="1134"/>
        <w:rPr>
          <w:b/>
          <w:bCs/>
          <w:lang w:val="fr-FR"/>
        </w:rPr>
      </w:pPr>
      <w:r w:rsidRPr="006B0993">
        <w:rPr>
          <w:b/>
          <w:bCs/>
          <w:lang w:val="fr-FR"/>
        </w:rPr>
        <w:t>0.</w:t>
      </w:r>
      <w:r w:rsidRPr="00D317C3">
        <w:rPr>
          <w:lang w:val="fr-FR"/>
        </w:rPr>
        <w:tab/>
      </w:r>
      <w:r w:rsidRPr="00CB2FD6">
        <w:rPr>
          <w:b/>
          <w:bCs/>
          <w:lang w:val="fr-FR"/>
        </w:rPr>
        <w:t>Le volume visible vers l’avant peut aussi correspondre au volume entièrement contenu dans le volume d’évaluation avant, déterminé par les lignes du regard correspondant aux limites de la vision directe depuis l’un des points E associées à une quelconque zone vitrée de la cabine.</w:t>
      </w:r>
    </w:p>
    <w:p w14:paraId="505099AA" w14:textId="77777777" w:rsidR="00917E76" w:rsidRPr="00D317C3" w:rsidRDefault="00917E76" w:rsidP="006B0993">
      <w:pPr>
        <w:pStyle w:val="SingleTxtG"/>
        <w:keepNext/>
        <w:ind w:left="2268" w:hanging="1134"/>
        <w:jc w:val="left"/>
        <w:rPr>
          <w:b/>
          <w:bCs/>
          <w:lang w:val="fr-FR"/>
        </w:rPr>
      </w:pPr>
      <w:r w:rsidRPr="00D317C3">
        <w:rPr>
          <w:b/>
          <w:bCs/>
          <w:lang w:val="fr-FR"/>
        </w:rPr>
        <w:lastRenderedPageBreak/>
        <w:t>1.</w:t>
      </w:r>
      <w:r w:rsidRPr="00D317C3">
        <w:rPr>
          <w:lang w:val="fr-FR"/>
        </w:rPr>
        <w:tab/>
      </w:r>
      <w:r w:rsidRPr="00D317C3">
        <w:rPr>
          <w:b/>
          <w:bCs/>
          <w:lang w:val="fr-FR"/>
        </w:rPr>
        <w:t>Autre définition du volume d</w:t>
      </w:r>
      <w:r>
        <w:rPr>
          <w:b/>
          <w:bCs/>
          <w:lang w:val="fr-FR"/>
        </w:rPr>
        <w:t>’</w:t>
      </w:r>
      <w:r w:rsidRPr="00D317C3">
        <w:rPr>
          <w:b/>
          <w:bCs/>
          <w:lang w:val="fr-FR"/>
        </w:rPr>
        <w:t>évaluation avant</w:t>
      </w:r>
    </w:p>
    <w:p w14:paraId="3F23F57C" w14:textId="761BAFB5" w:rsidR="00917E76" w:rsidRPr="00D05AA0" w:rsidRDefault="00917E76" w:rsidP="00CB2FD6">
      <w:pPr>
        <w:pStyle w:val="SingleTxtG"/>
        <w:ind w:left="2268" w:hanging="1134"/>
        <w:rPr>
          <w:rFonts w:ascii="Times New Roman Gras" w:hAnsi="Times New Roman Gras"/>
          <w:b/>
          <w:bCs/>
          <w:spacing w:val="-2"/>
          <w:lang w:val="fr-FR"/>
        </w:rPr>
      </w:pPr>
      <w:r w:rsidRPr="00D317C3">
        <w:rPr>
          <w:b/>
          <w:bCs/>
          <w:lang w:val="fr-FR"/>
        </w:rPr>
        <w:t>1.1</w:t>
      </w:r>
      <w:r w:rsidRPr="00D317C3">
        <w:rPr>
          <w:lang w:val="fr-FR"/>
        </w:rPr>
        <w:tab/>
      </w:r>
      <w:r w:rsidRPr="00D05AA0">
        <w:rPr>
          <w:rFonts w:ascii="Times New Roman Gras" w:hAnsi="Times New Roman Gras"/>
          <w:b/>
          <w:bCs/>
          <w:spacing w:val="-2"/>
          <w:lang w:val="fr-FR"/>
        </w:rPr>
        <w:t>Le volume d’évaluation avant est aussi défini comme le volume compris entre le plan frontal, le plan du côté passager et le plan du côté conducteur du véhicule et les limites horizontales et verticales de la zone d’évaluation avant, comme défini ci-dessous et illustré à la figure 1 de la présente annexe.</w:t>
      </w:r>
    </w:p>
    <w:p w14:paraId="618D7102" w14:textId="4B5805EF" w:rsidR="00917E76" w:rsidRPr="00D317C3" w:rsidRDefault="00917E76" w:rsidP="00CB2FD6">
      <w:pPr>
        <w:pStyle w:val="SingleTxtG"/>
        <w:ind w:left="2268" w:hanging="1134"/>
        <w:rPr>
          <w:b/>
          <w:bCs/>
          <w:lang w:val="fr-FR"/>
        </w:rPr>
      </w:pPr>
      <w:r w:rsidRPr="00D317C3">
        <w:rPr>
          <w:b/>
          <w:bCs/>
          <w:lang w:val="fr-FR"/>
        </w:rPr>
        <w:t>1.2</w:t>
      </w:r>
      <w:r w:rsidRPr="00D317C3">
        <w:rPr>
          <w:lang w:val="fr-FR"/>
        </w:rPr>
        <w:tab/>
      </w:r>
      <w:r w:rsidRPr="00D317C3">
        <w:rPr>
          <w:b/>
          <w:bCs/>
          <w:lang w:val="fr-FR"/>
        </w:rPr>
        <w:t>La limite vers l</w:t>
      </w:r>
      <w:r>
        <w:rPr>
          <w:b/>
          <w:bCs/>
          <w:lang w:val="fr-FR"/>
        </w:rPr>
        <w:t>’</w:t>
      </w:r>
      <w:r w:rsidRPr="00D317C3">
        <w:rPr>
          <w:b/>
          <w:bCs/>
          <w:lang w:val="fr-FR"/>
        </w:rPr>
        <w:t>avant de la zone d</w:t>
      </w:r>
      <w:r>
        <w:rPr>
          <w:b/>
          <w:bCs/>
          <w:lang w:val="fr-FR"/>
        </w:rPr>
        <w:t>’</w:t>
      </w:r>
      <w:r w:rsidRPr="00D317C3">
        <w:rPr>
          <w:b/>
          <w:bCs/>
          <w:lang w:val="fr-FR"/>
        </w:rPr>
        <w:t>évaluation avant est formée par un plan parallèle au plan frontal du véhicule et situé à 2</w:t>
      </w:r>
      <w:r w:rsidR="009C05D2">
        <w:rPr>
          <w:b/>
          <w:bCs/>
          <w:lang w:val="fr-FR"/>
        </w:rPr>
        <w:t> </w:t>
      </w:r>
      <w:r w:rsidRPr="00D317C3">
        <w:rPr>
          <w:b/>
          <w:bCs/>
          <w:lang w:val="fr-FR"/>
        </w:rPr>
        <w:t>000</w:t>
      </w:r>
      <w:r w:rsidR="009C05D2">
        <w:rPr>
          <w:b/>
          <w:bCs/>
          <w:lang w:val="fr-FR"/>
        </w:rPr>
        <w:t> </w:t>
      </w:r>
      <w:r w:rsidRPr="00D317C3">
        <w:rPr>
          <w:b/>
          <w:bCs/>
          <w:lang w:val="fr-FR"/>
        </w:rPr>
        <w:t>mm en avant dudit plan.</w:t>
      </w:r>
    </w:p>
    <w:p w14:paraId="0A354733" w14:textId="0AE891D8" w:rsidR="00917E76" w:rsidRPr="00D317C3" w:rsidRDefault="00917E76" w:rsidP="00CB2FD6">
      <w:pPr>
        <w:pStyle w:val="SingleTxtG"/>
        <w:ind w:left="2268" w:hanging="1134"/>
        <w:rPr>
          <w:b/>
          <w:bCs/>
          <w:lang w:val="fr-FR"/>
        </w:rPr>
      </w:pPr>
      <w:r w:rsidRPr="00D317C3">
        <w:rPr>
          <w:b/>
          <w:bCs/>
          <w:lang w:val="fr-FR"/>
        </w:rPr>
        <w:t>1.3</w:t>
      </w:r>
      <w:r w:rsidRPr="00D317C3">
        <w:rPr>
          <w:lang w:val="fr-FR"/>
        </w:rPr>
        <w:tab/>
      </w:r>
      <w:r w:rsidRPr="00D317C3">
        <w:rPr>
          <w:b/>
          <w:bCs/>
          <w:lang w:val="fr-FR"/>
        </w:rPr>
        <w:t>La limite de la zone totale d</w:t>
      </w:r>
      <w:r>
        <w:rPr>
          <w:b/>
          <w:bCs/>
          <w:lang w:val="fr-FR"/>
        </w:rPr>
        <w:t>’</w:t>
      </w:r>
      <w:r w:rsidRPr="00D317C3">
        <w:rPr>
          <w:b/>
          <w:bCs/>
          <w:lang w:val="fr-FR"/>
        </w:rPr>
        <w:t>évaluation du côté passager est formée par un plan parallèle au plan longitudinal du côté passager du véhicule et situé à une distance de [2 000mm/4 500 mm] dudit plan.</w:t>
      </w:r>
      <w:r w:rsidRPr="00D317C3">
        <w:rPr>
          <w:lang w:val="fr-FR"/>
        </w:rPr>
        <w:t xml:space="preserve"> </w:t>
      </w:r>
    </w:p>
    <w:p w14:paraId="38F93177" w14:textId="172FD427" w:rsidR="00917E76" w:rsidRPr="00D317C3" w:rsidRDefault="00917E76" w:rsidP="00CB2FD6">
      <w:pPr>
        <w:pStyle w:val="SingleTxtG"/>
        <w:ind w:left="2268" w:hanging="1134"/>
        <w:rPr>
          <w:b/>
          <w:bCs/>
          <w:lang w:val="fr-FR"/>
        </w:rPr>
      </w:pPr>
      <w:r w:rsidRPr="00D317C3">
        <w:rPr>
          <w:b/>
          <w:bCs/>
          <w:lang w:val="fr-FR"/>
        </w:rPr>
        <w:t>1.4</w:t>
      </w:r>
      <w:r w:rsidRPr="00D317C3">
        <w:rPr>
          <w:lang w:val="fr-FR"/>
        </w:rPr>
        <w:tab/>
      </w:r>
      <w:r w:rsidRPr="00D317C3">
        <w:rPr>
          <w:b/>
          <w:bCs/>
          <w:lang w:val="fr-FR"/>
        </w:rPr>
        <w:t>La limite de la zone totale d</w:t>
      </w:r>
      <w:r>
        <w:rPr>
          <w:b/>
          <w:bCs/>
          <w:lang w:val="fr-FR"/>
        </w:rPr>
        <w:t>’</w:t>
      </w:r>
      <w:r w:rsidRPr="00D317C3">
        <w:rPr>
          <w:b/>
          <w:bCs/>
          <w:lang w:val="fr-FR"/>
        </w:rPr>
        <w:t>évaluation du côté conducteur est formée par un plan parallèle au plan longitudinal du côté conducteur du véhicule et situé à une distance de 2 000 mm dudit plan.</w:t>
      </w:r>
    </w:p>
    <w:p w14:paraId="4AEB7613" w14:textId="20EA96FD" w:rsidR="00917E76" w:rsidRPr="00D317C3" w:rsidRDefault="00917E76" w:rsidP="00CB2FD6">
      <w:pPr>
        <w:pStyle w:val="SingleTxtG"/>
        <w:ind w:left="2268" w:hanging="1134"/>
        <w:rPr>
          <w:b/>
          <w:bCs/>
          <w:lang w:val="fr-FR"/>
        </w:rPr>
      </w:pPr>
      <w:r w:rsidRPr="00D317C3">
        <w:rPr>
          <w:b/>
          <w:bCs/>
          <w:lang w:val="fr-FR"/>
        </w:rPr>
        <w:t>1.5</w:t>
      </w:r>
      <w:r w:rsidRPr="00D317C3">
        <w:rPr>
          <w:lang w:val="fr-FR"/>
        </w:rPr>
        <w:tab/>
      </w:r>
      <w:r w:rsidRPr="00D317C3">
        <w:rPr>
          <w:b/>
          <w:bCs/>
          <w:lang w:val="fr-FR"/>
        </w:rPr>
        <w:t>La limite arrière de la zone totale d</w:t>
      </w:r>
      <w:r>
        <w:rPr>
          <w:b/>
          <w:bCs/>
          <w:lang w:val="fr-FR"/>
        </w:rPr>
        <w:t>’</w:t>
      </w:r>
      <w:r w:rsidRPr="00D317C3">
        <w:rPr>
          <w:b/>
          <w:bCs/>
          <w:lang w:val="fr-FR"/>
        </w:rPr>
        <w:t>évaluation est formée par le plan frontal du véhicule.</w:t>
      </w:r>
    </w:p>
    <w:p w14:paraId="461D9A8F" w14:textId="62AF31F0" w:rsidR="00917E76" w:rsidRPr="00D317C3" w:rsidRDefault="00917E76" w:rsidP="00CB2FD6">
      <w:pPr>
        <w:pStyle w:val="SingleTxtG"/>
        <w:ind w:left="2268" w:hanging="1134"/>
        <w:rPr>
          <w:b/>
          <w:bCs/>
          <w:lang w:val="fr-FR"/>
        </w:rPr>
      </w:pPr>
      <w:r w:rsidRPr="00D317C3">
        <w:rPr>
          <w:b/>
          <w:bCs/>
          <w:lang w:val="fr-FR"/>
        </w:rPr>
        <w:t>1.6</w:t>
      </w:r>
      <w:r w:rsidRPr="00D317C3">
        <w:rPr>
          <w:lang w:val="fr-FR"/>
        </w:rPr>
        <w:tab/>
      </w:r>
      <w:r w:rsidRPr="00D317C3">
        <w:rPr>
          <w:b/>
          <w:bCs/>
          <w:lang w:val="fr-FR"/>
        </w:rPr>
        <w:t>Les limites verticales de la zone d</w:t>
      </w:r>
      <w:r>
        <w:rPr>
          <w:b/>
          <w:bCs/>
          <w:lang w:val="fr-FR"/>
        </w:rPr>
        <w:t>’</w:t>
      </w:r>
      <w:r w:rsidRPr="00D317C3">
        <w:rPr>
          <w:b/>
          <w:bCs/>
          <w:lang w:val="fr-FR"/>
        </w:rPr>
        <w:t>évaluation sont formées par le plan du sol et un plan parallèle au plan du sol et situé à 1 602 mm au-dessus de celui-ci.</w:t>
      </w:r>
    </w:p>
    <w:p w14:paraId="58B1A7BB" w14:textId="6E6F1756" w:rsidR="00917E76" w:rsidRDefault="00917E76" w:rsidP="00966C8B">
      <w:pPr>
        <w:pStyle w:val="Titre1"/>
        <w:spacing w:after="120"/>
        <w:rPr>
          <w:b/>
          <w:bCs/>
          <w:lang w:val="fr-FR"/>
        </w:rPr>
      </w:pPr>
      <w:r w:rsidRPr="00966C8B">
        <w:rPr>
          <w:b/>
          <w:bCs/>
          <w:lang w:val="fr-FR"/>
        </w:rPr>
        <w:t>Figure 1</w:t>
      </w:r>
      <w:r w:rsidR="00966C8B">
        <w:rPr>
          <w:lang w:val="fr-FR"/>
        </w:rPr>
        <w:br/>
      </w:r>
      <w:r w:rsidRPr="00966C8B">
        <w:rPr>
          <w:b/>
          <w:bCs/>
          <w:lang w:val="fr-FR"/>
        </w:rPr>
        <w:t>Définition du volume d’évaluation avant (exemple d’un véhicule de catégorie N</w:t>
      </w:r>
      <w:r w:rsidRPr="00F075B7">
        <w:rPr>
          <w:b/>
          <w:bCs/>
          <w:vertAlign w:val="subscript"/>
          <w:lang w:val="fr-FR"/>
        </w:rPr>
        <w:t>3</w:t>
      </w:r>
      <w:r w:rsidRPr="00966C8B">
        <w:rPr>
          <w:b/>
          <w:bCs/>
          <w:lang w:val="fr-FR"/>
        </w:rPr>
        <w:t xml:space="preserve"> conçu </w:t>
      </w:r>
      <w:r w:rsidR="00966C8B">
        <w:rPr>
          <w:b/>
          <w:bCs/>
          <w:lang w:val="fr-FR"/>
        </w:rPr>
        <w:br/>
      </w:r>
      <w:r w:rsidRPr="00966C8B">
        <w:rPr>
          <w:b/>
          <w:bCs/>
          <w:lang w:val="fr-FR"/>
        </w:rPr>
        <w:t>pour la circulation à gauche)</w:t>
      </w:r>
    </w:p>
    <w:p w14:paraId="36DF28DE" w14:textId="6945CE53" w:rsidR="00AA701E" w:rsidRPr="00AA701E" w:rsidRDefault="00AA701E" w:rsidP="00AA701E">
      <w:pPr>
        <w:pStyle w:val="SingleTxtG"/>
        <w:rPr>
          <w:b/>
          <w:bCs/>
          <w:lang w:val="fr-FR"/>
        </w:rPr>
      </w:pPr>
      <w:r w:rsidRPr="00AA701E">
        <w:rPr>
          <w:b/>
          <w:bCs/>
          <w:lang w:val="fr-FR"/>
        </w:rPr>
        <w:t>Volume d’évaluation avant</w:t>
      </w:r>
    </w:p>
    <w:p w14:paraId="008E9B3C" w14:textId="644B0D4E" w:rsidR="00D2167C" w:rsidRDefault="002B7965" w:rsidP="00D2167C">
      <w:pPr>
        <w:pStyle w:val="SingleTxtG"/>
        <w:rPr>
          <w:lang w:val="fr-FR"/>
        </w:rPr>
      </w:pPr>
      <w:r>
        <w:rPr>
          <w:noProof/>
        </w:rPr>
        <w:drawing>
          <wp:inline distT="0" distB="0" distL="0" distR="0" wp14:anchorId="2E4A58E8" wp14:editId="50C3E4A0">
            <wp:extent cx="4680000" cy="2181600"/>
            <wp:effectExtent l="0" t="0" r="635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2181600"/>
                    </a:xfrm>
                    <a:prstGeom prst="rect">
                      <a:avLst/>
                    </a:prstGeom>
                  </pic:spPr>
                </pic:pic>
              </a:graphicData>
            </a:graphic>
          </wp:inline>
        </w:drawing>
      </w:r>
    </w:p>
    <w:p w14:paraId="32A11D53" w14:textId="77777777" w:rsidR="00917E76" w:rsidRPr="00D317C3" w:rsidRDefault="00917E76" w:rsidP="00966C8B">
      <w:pPr>
        <w:pStyle w:val="SingleTxtG"/>
        <w:keepNext/>
        <w:ind w:left="2268" w:hanging="1134"/>
        <w:jc w:val="left"/>
        <w:rPr>
          <w:b/>
          <w:bCs/>
          <w:lang w:val="fr-FR"/>
        </w:rPr>
      </w:pPr>
      <w:r w:rsidRPr="00D317C3">
        <w:rPr>
          <w:b/>
          <w:bCs/>
          <w:lang w:val="fr-FR"/>
        </w:rPr>
        <w:t>2.</w:t>
      </w:r>
      <w:r w:rsidRPr="00D317C3">
        <w:rPr>
          <w:lang w:val="fr-FR"/>
        </w:rPr>
        <w:tab/>
      </w:r>
      <w:r w:rsidRPr="00D317C3">
        <w:rPr>
          <w:b/>
          <w:bCs/>
          <w:lang w:val="fr-FR"/>
        </w:rPr>
        <w:t>Méthode d</w:t>
      </w:r>
      <w:r>
        <w:rPr>
          <w:b/>
          <w:bCs/>
          <w:lang w:val="fr-FR"/>
        </w:rPr>
        <w:t>’</w:t>
      </w:r>
      <w:r w:rsidRPr="00D317C3">
        <w:rPr>
          <w:b/>
          <w:bCs/>
          <w:lang w:val="fr-FR"/>
        </w:rPr>
        <w:t>essai numérique</w:t>
      </w:r>
    </w:p>
    <w:p w14:paraId="69EEC401" w14:textId="0535FD0D" w:rsidR="00917E76" w:rsidRPr="00D317C3" w:rsidRDefault="00917E76" w:rsidP="00CB2FD6">
      <w:pPr>
        <w:pStyle w:val="SingleTxtG"/>
        <w:ind w:left="2268" w:hanging="1134"/>
        <w:rPr>
          <w:b/>
          <w:bCs/>
          <w:lang w:val="fr-FR"/>
        </w:rPr>
      </w:pPr>
      <w:r w:rsidRPr="00D317C3">
        <w:rPr>
          <w:b/>
          <w:bCs/>
          <w:lang w:val="fr-FR"/>
        </w:rPr>
        <w:t>2.1</w:t>
      </w:r>
      <w:r w:rsidRPr="00D317C3">
        <w:rPr>
          <w:lang w:val="fr-FR"/>
        </w:rPr>
        <w:tab/>
      </w:r>
      <w:r w:rsidRPr="00D317C3">
        <w:rPr>
          <w:b/>
          <w:bCs/>
          <w:lang w:val="fr-FR"/>
        </w:rPr>
        <w:t>La méthode d</w:t>
      </w:r>
      <w:r>
        <w:rPr>
          <w:b/>
          <w:bCs/>
          <w:lang w:val="fr-FR"/>
        </w:rPr>
        <w:t>’</w:t>
      </w:r>
      <w:r w:rsidRPr="00D317C3">
        <w:rPr>
          <w:b/>
          <w:bCs/>
          <w:lang w:val="fr-FR"/>
        </w:rPr>
        <w:t>essai numérique définie à l</w:t>
      </w:r>
      <w:r>
        <w:rPr>
          <w:b/>
          <w:bCs/>
          <w:lang w:val="fr-FR"/>
        </w:rPr>
        <w:t>’</w:t>
      </w:r>
      <w:r w:rsidRPr="00D317C3">
        <w:rPr>
          <w:b/>
          <w:bCs/>
          <w:lang w:val="fr-FR"/>
        </w:rPr>
        <w:t>annexe 7 peut également être appliquée pour déterminer le volume visible vers l</w:t>
      </w:r>
      <w:r>
        <w:rPr>
          <w:b/>
          <w:bCs/>
          <w:lang w:val="fr-FR"/>
        </w:rPr>
        <w:t>’</w:t>
      </w:r>
      <w:r w:rsidRPr="00D317C3">
        <w:rPr>
          <w:b/>
          <w:bCs/>
          <w:lang w:val="fr-FR"/>
        </w:rPr>
        <w:t>avant.</w:t>
      </w:r>
    </w:p>
    <w:p w14:paraId="07E245D0" w14:textId="77777777" w:rsidR="00917E76" w:rsidRPr="00D317C3" w:rsidRDefault="00917E76" w:rsidP="00CB2FD6">
      <w:pPr>
        <w:pStyle w:val="SingleTxtG"/>
        <w:ind w:left="2268" w:hanging="1134"/>
        <w:rPr>
          <w:b/>
          <w:bCs/>
          <w:lang w:val="fr-FR"/>
        </w:rPr>
      </w:pPr>
      <w:r w:rsidRPr="00D317C3">
        <w:rPr>
          <w:b/>
          <w:bCs/>
          <w:lang w:val="fr-FR"/>
        </w:rPr>
        <w:t>3.</w:t>
      </w:r>
      <w:r w:rsidRPr="00D317C3">
        <w:rPr>
          <w:lang w:val="fr-FR"/>
        </w:rPr>
        <w:tab/>
      </w:r>
      <w:r w:rsidRPr="00D317C3">
        <w:rPr>
          <w:b/>
          <w:bCs/>
          <w:lang w:val="fr-FR"/>
        </w:rPr>
        <w:t>Méthode d</w:t>
      </w:r>
      <w:r>
        <w:rPr>
          <w:b/>
          <w:bCs/>
          <w:lang w:val="fr-FR"/>
        </w:rPr>
        <w:t>’</w:t>
      </w:r>
      <w:r w:rsidRPr="00D317C3">
        <w:rPr>
          <w:b/>
          <w:bCs/>
          <w:lang w:val="fr-FR"/>
        </w:rPr>
        <w:t>essai physique</w:t>
      </w:r>
    </w:p>
    <w:p w14:paraId="0E9D022D" w14:textId="033999EB" w:rsidR="00917E76" w:rsidRPr="00D317C3" w:rsidRDefault="00917E76" w:rsidP="00CB2FD6">
      <w:pPr>
        <w:pStyle w:val="SingleTxtG"/>
        <w:ind w:left="2268" w:hanging="1134"/>
        <w:rPr>
          <w:b/>
          <w:bCs/>
          <w:lang w:val="fr-FR"/>
        </w:rPr>
      </w:pPr>
      <w:r w:rsidRPr="00D317C3">
        <w:rPr>
          <w:b/>
          <w:bCs/>
          <w:lang w:val="fr-FR"/>
        </w:rPr>
        <w:t>3.1</w:t>
      </w:r>
      <w:r w:rsidRPr="00D317C3">
        <w:rPr>
          <w:lang w:val="fr-FR"/>
        </w:rPr>
        <w:tab/>
      </w:r>
      <w:r w:rsidRPr="00D317C3">
        <w:rPr>
          <w:b/>
          <w:bCs/>
          <w:lang w:val="fr-FR"/>
        </w:rPr>
        <w:t>La méthode d</w:t>
      </w:r>
      <w:r>
        <w:rPr>
          <w:b/>
          <w:bCs/>
          <w:lang w:val="fr-FR"/>
        </w:rPr>
        <w:t>’</w:t>
      </w:r>
      <w:r w:rsidRPr="00D317C3">
        <w:rPr>
          <w:b/>
          <w:bCs/>
          <w:lang w:val="fr-FR"/>
        </w:rPr>
        <w:t>essai physique définie à l</w:t>
      </w:r>
      <w:r>
        <w:rPr>
          <w:b/>
          <w:bCs/>
          <w:lang w:val="fr-FR"/>
        </w:rPr>
        <w:t>’</w:t>
      </w:r>
      <w:r w:rsidRPr="00D317C3">
        <w:rPr>
          <w:b/>
          <w:bCs/>
          <w:lang w:val="fr-FR"/>
        </w:rPr>
        <w:t>annexe 6 peut également être appliquée pour déterminer le volume visible vers l</w:t>
      </w:r>
      <w:r>
        <w:rPr>
          <w:b/>
          <w:bCs/>
          <w:lang w:val="fr-FR"/>
        </w:rPr>
        <w:t>’</w:t>
      </w:r>
      <w:r w:rsidRPr="00D317C3">
        <w:rPr>
          <w:b/>
          <w:bCs/>
          <w:lang w:val="fr-FR"/>
        </w:rPr>
        <w:t>avant.</w:t>
      </w:r>
      <w:r w:rsidRPr="00D317C3">
        <w:rPr>
          <w:lang w:val="fr-FR"/>
        </w:rPr>
        <w:t xml:space="preserve"> </w:t>
      </w:r>
      <w:r w:rsidRPr="00D317C3">
        <w:rPr>
          <w:b/>
          <w:bCs/>
          <w:lang w:val="fr-FR"/>
        </w:rPr>
        <w:t>Pour déterminer le volume d</w:t>
      </w:r>
      <w:r>
        <w:rPr>
          <w:b/>
          <w:bCs/>
          <w:lang w:val="fr-FR"/>
        </w:rPr>
        <w:t>’</w:t>
      </w:r>
      <w:r w:rsidRPr="00D317C3">
        <w:rPr>
          <w:b/>
          <w:bCs/>
          <w:lang w:val="fr-FR"/>
        </w:rPr>
        <w:t>évaluation avant, la longueur visible des lignes vers l</w:t>
      </w:r>
      <w:r>
        <w:rPr>
          <w:b/>
          <w:bCs/>
          <w:lang w:val="fr-FR"/>
        </w:rPr>
        <w:t>’</w:t>
      </w:r>
      <w:r w:rsidRPr="00D317C3">
        <w:rPr>
          <w:b/>
          <w:bCs/>
          <w:lang w:val="fr-FR"/>
        </w:rPr>
        <w:t>avant est la somme des longueurs des lignes du quadrillage, dans les limites du volume d</w:t>
      </w:r>
      <w:r>
        <w:rPr>
          <w:b/>
          <w:bCs/>
          <w:lang w:val="fr-FR"/>
        </w:rPr>
        <w:t>’</w:t>
      </w:r>
      <w:r w:rsidRPr="00D317C3">
        <w:rPr>
          <w:b/>
          <w:bCs/>
          <w:lang w:val="fr-FR"/>
        </w:rPr>
        <w:t>évaluation avant, qui sont visibles sur le plan d</w:t>
      </w:r>
      <w:r>
        <w:rPr>
          <w:b/>
          <w:bCs/>
          <w:lang w:val="fr-FR"/>
        </w:rPr>
        <w:t>’</w:t>
      </w:r>
      <w:r w:rsidRPr="00D317C3">
        <w:rPr>
          <w:b/>
          <w:bCs/>
          <w:lang w:val="fr-FR"/>
        </w:rPr>
        <w:t>évaluation depuis le point oculaire E2 à travers toute zone transparente du véhicule, où la vue depuis le siège du conducteur porte principalement au-delà du plan frontal du véhicule.</w:t>
      </w:r>
      <w:r w:rsidRPr="00D317C3">
        <w:rPr>
          <w:lang w:val="fr-FR"/>
        </w:rPr>
        <w:t xml:space="preserve"> </w:t>
      </w:r>
      <w:r w:rsidRPr="00D317C3">
        <w:rPr>
          <w:b/>
          <w:bCs/>
          <w:lang w:val="fr-FR"/>
        </w:rPr>
        <w:t>La longueur visible des lignes, telle que mesurée à partir du point E2, ne prend en compte que les lignes du quadrillage qui sont parallèles au plan longitudinal médian du véhicule, comme le montre la figure 2.</w:t>
      </w:r>
    </w:p>
    <w:p w14:paraId="28421700" w14:textId="76CF944F" w:rsidR="00C91B82" w:rsidRPr="009E1902" w:rsidRDefault="00917E76" w:rsidP="009E1902">
      <w:pPr>
        <w:pStyle w:val="SingleTxtG"/>
        <w:ind w:left="2268" w:hanging="1134"/>
        <w:rPr>
          <w:lang w:val="fr-FR"/>
        </w:rPr>
      </w:pPr>
      <w:r w:rsidRPr="00D317C3">
        <w:rPr>
          <w:b/>
          <w:bCs/>
          <w:lang w:val="fr-FR"/>
        </w:rPr>
        <w:lastRenderedPageBreak/>
        <w:t>3.2.</w:t>
      </w:r>
      <w:r w:rsidRPr="00D317C3">
        <w:rPr>
          <w:lang w:val="fr-FR"/>
        </w:rPr>
        <w:tab/>
      </w:r>
      <w:r w:rsidRPr="00D317C3">
        <w:rPr>
          <w:b/>
          <w:bCs/>
          <w:lang w:val="fr-FR"/>
        </w:rPr>
        <w:t>La longueur visible des lignes vers l</w:t>
      </w:r>
      <w:r>
        <w:rPr>
          <w:b/>
          <w:bCs/>
          <w:lang w:val="fr-FR"/>
        </w:rPr>
        <w:t>’</w:t>
      </w:r>
      <w:r w:rsidRPr="00D317C3">
        <w:rPr>
          <w:b/>
          <w:bCs/>
          <w:lang w:val="fr-FR"/>
        </w:rPr>
        <w:t>avant pour le volume vers l</w:t>
      </w:r>
      <w:r>
        <w:rPr>
          <w:b/>
          <w:bCs/>
          <w:lang w:val="fr-FR"/>
        </w:rPr>
        <w:t>’</w:t>
      </w:r>
      <w:r w:rsidRPr="00D317C3">
        <w:rPr>
          <w:b/>
          <w:bCs/>
          <w:lang w:val="fr-FR"/>
        </w:rPr>
        <w:t>avant (en</w:t>
      </w:r>
      <w:r w:rsidR="00C91B82">
        <w:rPr>
          <w:b/>
          <w:bCs/>
          <w:lang w:val="fr-FR"/>
        </w:rPr>
        <w:t> </w:t>
      </w:r>
      <w:r w:rsidRPr="00D317C3">
        <w:rPr>
          <w:b/>
          <w:bCs/>
          <w:lang w:val="fr-FR"/>
        </w:rPr>
        <w:t>mm) est convertie en volume visible vers l</w:t>
      </w:r>
      <w:r>
        <w:rPr>
          <w:b/>
          <w:bCs/>
          <w:lang w:val="fr-FR"/>
        </w:rPr>
        <w:t>’</w:t>
      </w:r>
      <w:r w:rsidRPr="00D317C3">
        <w:rPr>
          <w:b/>
          <w:bCs/>
          <w:lang w:val="fr-FR"/>
        </w:rPr>
        <w:t>avant de remplacement (en</w:t>
      </w:r>
      <w:r w:rsidR="00C91B82">
        <w:rPr>
          <w:b/>
          <w:bCs/>
          <w:lang w:val="fr-FR"/>
        </w:rPr>
        <w:t> </w:t>
      </w:r>
      <w:r w:rsidRPr="00D317C3">
        <w:rPr>
          <w:b/>
          <w:bCs/>
          <w:lang w:val="fr-FR"/>
        </w:rPr>
        <w:t>mm</w:t>
      </w:r>
      <w:r w:rsidRPr="00D317C3">
        <w:rPr>
          <w:b/>
          <w:bCs/>
          <w:vertAlign w:val="superscript"/>
          <w:lang w:val="fr-FR"/>
        </w:rPr>
        <w:t>3</w:t>
      </w:r>
      <w:r w:rsidRPr="00D317C3">
        <w:rPr>
          <w:b/>
          <w:bCs/>
          <w:lang w:val="fr-FR"/>
        </w:rPr>
        <w:t>) comme suit :</w:t>
      </w:r>
      <w:r w:rsidRPr="00D317C3">
        <w:rPr>
          <w:lang w:val="fr-FR"/>
        </w:rPr>
        <w:t xml:space="preserve"> </w:t>
      </w:r>
    </w:p>
    <w:p w14:paraId="29278CDE" w14:textId="4207033B" w:rsidR="00917E76" w:rsidRPr="00143631" w:rsidRDefault="00D55B43" w:rsidP="00143631">
      <w:pPr>
        <w:pStyle w:val="Paragraphedeliste"/>
        <w:ind w:left="567" w:right="1134"/>
        <w:jc w:val="both"/>
        <w:rPr>
          <w:rFonts w:ascii="Times New Roman" w:hAnsi="Times New Roman"/>
          <w:b/>
          <w:bCs/>
          <w:iCs/>
          <w:sz w:val="15"/>
          <w:szCs w:val="15"/>
          <w:lang w:val="fr-FR"/>
        </w:rPr>
      </w:pPr>
      <m:oMathPara>
        <m:oMath>
          <m:r>
            <m:rPr>
              <m:sty m:val="b"/>
            </m:rPr>
            <w:rPr>
              <w:rFonts w:ascii="Cambria Math" w:hAnsi="Cambria Math"/>
              <w:sz w:val="15"/>
              <w:szCs w:val="15"/>
              <w:lang w:val="fr-FR"/>
            </w:rPr>
            <m:t xml:space="preserve">[longueur visible des lignes vers l’avant = </m:t>
          </m:r>
          <m:f>
            <m:fPr>
              <m:ctrlPr>
                <w:rPr>
                  <w:rFonts w:ascii="Cambria Math" w:hAnsi="Cambria Math"/>
                  <w:b/>
                  <w:bCs/>
                  <w:iCs/>
                  <w:sz w:val="15"/>
                  <w:szCs w:val="15"/>
                  <w:lang w:val="fr-FR"/>
                </w:rPr>
              </m:ctrlPr>
            </m:fPr>
            <m:num>
              <m:r>
                <m:rPr>
                  <m:sty m:val="b"/>
                </m:rPr>
                <w:rPr>
                  <w:rFonts w:ascii="Cambria Math" w:hAnsi="Cambria Math"/>
                  <w:sz w:val="15"/>
                  <w:szCs w:val="15"/>
                  <w:lang w:val="fr-FR"/>
                </w:rPr>
                <m:t>longueur  visible des lignes vers l’avant</m:t>
              </m:r>
            </m:num>
            <m:den>
              <m:r>
                <m:rPr>
                  <m:sty m:val="b"/>
                </m:rPr>
                <w:rPr>
                  <w:rFonts w:ascii="Cambria Math" w:hAnsi="Cambria Math"/>
                  <w:sz w:val="15"/>
                  <w:szCs w:val="15"/>
                  <w:lang w:val="fr-FR"/>
                </w:rPr>
                <m:t>0</m:t>
              </m:r>
              <m:r>
                <m:rPr>
                  <m:sty m:val="b"/>
                </m:rPr>
                <w:rPr>
                  <w:rFonts w:ascii="Cambria Math" w:hAnsi="Cambria Math"/>
                  <w:sz w:val="15"/>
                  <w:szCs w:val="15"/>
                  <w:lang w:val="fr-FR"/>
                </w:rPr>
                <m:t>,</m:t>
              </m:r>
              <m:r>
                <m:rPr>
                  <m:sty m:val="b"/>
                </m:rPr>
                <w:rPr>
                  <w:rFonts w:ascii="Cambria Math" w:hAnsi="Cambria Math"/>
                  <w:sz w:val="15"/>
                  <w:szCs w:val="15"/>
                  <w:lang w:val="fr-FR"/>
                </w:rPr>
                <m:t>0000593932</m:t>
              </m:r>
            </m:den>
          </m:f>
          <m:r>
            <m:rPr>
              <m:sty m:val="b"/>
            </m:rPr>
            <w:rPr>
              <w:rFonts w:ascii="Cambria Math" w:hAnsi="Cambria Math"/>
              <w:sz w:val="15"/>
              <w:szCs w:val="15"/>
              <w:lang w:val="fr-FR"/>
            </w:rPr>
            <m:t>-13</m:t>
          </m:r>
          <m:r>
            <m:rPr>
              <m:sty m:val="b"/>
            </m:rPr>
            <w:rPr>
              <w:rFonts w:ascii="Cambria Math" w:hAnsi="Cambria Math"/>
              <w:sz w:val="15"/>
              <w:szCs w:val="15"/>
              <w:lang w:val="fr-FR"/>
            </w:rPr>
            <m:t xml:space="preserve"> </m:t>
          </m:r>
          <m:r>
            <m:rPr>
              <m:sty m:val="b"/>
            </m:rPr>
            <w:rPr>
              <w:rFonts w:ascii="Cambria Math" w:hAnsi="Cambria Math"/>
              <w:sz w:val="15"/>
              <w:szCs w:val="15"/>
              <w:lang w:val="fr-FR"/>
            </w:rPr>
            <m:t>715</m:t>
          </m:r>
          <m:r>
            <m:rPr>
              <m:sty m:val="b"/>
            </m:rPr>
            <w:rPr>
              <w:rFonts w:ascii="Cambria Math" w:hAnsi="Cambria Math"/>
              <w:sz w:val="15"/>
              <w:szCs w:val="15"/>
              <w:lang w:val="fr-FR"/>
            </w:rPr>
            <m:t>,</m:t>
          </m:r>
          <m:r>
            <m:rPr>
              <m:sty m:val="b"/>
            </m:rPr>
            <w:rPr>
              <w:rFonts w:ascii="Cambria Math" w:hAnsi="Cambria Math"/>
              <w:sz w:val="15"/>
              <w:szCs w:val="15"/>
              <w:lang w:val="fr-FR"/>
            </w:rPr>
            <m:t>5591368016</m:t>
          </m:r>
          <m:r>
            <m:rPr>
              <m:sty m:val="b"/>
            </m:rPr>
            <w:rPr>
              <w:rFonts w:ascii="Cambria Math" w:hAnsi="Cambria Math"/>
              <w:sz w:val="15"/>
              <w:szCs w:val="15"/>
              <w:lang w:val="fr-FR"/>
            </w:rPr>
            <m:t>]</m:t>
          </m:r>
        </m:oMath>
      </m:oMathPara>
    </w:p>
    <w:p w14:paraId="4664C59F" w14:textId="5F60707E" w:rsidR="00917E76" w:rsidRDefault="00917E76" w:rsidP="007D0B9E">
      <w:pPr>
        <w:pStyle w:val="Titre1"/>
        <w:spacing w:before="240" w:after="120"/>
        <w:ind w:right="1134"/>
        <w:rPr>
          <w:b/>
          <w:bCs/>
          <w:lang w:val="fr-FR"/>
        </w:rPr>
      </w:pPr>
      <w:bookmarkStart w:id="2" w:name="_Ref82426670"/>
      <w:r w:rsidRPr="00143631">
        <w:rPr>
          <w:b/>
          <w:bCs/>
          <w:lang w:val="fr-FR"/>
        </w:rPr>
        <w:t>Figure 2</w:t>
      </w:r>
      <w:r w:rsidR="00143631" w:rsidRPr="00143631">
        <w:rPr>
          <w:b/>
          <w:bCs/>
          <w:lang w:val="fr-FR"/>
        </w:rPr>
        <w:br/>
      </w:r>
      <w:r w:rsidRPr="00143631">
        <w:rPr>
          <w:b/>
          <w:bCs/>
          <w:lang w:val="fr-FR"/>
        </w:rPr>
        <w:t xml:space="preserve">Longueur visible des lignes sur le côté avant </w:t>
      </w:r>
      <w:r w:rsidR="007D0B9E">
        <w:rPr>
          <w:b/>
          <w:bCs/>
          <w:lang w:val="fr-FR"/>
        </w:rPr>
        <w:br/>
      </w:r>
      <w:r w:rsidRPr="00143631">
        <w:rPr>
          <w:b/>
          <w:bCs/>
          <w:lang w:val="fr-FR"/>
        </w:rPr>
        <w:t>(exemple conçu pour la circulation à gauche)</w:t>
      </w:r>
      <w:bookmarkEnd w:id="2"/>
    </w:p>
    <w:p w14:paraId="57D9DCCF" w14:textId="6E502AEC" w:rsidR="00F52BE9" w:rsidRDefault="00720CB3" w:rsidP="00F52BE9">
      <w:pPr>
        <w:pStyle w:val="SingleTxtG"/>
        <w:rPr>
          <w:lang w:val="fr-FR"/>
        </w:rPr>
      </w:pPr>
      <w:r>
        <w:rPr>
          <w:lang w:val="fr-FR"/>
        </w:rPr>
        <w:t>[</w:t>
      </w:r>
      <w:r w:rsidR="00F52BE9" w:rsidRPr="00AD1F0A">
        <w:rPr>
          <w:noProof/>
        </w:rPr>
        <w:drawing>
          <wp:inline distT="0" distB="0" distL="0" distR="0" wp14:anchorId="04CCBED5" wp14:editId="3DC1A0E2">
            <wp:extent cx="1681614" cy="3062581"/>
            <wp:effectExtent l="0" t="0" r="0" b="5080"/>
            <wp:docPr id="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925664" name="Picture 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099" cy="3068928"/>
                    </a:xfrm>
                    <a:prstGeom prst="rect">
                      <a:avLst/>
                    </a:prstGeom>
                    <a:noFill/>
                  </pic:spPr>
                </pic:pic>
              </a:graphicData>
            </a:graphic>
          </wp:inline>
        </w:drawing>
      </w:r>
      <w:r>
        <w:rPr>
          <w:lang w:val="fr-FR"/>
        </w:rPr>
        <w:t>]</w:t>
      </w:r>
    </w:p>
    <w:p w14:paraId="0EB46B9F" w14:textId="6A2257BE" w:rsidR="00917E76" w:rsidRPr="00D317C3" w:rsidRDefault="00917E76" w:rsidP="00F52BE9">
      <w:pPr>
        <w:pStyle w:val="SingleTxtG"/>
        <w:jc w:val="right"/>
        <w:rPr>
          <w:lang w:val="fr-FR"/>
        </w:rPr>
      </w:pPr>
      <w:r w:rsidRPr="00D317C3">
        <w:rPr>
          <w:lang w:val="fr-FR"/>
        </w:rPr>
        <w:t>».</w:t>
      </w:r>
    </w:p>
    <w:p w14:paraId="3A9165CA" w14:textId="77777777" w:rsidR="00917E76" w:rsidRPr="00D317C3" w:rsidRDefault="00917E76" w:rsidP="00917E76">
      <w:pPr>
        <w:pStyle w:val="HChG"/>
        <w:jc w:val="both"/>
        <w:rPr>
          <w:lang w:val="fr-FR"/>
        </w:rPr>
      </w:pPr>
      <w:r w:rsidRPr="00D317C3">
        <w:rPr>
          <w:bCs/>
          <w:lang w:val="fr-FR"/>
        </w:rPr>
        <w:tab/>
        <w:t>II.</w:t>
      </w:r>
      <w:r w:rsidRPr="00D317C3">
        <w:rPr>
          <w:lang w:val="fr-FR"/>
        </w:rPr>
        <w:tab/>
      </w:r>
      <w:r w:rsidRPr="00D317C3">
        <w:rPr>
          <w:bCs/>
          <w:lang w:val="fr-FR"/>
        </w:rPr>
        <w:t>Justification</w:t>
      </w:r>
    </w:p>
    <w:p w14:paraId="76FAC49B" w14:textId="0D6BC642" w:rsidR="00917E76" w:rsidRPr="00D317C3" w:rsidRDefault="00917E76" w:rsidP="00C5170A">
      <w:pPr>
        <w:pStyle w:val="SingleTxtG"/>
        <w:rPr>
          <w:lang w:val="fr-FR"/>
        </w:rPr>
      </w:pPr>
      <w:r w:rsidRPr="00D317C3">
        <w:rPr>
          <w:lang w:val="fr-FR"/>
        </w:rPr>
        <w:t>1.</w:t>
      </w:r>
      <w:r w:rsidRPr="00D317C3">
        <w:rPr>
          <w:lang w:val="fr-FR"/>
        </w:rPr>
        <w:tab/>
        <w:t>La méthode actuelle d</w:t>
      </w:r>
      <w:r>
        <w:rPr>
          <w:lang w:val="fr-FR"/>
        </w:rPr>
        <w:t>’</w:t>
      </w:r>
      <w:r w:rsidRPr="00D317C3">
        <w:rPr>
          <w:lang w:val="fr-FR"/>
        </w:rPr>
        <w:t>évaluation du volume visible vers l</w:t>
      </w:r>
      <w:r>
        <w:rPr>
          <w:lang w:val="fr-FR"/>
        </w:rPr>
        <w:t>’</w:t>
      </w:r>
      <w:r w:rsidRPr="00D317C3">
        <w:rPr>
          <w:lang w:val="fr-FR"/>
        </w:rPr>
        <w:t>avant dans le Règlement ONU n</w:t>
      </w:r>
      <w:r w:rsidRPr="00D317C3">
        <w:rPr>
          <w:vertAlign w:val="superscript"/>
          <w:lang w:val="fr-FR"/>
        </w:rPr>
        <w:t>o</w:t>
      </w:r>
      <w:r w:rsidR="0075011D">
        <w:rPr>
          <w:lang w:val="fr-FR"/>
        </w:rPr>
        <w:t> </w:t>
      </w:r>
      <w:r w:rsidRPr="00D317C3">
        <w:rPr>
          <w:lang w:val="fr-FR"/>
        </w:rPr>
        <w:t xml:space="preserve">167 dépend de la géométrie de la cabine (position des montants A). Elle peut donc présenter des inconvénients pour les futurs modèles de cabines dont les montants A seront plus rapprochés. </w:t>
      </w:r>
    </w:p>
    <w:p w14:paraId="5E30055E" w14:textId="0D11B276" w:rsidR="00F9573C" w:rsidRDefault="00917E76" w:rsidP="00C5170A">
      <w:pPr>
        <w:pStyle w:val="SingleTxtG"/>
        <w:rPr>
          <w:lang w:val="fr-FR"/>
        </w:rPr>
      </w:pPr>
      <w:r w:rsidRPr="00D317C3">
        <w:rPr>
          <w:lang w:val="fr-FR"/>
        </w:rPr>
        <w:t>2.</w:t>
      </w:r>
      <w:r w:rsidRPr="00D317C3">
        <w:rPr>
          <w:lang w:val="fr-FR"/>
        </w:rPr>
        <w:tab/>
        <w:t>Le présent amendement permet de proposer une autre définition du volume d</w:t>
      </w:r>
      <w:r>
        <w:rPr>
          <w:lang w:val="fr-FR"/>
        </w:rPr>
        <w:t>’</w:t>
      </w:r>
      <w:r w:rsidRPr="00D317C3">
        <w:rPr>
          <w:lang w:val="fr-FR"/>
        </w:rPr>
        <w:t>évaluation avant à la discrétion du constructeur. Cette autre définition du volume d</w:t>
      </w:r>
      <w:r>
        <w:rPr>
          <w:lang w:val="fr-FR"/>
        </w:rPr>
        <w:t>’</w:t>
      </w:r>
      <w:r w:rsidRPr="00D317C3">
        <w:rPr>
          <w:lang w:val="fr-FR"/>
        </w:rPr>
        <w:t>évaluation est indépendante de la conception de la cabine, le volume d</w:t>
      </w:r>
      <w:r>
        <w:rPr>
          <w:lang w:val="fr-FR"/>
        </w:rPr>
        <w:t>’</w:t>
      </w:r>
      <w:r w:rsidRPr="00D317C3">
        <w:rPr>
          <w:lang w:val="fr-FR"/>
        </w:rPr>
        <w:t>évaluation n</w:t>
      </w:r>
      <w:r>
        <w:rPr>
          <w:lang w:val="fr-FR"/>
        </w:rPr>
        <w:t>’</w:t>
      </w:r>
      <w:r w:rsidRPr="00D317C3">
        <w:rPr>
          <w:lang w:val="fr-FR"/>
        </w:rPr>
        <w:t>étant plus déterminé par les éléments de la géométrie de la cabine.</w:t>
      </w:r>
    </w:p>
    <w:p w14:paraId="7AF811F6" w14:textId="3FFC3BD8" w:rsidR="00917E76" w:rsidRPr="00917E76" w:rsidRDefault="00917E76" w:rsidP="00C5170A">
      <w:pPr>
        <w:pStyle w:val="SingleTxtG"/>
        <w:spacing w:before="240" w:after="0"/>
        <w:jc w:val="center"/>
        <w:rPr>
          <w:u w:val="single"/>
        </w:rPr>
      </w:pPr>
      <w:r>
        <w:rPr>
          <w:u w:val="single"/>
        </w:rPr>
        <w:tab/>
      </w:r>
      <w:r>
        <w:rPr>
          <w:u w:val="single"/>
        </w:rPr>
        <w:tab/>
      </w:r>
      <w:r>
        <w:rPr>
          <w:u w:val="single"/>
        </w:rPr>
        <w:tab/>
      </w:r>
      <w:r>
        <w:rPr>
          <w:u w:val="single"/>
        </w:rPr>
        <w:tab/>
      </w:r>
    </w:p>
    <w:sectPr w:rsidR="00917E76" w:rsidRPr="00917E76" w:rsidSect="008E5AA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79A9" w14:textId="77777777" w:rsidR="000F3A2A" w:rsidRDefault="000F3A2A" w:rsidP="00F95C08">
      <w:pPr>
        <w:spacing w:line="240" w:lineRule="auto"/>
      </w:pPr>
    </w:p>
  </w:endnote>
  <w:endnote w:type="continuationSeparator" w:id="0">
    <w:p w14:paraId="4448FBF4" w14:textId="77777777" w:rsidR="000F3A2A" w:rsidRPr="00AC3823" w:rsidRDefault="000F3A2A" w:rsidP="00AC3823">
      <w:pPr>
        <w:pStyle w:val="Pieddepage"/>
      </w:pPr>
    </w:p>
  </w:endnote>
  <w:endnote w:type="continuationNotice" w:id="1">
    <w:p w14:paraId="1664EA1B" w14:textId="77777777" w:rsidR="000F3A2A" w:rsidRDefault="000F3A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Gra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564" w14:textId="63F105AD" w:rsidR="008E5AA2" w:rsidRPr="008E5AA2" w:rsidRDefault="008E5AA2" w:rsidP="008E5AA2">
    <w:pPr>
      <w:pStyle w:val="Pieddepage"/>
      <w:tabs>
        <w:tab w:val="right" w:pos="9638"/>
      </w:tabs>
    </w:pPr>
    <w:r w:rsidRPr="008E5AA2">
      <w:rPr>
        <w:b/>
        <w:sz w:val="18"/>
      </w:rPr>
      <w:fldChar w:fldCharType="begin"/>
    </w:r>
    <w:r w:rsidRPr="008E5AA2">
      <w:rPr>
        <w:b/>
        <w:sz w:val="18"/>
      </w:rPr>
      <w:instrText xml:space="preserve"> PAGE  \* MERGEFORMAT </w:instrText>
    </w:r>
    <w:r w:rsidRPr="008E5AA2">
      <w:rPr>
        <w:b/>
        <w:sz w:val="18"/>
      </w:rPr>
      <w:fldChar w:fldCharType="separate"/>
    </w:r>
    <w:r w:rsidRPr="008E5AA2">
      <w:rPr>
        <w:b/>
        <w:noProof/>
        <w:sz w:val="18"/>
      </w:rPr>
      <w:t>2</w:t>
    </w:r>
    <w:r w:rsidRPr="008E5AA2">
      <w:rPr>
        <w:b/>
        <w:sz w:val="18"/>
      </w:rPr>
      <w:fldChar w:fldCharType="end"/>
    </w:r>
    <w:r>
      <w:rPr>
        <w:b/>
        <w:sz w:val="18"/>
      </w:rPr>
      <w:tab/>
    </w:r>
    <w:r>
      <w:t>GE.23-00420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8414" w14:textId="02644A07" w:rsidR="008E5AA2" w:rsidRPr="008E5AA2" w:rsidRDefault="008E5AA2" w:rsidP="008E5AA2">
    <w:pPr>
      <w:pStyle w:val="Pieddepage"/>
      <w:tabs>
        <w:tab w:val="right" w:pos="9638"/>
      </w:tabs>
      <w:rPr>
        <w:b/>
        <w:sz w:val="18"/>
      </w:rPr>
    </w:pPr>
    <w:r>
      <w:t>GE.23-00420</w:t>
    </w:r>
    <w:r>
      <w:tab/>
    </w:r>
    <w:r w:rsidRPr="008E5AA2">
      <w:rPr>
        <w:b/>
        <w:sz w:val="18"/>
      </w:rPr>
      <w:fldChar w:fldCharType="begin"/>
    </w:r>
    <w:r w:rsidRPr="008E5AA2">
      <w:rPr>
        <w:b/>
        <w:sz w:val="18"/>
      </w:rPr>
      <w:instrText xml:space="preserve"> PAGE  \* MERGEFORMAT </w:instrText>
    </w:r>
    <w:r w:rsidRPr="008E5AA2">
      <w:rPr>
        <w:b/>
        <w:sz w:val="18"/>
      </w:rPr>
      <w:fldChar w:fldCharType="separate"/>
    </w:r>
    <w:r w:rsidRPr="008E5AA2">
      <w:rPr>
        <w:b/>
        <w:noProof/>
        <w:sz w:val="18"/>
      </w:rPr>
      <w:t>3</w:t>
    </w:r>
    <w:r w:rsidRPr="008E5A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94A5" w14:textId="1E4A5DCB" w:rsidR="007F20FA" w:rsidRPr="008E5AA2" w:rsidRDefault="008E5AA2" w:rsidP="008E5AA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39042C5" wp14:editId="60E0737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23-00420  (F)</w:t>
    </w:r>
    <w:r>
      <w:rPr>
        <w:noProof/>
        <w:sz w:val="20"/>
      </w:rPr>
      <w:drawing>
        <wp:anchor distT="0" distB="0" distL="114300" distR="114300" simplePos="0" relativeHeight="251660288" behindDoc="0" locked="0" layoutInCell="1" allowOverlap="1" wp14:anchorId="5DE4D730" wp14:editId="33B4D5D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020223    030223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F8A1" w14:textId="77777777" w:rsidR="000F3A2A" w:rsidRPr="00AC3823" w:rsidRDefault="000F3A2A" w:rsidP="00AC3823">
      <w:pPr>
        <w:pStyle w:val="Pieddepage"/>
        <w:tabs>
          <w:tab w:val="right" w:pos="2155"/>
        </w:tabs>
        <w:spacing w:after="80" w:line="240" w:lineRule="atLeast"/>
        <w:ind w:left="680"/>
        <w:rPr>
          <w:u w:val="single"/>
        </w:rPr>
      </w:pPr>
      <w:r>
        <w:rPr>
          <w:u w:val="single"/>
        </w:rPr>
        <w:tab/>
      </w:r>
    </w:p>
  </w:footnote>
  <w:footnote w:type="continuationSeparator" w:id="0">
    <w:p w14:paraId="2DEE685C" w14:textId="77777777" w:rsidR="000F3A2A" w:rsidRPr="00AC3823" w:rsidRDefault="000F3A2A" w:rsidP="00AC3823">
      <w:pPr>
        <w:pStyle w:val="Pieddepage"/>
        <w:tabs>
          <w:tab w:val="right" w:pos="2155"/>
        </w:tabs>
        <w:spacing w:after="80" w:line="240" w:lineRule="atLeast"/>
        <w:ind w:left="680"/>
        <w:rPr>
          <w:u w:val="single"/>
        </w:rPr>
      </w:pPr>
      <w:r>
        <w:rPr>
          <w:u w:val="single"/>
        </w:rPr>
        <w:tab/>
      </w:r>
    </w:p>
  </w:footnote>
  <w:footnote w:type="continuationNotice" w:id="1">
    <w:p w14:paraId="11EB06A7" w14:textId="77777777" w:rsidR="000F3A2A" w:rsidRPr="00AC3823" w:rsidRDefault="000F3A2A">
      <w:pPr>
        <w:spacing w:line="240" w:lineRule="auto"/>
        <w:rPr>
          <w:sz w:val="2"/>
          <w:szCs w:val="2"/>
        </w:rPr>
      </w:pPr>
    </w:p>
  </w:footnote>
  <w:footnote w:id="2">
    <w:p w14:paraId="6AB1F6CB" w14:textId="77777777" w:rsidR="00917E76" w:rsidRPr="00EF1190" w:rsidRDefault="00917E76" w:rsidP="00917E76">
      <w:pPr>
        <w:pStyle w:val="Notedebasdepage"/>
      </w:pPr>
      <w:r>
        <w:rPr>
          <w:lang w:val="fr-FR"/>
        </w:rPr>
        <w:tab/>
      </w:r>
      <w:r w:rsidRPr="00245C17">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3B4866DA" w14:textId="470CFE6E" w:rsidR="00245C17" w:rsidRPr="00245C17" w:rsidRDefault="00245C17">
      <w:pPr>
        <w:pStyle w:val="Notedebasdepage"/>
      </w:pPr>
      <w:r>
        <w:rPr>
          <w:rStyle w:val="Appelnotedebasdep"/>
        </w:rPr>
        <w:tab/>
      </w:r>
      <w:r w:rsidRPr="00245C17">
        <w:rPr>
          <w:rStyle w:val="Appelnotedebasdep"/>
          <w:sz w:val="20"/>
          <w:vertAlign w:val="baseline"/>
        </w:rPr>
        <w:t>**</w:t>
      </w:r>
      <w:r>
        <w:rPr>
          <w:rStyle w:val="Appelnotedebasdep"/>
          <w:sz w:val="20"/>
          <w:vertAlign w:val="baseline"/>
        </w:rPr>
        <w:tab/>
      </w:r>
      <w:r>
        <w:rPr>
          <w:lang w:val="fr-FR"/>
        </w:rPr>
        <w:t>Les numéros de page seront ajoutés ultérieurement.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7F03" w14:textId="27F263BA" w:rsidR="008E5AA2" w:rsidRPr="008E5AA2" w:rsidRDefault="008E5AA2">
    <w:pPr>
      <w:pStyle w:val="En-tte"/>
    </w:pPr>
    <w:fldSimple w:instr=" TITLE  \* MERGEFORMAT ">
      <w:r>
        <w:t>ECE/TRANS/WP.29/GRSG/2023/10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3D65" w14:textId="6F4CDA69" w:rsidR="008E5AA2" w:rsidRPr="008E5AA2" w:rsidRDefault="008E5AA2" w:rsidP="008E5AA2">
    <w:pPr>
      <w:pStyle w:val="En-tte"/>
      <w:jc w:val="right"/>
    </w:pPr>
    <w:fldSimple w:instr=" TITLE  \* MERGEFORMAT ">
      <w:r>
        <w:t>ECE/TRANS/WP.29/GRSG/2023/10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58513222">
    <w:abstractNumId w:val="12"/>
  </w:num>
  <w:num w:numId="2" w16cid:durableId="99837950">
    <w:abstractNumId w:val="11"/>
  </w:num>
  <w:num w:numId="3" w16cid:durableId="406457736">
    <w:abstractNumId w:val="10"/>
  </w:num>
  <w:num w:numId="4" w16cid:durableId="953444892">
    <w:abstractNumId w:val="8"/>
  </w:num>
  <w:num w:numId="5" w16cid:durableId="1555582428">
    <w:abstractNumId w:val="3"/>
  </w:num>
  <w:num w:numId="6" w16cid:durableId="1728801482">
    <w:abstractNumId w:val="2"/>
  </w:num>
  <w:num w:numId="7" w16cid:durableId="267584605">
    <w:abstractNumId w:val="1"/>
  </w:num>
  <w:num w:numId="8" w16cid:durableId="1322468691">
    <w:abstractNumId w:val="0"/>
  </w:num>
  <w:num w:numId="9" w16cid:durableId="257299496">
    <w:abstractNumId w:val="9"/>
  </w:num>
  <w:num w:numId="10" w16cid:durableId="2077776462">
    <w:abstractNumId w:val="7"/>
  </w:num>
  <w:num w:numId="11" w16cid:durableId="2063022992">
    <w:abstractNumId w:val="6"/>
  </w:num>
  <w:num w:numId="12" w16cid:durableId="528222668">
    <w:abstractNumId w:val="5"/>
  </w:num>
  <w:num w:numId="13" w16cid:durableId="71705346">
    <w:abstractNumId w:val="4"/>
  </w:num>
  <w:num w:numId="14" w16cid:durableId="330524486">
    <w:abstractNumId w:val="12"/>
  </w:num>
  <w:num w:numId="15" w16cid:durableId="373309714">
    <w:abstractNumId w:val="11"/>
  </w:num>
  <w:num w:numId="16" w16cid:durableId="1789859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2A"/>
    <w:rsid w:val="00017F94"/>
    <w:rsid w:val="00023842"/>
    <w:rsid w:val="000334F9"/>
    <w:rsid w:val="00045FEB"/>
    <w:rsid w:val="00053671"/>
    <w:rsid w:val="0007796D"/>
    <w:rsid w:val="000B7790"/>
    <w:rsid w:val="000F0507"/>
    <w:rsid w:val="000F3A2A"/>
    <w:rsid w:val="00111F2F"/>
    <w:rsid w:val="00143631"/>
    <w:rsid w:val="0014365E"/>
    <w:rsid w:val="00143C66"/>
    <w:rsid w:val="00176178"/>
    <w:rsid w:val="001C0D7A"/>
    <w:rsid w:val="001F525A"/>
    <w:rsid w:val="00201148"/>
    <w:rsid w:val="00223272"/>
    <w:rsid w:val="00245C17"/>
    <w:rsid w:val="0024779E"/>
    <w:rsid w:val="002558AC"/>
    <w:rsid w:val="00257168"/>
    <w:rsid w:val="002744B8"/>
    <w:rsid w:val="002832AC"/>
    <w:rsid w:val="002B7965"/>
    <w:rsid w:val="002D7C93"/>
    <w:rsid w:val="00305801"/>
    <w:rsid w:val="003916DE"/>
    <w:rsid w:val="00421996"/>
    <w:rsid w:val="00441C3B"/>
    <w:rsid w:val="00446FE5"/>
    <w:rsid w:val="00452396"/>
    <w:rsid w:val="00477EB2"/>
    <w:rsid w:val="004837D8"/>
    <w:rsid w:val="004E2EED"/>
    <w:rsid w:val="004E468C"/>
    <w:rsid w:val="004F7E86"/>
    <w:rsid w:val="005039D0"/>
    <w:rsid w:val="005505B7"/>
    <w:rsid w:val="00573BE5"/>
    <w:rsid w:val="00586ED3"/>
    <w:rsid w:val="00596AA9"/>
    <w:rsid w:val="006B0993"/>
    <w:rsid w:val="006C2B12"/>
    <w:rsid w:val="0071601D"/>
    <w:rsid w:val="00720CB3"/>
    <w:rsid w:val="0075011D"/>
    <w:rsid w:val="007A62E6"/>
    <w:rsid w:val="007D0B9E"/>
    <w:rsid w:val="007F20FA"/>
    <w:rsid w:val="0080684C"/>
    <w:rsid w:val="00843EF5"/>
    <w:rsid w:val="00871C75"/>
    <w:rsid w:val="008776DC"/>
    <w:rsid w:val="008D5EF9"/>
    <w:rsid w:val="008E5AA2"/>
    <w:rsid w:val="00917E76"/>
    <w:rsid w:val="009446C0"/>
    <w:rsid w:val="00966C8B"/>
    <w:rsid w:val="009705C8"/>
    <w:rsid w:val="009C05D2"/>
    <w:rsid w:val="009C1CF4"/>
    <w:rsid w:val="009E1902"/>
    <w:rsid w:val="009F6B74"/>
    <w:rsid w:val="00A3029F"/>
    <w:rsid w:val="00A30353"/>
    <w:rsid w:val="00A802B6"/>
    <w:rsid w:val="00AA701E"/>
    <w:rsid w:val="00AC3823"/>
    <w:rsid w:val="00AE323C"/>
    <w:rsid w:val="00AF0CB5"/>
    <w:rsid w:val="00B00181"/>
    <w:rsid w:val="00B00B0D"/>
    <w:rsid w:val="00B45F2E"/>
    <w:rsid w:val="00B765F7"/>
    <w:rsid w:val="00B77993"/>
    <w:rsid w:val="00BA0CA9"/>
    <w:rsid w:val="00C02897"/>
    <w:rsid w:val="00C0544E"/>
    <w:rsid w:val="00C5170A"/>
    <w:rsid w:val="00C7719F"/>
    <w:rsid w:val="00C91B82"/>
    <w:rsid w:val="00C97039"/>
    <w:rsid w:val="00CB2FD6"/>
    <w:rsid w:val="00D05AA0"/>
    <w:rsid w:val="00D2167C"/>
    <w:rsid w:val="00D3439C"/>
    <w:rsid w:val="00D55B43"/>
    <w:rsid w:val="00D7622E"/>
    <w:rsid w:val="00DB1831"/>
    <w:rsid w:val="00DD3BFD"/>
    <w:rsid w:val="00DF6678"/>
    <w:rsid w:val="00E0299A"/>
    <w:rsid w:val="00E85C74"/>
    <w:rsid w:val="00EA2FF5"/>
    <w:rsid w:val="00EA6547"/>
    <w:rsid w:val="00ED7237"/>
    <w:rsid w:val="00EF2E22"/>
    <w:rsid w:val="00F075B7"/>
    <w:rsid w:val="00F35BAF"/>
    <w:rsid w:val="00F52BE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1B4D"/>
  <w15:docId w15:val="{5F6D1FC8-9A15-4345-9FB5-27D13CAA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917E7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917E76"/>
    <w:rPr>
      <w:rFonts w:ascii="Times New Roman" w:eastAsiaTheme="minorHAnsi" w:hAnsi="Times New Roman" w:cs="Times New Roman"/>
      <w:sz w:val="20"/>
      <w:szCs w:val="20"/>
      <w:lang w:eastAsia="en-US"/>
    </w:rPr>
  </w:style>
  <w:style w:type="paragraph" w:styleId="Paragraphedeliste">
    <w:name w:val="List Paragraph"/>
    <w:basedOn w:val="Normal"/>
    <w:uiPriority w:val="34"/>
    <w:qFormat/>
    <w:rsid w:val="00917E76"/>
    <w:pPr>
      <w:suppressAutoHyphens w:val="0"/>
      <w:spacing w:line="240" w:lineRule="auto"/>
      <w:ind w:left="720"/>
    </w:pPr>
    <w:rPr>
      <w:rFonts w:ascii="Calibri" w:eastAsia="MS Mincho"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913</Words>
  <Characters>6392</Characters>
  <Application>Microsoft Office Word</Application>
  <DocSecurity>0</DocSecurity>
  <Lines>532</Lines>
  <Paragraphs>292</Paragraphs>
  <ScaleCrop>false</ScaleCrop>
  <HeadingPairs>
    <vt:vector size="2" baseType="variant">
      <vt:variant>
        <vt:lpstr>Titre</vt:lpstr>
      </vt:variant>
      <vt:variant>
        <vt:i4>1</vt:i4>
      </vt:variant>
    </vt:vector>
  </HeadingPairs>
  <TitlesOfParts>
    <vt:vector size="1" baseType="lpstr">
      <vt:lpstr>ECE/TRANS/WP.29/GRSG/2023/10</vt:lpstr>
    </vt:vector>
  </TitlesOfParts>
  <Company>DCM</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ECE/TRANS/WP.29/GRSG/2023/10</dc:title>
  <dc:subject/>
  <dc:creator>Nathalie VITTOZ</dc:creator>
  <cp:keywords/>
  <cp:lastModifiedBy>Nathalie Vittoz</cp:lastModifiedBy>
  <cp:revision>2</cp:revision>
  <cp:lastPrinted>2014-05-14T10:59:00Z</cp:lastPrinted>
  <dcterms:created xsi:type="dcterms:W3CDTF">2023-02-03T10:56:00Z</dcterms:created>
  <dcterms:modified xsi:type="dcterms:W3CDTF">2023-02-03T10:56:00Z</dcterms:modified>
</cp:coreProperties>
</file>