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F472CFB" w14:textId="77777777" w:rsidTr="00C97039">
        <w:trPr>
          <w:trHeight w:hRule="exact" w:val="851"/>
        </w:trPr>
        <w:tc>
          <w:tcPr>
            <w:tcW w:w="1276" w:type="dxa"/>
            <w:tcBorders>
              <w:bottom w:val="single" w:sz="4" w:space="0" w:color="auto"/>
            </w:tcBorders>
          </w:tcPr>
          <w:p w14:paraId="096AB20E" w14:textId="77777777" w:rsidR="00F35BAF" w:rsidRPr="00DB58B5" w:rsidRDefault="00F35BAF" w:rsidP="00590CE8"/>
        </w:tc>
        <w:tc>
          <w:tcPr>
            <w:tcW w:w="2268" w:type="dxa"/>
            <w:tcBorders>
              <w:bottom w:val="single" w:sz="4" w:space="0" w:color="auto"/>
            </w:tcBorders>
            <w:vAlign w:val="bottom"/>
          </w:tcPr>
          <w:p w14:paraId="5D3D6EF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D7F10D" w14:textId="372C17A9" w:rsidR="00F35BAF" w:rsidRPr="00DB58B5" w:rsidRDefault="00590CE8" w:rsidP="00590CE8">
            <w:pPr>
              <w:jc w:val="right"/>
            </w:pPr>
            <w:r w:rsidRPr="00590CE8">
              <w:rPr>
                <w:sz w:val="40"/>
              </w:rPr>
              <w:t>ECE</w:t>
            </w:r>
            <w:r>
              <w:t>/TRANS/WP.29/GRSG/2023/9</w:t>
            </w:r>
          </w:p>
        </w:tc>
      </w:tr>
      <w:tr w:rsidR="00F35BAF" w:rsidRPr="00DB58B5" w14:paraId="00C8CCC9" w14:textId="77777777" w:rsidTr="00C97039">
        <w:trPr>
          <w:trHeight w:hRule="exact" w:val="2835"/>
        </w:trPr>
        <w:tc>
          <w:tcPr>
            <w:tcW w:w="1276" w:type="dxa"/>
            <w:tcBorders>
              <w:top w:val="single" w:sz="4" w:space="0" w:color="auto"/>
              <w:bottom w:val="single" w:sz="12" w:space="0" w:color="auto"/>
            </w:tcBorders>
          </w:tcPr>
          <w:p w14:paraId="589567EF" w14:textId="77777777" w:rsidR="00F35BAF" w:rsidRPr="00DB58B5" w:rsidRDefault="00F35BAF" w:rsidP="00C97039">
            <w:pPr>
              <w:spacing w:before="120"/>
              <w:jc w:val="center"/>
            </w:pPr>
            <w:r>
              <w:rPr>
                <w:noProof/>
                <w:lang w:eastAsia="fr-CH"/>
              </w:rPr>
              <w:drawing>
                <wp:inline distT="0" distB="0" distL="0" distR="0" wp14:anchorId="58FB91C2" wp14:editId="4613A2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C111F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C937C3" w14:textId="77777777" w:rsidR="00F35BAF" w:rsidRDefault="00590CE8" w:rsidP="00C97039">
            <w:pPr>
              <w:spacing w:before="240"/>
            </w:pPr>
            <w:r>
              <w:t>Distr. générale</w:t>
            </w:r>
          </w:p>
          <w:p w14:paraId="0D3273D2" w14:textId="77777777" w:rsidR="00590CE8" w:rsidRDefault="00590CE8" w:rsidP="00590CE8">
            <w:pPr>
              <w:spacing w:line="240" w:lineRule="exact"/>
            </w:pPr>
            <w:r>
              <w:t>6 janvier 2023</w:t>
            </w:r>
          </w:p>
          <w:p w14:paraId="67DC12C4" w14:textId="5E3A8031" w:rsidR="00590CE8" w:rsidRPr="00DB58B5" w:rsidRDefault="00590CE8" w:rsidP="00590CE8">
            <w:pPr>
              <w:spacing w:line="240" w:lineRule="exact"/>
            </w:pPr>
            <w:r>
              <w:t>Français</w:t>
            </w:r>
            <w:r>
              <w:br/>
              <w:t>Original</w:t>
            </w:r>
            <w:r w:rsidR="00F91AEA">
              <w:t> :</w:t>
            </w:r>
            <w:r>
              <w:t xml:space="preserve"> anglais</w:t>
            </w:r>
          </w:p>
        </w:tc>
      </w:tr>
    </w:tbl>
    <w:p w14:paraId="3264FDDB" w14:textId="77777777" w:rsidR="007F20FA" w:rsidRPr="000312C0" w:rsidRDefault="007F20FA" w:rsidP="007F20FA">
      <w:pPr>
        <w:spacing w:before="120"/>
        <w:rPr>
          <w:b/>
          <w:sz w:val="28"/>
          <w:szCs w:val="28"/>
        </w:rPr>
      </w:pPr>
      <w:r w:rsidRPr="000312C0">
        <w:rPr>
          <w:b/>
          <w:sz w:val="28"/>
          <w:szCs w:val="28"/>
        </w:rPr>
        <w:t>Commission économique pour l’Europe</w:t>
      </w:r>
    </w:p>
    <w:p w14:paraId="676B954C" w14:textId="77777777" w:rsidR="007F20FA" w:rsidRDefault="007F20FA" w:rsidP="007F20FA">
      <w:pPr>
        <w:spacing w:before="120"/>
        <w:rPr>
          <w:sz w:val="28"/>
          <w:szCs w:val="28"/>
        </w:rPr>
      </w:pPr>
      <w:r w:rsidRPr="00685843">
        <w:rPr>
          <w:sz w:val="28"/>
          <w:szCs w:val="28"/>
        </w:rPr>
        <w:t>Comité des transports intérieurs</w:t>
      </w:r>
    </w:p>
    <w:p w14:paraId="39A0BC31" w14:textId="60AA1E7E" w:rsidR="00DE6634" w:rsidRPr="00DE6634" w:rsidRDefault="00DE6634" w:rsidP="00DE6634">
      <w:pPr>
        <w:spacing w:before="120" w:line="276" w:lineRule="auto"/>
        <w:rPr>
          <w:b/>
          <w:sz w:val="24"/>
          <w:szCs w:val="24"/>
          <w:lang w:val="fr-FR"/>
        </w:rPr>
      </w:pPr>
      <w:bookmarkStart w:id="0" w:name="_GoBack"/>
      <w:bookmarkEnd w:id="0"/>
      <w:r w:rsidRPr="00DE6634">
        <w:rPr>
          <w:b/>
          <w:bCs/>
          <w:sz w:val="24"/>
          <w:szCs w:val="24"/>
          <w:lang w:val="fr-FR"/>
        </w:rPr>
        <w:t xml:space="preserve">Forum mondial de l’harmonisation </w:t>
      </w:r>
      <w:r w:rsidR="00C514C8">
        <w:rPr>
          <w:b/>
          <w:bCs/>
          <w:sz w:val="24"/>
          <w:szCs w:val="24"/>
          <w:lang w:val="fr-FR"/>
        </w:rPr>
        <w:br/>
      </w:r>
      <w:r w:rsidRPr="00DE6634">
        <w:rPr>
          <w:b/>
          <w:bCs/>
          <w:sz w:val="24"/>
          <w:szCs w:val="24"/>
          <w:lang w:val="fr-FR"/>
        </w:rPr>
        <w:t>des Règlements concernant les véhicules</w:t>
      </w:r>
    </w:p>
    <w:p w14:paraId="66607279" w14:textId="48D7BD19" w:rsidR="00DE6634" w:rsidRPr="00DE6634" w:rsidRDefault="00DE6634" w:rsidP="00DE6634">
      <w:pPr>
        <w:tabs>
          <w:tab w:val="left" w:pos="7256"/>
        </w:tabs>
        <w:spacing w:before="120" w:after="120" w:line="276" w:lineRule="auto"/>
        <w:rPr>
          <w:b/>
          <w:bCs/>
          <w:lang w:val="fr-FR"/>
        </w:rPr>
      </w:pPr>
      <w:r w:rsidRPr="00DE6634">
        <w:rPr>
          <w:b/>
          <w:bCs/>
          <w:lang w:val="fr-FR"/>
        </w:rPr>
        <w:t>Groupe de travail des dispositions générales de sécurité</w:t>
      </w:r>
    </w:p>
    <w:p w14:paraId="1D148186" w14:textId="77777777" w:rsidR="00DE6634" w:rsidRPr="00DE6634" w:rsidRDefault="00DE6634" w:rsidP="00CF6F1F">
      <w:pPr>
        <w:spacing w:line="240" w:lineRule="auto"/>
        <w:rPr>
          <w:lang w:val="fr-FR"/>
        </w:rPr>
      </w:pPr>
      <w:r w:rsidRPr="00DE6634">
        <w:rPr>
          <w:b/>
          <w:bCs/>
          <w:lang w:val="fr-FR"/>
        </w:rPr>
        <w:t>125</w:t>
      </w:r>
      <w:r w:rsidRPr="00DE6634">
        <w:rPr>
          <w:b/>
          <w:bCs/>
          <w:vertAlign w:val="superscript"/>
          <w:lang w:val="fr-FR"/>
        </w:rPr>
        <w:t>e</w:t>
      </w:r>
      <w:r w:rsidRPr="00DE6634">
        <w:rPr>
          <w:b/>
          <w:bCs/>
          <w:lang w:val="fr-FR"/>
        </w:rPr>
        <w:t xml:space="preserve"> session</w:t>
      </w:r>
    </w:p>
    <w:p w14:paraId="36B9A4EE" w14:textId="77777777" w:rsidR="00DE6634" w:rsidRPr="00DE6634" w:rsidRDefault="00DE6634" w:rsidP="00CF6F1F">
      <w:pPr>
        <w:spacing w:line="240" w:lineRule="auto"/>
        <w:rPr>
          <w:bCs/>
          <w:lang w:val="fr-FR"/>
        </w:rPr>
      </w:pPr>
      <w:r w:rsidRPr="00DE6634">
        <w:rPr>
          <w:lang w:val="fr-FR"/>
        </w:rPr>
        <w:t>Genève, 27-31 mars 2023</w:t>
      </w:r>
    </w:p>
    <w:p w14:paraId="0AF92198" w14:textId="77777777" w:rsidR="00DE6634" w:rsidRPr="00DE6634" w:rsidRDefault="00DE6634" w:rsidP="00CF6F1F">
      <w:pPr>
        <w:spacing w:line="240" w:lineRule="auto"/>
        <w:rPr>
          <w:bCs/>
          <w:lang w:val="fr-FR"/>
        </w:rPr>
      </w:pPr>
      <w:r w:rsidRPr="00DE6634">
        <w:rPr>
          <w:lang w:val="fr-FR"/>
        </w:rPr>
        <w:t>Point 4 a) de l’ordre du jour provisoire</w:t>
      </w:r>
    </w:p>
    <w:p w14:paraId="66E7C4C5" w14:textId="61819FA0" w:rsidR="00DE6634" w:rsidRPr="00DE6634" w:rsidRDefault="00DE6634" w:rsidP="00CF6F1F">
      <w:pPr>
        <w:spacing w:line="240" w:lineRule="auto"/>
        <w:rPr>
          <w:lang w:val="fr-FR"/>
        </w:rPr>
      </w:pPr>
      <w:r w:rsidRPr="00DE6634">
        <w:rPr>
          <w:b/>
          <w:bCs/>
          <w:lang w:val="fr-FR"/>
        </w:rPr>
        <w:t>Détection de la présence d’usagers de la route vulnérables</w:t>
      </w:r>
      <w:r w:rsidR="00CF6F1F">
        <w:rPr>
          <w:b/>
          <w:bCs/>
          <w:lang w:val="fr-FR"/>
        </w:rPr>
        <w:br/>
      </w:r>
      <w:r w:rsidRPr="00DE6634">
        <w:rPr>
          <w:b/>
          <w:bCs/>
          <w:lang w:val="fr-FR"/>
        </w:rPr>
        <w:t>à proximité du véhicule</w:t>
      </w:r>
      <w:r w:rsidR="00F91AEA">
        <w:rPr>
          <w:b/>
          <w:bCs/>
          <w:lang w:val="fr-FR"/>
        </w:rPr>
        <w:t> :</w:t>
      </w:r>
      <w:r>
        <w:rPr>
          <w:b/>
          <w:bCs/>
          <w:lang w:val="fr-FR"/>
        </w:rPr>
        <w:br/>
      </w:r>
      <w:r w:rsidRPr="00DE6634">
        <w:rPr>
          <w:b/>
          <w:bCs/>
          <w:lang w:val="fr-FR"/>
        </w:rPr>
        <w:t>Règlement ONU n</w:t>
      </w:r>
      <w:r w:rsidRPr="00DE6634">
        <w:rPr>
          <w:b/>
          <w:bCs/>
          <w:vertAlign w:val="superscript"/>
          <w:lang w:val="fr-FR"/>
        </w:rPr>
        <w:t>o</w:t>
      </w:r>
      <w:r w:rsidRPr="00DE6634">
        <w:rPr>
          <w:b/>
          <w:bCs/>
          <w:lang w:val="fr-FR"/>
        </w:rPr>
        <w:t xml:space="preserve"> 46 (Systèmes de vision indirecte)</w:t>
      </w:r>
    </w:p>
    <w:p w14:paraId="6474B63F" w14:textId="5F2BB25C" w:rsidR="00DE6634" w:rsidRPr="00C12C66" w:rsidRDefault="00DE6634" w:rsidP="00DE6634">
      <w:pPr>
        <w:pStyle w:val="HChG"/>
        <w:rPr>
          <w:lang w:val="fr-FR"/>
        </w:rPr>
      </w:pPr>
      <w:r w:rsidRPr="00C12C66">
        <w:rPr>
          <w:sz w:val="16"/>
          <w:szCs w:val="16"/>
          <w:lang w:val="fr-FR"/>
        </w:rPr>
        <w:tab/>
      </w:r>
      <w:r w:rsidRPr="00C12C66">
        <w:rPr>
          <w:sz w:val="16"/>
          <w:szCs w:val="16"/>
          <w:lang w:val="fr-FR"/>
        </w:rPr>
        <w:tab/>
      </w:r>
      <w:r w:rsidRPr="00C12C66">
        <w:rPr>
          <w:sz w:val="16"/>
          <w:szCs w:val="16"/>
          <w:lang w:val="fr-FR"/>
        </w:rPr>
        <w:tab/>
      </w:r>
      <w:r w:rsidRPr="00C12C66">
        <w:rPr>
          <w:lang w:val="fr-FR"/>
        </w:rPr>
        <w:t>Proposition de complément 1 à la série 05 d’amendements au</w:t>
      </w:r>
      <w:r>
        <w:rPr>
          <w:lang w:val="fr-FR"/>
        </w:rPr>
        <w:t> </w:t>
      </w:r>
      <w:r w:rsidRPr="00C12C66">
        <w:rPr>
          <w:lang w:val="fr-FR"/>
        </w:rPr>
        <w:t>Règlement ONU n</w:t>
      </w:r>
      <w:r w:rsidRPr="00C12C66">
        <w:rPr>
          <w:vertAlign w:val="superscript"/>
          <w:lang w:val="fr-FR"/>
        </w:rPr>
        <w:t>o</w:t>
      </w:r>
      <w:r>
        <w:rPr>
          <w:lang w:val="fr-FR"/>
        </w:rPr>
        <w:t> </w:t>
      </w:r>
      <w:r w:rsidRPr="00C12C66">
        <w:rPr>
          <w:lang w:val="fr-FR"/>
        </w:rPr>
        <w:t>46 (Systèmes de vision indirecte)</w:t>
      </w:r>
    </w:p>
    <w:p w14:paraId="6C807250" w14:textId="35692A14" w:rsidR="00DE6634" w:rsidRPr="00C12C66" w:rsidRDefault="00DE6634" w:rsidP="00DE6634">
      <w:pPr>
        <w:pStyle w:val="H1G"/>
        <w:rPr>
          <w:lang w:val="fr-FR"/>
        </w:rPr>
      </w:pPr>
      <w:r w:rsidRPr="00C12C66">
        <w:rPr>
          <w:sz w:val="16"/>
          <w:szCs w:val="16"/>
          <w:lang w:val="fr-FR"/>
        </w:rPr>
        <w:tab/>
      </w:r>
      <w:r w:rsidRPr="00C12C66">
        <w:rPr>
          <w:sz w:val="16"/>
          <w:szCs w:val="16"/>
          <w:lang w:val="fr-FR"/>
        </w:rPr>
        <w:tab/>
      </w:r>
      <w:r w:rsidRPr="00C12C66">
        <w:rPr>
          <w:lang w:val="fr-FR"/>
        </w:rPr>
        <w:t>Communication de l’expert de l’Organisation internationale des</w:t>
      </w:r>
      <w:r>
        <w:rPr>
          <w:lang w:val="fr-FR"/>
        </w:rPr>
        <w:t> </w:t>
      </w:r>
      <w:r w:rsidRPr="00C12C66">
        <w:rPr>
          <w:lang w:val="fr-FR"/>
        </w:rPr>
        <w:t>constructeurs d’automobiles</w:t>
      </w:r>
      <w:r w:rsidRPr="00DE6634">
        <w:rPr>
          <w:b w:val="0"/>
          <w:bCs/>
          <w:sz w:val="20"/>
          <w:lang w:val="fr-FR"/>
        </w:rPr>
        <w:footnoteReference w:customMarkFollows="1" w:id="2"/>
        <w:t>*</w:t>
      </w:r>
    </w:p>
    <w:p w14:paraId="3BF30B11" w14:textId="14B75F6B" w:rsidR="00DE6634" w:rsidRPr="00DE6634" w:rsidRDefault="00DE6634" w:rsidP="00DE6634">
      <w:pPr>
        <w:pStyle w:val="SingleTxtG"/>
        <w:ind w:firstLine="567"/>
        <w:rPr>
          <w:lang w:val="fr-FR"/>
        </w:rPr>
      </w:pPr>
      <w:r w:rsidRPr="00C12C66">
        <w:rPr>
          <w:lang w:val="fr-FR"/>
        </w:rPr>
        <w:t>Le texte ci-après, établi par l’expert de l’Organisation internationale des constructeurs d’automobiles (OICA), vise à ajouter au Règlement des dispositions adaptées aux véhicules des catégories M</w:t>
      </w:r>
      <w:r w:rsidRPr="00C12C66">
        <w:rPr>
          <w:vertAlign w:val="subscript"/>
          <w:lang w:val="fr-FR"/>
        </w:rPr>
        <w:t>2</w:t>
      </w:r>
      <w:r w:rsidRPr="00C12C66">
        <w:rPr>
          <w:lang w:val="fr-FR"/>
        </w:rPr>
        <w:t>, M</w:t>
      </w:r>
      <w:r w:rsidRPr="00C12C66">
        <w:rPr>
          <w:vertAlign w:val="subscript"/>
          <w:lang w:val="fr-FR"/>
        </w:rPr>
        <w:t>3</w:t>
      </w:r>
      <w:r w:rsidRPr="00C12C66">
        <w:rPr>
          <w:lang w:val="fr-FR"/>
        </w:rPr>
        <w:t>, N</w:t>
      </w:r>
      <w:r w:rsidRPr="00C12C66">
        <w:rPr>
          <w:vertAlign w:val="subscript"/>
          <w:lang w:val="fr-FR"/>
        </w:rPr>
        <w:t>2</w:t>
      </w:r>
      <w:r w:rsidRPr="00C12C66">
        <w:rPr>
          <w:lang w:val="fr-FR"/>
        </w:rPr>
        <w:t xml:space="preserve"> et N</w:t>
      </w:r>
      <w:r w:rsidRPr="00C12C66">
        <w:rPr>
          <w:vertAlign w:val="subscript"/>
          <w:lang w:val="fr-FR"/>
        </w:rPr>
        <w:t>3</w:t>
      </w:r>
      <w:r w:rsidRPr="00C12C66">
        <w:rPr>
          <w:lang w:val="fr-FR"/>
        </w:rPr>
        <w:t xml:space="preserve"> dont le volant est positionné au centre. Il est fondé sur le document informel GRSG-124-20-Rev.1, distribué à la 124</w:t>
      </w:r>
      <w:r w:rsidRPr="00C12C66">
        <w:rPr>
          <w:vertAlign w:val="superscript"/>
          <w:lang w:val="fr-FR"/>
        </w:rPr>
        <w:t>e</w:t>
      </w:r>
      <w:r>
        <w:rPr>
          <w:lang w:val="fr-FR"/>
        </w:rPr>
        <w:t> </w:t>
      </w:r>
      <w:r w:rsidRPr="00C12C66">
        <w:rPr>
          <w:lang w:val="fr-FR"/>
        </w:rPr>
        <w:t>session du Groupe de travail des dispositions générales de sécurité (GRSG). Les modifications qu’il est proposé d’apporter au texte actuel du Règlement ONU figurent en caractères gras pour les ajouts et biffés pour les</w:t>
      </w:r>
      <w:r>
        <w:rPr>
          <w:lang w:val="fr-FR"/>
        </w:rPr>
        <w:t> </w:t>
      </w:r>
      <w:r w:rsidRPr="00C12C66">
        <w:rPr>
          <w:lang w:val="fr-FR"/>
        </w:rPr>
        <w:t>suppressions.</w:t>
      </w:r>
    </w:p>
    <w:p w14:paraId="67284893" w14:textId="77777777" w:rsidR="00DE6634" w:rsidRDefault="00DE6634" w:rsidP="00DE6634">
      <w:pPr>
        <w:pStyle w:val="SingleTxtG"/>
        <w:rPr>
          <w:lang w:val="fr-FR"/>
        </w:rPr>
      </w:pPr>
      <w:r>
        <w:rPr>
          <w:lang w:val="fr-FR"/>
        </w:rPr>
        <w:br w:type="page"/>
      </w:r>
    </w:p>
    <w:p w14:paraId="75FC70ED" w14:textId="2B5B430E" w:rsidR="00DE6634" w:rsidRPr="00C12C66" w:rsidRDefault="00DE6634" w:rsidP="00DE6634">
      <w:pPr>
        <w:pStyle w:val="HChG"/>
        <w:rPr>
          <w:rFonts w:asciiTheme="majorBidi" w:hAnsiTheme="majorBidi" w:cstheme="majorBidi"/>
          <w:lang w:val="fr-FR"/>
        </w:rPr>
      </w:pPr>
      <w:r w:rsidRPr="00C12C66">
        <w:rPr>
          <w:lang w:val="fr-FR"/>
        </w:rPr>
        <w:lastRenderedPageBreak/>
        <w:tab/>
        <w:t>I.</w:t>
      </w:r>
      <w:r w:rsidRPr="00C12C66">
        <w:rPr>
          <w:lang w:val="fr-FR"/>
        </w:rPr>
        <w:tab/>
        <w:t>Proposition</w:t>
      </w:r>
    </w:p>
    <w:p w14:paraId="7085278F" w14:textId="02444061" w:rsidR="00DE6634" w:rsidRPr="00C12C66" w:rsidRDefault="00DE6634" w:rsidP="00DF13BD">
      <w:pPr>
        <w:pStyle w:val="SingleTxtG"/>
        <w:rPr>
          <w:lang w:val="fr-FR"/>
        </w:rPr>
      </w:pPr>
      <w:r w:rsidRPr="00DF13BD">
        <w:rPr>
          <w:i/>
          <w:iCs/>
          <w:lang w:val="fr-FR"/>
        </w:rPr>
        <w:t>Ajouter les nouveaux paragraphes 12.7 à 12.9</w:t>
      </w:r>
      <w:r w:rsidRPr="00C12C66">
        <w:rPr>
          <w:lang w:val="fr-FR"/>
        </w:rPr>
        <w:t>, libellés comme suit</w:t>
      </w:r>
      <w:r w:rsidR="00F91AEA">
        <w:rPr>
          <w:lang w:val="fr-FR"/>
        </w:rPr>
        <w:t> :</w:t>
      </w:r>
    </w:p>
    <w:p w14:paraId="3F4B95B5" w14:textId="097D59AD" w:rsidR="00DE6634" w:rsidRPr="00DF13BD" w:rsidRDefault="00DE6634" w:rsidP="00DF13BD">
      <w:pPr>
        <w:pStyle w:val="SingleTxtG"/>
        <w:ind w:left="2268" w:hanging="1134"/>
        <w:rPr>
          <w:b/>
          <w:bCs/>
          <w:lang w:val="fr-FR"/>
        </w:rPr>
      </w:pPr>
      <w:r w:rsidRPr="00C12C66">
        <w:rPr>
          <w:lang w:val="fr-FR"/>
        </w:rPr>
        <w:t>«</w:t>
      </w:r>
      <w:r w:rsidR="00DF13BD">
        <w:rPr>
          <w:lang w:val="fr-FR"/>
        </w:rPr>
        <w:t> </w:t>
      </w:r>
      <w:r w:rsidRPr="00DF13BD">
        <w:rPr>
          <w:b/>
          <w:bCs/>
          <w:lang w:val="fr-FR"/>
        </w:rPr>
        <w:t>12.7</w:t>
      </w:r>
      <w:r w:rsidRPr="00DF13BD">
        <w:rPr>
          <w:b/>
          <w:bCs/>
          <w:lang w:val="fr-FR"/>
        </w:rPr>
        <w:tab/>
        <w:t xml:space="preserve">Par </w:t>
      </w:r>
      <w:r w:rsidR="00DF13BD">
        <w:rPr>
          <w:b/>
          <w:bCs/>
          <w:lang w:val="fr-FR"/>
        </w:rPr>
        <w:t>“</w:t>
      </w:r>
      <w:r w:rsidRPr="00DF13BD">
        <w:rPr>
          <w:b/>
          <w:bCs/>
          <w:i/>
          <w:iCs/>
          <w:lang w:val="fr-FR"/>
        </w:rPr>
        <w:t>Véhicule à poste de conduite central</w:t>
      </w:r>
      <w:r w:rsidR="00DF13BD" w:rsidRPr="00DF13BD">
        <w:rPr>
          <w:b/>
          <w:bCs/>
          <w:lang w:val="fr-FR"/>
        </w:rPr>
        <w:t>”</w:t>
      </w:r>
      <w:r w:rsidRPr="00DF13BD">
        <w:rPr>
          <w:b/>
          <w:bCs/>
          <w:lang w:val="fr-FR"/>
        </w:rPr>
        <w:t>, on désigne un véhicule dirigé à partir d’une position de conduite en place centrale.</w:t>
      </w:r>
    </w:p>
    <w:p w14:paraId="51BB04DD" w14:textId="673192C6" w:rsidR="00DE6634" w:rsidRPr="00DF13BD" w:rsidRDefault="00DE6634" w:rsidP="00DF13BD">
      <w:pPr>
        <w:pStyle w:val="SingleTxtG"/>
        <w:ind w:left="2268" w:hanging="1134"/>
        <w:rPr>
          <w:b/>
          <w:bCs/>
          <w:lang w:val="fr-FR"/>
        </w:rPr>
      </w:pPr>
      <w:r w:rsidRPr="00DF13BD">
        <w:rPr>
          <w:b/>
          <w:bCs/>
          <w:lang w:val="fr-FR"/>
        </w:rPr>
        <w:t>12.8.</w:t>
      </w:r>
      <w:r w:rsidRPr="00DF13BD">
        <w:rPr>
          <w:b/>
          <w:bCs/>
          <w:lang w:val="fr-FR"/>
        </w:rPr>
        <w:tab/>
        <w:t xml:space="preserve">Par </w:t>
      </w:r>
      <w:r w:rsidR="00DF13BD">
        <w:rPr>
          <w:b/>
          <w:bCs/>
          <w:lang w:val="fr-FR"/>
        </w:rPr>
        <w:t>“</w:t>
      </w:r>
      <w:r w:rsidRPr="00DF13BD">
        <w:rPr>
          <w:b/>
          <w:bCs/>
          <w:i/>
          <w:lang w:val="fr-FR"/>
        </w:rPr>
        <w:t>Position de conduite en place centrale</w:t>
      </w:r>
      <w:r w:rsidR="00DF13BD">
        <w:rPr>
          <w:b/>
          <w:bCs/>
          <w:lang w:val="fr-FR"/>
        </w:rPr>
        <w:t>”</w:t>
      </w:r>
      <w:r w:rsidRPr="00DF13BD">
        <w:rPr>
          <w:b/>
          <w:bCs/>
          <w:lang w:val="fr-FR"/>
        </w:rPr>
        <w:t>, on désigne une position de conduite telle que la coordonnée en</w:t>
      </w:r>
      <w:r w:rsidR="00DF13BD">
        <w:rPr>
          <w:b/>
          <w:bCs/>
          <w:lang w:val="fr-FR"/>
        </w:rPr>
        <w:t xml:space="preserve"> </w:t>
      </w:r>
      <w:r w:rsidRPr="00DF13BD">
        <w:rPr>
          <w:b/>
          <w:bCs/>
          <w:lang w:val="fr-FR"/>
        </w:rPr>
        <w:t>Y du point R se situe en Y</w:t>
      </w:r>
      <w:r w:rsidRPr="00DF13BD">
        <w:rPr>
          <w:b/>
          <w:bCs/>
          <w:vertAlign w:val="subscript"/>
          <w:lang w:val="fr-FR"/>
        </w:rPr>
        <w:t>0</w:t>
      </w:r>
      <w:r w:rsidRPr="00DF13BD">
        <w:rPr>
          <w:b/>
          <w:bCs/>
          <w:lang w:val="fr-FR"/>
        </w:rPr>
        <w:t xml:space="preserve">, </w:t>
      </w:r>
      <w:r w:rsidR="00DF13BD">
        <w:rPr>
          <w:b/>
          <w:bCs/>
          <w:lang w:val="fr-FR"/>
        </w:rPr>
        <w:sym w:font="Symbol" w:char="F0B1"/>
      </w:r>
      <w:r w:rsidRPr="00DF13BD">
        <w:rPr>
          <w:b/>
          <w:bCs/>
          <w:lang w:val="fr-FR"/>
        </w:rPr>
        <w:t>60 </w:t>
      </w:r>
      <w:proofErr w:type="spellStart"/>
      <w:r w:rsidRPr="00DF13BD">
        <w:rPr>
          <w:b/>
          <w:bCs/>
          <w:lang w:val="fr-FR"/>
        </w:rPr>
        <w:t>mm.</w:t>
      </w:r>
      <w:proofErr w:type="spellEnd"/>
    </w:p>
    <w:p w14:paraId="0EB67066" w14:textId="1D8B57F2" w:rsidR="00DE6634" w:rsidRPr="00C12C66" w:rsidRDefault="00DE6634" w:rsidP="00DF13BD">
      <w:pPr>
        <w:pStyle w:val="SingleTxtG"/>
        <w:ind w:left="2268" w:hanging="1134"/>
        <w:rPr>
          <w:lang w:val="fr-FR"/>
        </w:rPr>
      </w:pPr>
      <w:r w:rsidRPr="00DF13BD">
        <w:rPr>
          <w:b/>
          <w:bCs/>
          <w:lang w:val="fr-FR"/>
        </w:rPr>
        <w:t>12.9.</w:t>
      </w:r>
      <w:r w:rsidRPr="00DF13BD">
        <w:rPr>
          <w:b/>
          <w:bCs/>
          <w:lang w:val="fr-FR"/>
        </w:rPr>
        <w:tab/>
        <w:t xml:space="preserve">Par </w:t>
      </w:r>
      <w:r w:rsidR="00DF13BD">
        <w:rPr>
          <w:b/>
          <w:bCs/>
          <w:lang w:val="fr-FR"/>
        </w:rPr>
        <w:t>“</w:t>
      </w:r>
      <w:r w:rsidRPr="00DF13BD">
        <w:rPr>
          <w:b/>
          <w:bCs/>
          <w:i/>
          <w:iCs/>
          <w:lang w:val="fr-FR"/>
        </w:rPr>
        <w:t>Véhicule à poste de conduite latéral</w:t>
      </w:r>
      <w:r w:rsidR="00DF13BD" w:rsidRPr="00DF13BD">
        <w:rPr>
          <w:b/>
          <w:bCs/>
          <w:lang w:val="fr-FR"/>
        </w:rPr>
        <w:t>”</w:t>
      </w:r>
      <w:r w:rsidRPr="00DF13BD">
        <w:rPr>
          <w:b/>
          <w:bCs/>
          <w:lang w:val="fr-FR"/>
        </w:rPr>
        <w:t>, on désigne un</w:t>
      </w:r>
      <w:r w:rsidRPr="00DF13BD" w:rsidDel="00C47C90">
        <w:rPr>
          <w:b/>
          <w:bCs/>
          <w:lang w:val="fr-FR"/>
        </w:rPr>
        <w:t xml:space="preserve"> </w:t>
      </w:r>
      <w:r w:rsidRPr="00DF13BD">
        <w:rPr>
          <w:b/>
          <w:bCs/>
          <w:lang w:val="fr-FR"/>
        </w:rPr>
        <w:t>véhicule dont le poste de conduite n’est pas central.</w:t>
      </w:r>
      <w:r w:rsidRPr="00C12C66">
        <w:rPr>
          <w:lang w:val="fr-FR"/>
        </w:rPr>
        <w:t> ».</w:t>
      </w:r>
    </w:p>
    <w:p w14:paraId="0802B1EE" w14:textId="697ACDC6" w:rsidR="00DE6634" w:rsidRPr="00C12C66" w:rsidRDefault="00DE6634" w:rsidP="00DF13BD">
      <w:pPr>
        <w:pStyle w:val="SingleTxtG"/>
        <w:keepNext/>
        <w:rPr>
          <w:i/>
          <w:lang w:val="fr-FR"/>
        </w:rPr>
      </w:pPr>
      <w:r w:rsidRPr="00DF13BD">
        <w:rPr>
          <w:i/>
          <w:iCs/>
          <w:lang w:val="fr-FR"/>
        </w:rPr>
        <w:t>Le</w:t>
      </w:r>
      <w:r w:rsidRPr="00C12C66">
        <w:rPr>
          <w:lang w:val="fr-FR"/>
        </w:rPr>
        <w:t xml:space="preserve"> </w:t>
      </w:r>
      <w:r w:rsidRPr="00C12C66">
        <w:rPr>
          <w:i/>
          <w:iCs/>
          <w:lang w:val="fr-FR"/>
        </w:rPr>
        <w:t>paragraphe 15.2.1.1.1</w:t>
      </w:r>
      <w:r w:rsidRPr="00C12C66">
        <w:rPr>
          <w:lang w:val="fr-FR"/>
        </w:rPr>
        <w:t xml:space="preserve"> est modifié comme suit</w:t>
      </w:r>
      <w:r w:rsidR="00F91AEA">
        <w:rPr>
          <w:lang w:val="fr-FR"/>
        </w:rPr>
        <w:t> :</w:t>
      </w:r>
    </w:p>
    <w:p w14:paraId="6A70A5C4" w14:textId="31B0952A" w:rsidR="00DE6634" w:rsidRPr="00C12C66" w:rsidRDefault="00DE6634" w:rsidP="00DF13BD">
      <w:pPr>
        <w:pStyle w:val="SingleTxtG"/>
        <w:ind w:left="2268" w:hanging="1134"/>
        <w:rPr>
          <w:lang w:val="fr-FR"/>
        </w:rPr>
      </w:pPr>
      <w:r w:rsidRPr="00C12C66">
        <w:rPr>
          <w:lang w:val="fr-FR"/>
        </w:rPr>
        <w:t>«</w:t>
      </w:r>
      <w:r w:rsidR="00DF13BD">
        <w:rPr>
          <w:lang w:val="fr-FR"/>
        </w:rPr>
        <w:t> </w:t>
      </w:r>
      <w:r w:rsidRPr="00C12C66">
        <w:rPr>
          <w:lang w:val="fr-FR"/>
        </w:rPr>
        <w:t>15.2.1.1.1</w:t>
      </w:r>
      <w:r w:rsidRPr="00C12C66">
        <w:rPr>
          <w:lang w:val="fr-FR"/>
        </w:rPr>
        <w:tab/>
        <w:t>Les champs de vision prescrits au paragraphe 15.2.4 ci-dessous doivent être obtenus au moyen du nombre minimal de rétroviseurs ou systèmes à caméra et moniteur obligatoires spécifié dans le tableau ci-après.</w:t>
      </w:r>
    </w:p>
    <w:p w14:paraId="7DCEEF06" w14:textId="77777777" w:rsidR="00DE6634" w:rsidRDefault="00DE6634" w:rsidP="00DF13BD">
      <w:pPr>
        <w:pStyle w:val="SingleTxtG"/>
        <w:ind w:left="2268"/>
        <w:rPr>
          <w:lang w:val="fr-FR"/>
        </w:rPr>
      </w:pPr>
      <w:r w:rsidRPr="00C12C66">
        <w:rPr>
          <w:lang w:val="fr-FR"/>
        </w:rPr>
        <w:t>Il n’est pas prescrit de nombre minimal de systèmes à caméra et moniteur, mais le champ de vision fourni doit être le même que celui qui est indiqué dans le tableau ci-après. En outre, la prescription relative à la hauteur de montage minimale n’est pas applicable.</w:t>
      </w:r>
    </w:p>
    <w:p w14:paraId="199AAAF6" w14:textId="06B4A767" w:rsidR="00F9573C" w:rsidRDefault="00DE6634" w:rsidP="00DF13BD">
      <w:pPr>
        <w:pStyle w:val="SingleTxtG"/>
        <w:ind w:left="2268"/>
        <w:rPr>
          <w:lang w:val="fr-FR"/>
        </w:rPr>
      </w:pPr>
      <w:r w:rsidRPr="00C12C66">
        <w:rPr>
          <w:lang w:val="fr-FR"/>
        </w:rPr>
        <w:t>Dans le cas de systèmes à caméras et moniteurs, le nombre maximal de moniteurs ne doit pas être supérieur au nombre de rétroviseurs et d’</w:t>
      </w:r>
      <w:proofErr w:type="spellStart"/>
      <w:r w:rsidRPr="00C12C66">
        <w:rPr>
          <w:lang w:val="fr-FR"/>
        </w:rPr>
        <w:t>antéviseurs</w:t>
      </w:r>
      <w:proofErr w:type="spellEnd"/>
      <w:r w:rsidRPr="00C12C66">
        <w:rPr>
          <w:lang w:val="fr-FR"/>
        </w:rPr>
        <w:t xml:space="preserve"> correspondant.</w:t>
      </w:r>
    </w:p>
    <w:p w14:paraId="2A23D530" w14:textId="77777777" w:rsidR="00517B62" w:rsidRDefault="00517B62" w:rsidP="00DE6634">
      <w:pPr>
        <w:spacing w:after="120" w:line="276" w:lineRule="auto"/>
        <w:ind w:left="2268" w:right="1134"/>
        <w:jc w:val="both"/>
        <w:sectPr w:rsidR="00517B62" w:rsidSect="00590C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W w:w="13776" w:type="dxa"/>
        <w:tblInd w:w="283" w:type="dxa"/>
        <w:tblLayout w:type="fixed"/>
        <w:tblCellMar>
          <w:left w:w="0" w:type="dxa"/>
          <w:right w:w="0" w:type="dxa"/>
        </w:tblCellMar>
        <w:tblLook w:val="0000" w:firstRow="0" w:lastRow="0" w:firstColumn="0" w:lastColumn="0" w:noHBand="0" w:noVBand="0"/>
      </w:tblPr>
      <w:tblGrid>
        <w:gridCol w:w="966"/>
        <w:gridCol w:w="1879"/>
        <w:gridCol w:w="2167"/>
        <w:gridCol w:w="2164"/>
        <w:gridCol w:w="2272"/>
        <w:gridCol w:w="2344"/>
        <w:gridCol w:w="1984"/>
      </w:tblGrid>
      <w:tr w:rsidR="00DF13BD" w:rsidRPr="00DF13BD" w14:paraId="6387D84F" w14:textId="77777777" w:rsidTr="00DF13BD">
        <w:trPr>
          <w:cantSplit/>
          <w:tblHeader/>
        </w:trPr>
        <w:tc>
          <w:tcPr>
            <w:tcW w:w="867" w:type="dxa"/>
            <w:tcBorders>
              <w:top w:val="single" w:sz="4" w:space="0" w:color="auto"/>
              <w:left w:val="single" w:sz="4" w:space="0" w:color="auto"/>
              <w:bottom w:val="single" w:sz="12" w:space="0" w:color="auto"/>
            </w:tcBorders>
            <w:shd w:val="clear" w:color="auto" w:fill="auto"/>
            <w:vAlign w:val="bottom"/>
          </w:tcPr>
          <w:p w14:paraId="0D6BD7CF" w14:textId="50D0F61E" w:rsidR="00517B62" w:rsidRPr="00DF13BD" w:rsidRDefault="00517B62" w:rsidP="00DF13BD">
            <w:pPr>
              <w:suppressAutoHyphens w:val="0"/>
              <w:spacing w:before="80" w:after="80" w:line="180" w:lineRule="exact"/>
              <w:ind w:left="57" w:right="113"/>
              <w:rPr>
                <w:i/>
                <w:sz w:val="14"/>
                <w:szCs w:val="14"/>
                <w:lang w:val="fr-FR"/>
              </w:rPr>
            </w:pPr>
            <w:r w:rsidRPr="00DF13BD">
              <w:rPr>
                <w:i/>
                <w:sz w:val="14"/>
                <w:szCs w:val="14"/>
                <w:lang w:val="fr-FR"/>
              </w:rPr>
              <w:lastRenderedPageBreak/>
              <w:t>Catégorie de</w:t>
            </w:r>
            <w:r w:rsidR="00CF6F1F">
              <w:rPr>
                <w:i/>
                <w:sz w:val="14"/>
                <w:szCs w:val="14"/>
                <w:lang w:val="fr-FR"/>
              </w:rPr>
              <w:t> </w:t>
            </w:r>
            <w:r w:rsidRPr="00DF13BD">
              <w:rPr>
                <w:i/>
                <w:sz w:val="14"/>
                <w:szCs w:val="14"/>
                <w:lang w:val="fr-FR"/>
              </w:rPr>
              <w:t>véhicules</w:t>
            </w:r>
          </w:p>
        </w:tc>
        <w:tc>
          <w:tcPr>
            <w:tcW w:w="1686" w:type="dxa"/>
            <w:tcBorders>
              <w:top w:val="single" w:sz="4" w:space="0" w:color="auto"/>
              <w:bottom w:val="single" w:sz="12" w:space="0" w:color="auto"/>
            </w:tcBorders>
            <w:shd w:val="clear" w:color="auto" w:fill="auto"/>
            <w:vAlign w:val="bottom"/>
          </w:tcPr>
          <w:p w14:paraId="7D42C6C9" w14:textId="77777777" w:rsidR="00517B62" w:rsidRPr="00DF13BD" w:rsidRDefault="00517B62" w:rsidP="00DF13BD">
            <w:pPr>
              <w:suppressAutoHyphens w:val="0"/>
              <w:spacing w:before="80" w:after="80" w:line="180" w:lineRule="exact"/>
              <w:ind w:right="113"/>
              <w:rPr>
                <w:i/>
                <w:sz w:val="14"/>
                <w:szCs w:val="14"/>
                <w:lang w:val="fr-FR"/>
              </w:rPr>
            </w:pPr>
            <w:r w:rsidRPr="00DF13BD">
              <w:rPr>
                <w:i/>
                <w:sz w:val="14"/>
                <w:szCs w:val="14"/>
                <w:lang w:val="fr-FR"/>
              </w:rPr>
              <w:t>Système de vision vers l’arrière, classe I</w:t>
            </w:r>
          </w:p>
        </w:tc>
        <w:tc>
          <w:tcPr>
            <w:tcW w:w="1944" w:type="dxa"/>
            <w:tcBorders>
              <w:top w:val="single" w:sz="4" w:space="0" w:color="auto"/>
              <w:bottom w:val="single" w:sz="12" w:space="0" w:color="auto"/>
            </w:tcBorders>
            <w:shd w:val="clear" w:color="auto" w:fill="auto"/>
            <w:vAlign w:val="bottom"/>
          </w:tcPr>
          <w:p w14:paraId="05D0FBC4" w14:textId="489C922B" w:rsidR="00517B62" w:rsidRPr="00DF13BD" w:rsidRDefault="00517B62" w:rsidP="00DF13BD">
            <w:pPr>
              <w:suppressAutoHyphens w:val="0"/>
              <w:spacing w:before="80" w:after="80" w:line="180" w:lineRule="exact"/>
              <w:ind w:right="113"/>
              <w:rPr>
                <w:i/>
                <w:sz w:val="14"/>
                <w:szCs w:val="14"/>
                <w:lang w:val="fr-FR"/>
              </w:rPr>
            </w:pPr>
            <w:r w:rsidRPr="00DF13BD">
              <w:rPr>
                <w:i/>
                <w:sz w:val="14"/>
                <w:szCs w:val="14"/>
                <w:lang w:val="fr-FR"/>
              </w:rPr>
              <w:t>Systèmes principaux de vision vers</w:t>
            </w:r>
            <w:r w:rsidR="00CF6F1F">
              <w:rPr>
                <w:i/>
                <w:sz w:val="14"/>
                <w:szCs w:val="14"/>
                <w:lang w:val="fr-FR"/>
              </w:rPr>
              <w:t> </w:t>
            </w:r>
            <w:r w:rsidRPr="00DF13BD">
              <w:rPr>
                <w:i/>
                <w:sz w:val="14"/>
                <w:szCs w:val="14"/>
                <w:lang w:val="fr-FR"/>
              </w:rPr>
              <w:t>l’arrière, classe II</w:t>
            </w:r>
          </w:p>
        </w:tc>
        <w:tc>
          <w:tcPr>
            <w:tcW w:w="1941" w:type="dxa"/>
            <w:tcBorders>
              <w:top w:val="single" w:sz="4" w:space="0" w:color="auto"/>
              <w:bottom w:val="single" w:sz="12" w:space="0" w:color="auto"/>
            </w:tcBorders>
            <w:shd w:val="clear" w:color="auto" w:fill="auto"/>
            <w:vAlign w:val="bottom"/>
          </w:tcPr>
          <w:p w14:paraId="3D5753AA" w14:textId="54777E82" w:rsidR="00517B62" w:rsidRPr="00DF13BD" w:rsidRDefault="00517B62" w:rsidP="00DF13BD">
            <w:pPr>
              <w:suppressAutoHyphens w:val="0"/>
              <w:spacing w:before="80" w:after="80" w:line="180" w:lineRule="exact"/>
              <w:ind w:right="113"/>
              <w:rPr>
                <w:i/>
                <w:sz w:val="14"/>
                <w:szCs w:val="14"/>
                <w:lang w:val="fr-FR"/>
              </w:rPr>
            </w:pPr>
            <w:r w:rsidRPr="00DF13BD">
              <w:rPr>
                <w:i/>
                <w:sz w:val="14"/>
                <w:szCs w:val="14"/>
                <w:lang w:val="fr-FR"/>
              </w:rPr>
              <w:t>Systèmes principaux de vision vers</w:t>
            </w:r>
            <w:r w:rsidR="00CF6F1F">
              <w:rPr>
                <w:i/>
                <w:sz w:val="14"/>
                <w:szCs w:val="14"/>
                <w:lang w:val="fr-FR"/>
              </w:rPr>
              <w:t> </w:t>
            </w:r>
            <w:r w:rsidRPr="00DF13BD">
              <w:rPr>
                <w:i/>
                <w:sz w:val="14"/>
                <w:szCs w:val="14"/>
                <w:lang w:val="fr-FR"/>
              </w:rPr>
              <w:t>l’arrière, classe III</w:t>
            </w:r>
          </w:p>
        </w:tc>
        <w:tc>
          <w:tcPr>
            <w:tcW w:w="2038" w:type="dxa"/>
            <w:tcBorders>
              <w:top w:val="single" w:sz="4" w:space="0" w:color="auto"/>
              <w:bottom w:val="single" w:sz="12" w:space="0" w:color="auto"/>
            </w:tcBorders>
            <w:shd w:val="clear" w:color="auto" w:fill="auto"/>
            <w:vAlign w:val="bottom"/>
          </w:tcPr>
          <w:p w14:paraId="5A3162D8" w14:textId="77777777" w:rsidR="00517B62" w:rsidRPr="00DF13BD" w:rsidRDefault="00517B62" w:rsidP="00DF13BD">
            <w:pPr>
              <w:suppressAutoHyphens w:val="0"/>
              <w:spacing w:before="80" w:after="80" w:line="180" w:lineRule="exact"/>
              <w:ind w:right="113"/>
              <w:rPr>
                <w:i/>
                <w:sz w:val="14"/>
                <w:szCs w:val="14"/>
                <w:lang w:val="fr-FR"/>
              </w:rPr>
            </w:pPr>
            <w:r w:rsidRPr="00DF13BD">
              <w:rPr>
                <w:i/>
                <w:sz w:val="14"/>
                <w:szCs w:val="14"/>
                <w:lang w:val="fr-FR"/>
              </w:rPr>
              <w:t>Systèmes de vision à grand angle, classe IV</w:t>
            </w:r>
          </w:p>
        </w:tc>
        <w:tc>
          <w:tcPr>
            <w:tcW w:w="2103" w:type="dxa"/>
            <w:tcBorders>
              <w:top w:val="single" w:sz="4" w:space="0" w:color="auto"/>
              <w:bottom w:val="single" w:sz="12" w:space="0" w:color="auto"/>
            </w:tcBorders>
            <w:shd w:val="clear" w:color="auto" w:fill="auto"/>
            <w:vAlign w:val="bottom"/>
          </w:tcPr>
          <w:p w14:paraId="33A9DA40" w14:textId="4E8EE97C" w:rsidR="00517B62" w:rsidRPr="00DF13BD" w:rsidRDefault="00517B62" w:rsidP="00DF13BD">
            <w:pPr>
              <w:suppressAutoHyphens w:val="0"/>
              <w:spacing w:before="80" w:after="80" w:line="180" w:lineRule="exact"/>
              <w:ind w:right="113"/>
              <w:rPr>
                <w:i/>
                <w:sz w:val="14"/>
                <w:szCs w:val="14"/>
                <w:lang w:val="fr-FR"/>
              </w:rPr>
            </w:pPr>
            <w:r w:rsidRPr="00DF13BD">
              <w:rPr>
                <w:i/>
                <w:sz w:val="14"/>
                <w:szCs w:val="14"/>
                <w:lang w:val="fr-FR"/>
              </w:rPr>
              <w:t>Systèmes de vision à proximité, classe</w:t>
            </w:r>
            <w:r w:rsidR="00CF6F1F">
              <w:rPr>
                <w:i/>
                <w:sz w:val="14"/>
                <w:szCs w:val="14"/>
                <w:lang w:val="fr-FR"/>
              </w:rPr>
              <w:t> </w:t>
            </w:r>
            <w:r w:rsidRPr="00DF13BD">
              <w:rPr>
                <w:i/>
                <w:sz w:val="14"/>
                <w:szCs w:val="14"/>
                <w:lang w:val="fr-FR"/>
              </w:rPr>
              <w:t>V</w:t>
            </w:r>
          </w:p>
        </w:tc>
        <w:tc>
          <w:tcPr>
            <w:tcW w:w="1780" w:type="dxa"/>
            <w:tcBorders>
              <w:top w:val="single" w:sz="4" w:space="0" w:color="auto"/>
              <w:bottom w:val="single" w:sz="12" w:space="0" w:color="auto"/>
              <w:right w:val="single" w:sz="4" w:space="0" w:color="auto"/>
            </w:tcBorders>
            <w:shd w:val="clear" w:color="auto" w:fill="auto"/>
            <w:vAlign w:val="bottom"/>
          </w:tcPr>
          <w:p w14:paraId="1626A4AA" w14:textId="77777777" w:rsidR="00517B62" w:rsidRPr="00DF13BD" w:rsidRDefault="00517B62" w:rsidP="00DF13BD">
            <w:pPr>
              <w:suppressAutoHyphens w:val="0"/>
              <w:spacing w:before="80" w:after="80" w:line="180" w:lineRule="exact"/>
              <w:ind w:right="57"/>
              <w:rPr>
                <w:i/>
                <w:sz w:val="14"/>
                <w:szCs w:val="14"/>
                <w:lang w:val="fr-FR"/>
              </w:rPr>
            </w:pPr>
            <w:r w:rsidRPr="00DF13BD">
              <w:rPr>
                <w:i/>
                <w:sz w:val="14"/>
                <w:szCs w:val="14"/>
                <w:lang w:val="fr-FR"/>
              </w:rPr>
              <w:t>Système de vision vers l’avant, classe VI</w:t>
            </w:r>
          </w:p>
        </w:tc>
      </w:tr>
      <w:tr w:rsidR="00DF13BD" w:rsidRPr="00DF13BD" w14:paraId="28CE03D2" w14:textId="77777777" w:rsidTr="00DF13BD">
        <w:trPr>
          <w:cantSplit/>
          <w:trHeight w:hRule="exact" w:val="113"/>
          <w:tblHeader/>
        </w:trPr>
        <w:tc>
          <w:tcPr>
            <w:tcW w:w="867" w:type="dxa"/>
            <w:tcBorders>
              <w:top w:val="single" w:sz="12" w:space="0" w:color="auto"/>
              <w:left w:val="single" w:sz="4" w:space="0" w:color="auto"/>
            </w:tcBorders>
            <w:shd w:val="clear" w:color="auto" w:fill="auto"/>
          </w:tcPr>
          <w:p w14:paraId="7E29126C" w14:textId="77777777" w:rsidR="00DF13BD" w:rsidRPr="00DF13BD" w:rsidRDefault="00DF13BD" w:rsidP="00DF13BD">
            <w:pPr>
              <w:suppressAutoHyphens w:val="0"/>
              <w:spacing w:before="40" w:after="120"/>
              <w:ind w:left="57" w:right="113"/>
              <w:rPr>
                <w:lang w:val="fr-FR"/>
              </w:rPr>
            </w:pPr>
          </w:p>
        </w:tc>
        <w:tc>
          <w:tcPr>
            <w:tcW w:w="1686" w:type="dxa"/>
            <w:tcBorders>
              <w:top w:val="single" w:sz="12" w:space="0" w:color="auto"/>
            </w:tcBorders>
            <w:shd w:val="clear" w:color="auto" w:fill="auto"/>
          </w:tcPr>
          <w:p w14:paraId="08B4C761" w14:textId="77777777" w:rsidR="00DF13BD" w:rsidRPr="00DF13BD" w:rsidRDefault="00DF13BD" w:rsidP="00DF13BD">
            <w:pPr>
              <w:suppressAutoHyphens w:val="0"/>
              <w:spacing w:before="40" w:after="120"/>
              <w:ind w:right="113"/>
              <w:rPr>
                <w:lang w:val="fr-FR"/>
              </w:rPr>
            </w:pPr>
          </w:p>
        </w:tc>
        <w:tc>
          <w:tcPr>
            <w:tcW w:w="1944" w:type="dxa"/>
            <w:tcBorders>
              <w:top w:val="single" w:sz="12" w:space="0" w:color="auto"/>
            </w:tcBorders>
            <w:shd w:val="clear" w:color="auto" w:fill="auto"/>
          </w:tcPr>
          <w:p w14:paraId="1A517762" w14:textId="77777777" w:rsidR="00DF13BD" w:rsidRPr="00DF13BD" w:rsidRDefault="00DF13BD" w:rsidP="00DF13BD">
            <w:pPr>
              <w:suppressAutoHyphens w:val="0"/>
              <w:spacing w:before="40" w:after="120"/>
              <w:ind w:right="113"/>
              <w:rPr>
                <w:lang w:val="fr-FR"/>
              </w:rPr>
            </w:pPr>
          </w:p>
        </w:tc>
        <w:tc>
          <w:tcPr>
            <w:tcW w:w="1941" w:type="dxa"/>
            <w:tcBorders>
              <w:top w:val="single" w:sz="12" w:space="0" w:color="auto"/>
            </w:tcBorders>
            <w:shd w:val="clear" w:color="auto" w:fill="auto"/>
          </w:tcPr>
          <w:p w14:paraId="425DA558" w14:textId="77777777" w:rsidR="00DF13BD" w:rsidRPr="00DF13BD" w:rsidRDefault="00DF13BD" w:rsidP="00DF13BD">
            <w:pPr>
              <w:suppressAutoHyphens w:val="0"/>
              <w:spacing w:before="40" w:after="120"/>
              <w:ind w:right="113"/>
              <w:rPr>
                <w:lang w:val="fr-FR"/>
              </w:rPr>
            </w:pPr>
          </w:p>
        </w:tc>
        <w:tc>
          <w:tcPr>
            <w:tcW w:w="2038" w:type="dxa"/>
            <w:tcBorders>
              <w:top w:val="single" w:sz="12" w:space="0" w:color="auto"/>
            </w:tcBorders>
            <w:shd w:val="clear" w:color="auto" w:fill="auto"/>
          </w:tcPr>
          <w:p w14:paraId="1D9D0A65" w14:textId="77777777" w:rsidR="00DF13BD" w:rsidRPr="00DF13BD" w:rsidRDefault="00DF13BD" w:rsidP="00DF13BD">
            <w:pPr>
              <w:suppressAutoHyphens w:val="0"/>
              <w:spacing w:before="40" w:after="120"/>
              <w:ind w:right="113"/>
              <w:rPr>
                <w:lang w:val="fr-FR"/>
              </w:rPr>
            </w:pPr>
          </w:p>
        </w:tc>
        <w:tc>
          <w:tcPr>
            <w:tcW w:w="2103" w:type="dxa"/>
            <w:tcBorders>
              <w:top w:val="single" w:sz="12" w:space="0" w:color="auto"/>
            </w:tcBorders>
            <w:shd w:val="clear" w:color="auto" w:fill="auto"/>
          </w:tcPr>
          <w:p w14:paraId="2CA48DF9" w14:textId="77777777" w:rsidR="00DF13BD" w:rsidRPr="00DF13BD" w:rsidRDefault="00DF13BD" w:rsidP="00DF13BD">
            <w:pPr>
              <w:suppressAutoHyphens w:val="0"/>
              <w:spacing w:before="40" w:after="120"/>
              <w:ind w:right="113"/>
              <w:rPr>
                <w:lang w:val="fr-FR"/>
              </w:rPr>
            </w:pPr>
          </w:p>
        </w:tc>
        <w:tc>
          <w:tcPr>
            <w:tcW w:w="1780" w:type="dxa"/>
            <w:tcBorders>
              <w:top w:val="single" w:sz="12" w:space="0" w:color="auto"/>
              <w:right w:val="single" w:sz="4" w:space="0" w:color="auto"/>
            </w:tcBorders>
            <w:shd w:val="clear" w:color="auto" w:fill="auto"/>
          </w:tcPr>
          <w:p w14:paraId="3FE755A9" w14:textId="77777777" w:rsidR="00DF13BD" w:rsidRPr="00DF13BD" w:rsidRDefault="00DF13BD" w:rsidP="00DF13BD">
            <w:pPr>
              <w:suppressAutoHyphens w:val="0"/>
              <w:spacing w:before="40" w:after="120"/>
              <w:ind w:right="57"/>
              <w:rPr>
                <w:lang w:val="fr-FR"/>
              </w:rPr>
            </w:pPr>
          </w:p>
        </w:tc>
      </w:tr>
      <w:tr w:rsidR="00DF13BD" w:rsidRPr="00DF13BD" w14:paraId="36CDE439" w14:textId="77777777" w:rsidTr="00DF13BD">
        <w:trPr>
          <w:cantSplit/>
        </w:trPr>
        <w:tc>
          <w:tcPr>
            <w:tcW w:w="867" w:type="dxa"/>
            <w:tcBorders>
              <w:left w:val="single" w:sz="4" w:space="0" w:color="auto"/>
            </w:tcBorders>
            <w:shd w:val="clear" w:color="auto" w:fill="auto"/>
          </w:tcPr>
          <w:p w14:paraId="6D8244A2"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t>M</w:t>
            </w:r>
            <w:r w:rsidRPr="00DF13BD">
              <w:rPr>
                <w:sz w:val="18"/>
                <w:szCs w:val="18"/>
                <w:vertAlign w:val="subscript"/>
                <w:lang w:val="fr-FR"/>
              </w:rPr>
              <w:t>1</w:t>
            </w:r>
          </w:p>
        </w:tc>
        <w:tc>
          <w:tcPr>
            <w:tcW w:w="1686" w:type="dxa"/>
            <w:shd w:val="clear" w:color="auto" w:fill="auto"/>
          </w:tcPr>
          <w:p w14:paraId="398FF74F"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630F604C"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Sauf si le véhicule est équipé d’un matériau autre que du vitrage de sécurité dans le champ de vision prescrit au paragraphe 15.2.4.1.</w:t>
            </w:r>
          </w:p>
        </w:tc>
        <w:tc>
          <w:tcPr>
            <w:tcW w:w="1944" w:type="dxa"/>
            <w:shd w:val="clear" w:color="auto" w:fill="auto"/>
          </w:tcPr>
          <w:p w14:paraId="5FEE3234"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Facultatifs </w:t>
            </w:r>
          </w:p>
        </w:tc>
        <w:tc>
          <w:tcPr>
            <w:tcW w:w="1941" w:type="dxa"/>
            <w:shd w:val="clear" w:color="auto" w:fill="auto"/>
          </w:tcPr>
          <w:p w14:paraId="5008D2A0"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7D8526E1" w14:textId="7904221D"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 xml:space="preserve">1 du côté passager. </w:t>
            </w:r>
            <w:r w:rsidR="00CF6F1F">
              <w:rPr>
                <w:sz w:val="18"/>
                <w:szCs w:val="18"/>
                <w:lang w:val="fr-FR"/>
              </w:rPr>
              <w:br/>
            </w:r>
            <w:r w:rsidRPr="00DF13BD">
              <w:rPr>
                <w:sz w:val="18"/>
                <w:szCs w:val="18"/>
                <w:lang w:val="fr-FR"/>
              </w:rPr>
              <w:t>Des rétroviseurs de la classe</w:t>
            </w:r>
            <w:r w:rsidR="00CF6F1F">
              <w:rPr>
                <w:sz w:val="18"/>
                <w:szCs w:val="18"/>
                <w:lang w:val="fr-FR"/>
              </w:rPr>
              <w:t> </w:t>
            </w:r>
            <w:r w:rsidRPr="00DF13BD">
              <w:rPr>
                <w:sz w:val="18"/>
                <w:szCs w:val="18"/>
                <w:lang w:val="fr-FR"/>
              </w:rPr>
              <w:t>II peuvent être installés à titre de solution de rechange.</w:t>
            </w:r>
          </w:p>
        </w:tc>
        <w:tc>
          <w:tcPr>
            <w:tcW w:w="2038" w:type="dxa"/>
            <w:shd w:val="clear" w:color="auto" w:fill="auto"/>
          </w:tcPr>
          <w:p w14:paraId="78316F02"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1840F180" w14:textId="2DE0F6AC" w:rsidR="00517B62" w:rsidRPr="00DF13BD" w:rsidRDefault="00517B62" w:rsidP="00CF6F1F">
            <w:pPr>
              <w:suppressAutoHyphens w:val="0"/>
              <w:spacing w:before="40" w:after="120" w:line="220" w:lineRule="atLeast"/>
              <w:ind w:right="113"/>
              <w:rPr>
                <w:sz w:val="18"/>
                <w:szCs w:val="18"/>
                <w:lang w:val="fr-FR"/>
              </w:rPr>
            </w:pPr>
            <w:r w:rsidRPr="00DF13BD">
              <w:rPr>
                <w:sz w:val="18"/>
                <w:szCs w:val="18"/>
                <w:lang w:val="fr-FR"/>
              </w:rPr>
              <w:t>1 du côté conducteur et/ou</w:t>
            </w:r>
            <w:r w:rsidR="00CF6F1F">
              <w:rPr>
                <w:sz w:val="18"/>
                <w:szCs w:val="18"/>
                <w:lang w:val="fr-FR"/>
              </w:rPr>
              <w:t xml:space="preserve"> </w:t>
            </w:r>
            <w:r w:rsidR="00CF6F1F">
              <w:rPr>
                <w:sz w:val="18"/>
                <w:szCs w:val="18"/>
                <w:lang w:val="fr-FR"/>
              </w:rPr>
              <w:br/>
            </w:r>
            <w:r w:rsidRPr="00DF13BD">
              <w:rPr>
                <w:sz w:val="18"/>
                <w:szCs w:val="18"/>
                <w:lang w:val="fr-FR"/>
              </w:rPr>
              <w:t>1 du côté passager</w:t>
            </w:r>
          </w:p>
        </w:tc>
        <w:tc>
          <w:tcPr>
            <w:tcW w:w="2103" w:type="dxa"/>
            <w:shd w:val="clear" w:color="auto" w:fill="auto"/>
          </w:tcPr>
          <w:p w14:paraId="0E7D8D06"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0197EAA3" w14:textId="2E6534CE"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p w14:paraId="3C111F52" w14:textId="2F91133D"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(les deux doivent être installés à une hauteur minimale de </w:t>
            </w:r>
            <w:r w:rsidR="00CF6F1F">
              <w:rPr>
                <w:sz w:val="18"/>
                <w:szCs w:val="18"/>
                <w:lang w:val="fr-FR"/>
              </w:rPr>
              <w:t>2 m</w:t>
            </w:r>
            <w:r w:rsidRPr="00DF13BD">
              <w:rPr>
                <w:sz w:val="18"/>
                <w:szCs w:val="18"/>
                <w:lang w:val="fr-FR"/>
              </w:rPr>
              <w:t xml:space="preserve"> du sol)</w:t>
            </w:r>
          </w:p>
        </w:tc>
        <w:tc>
          <w:tcPr>
            <w:tcW w:w="1780" w:type="dxa"/>
            <w:tcBorders>
              <w:right w:val="single" w:sz="4" w:space="0" w:color="auto"/>
            </w:tcBorders>
            <w:shd w:val="clear" w:color="auto" w:fill="auto"/>
          </w:tcPr>
          <w:p w14:paraId="77EB57CA"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Facultatifs</w:t>
            </w:r>
          </w:p>
          <w:p w14:paraId="1A93E53C" w14:textId="53D003A6"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 xml:space="preserve">(doivent être installés à une hauteur minimale de </w:t>
            </w:r>
            <w:r w:rsidR="00CF6F1F">
              <w:rPr>
                <w:sz w:val="18"/>
                <w:szCs w:val="18"/>
                <w:lang w:val="fr-FR"/>
              </w:rPr>
              <w:t>2 m</w:t>
            </w:r>
            <w:r w:rsidRPr="00DF13BD">
              <w:rPr>
                <w:sz w:val="18"/>
                <w:szCs w:val="18"/>
                <w:lang w:val="fr-FR"/>
              </w:rPr>
              <w:t xml:space="preserve"> du sol)</w:t>
            </w:r>
          </w:p>
        </w:tc>
      </w:tr>
      <w:tr w:rsidR="00DF13BD" w:rsidRPr="00DF13BD" w14:paraId="14E03538" w14:textId="77777777" w:rsidTr="00DF13BD">
        <w:trPr>
          <w:cantSplit/>
        </w:trPr>
        <w:tc>
          <w:tcPr>
            <w:tcW w:w="867" w:type="dxa"/>
            <w:tcBorders>
              <w:left w:val="single" w:sz="4" w:space="0" w:color="auto"/>
            </w:tcBorders>
            <w:shd w:val="clear" w:color="auto" w:fill="auto"/>
          </w:tcPr>
          <w:p w14:paraId="13B925BE"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t>M</w:t>
            </w:r>
            <w:r w:rsidRPr="00DF13BD">
              <w:rPr>
                <w:sz w:val="18"/>
                <w:szCs w:val="18"/>
                <w:vertAlign w:val="subscript"/>
                <w:lang w:val="fr-FR"/>
              </w:rPr>
              <w:t>2</w:t>
            </w:r>
          </w:p>
        </w:tc>
        <w:tc>
          <w:tcPr>
            <w:tcW w:w="1686" w:type="dxa"/>
            <w:shd w:val="clear" w:color="auto" w:fill="auto"/>
          </w:tcPr>
          <w:p w14:paraId="40E9A4FE"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5E6B7C3D"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(pas de prescriptions pour le champ de vision)</w:t>
            </w:r>
          </w:p>
        </w:tc>
        <w:tc>
          <w:tcPr>
            <w:tcW w:w="1944" w:type="dxa"/>
            <w:shd w:val="clear" w:color="auto" w:fill="auto"/>
          </w:tcPr>
          <w:p w14:paraId="5C8A1370"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3818A361" w14:textId="25B540C5"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tc>
        <w:tc>
          <w:tcPr>
            <w:tcW w:w="1941" w:type="dxa"/>
            <w:shd w:val="clear" w:color="auto" w:fill="auto"/>
          </w:tcPr>
          <w:p w14:paraId="24408519"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Non autorisés</w:t>
            </w:r>
          </w:p>
        </w:tc>
        <w:tc>
          <w:tcPr>
            <w:tcW w:w="2038" w:type="dxa"/>
            <w:shd w:val="clear" w:color="auto" w:fill="auto"/>
          </w:tcPr>
          <w:p w14:paraId="5A3EE726"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56D42537" w14:textId="4DD585BA" w:rsidR="00517B62" w:rsidRPr="00DF13BD" w:rsidRDefault="00517B62" w:rsidP="00CF6F1F">
            <w:pPr>
              <w:suppressAutoHyphens w:val="0"/>
              <w:spacing w:before="40" w:after="120" w:line="220" w:lineRule="atLeast"/>
              <w:ind w:right="113"/>
              <w:rPr>
                <w:sz w:val="18"/>
                <w:szCs w:val="18"/>
                <w:lang w:val="fr-FR"/>
              </w:rPr>
            </w:pPr>
            <w:r w:rsidRPr="00DF13BD">
              <w:rPr>
                <w:sz w:val="18"/>
                <w:szCs w:val="18"/>
                <w:lang w:val="fr-FR"/>
              </w:rPr>
              <w:t>1 du côté conducteur et/ou</w:t>
            </w:r>
            <w:r w:rsidR="00CF6F1F">
              <w:rPr>
                <w:sz w:val="18"/>
                <w:szCs w:val="18"/>
                <w:lang w:val="fr-FR"/>
              </w:rPr>
              <w:br/>
            </w:r>
            <w:r w:rsidRPr="00DF13BD">
              <w:rPr>
                <w:sz w:val="18"/>
                <w:szCs w:val="18"/>
                <w:lang w:val="fr-FR"/>
              </w:rPr>
              <w:t>1 du côté passager</w:t>
            </w:r>
          </w:p>
        </w:tc>
        <w:tc>
          <w:tcPr>
            <w:tcW w:w="2103" w:type="dxa"/>
            <w:shd w:val="clear" w:color="auto" w:fill="auto"/>
          </w:tcPr>
          <w:p w14:paraId="23A495B6"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7C101BB7" w14:textId="5151E168"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p w14:paraId="110428F4" w14:textId="311FB0C4"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(les deux doivent être installés à une hauteur minimale de </w:t>
            </w:r>
            <w:r w:rsidR="00CF6F1F">
              <w:rPr>
                <w:sz w:val="18"/>
                <w:szCs w:val="18"/>
                <w:lang w:val="fr-FR"/>
              </w:rPr>
              <w:t>2 m</w:t>
            </w:r>
            <w:r w:rsidRPr="00DF13BD">
              <w:rPr>
                <w:sz w:val="18"/>
                <w:szCs w:val="18"/>
                <w:lang w:val="fr-FR"/>
              </w:rPr>
              <w:t xml:space="preserve"> du sol)</w:t>
            </w:r>
          </w:p>
        </w:tc>
        <w:tc>
          <w:tcPr>
            <w:tcW w:w="1780" w:type="dxa"/>
            <w:tcBorders>
              <w:right w:val="single" w:sz="4" w:space="0" w:color="auto"/>
            </w:tcBorders>
            <w:shd w:val="clear" w:color="auto" w:fill="auto"/>
          </w:tcPr>
          <w:p w14:paraId="67A3DAA6"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Facultatifs</w:t>
            </w:r>
          </w:p>
          <w:p w14:paraId="1408137C" w14:textId="045060CF"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 xml:space="preserve">(doivent être installés à une hauteur minimale de </w:t>
            </w:r>
            <w:r w:rsidR="00CF6F1F">
              <w:rPr>
                <w:sz w:val="18"/>
                <w:szCs w:val="18"/>
                <w:lang w:val="fr-FR"/>
              </w:rPr>
              <w:t>2 m</w:t>
            </w:r>
            <w:r w:rsidRPr="00DF13BD">
              <w:rPr>
                <w:sz w:val="18"/>
                <w:szCs w:val="18"/>
                <w:lang w:val="fr-FR"/>
              </w:rPr>
              <w:t xml:space="preserve"> du sol)</w:t>
            </w:r>
          </w:p>
        </w:tc>
      </w:tr>
      <w:tr w:rsidR="00DF13BD" w:rsidRPr="00DF13BD" w14:paraId="6E2A7DF2" w14:textId="77777777" w:rsidTr="00DF13BD">
        <w:trPr>
          <w:cantSplit/>
        </w:trPr>
        <w:tc>
          <w:tcPr>
            <w:tcW w:w="867" w:type="dxa"/>
            <w:tcBorders>
              <w:left w:val="single" w:sz="4" w:space="0" w:color="auto"/>
            </w:tcBorders>
            <w:shd w:val="clear" w:color="auto" w:fill="auto"/>
          </w:tcPr>
          <w:p w14:paraId="78666F85"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t>M</w:t>
            </w:r>
            <w:r w:rsidRPr="00DF13BD">
              <w:rPr>
                <w:sz w:val="18"/>
                <w:szCs w:val="18"/>
                <w:vertAlign w:val="subscript"/>
                <w:lang w:val="fr-FR"/>
              </w:rPr>
              <w:t>3</w:t>
            </w:r>
          </w:p>
        </w:tc>
        <w:tc>
          <w:tcPr>
            <w:tcW w:w="1686" w:type="dxa"/>
            <w:shd w:val="clear" w:color="auto" w:fill="auto"/>
          </w:tcPr>
          <w:p w14:paraId="0CD13AC7"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51C8A8B4"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(pas de prescriptions pour le champ de vision)</w:t>
            </w:r>
          </w:p>
        </w:tc>
        <w:tc>
          <w:tcPr>
            <w:tcW w:w="1944" w:type="dxa"/>
            <w:shd w:val="clear" w:color="auto" w:fill="auto"/>
          </w:tcPr>
          <w:p w14:paraId="19FCD50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1384A2D8" w14:textId="35829032"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tc>
        <w:tc>
          <w:tcPr>
            <w:tcW w:w="1941" w:type="dxa"/>
            <w:shd w:val="clear" w:color="auto" w:fill="auto"/>
          </w:tcPr>
          <w:p w14:paraId="6267E845"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Non autorisés</w:t>
            </w:r>
          </w:p>
        </w:tc>
        <w:tc>
          <w:tcPr>
            <w:tcW w:w="2038" w:type="dxa"/>
            <w:shd w:val="clear" w:color="auto" w:fill="auto"/>
          </w:tcPr>
          <w:p w14:paraId="47469AEC"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29911444" w14:textId="6AF2E597" w:rsidR="00517B62" w:rsidRPr="00DF13BD" w:rsidRDefault="00517B62" w:rsidP="00CF6F1F">
            <w:pPr>
              <w:suppressAutoHyphens w:val="0"/>
              <w:spacing w:before="40" w:after="120" w:line="220" w:lineRule="atLeast"/>
              <w:ind w:right="113"/>
              <w:rPr>
                <w:sz w:val="18"/>
                <w:szCs w:val="18"/>
                <w:lang w:val="fr-FR"/>
              </w:rPr>
            </w:pPr>
            <w:r w:rsidRPr="00DF13BD">
              <w:rPr>
                <w:sz w:val="18"/>
                <w:szCs w:val="18"/>
                <w:lang w:val="fr-FR"/>
              </w:rPr>
              <w:t>1 du côté conducteur</w:t>
            </w:r>
            <w:r w:rsidR="00CF6F1F">
              <w:rPr>
                <w:sz w:val="18"/>
                <w:szCs w:val="18"/>
                <w:lang w:val="fr-FR"/>
              </w:rPr>
              <w:t xml:space="preserve"> </w:t>
            </w:r>
            <w:r w:rsidRPr="00DF13BD">
              <w:rPr>
                <w:sz w:val="18"/>
                <w:szCs w:val="18"/>
                <w:lang w:val="fr-FR"/>
              </w:rPr>
              <w:t>et/ou</w:t>
            </w:r>
            <w:r w:rsidR="00CF6F1F">
              <w:rPr>
                <w:sz w:val="18"/>
                <w:szCs w:val="18"/>
                <w:lang w:val="fr-FR"/>
              </w:rPr>
              <w:br/>
            </w:r>
            <w:r w:rsidRPr="00DF13BD">
              <w:rPr>
                <w:sz w:val="18"/>
                <w:szCs w:val="18"/>
                <w:lang w:val="fr-FR"/>
              </w:rPr>
              <w:t>1 du côté passager</w:t>
            </w:r>
          </w:p>
        </w:tc>
        <w:tc>
          <w:tcPr>
            <w:tcW w:w="2103" w:type="dxa"/>
            <w:shd w:val="clear" w:color="auto" w:fill="auto"/>
          </w:tcPr>
          <w:p w14:paraId="3DC32D80"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03B55534" w14:textId="4D413250"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p w14:paraId="5E926D3A" w14:textId="53C69A53"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(les deux doivent être installés à une hauteur minimale de </w:t>
            </w:r>
            <w:r w:rsidR="00CF6F1F">
              <w:rPr>
                <w:sz w:val="18"/>
                <w:szCs w:val="18"/>
                <w:lang w:val="fr-FR"/>
              </w:rPr>
              <w:t>2 m</w:t>
            </w:r>
            <w:r w:rsidRPr="00DF13BD">
              <w:rPr>
                <w:sz w:val="18"/>
                <w:szCs w:val="18"/>
                <w:lang w:val="fr-FR"/>
              </w:rPr>
              <w:t xml:space="preserve"> du sol)</w:t>
            </w:r>
          </w:p>
        </w:tc>
        <w:tc>
          <w:tcPr>
            <w:tcW w:w="1780" w:type="dxa"/>
            <w:tcBorders>
              <w:right w:val="single" w:sz="4" w:space="0" w:color="auto"/>
            </w:tcBorders>
            <w:shd w:val="clear" w:color="auto" w:fill="auto"/>
          </w:tcPr>
          <w:p w14:paraId="327532E5"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Facultatifs</w:t>
            </w:r>
          </w:p>
          <w:p w14:paraId="552E5973" w14:textId="0420AB30"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 xml:space="preserve">(doivent être installés à une hauteur minimale de </w:t>
            </w:r>
            <w:r w:rsidR="00CF6F1F">
              <w:rPr>
                <w:sz w:val="18"/>
                <w:szCs w:val="18"/>
                <w:lang w:val="fr-FR"/>
              </w:rPr>
              <w:t>2 m</w:t>
            </w:r>
            <w:r w:rsidRPr="00DF13BD">
              <w:rPr>
                <w:sz w:val="18"/>
                <w:szCs w:val="18"/>
                <w:lang w:val="fr-FR"/>
              </w:rPr>
              <w:t xml:space="preserve"> du sol)</w:t>
            </w:r>
          </w:p>
        </w:tc>
      </w:tr>
      <w:tr w:rsidR="00DF13BD" w:rsidRPr="00DF13BD" w14:paraId="42C04EF3" w14:textId="77777777" w:rsidTr="00DF13BD">
        <w:trPr>
          <w:cantSplit/>
        </w:trPr>
        <w:tc>
          <w:tcPr>
            <w:tcW w:w="867" w:type="dxa"/>
            <w:tcBorders>
              <w:left w:val="single" w:sz="4" w:space="0" w:color="auto"/>
            </w:tcBorders>
            <w:shd w:val="clear" w:color="auto" w:fill="auto"/>
          </w:tcPr>
          <w:p w14:paraId="6F2E9FB4"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t>N</w:t>
            </w:r>
            <w:r w:rsidRPr="00DF13BD">
              <w:rPr>
                <w:sz w:val="18"/>
                <w:szCs w:val="18"/>
                <w:vertAlign w:val="subscript"/>
                <w:lang w:val="fr-FR"/>
              </w:rPr>
              <w:t>1</w:t>
            </w:r>
          </w:p>
        </w:tc>
        <w:tc>
          <w:tcPr>
            <w:tcW w:w="1686" w:type="dxa"/>
            <w:shd w:val="clear" w:color="auto" w:fill="auto"/>
          </w:tcPr>
          <w:p w14:paraId="6AB1A0B8"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3B6F951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Sauf si le véhicule est équipé d’un matériau autre que du vitrage de sécurité dans le champ de vision prescrit au paragraphe 15.2.4.1.</w:t>
            </w:r>
          </w:p>
        </w:tc>
        <w:tc>
          <w:tcPr>
            <w:tcW w:w="1944" w:type="dxa"/>
            <w:shd w:val="clear" w:color="auto" w:fill="auto"/>
          </w:tcPr>
          <w:p w14:paraId="42B6D8C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Facultatifs </w:t>
            </w:r>
          </w:p>
        </w:tc>
        <w:tc>
          <w:tcPr>
            <w:tcW w:w="1941" w:type="dxa"/>
            <w:shd w:val="clear" w:color="auto" w:fill="auto"/>
          </w:tcPr>
          <w:p w14:paraId="7BA68907"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3EE3C9BA" w14:textId="70E4E52A"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 xml:space="preserve">1 du côté passager. </w:t>
            </w:r>
            <w:r w:rsidR="00CF6F1F">
              <w:rPr>
                <w:sz w:val="18"/>
                <w:szCs w:val="18"/>
                <w:lang w:val="fr-FR"/>
              </w:rPr>
              <w:br/>
            </w:r>
            <w:r w:rsidRPr="00DF13BD">
              <w:rPr>
                <w:sz w:val="18"/>
                <w:szCs w:val="18"/>
                <w:lang w:val="fr-FR"/>
              </w:rPr>
              <w:t>Des rétroviseurs de la classe</w:t>
            </w:r>
            <w:r w:rsidR="00CF6F1F">
              <w:rPr>
                <w:sz w:val="18"/>
                <w:szCs w:val="18"/>
                <w:lang w:val="fr-FR"/>
              </w:rPr>
              <w:t> </w:t>
            </w:r>
            <w:r w:rsidRPr="00DF13BD">
              <w:rPr>
                <w:sz w:val="18"/>
                <w:szCs w:val="18"/>
                <w:lang w:val="fr-FR"/>
              </w:rPr>
              <w:t xml:space="preserve">II peuvent être installés à titre de solution de rechange. </w:t>
            </w:r>
          </w:p>
        </w:tc>
        <w:tc>
          <w:tcPr>
            <w:tcW w:w="2038" w:type="dxa"/>
            <w:shd w:val="clear" w:color="auto" w:fill="auto"/>
          </w:tcPr>
          <w:p w14:paraId="43BECBE6"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09A0FC8B" w14:textId="04DB4501"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et/ou </w:t>
            </w:r>
            <w:r w:rsidR="00CF6F1F">
              <w:rPr>
                <w:sz w:val="18"/>
                <w:szCs w:val="18"/>
                <w:lang w:val="fr-FR"/>
              </w:rPr>
              <w:br/>
            </w:r>
            <w:r w:rsidRPr="00DF13BD">
              <w:rPr>
                <w:sz w:val="18"/>
                <w:szCs w:val="18"/>
                <w:lang w:val="fr-FR"/>
              </w:rPr>
              <w:t>1 du côté passager</w:t>
            </w:r>
          </w:p>
        </w:tc>
        <w:tc>
          <w:tcPr>
            <w:tcW w:w="2103" w:type="dxa"/>
            <w:shd w:val="clear" w:color="auto" w:fill="auto"/>
          </w:tcPr>
          <w:p w14:paraId="000506A4"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5BDC6026" w14:textId="5934179B"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p w14:paraId="30616FD8" w14:textId="53F952C5"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(les deux doivent être installés à une hauteur minimale de </w:t>
            </w:r>
            <w:r w:rsidR="00CF6F1F">
              <w:rPr>
                <w:sz w:val="18"/>
                <w:szCs w:val="18"/>
                <w:lang w:val="fr-FR"/>
              </w:rPr>
              <w:t>2 m</w:t>
            </w:r>
            <w:r w:rsidRPr="00DF13BD">
              <w:rPr>
                <w:sz w:val="18"/>
                <w:szCs w:val="18"/>
                <w:lang w:val="fr-FR"/>
              </w:rPr>
              <w:t xml:space="preserve"> du sol)</w:t>
            </w:r>
          </w:p>
        </w:tc>
        <w:tc>
          <w:tcPr>
            <w:tcW w:w="1780" w:type="dxa"/>
            <w:tcBorders>
              <w:right w:val="single" w:sz="4" w:space="0" w:color="auto"/>
            </w:tcBorders>
            <w:shd w:val="clear" w:color="auto" w:fill="auto"/>
          </w:tcPr>
          <w:p w14:paraId="250C713C"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Facultatifs</w:t>
            </w:r>
          </w:p>
          <w:p w14:paraId="6960D460" w14:textId="70E957D5"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 xml:space="preserve">(doivent être installés à une hauteur minimale de </w:t>
            </w:r>
            <w:r w:rsidR="00CF6F1F">
              <w:rPr>
                <w:sz w:val="18"/>
                <w:szCs w:val="18"/>
                <w:lang w:val="fr-FR"/>
              </w:rPr>
              <w:t>2 m</w:t>
            </w:r>
            <w:r w:rsidRPr="00DF13BD">
              <w:rPr>
                <w:sz w:val="18"/>
                <w:szCs w:val="18"/>
                <w:lang w:val="fr-FR"/>
              </w:rPr>
              <w:t xml:space="preserve"> du sol)</w:t>
            </w:r>
          </w:p>
        </w:tc>
      </w:tr>
      <w:tr w:rsidR="00DF13BD" w:rsidRPr="00DF13BD" w14:paraId="3E49DF1B" w14:textId="77777777" w:rsidTr="00DF13BD">
        <w:trPr>
          <w:cantSplit/>
        </w:trPr>
        <w:tc>
          <w:tcPr>
            <w:tcW w:w="867" w:type="dxa"/>
            <w:tcBorders>
              <w:left w:val="single" w:sz="4" w:space="0" w:color="auto"/>
            </w:tcBorders>
            <w:shd w:val="clear" w:color="auto" w:fill="auto"/>
          </w:tcPr>
          <w:p w14:paraId="66A1A594"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lastRenderedPageBreak/>
              <w:t>N</w:t>
            </w:r>
            <w:r w:rsidRPr="00DF13BD">
              <w:rPr>
                <w:sz w:val="18"/>
                <w:szCs w:val="18"/>
                <w:vertAlign w:val="subscript"/>
                <w:lang w:val="fr-FR"/>
              </w:rPr>
              <w:t>2</w:t>
            </w:r>
          </w:p>
          <w:p w14:paraId="625A0EC8"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sym w:font="Symbol" w:char="F0A3"/>
            </w:r>
            <w:r w:rsidRPr="00DF13BD">
              <w:rPr>
                <w:sz w:val="18"/>
                <w:szCs w:val="18"/>
                <w:lang w:val="fr-FR"/>
              </w:rPr>
              <w:t>7,5 t</w:t>
            </w:r>
          </w:p>
        </w:tc>
        <w:tc>
          <w:tcPr>
            <w:tcW w:w="1686" w:type="dxa"/>
            <w:shd w:val="clear" w:color="auto" w:fill="auto"/>
          </w:tcPr>
          <w:p w14:paraId="33F5FDB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7F129D35"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(pas de prescriptions pour le champ de vision)</w:t>
            </w:r>
          </w:p>
        </w:tc>
        <w:tc>
          <w:tcPr>
            <w:tcW w:w="1944" w:type="dxa"/>
            <w:shd w:val="clear" w:color="auto" w:fill="auto"/>
          </w:tcPr>
          <w:p w14:paraId="0825EAA6"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31A7A777" w14:textId="2A63FC4D"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tc>
        <w:tc>
          <w:tcPr>
            <w:tcW w:w="1941" w:type="dxa"/>
            <w:shd w:val="clear" w:color="auto" w:fill="auto"/>
          </w:tcPr>
          <w:p w14:paraId="07D04CD0"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Non autorisés</w:t>
            </w:r>
          </w:p>
        </w:tc>
        <w:tc>
          <w:tcPr>
            <w:tcW w:w="2038" w:type="dxa"/>
            <w:shd w:val="clear" w:color="auto" w:fill="auto"/>
          </w:tcPr>
          <w:p w14:paraId="5D1F6D1A"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19A9585D" w14:textId="722E95BE"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 si un</w:t>
            </w:r>
            <w:r w:rsidR="00CF6F1F">
              <w:rPr>
                <w:sz w:val="18"/>
                <w:szCs w:val="18"/>
                <w:lang w:val="fr-FR"/>
              </w:rPr>
              <w:t> </w:t>
            </w:r>
            <w:r w:rsidRPr="00DF13BD">
              <w:rPr>
                <w:sz w:val="18"/>
                <w:szCs w:val="18"/>
                <w:lang w:val="fr-FR"/>
              </w:rPr>
              <w:t>rétroviseur de classe V peut être monté.</w:t>
            </w:r>
          </w:p>
          <w:p w14:paraId="10AF9A11"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3BB62D15" w14:textId="5DBA6940"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 si un</w:t>
            </w:r>
            <w:r w:rsidR="00CF6F1F">
              <w:rPr>
                <w:sz w:val="18"/>
                <w:szCs w:val="18"/>
                <w:lang w:val="fr-FR"/>
              </w:rPr>
              <w:t> </w:t>
            </w:r>
            <w:r w:rsidRPr="00DF13BD">
              <w:rPr>
                <w:sz w:val="18"/>
                <w:szCs w:val="18"/>
                <w:lang w:val="fr-FR"/>
              </w:rPr>
              <w:t>rétroviseur de classe V ne</w:t>
            </w:r>
            <w:r w:rsidR="00CF6F1F">
              <w:rPr>
                <w:sz w:val="18"/>
                <w:szCs w:val="18"/>
                <w:lang w:val="fr-FR"/>
              </w:rPr>
              <w:t> </w:t>
            </w:r>
            <w:r w:rsidRPr="00DF13BD">
              <w:rPr>
                <w:sz w:val="18"/>
                <w:szCs w:val="18"/>
                <w:lang w:val="fr-FR"/>
              </w:rPr>
              <w:t>peut pas être monté</w:t>
            </w:r>
          </w:p>
          <w:p w14:paraId="56EC4D3A" w14:textId="3FB09244"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En outre, conformément aux paragraphes 15.2.4.5.6 à 15.2.4.5.11, pour les véhicules dont la hauteur de montage du rétroviseur de la classe V n’est pas inférieure à 2,4</w:t>
            </w:r>
            <w:r w:rsidR="00CF6F1F">
              <w:rPr>
                <w:sz w:val="18"/>
                <w:szCs w:val="18"/>
                <w:lang w:val="fr-FR"/>
              </w:rPr>
              <w:t> </w:t>
            </w:r>
            <w:r w:rsidRPr="00DF13BD">
              <w:rPr>
                <w:sz w:val="18"/>
                <w:szCs w:val="18"/>
                <w:lang w:val="fr-FR"/>
              </w:rPr>
              <w:t>m (voir par</w:t>
            </w:r>
            <w:r w:rsidR="00CF6F1F">
              <w:rPr>
                <w:sz w:val="18"/>
                <w:szCs w:val="18"/>
                <w:lang w:val="fr-FR"/>
              </w:rPr>
              <w:t>. </w:t>
            </w:r>
            <w:r w:rsidRPr="00DF13BD">
              <w:rPr>
                <w:sz w:val="18"/>
                <w:szCs w:val="18"/>
                <w:lang w:val="fr-FR"/>
              </w:rPr>
              <w:t>15.2.4.5.12), le champ de vision requis (par</w:t>
            </w:r>
            <w:r w:rsidR="00CF6F1F">
              <w:rPr>
                <w:sz w:val="18"/>
                <w:szCs w:val="18"/>
                <w:lang w:val="fr-FR"/>
              </w:rPr>
              <w:t>. </w:t>
            </w:r>
            <w:r w:rsidRPr="00DF13BD">
              <w:rPr>
                <w:sz w:val="18"/>
                <w:szCs w:val="18"/>
                <w:lang w:val="fr-FR"/>
              </w:rPr>
              <w:t>15.2.4.5.6. à 15.2.4.5.9.) peut être visualisé à l’aide d’une combinaison de systèmes de vision directe et de systèmes de vision indirecte (des classes IV, V et</w:t>
            </w:r>
            <w:r w:rsidR="00CF6F1F">
              <w:rPr>
                <w:sz w:val="18"/>
                <w:szCs w:val="18"/>
                <w:lang w:val="fr-FR"/>
              </w:rPr>
              <w:t> </w:t>
            </w:r>
            <w:r w:rsidRPr="00DF13BD">
              <w:rPr>
                <w:sz w:val="18"/>
                <w:szCs w:val="18"/>
                <w:lang w:val="fr-FR"/>
              </w:rPr>
              <w:t>VI).</w:t>
            </w:r>
          </w:p>
        </w:tc>
        <w:tc>
          <w:tcPr>
            <w:tcW w:w="2103" w:type="dxa"/>
            <w:shd w:val="clear" w:color="auto" w:fill="auto"/>
          </w:tcPr>
          <w:p w14:paraId="425B98AA"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4EFC8F7E" w14:textId="4DF3A839"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(voir par.</w:t>
            </w:r>
            <w:r w:rsidR="00CF6F1F">
              <w:rPr>
                <w:sz w:val="18"/>
                <w:szCs w:val="18"/>
                <w:lang w:val="fr-FR"/>
              </w:rPr>
              <w:t> </w:t>
            </w:r>
            <w:r w:rsidRPr="00DF13BD">
              <w:rPr>
                <w:sz w:val="18"/>
                <w:szCs w:val="18"/>
                <w:lang w:val="fr-FR"/>
              </w:rPr>
              <w:t>15.2.2.7 et 15.2.4.5.5)</w:t>
            </w:r>
          </w:p>
          <w:p w14:paraId="4A19B787"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1 du côté passager</w:t>
            </w:r>
          </w:p>
          <w:p w14:paraId="57A29F51" w14:textId="5B4D2D70" w:rsidR="00517B62" w:rsidRPr="00DF13BD" w:rsidRDefault="00517B62" w:rsidP="00DF13BD">
            <w:pPr>
              <w:suppressAutoHyphens w:val="0"/>
              <w:spacing w:before="40" w:after="120" w:line="220" w:lineRule="atLeast"/>
              <w:ind w:right="113"/>
              <w:rPr>
                <w:b/>
                <w:sz w:val="18"/>
                <w:szCs w:val="18"/>
                <w:lang w:val="fr-FR"/>
              </w:rPr>
            </w:pPr>
            <w:r w:rsidRPr="00DF13BD">
              <w:rPr>
                <w:b/>
                <w:bCs/>
                <w:sz w:val="18"/>
                <w:szCs w:val="18"/>
                <w:lang w:val="fr-FR"/>
              </w:rPr>
              <w:t>Pour les véhicules à poste de</w:t>
            </w:r>
            <w:r w:rsidR="00CF6F1F">
              <w:rPr>
                <w:b/>
                <w:bCs/>
                <w:sz w:val="18"/>
                <w:szCs w:val="18"/>
                <w:lang w:val="fr-FR"/>
              </w:rPr>
              <w:t> </w:t>
            </w:r>
            <w:r w:rsidRPr="00DF13BD">
              <w:rPr>
                <w:b/>
                <w:bCs/>
                <w:sz w:val="18"/>
                <w:szCs w:val="18"/>
                <w:lang w:val="fr-FR"/>
              </w:rPr>
              <w:t>conduite central (voir par</w:t>
            </w:r>
            <w:r w:rsidR="00BF5CCE">
              <w:rPr>
                <w:b/>
                <w:bCs/>
                <w:sz w:val="18"/>
                <w:szCs w:val="18"/>
                <w:lang w:val="fr-FR"/>
              </w:rPr>
              <w:t>. </w:t>
            </w:r>
            <w:r w:rsidRPr="00DF13BD">
              <w:rPr>
                <w:b/>
                <w:bCs/>
                <w:sz w:val="18"/>
                <w:szCs w:val="18"/>
                <w:lang w:val="fr-FR"/>
              </w:rPr>
              <w:t>15.2.2.7 et 15.2.4.5.5), 1</w:t>
            </w:r>
            <w:r w:rsidR="00BF5CCE">
              <w:rPr>
                <w:b/>
                <w:bCs/>
                <w:sz w:val="18"/>
                <w:szCs w:val="18"/>
                <w:lang w:val="fr-FR"/>
              </w:rPr>
              <w:t> </w:t>
            </w:r>
            <w:r w:rsidRPr="00DF13BD">
              <w:rPr>
                <w:b/>
                <w:bCs/>
                <w:sz w:val="18"/>
                <w:szCs w:val="18"/>
                <w:lang w:val="fr-FR"/>
              </w:rPr>
              <w:t>de chaque côté</w:t>
            </w:r>
          </w:p>
          <w:p w14:paraId="14C6C82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28F894CC" w14:textId="7BD31D48"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(les deux doivent être installés à une hauteur minimale de </w:t>
            </w:r>
            <w:r w:rsidR="00CF6F1F">
              <w:rPr>
                <w:sz w:val="18"/>
                <w:szCs w:val="18"/>
                <w:lang w:val="fr-FR"/>
              </w:rPr>
              <w:t>2 m</w:t>
            </w:r>
            <w:r w:rsidRPr="00DF13BD">
              <w:rPr>
                <w:sz w:val="18"/>
                <w:szCs w:val="18"/>
                <w:lang w:val="fr-FR"/>
              </w:rPr>
              <w:t xml:space="preserve"> du sol) Une tolérance de +10</w:t>
            </w:r>
            <w:r w:rsidR="00CF6F1F">
              <w:rPr>
                <w:sz w:val="18"/>
                <w:szCs w:val="18"/>
                <w:lang w:val="fr-FR"/>
              </w:rPr>
              <w:t> </w:t>
            </w:r>
            <w:r w:rsidRPr="00DF13BD">
              <w:rPr>
                <w:sz w:val="18"/>
                <w:szCs w:val="18"/>
                <w:lang w:val="fr-FR"/>
              </w:rPr>
              <w:t>cm peut être appliquée</w:t>
            </w:r>
          </w:p>
          <w:p w14:paraId="637124C8" w14:textId="6A6BE830"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En outre, conformément aux paragraphes 15.2.4.5.6 à 15.2.4.5.11, pour les véhicules dont la hauteur de montage du rétroviseur de la classe V n’est pas inférieure à 2,4 m (voir par</w:t>
            </w:r>
            <w:r w:rsidR="00CF6F1F">
              <w:rPr>
                <w:sz w:val="18"/>
                <w:szCs w:val="18"/>
                <w:lang w:val="fr-FR"/>
              </w:rPr>
              <w:t>. </w:t>
            </w:r>
            <w:r w:rsidRPr="00DF13BD">
              <w:rPr>
                <w:sz w:val="18"/>
                <w:szCs w:val="18"/>
                <w:lang w:val="fr-FR"/>
              </w:rPr>
              <w:t>15.2.4.5.12), le champ de vision requis (par</w:t>
            </w:r>
            <w:r w:rsidR="00CF6F1F">
              <w:rPr>
                <w:sz w:val="18"/>
                <w:szCs w:val="18"/>
                <w:lang w:val="fr-FR"/>
              </w:rPr>
              <w:t>. </w:t>
            </w:r>
            <w:r w:rsidRPr="00DF13BD">
              <w:rPr>
                <w:sz w:val="18"/>
                <w:szCs w:val="18"/>
                <w:lang w:val="fr-FR"/>
              </w:rPr>
              <w:t>15.2.4.5.6 à 15.2.4.5.9) peut être visualisé à l’aide d’une combinaison de systèmes de vision directe et de systèmes de vision indirecte (des classes IV, V et</w:t>
            </w:r>
            <w:r w:rsidR="00CF6F1F">
              <w:rPr>
                <w:sz w:val="18"/>
                <w:szCs w:val="18"/>
                <w:lang w:val="fr-FR"/>
              </w:rPr>
              <w:t> </w:t>
            </w:r>
            <w:r w:rsidRPr="00DF13BD">
              <w:rPr>
                <w:sz w:val="18"/>
                <w:szCs w:val="18"/>
                <w:lang w:val="fr-FR"/>
              </w:rPr>
              <w:t>VI).</w:t>
            </w:r>
          </w:p>
        </w:tc>
        <w:tc>
          <w:tcPr>
            <w:tcW w:w="1780" w:type="dxa"/>
            <w:tcBorders>
              <w:right w:val="single" w:sz="4" w:space="0" w:color="auto"/>
            </w:tcBorders>
            <w:shd w:val="clear" w:color="auto" w:fill="auto"/>
          </w:tcPr>
          <w:p w14:paraId="069D0239"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Facultatifs</w:t>
            </w:r>
          </w:p>
          <w:p w14:paraId="506AF7F5" w14:textId="4D6F1469"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 xml:space="preserve">1 </w:t>
            </w:r>
            <w:proofErr w:type="spellStart"/>
            <w:r w:rsidRPr="00DF13BD">
              <w:rPr>
                <w:sz w:val="18"/>
                <w:szCs w:val="18"/>
                <w:lang w:val="fr-FR"/>
              </w:rPr>
              <w:t>antéviseur</w:t>
            </w:r>
            <w:proofErr w:type="spellEnd"/>
            <w:r w:rsidRPr="00DF13BD">
              <w:rPr>
                <w:sz w:val="18"/>
                <w:szCs w:val="18"/>
                <w:lang w:val="fr-FR"/>
              </w:rPr>
              <w:t xml:space="preserve"> (doit être installé à une hauteur minimale de </w:t>
            </w:r>
            <w:r w:rsidR="00CF6F1F">
              <w:rPr>
                <w:sz w:val="18"/>
                <w:szCs w:val="18"/>
                <w:lang w:val="fr-FR"/>
              </w:rPr>
              <w:t>2 m</w:t>
            </w:r>
            <w:r w:rsidRPr="00DF13BD">
              <w:rPr>
                <w:sz w:val="18"/>
                <w:szCs w:val="18"/>
                <w:lang w:val="fr-FR"/>
              </w:rPr>
              <w:t xml:space="preserve"> du sol)</w:t>
            </w:r>
          </w:p>
          <w:p w14:paraId="32B75523" w14:textId="55E3B679"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En outre, conformément aux paragraphes 15.2.4.5.6 à 15.2.4.5.11, pour les véhicules dont la hauteur de montage du rétroviseur de la classe V n’est pas inférieure à 2,4 m (voir par</w:t>
            </w:r>
            <w:r w:rsidR="00CF6F1F">
              <w:rPr>
                <w:sz w:val="18"/>
                <w:szCs w:val="18"/>
                <w:lang w:val="fr-FR"/>
              </w:rPr>
              <w:t>. </w:t>
            </w:r>
            <w:r w:rsidRPr="00DF13BD">
              <w:rPr>
                <w:sz w:val="18"/>
                <w:szCs w:val="18"/>
                <w:lang w:val="fr-FR"/>
              </w:rPr>
              <w:t>15.2.4.5.12), le champ de vision requis (par</w:t>
            </w:r>
            <w:r w:rsidR="00CF6F1F">
              <w:rPr>
                <w:sz w:val="18"/>
                <w:szCs w:val="18"/>
                <w:lang w:val="fr-FR"/>
              </w:rPr>
              <w:t>. </w:t>
            </w:r>
            <w:r w:rsidRPr="00DF13BD">
              <w:rPr>
                <w:sz w:val="18"/>
                <w:szCs w:val="18"/>
                <w:lang w:val="fr-FR"/>
              </w:rPr>
              <w:t>15.2.4.5.6 à 15.2.4.5.9) peut être visualisé à l’aide d’une combinaison de systèmes de vision directe et de systèmes de vision indirecte (des classes IV, V et VI).</w:t>
            </w:r>
          </w:p>
        </w:tc>
      </w:tr>
      <w:tr w:rsidR="00DF13BD" w:rsidRPr="00DF13BD" w14:paraId="77CB88CD" w14:textId="77777777" w:rsidTr="00DF13BD">
        <w:trPr>
          <w:cantSplit/>
        </w:trPr>
        <w:tc>
          <w:tcPr>
            <w:tcW w:w="867" w:type="dxa"/>
            <w:tcBorders>
              <w:left w:val="single" w:sz="4" w:space="0" w:color="auto"/>
            </w:tcBorders>
            <w:shd w:val="clear" w:color="auto" w:fill="auto"/>
          </w:tcPr>
          <w:p w14:paraId="3300DBE9"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lastRenderedPageBreak/>
              <w:t>N</w:t>
            </w:r>
            <w:r w:rsidRPr="00DF13BD">
              <w:rPr>
                <w:sz w:val="18"/>
                <w:szCs w:val="18"/>
                <w:vertAlign w:val="subscript"/>
                <w:lang w:val="fr-FR"/>
              </w:rPr>
              <w:t>2</w:t>
            </w:r>
          </w:p>
          <w:p w14:paraId="43014FF6"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t>&gt; 7,5 t</w:t>
            </w:r>
          </w:p>
        </w:tc>
        <w:tc>
          <w:tcPr>
            <w:tcW w:w="1686" w:type="dxa"/>
            <w:shd w:val="clear" w:color="auto" w:fill="auto"/>
          </w:tcPr>
          <w:p w14:paraId="246573CD"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6318345F"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(pas de prescriptions pour le champ de vision)</w:t>
            </w:r>
          </w:p>
        </w:tc>
        <w:tc>
          <w:tcPr>
            <w:tcW w:w="1944" w:type="dxa"/>
            <w:shd w:val="clear" w:color="auto" w:fill="auto"/>
          </w:tcPr>
          <w:p w14:paraId="329E037E"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72F8D096" w14:textId="1BDC15C1"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tc>
        <w:tc>
          <w:tcPr>
            <w:tcW w:w="1941" w:type="dxa"/>
            <w:shd w:val="clear" w:color="auto" w:fill="auto"/>
          </w:tcPr>
          <w:p w14:paraId="4E67063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Non autorisés</w:t>
            </w:r>
          </w:p>
        </w:tc>
        <w:tc>
          <w:tcPr>
            <w:tcW w:w="2038" w:type="dxa"/>
            <w:shd w:val="clear" w:color="auto" w:fill="auto"/>
          </w:tcPr>
          <w:p w14:paraId="6165A82B"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13F16B11" w14:textId="653B3FC3"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CF6F1F">
              <w:rPr>
                <w:sz w:val="18"/>
                <w:szCs w:val="18"/>
                <w:lang w:val="fr-FR"/>
              </w:rPr>
              <w:br/>
            </w:r>
            <w:r w:rsidRPr="00DF13BD">
              <w:rPr>
                <w:sz w:val="18"/>
                <w:szCs w:val="18"/>
                <w:lang w:val="fr-FR"/>
              </w:rPr>
              <w:t>1 du côté passager</w:t>
            </w:r>
          </w:p>
          <w:p w14:paraId="2FA51ECD" w14:textId="157CD690"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En outre, conformément aux paragraphes 15.2.4.5.6 à 15.2.4.5.11, pour les véhicules dont la hauteur de montage du rétroviseur de la classe V n’est pas inférieure à 2,4 m (voir par</w:t>
            </w:r>
            <w:r w:rsidR="00CF6F1F">
              <w:rPr>
                <w:sz w:val="18"/>
                <w:szCs w:val="18"/>
                <w:lang w:val="fr-FR"/>
              </w:rPr>
              <w:t>. </w:t>
            </w:r>
            <w:r w:rsidRPr="00DF13BD">
              <w:rPr>
                <w:sz w:val="18"/>
                <w:szCs w:val="18"/>
                <w:lang w:val="fr-FR"/>
              </w:rPr>
              <w:t>15.2.4.5.12), le champ de vision requis (par</w:t>
            </w:r>
            <w:r w:rsidR="00CF6F1F">
              <w:rPr>
                <w:sz w:val="18"/>
                <w:szCs w:val="18"/>
                <w:lang w:val="fr-FR"/>
              </w:rPr>
              <w:t>. </w:t>
            </w:r>
            <w:r w:rsidRPr="00DF13BD">
              <w:rPr>
                <w:sz w:val="18"/>
                <w:szCs w:val="18"/>
                <w:lang w:val="fr-FR"/>
              </w:rPr>
              <w:t>15.2.4.5.6 à 15.2.4.5.9) peut être visualisé à l’aide d’une combinaison de systèmes de vision directe et de systèmes de vision indirecte (des classes IV, V et</w:t>
            </w:r>
            <w:r w:rsidR="00CF6F1F">
              <w:rPr>
                <w:sz w:val="18"/>
                <w:szCs w:val="18"/>
                <w:lang w:val="fr-FR"/>
              </w:rPr>
              <w:t> </w:t>
            </w:r>
            <w:r w:rsidRPr="00DF13BD">
              <w:rPr>
                <w:sz w:val="18"/>
                <w:szCs w:val="18"/>
                <w:lang w:val="fr-FR"/>
              </w:rPr>
              <w:t>VI).</w:t>
            </w:r>
          </w:p>
        </w:tc>
        <w:tc>
          <w:tcPr>
            <w:tcW w:w="2103" w:type="dxa"/>
            <w:shd w:val="clear" w:color="auto" w:fill="auto"/>
          </w:tcPr>
          <w:p w14:paraId="6C9B7E14"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2440BCC7" w14:textId="15CFE0DF"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(voir par.</w:t>
            </w:r>
            <w:r w:rsidR="00CF6F1F">
              <w:rPr>
                <w:sz w:val="18"/>
                <w:szCs w:val="18"/>
                <w:lang w:val="fr-FR"/>
              </w:rPr>
              <w:t> </w:t>
            </w:r>
            <w:r w:rsidRPr="00DF13BD">
              <w:rPr>
                <w:sz w:val="18"/>
                <w:szCs w:val="18"/>
                <w:lang w:val="fr-FR"/>
              </w:rPr>
              <w:t>15.2.2.7 et 15.2.4.5.5)</w:t>
            </w:r>
          </w:p>
          <w:p w14:paraId="6296ED57"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1 du côté passager</w:t>
            </w:r>
          </w:p>
          <w:p w14:paraId="531C14A5" w14:textId="43CDB767" w:rsidR="00517B62" w:rsidRPr="00DF13BD" w:rsidRDefault="00517B62" w:rsidP="00DF13BD">
            <w:pPr>
              <w:suppressAutoHyphens w:val="0"/>
              <w:spacing w:before="40" w:after="120" w:line="220" w:lineRule="atLeast"/>
              <w:ind w:right="113"/>
              <w:rPr>
                <w:sz w:val="18"/>
                <w:szCs w:val="18"/>
                <w:lang w:val="fr-FR"/>
              </w:rPr>
            </w:pPr>
            <w:r w:rsidRPr="00DF13BD">
              <w:rPr>
                <w:b/>
                <w:bCs/>
                <w:sz w:val="18"/>
                <w:szCs w:val="18"/>
                <w:lang w:val="fr-FR"/>
              </w:rPr>
              <w:t>Pour les véhicules à poste de</w:t>
            </w:r>
            <w:r w:rsidR="00CF6F1F">
              <w:rPr>
                <w:b/>
                <w:bCs/>
                <w:sz w:val="18"/>
                <w:szCs w:val="18"/>
                <w:lang w:val="fr-FR"/>
              </w:rPr>
              <w:t> </w:t>
            </w:r>
            <w:r w:rsidRPr="00DF13BD">
              <w:rPr>
                <w:b/>
                <w:bCs/>
                <w:sz w:val="18"/>
                <w:szCs w:val="18"/>
                <w:lang w:val="fr-FR"/>
              </w:rPr>
              <w:t>conduite central (voir par</w:t>
            </w:r>
            <w:r w:rsidR="00BF5CCE">
              <w:rPr>
                <w:b/>
                <w:bCs/>
                <w:sz w:val="18"/>
                <w:szCs w:val="18"/>
                <w:lang w:val="fr-FR"/>
              </w:rPr>
              <w:t>. </w:t>
            </w:r>
            <w:r w:rsidRPr="00DF13BD">
              <w:rPr>
                <w:b/>
                <w:bCs/>
                <w:sz w:val="18"/>
                <w:szCs w:val="18"/>
                <w:lang w:val="fr-FR"/>
              </w:rPr>
              <w:t>15.2.2.7 et 15.2.4.5.5) 1</w:t>
            </w:r>
            <w:r w:rsidR="00BF5CCE">
              <w:rPr>
                <w:b/>
                <w:bCs/>
                <w:sz w:val="18"/>
                <w:szCs w:val="18"/>
                <w:lang w:val="fr-FR"/>
              </w:rPr>
              <w:t> </w:t>
            </w:r>
            <w:r w:rsidRPr="00DF13BD">
              <w:rPr>
                <w:b/>
                <w:bCs/>
                <w:sz w:val="18"/>
                <w:szCs w:val="18"/>
                <w:lang w:val="fr-FR"/>
              </w:rPr>
              <w:t>de chaque côté</w:t>
            </w:r>
          </w:p>
          <w:p w14:paraId="7750E950"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76138710" w14:textId="4EC71325"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(les deux doivent être installés à une hauteur minimale de </w:t>
            </w:r>
            <w:r w:rsidR="00CF6F1F">
              <w:rPr>
                <w:sz w:val="18"/>
                <w:szCs w:val="18"/>
                <w:lang w:val="fr-FR"/>
              </w:rPr>
              <w:t>2 m</w:t>
            </w:r>
            <w:r w:rsidRPr="00DF13BD">
              <w:rPr>
                <w:sz w:val="18"/>
                <w:szCs w:val="18"/>
                <w:lang w:val="fr-FR"/>
              </w:rPr>
              <w:t xml:space="preserve"> du</w:t>
            </w:r>
            <w:r w:rsidR="00BF5CCE">
              <w:rPr>
                <w:sz w:val="18"/>
                <w:szCs w:val="18"/>
                <w:lang w:val="fr-FR"/>
              </w:rPr>
              <w:t> </w:t>
            </w:r>
            <w:r w:rsidRPr="00DF13BD">
              <w:rPr>
                <w:sz w:val="18"/>
                <w:szCs w:val="18"/>
                <w:lang w:val="fr-FR"/>
              </w:rPr>
              <w:t>sol)</w:t>
            </w:r>
          </w:p>
          <w:p w14:paraId="66316B51" w14:textId="191D718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En outre, conformément aux paragraphes 15.2.4.5.6 à 15.2.4.5.11, pour les véhicules dont la hauteur de montage du rétroviseur de la classe V n’est pas inférieure à 2,4 m (voir par</w:t>
            </w:r>
            <w:r w:rsidR="00CF6F1F">
              <w:rPr>
                <w:sz w:val="18"/>
                <w:szCs w:val="18"/>
                <w:lang w:val="fr-FR"/>
              </w:rPr>
              <w:t>. </w:t>
            </w:r>
            <w:r w:rsidRPr="00DF13BD">
              <w:rPr>
                <w:sz w:val="18"/>
                <w:szCs w:val="18"/>
                <w:lang w:val="fr-FR"/>
              </w:rPr>
              <w:t>15.2.4.5.12), le champ de vision requis (par</w:t>
            </w:r>
            <w:r w:rsidR="00CF6F1F">
              <w:rPr>
                <w:sz w:val="18"/>
                <w:szCs w:val="18"/>
                <w:lang w:val="fr-FR"/>
              </w:rPr>
              <w:t>. </w:t>
            </w:r>
            <w:r w:rsidRPr="00DF13BD">
              <w:rPr>
                <w:sz w:val="18"/>
                <w:szCs w:val="18"/>
                <w:lang w:val="fr-FR"/>
              </w:rPr>
              <w:t>15.2.4.5.6 à 15.2.4.5.9) peut être visualisé à l’aide d’une combinaison de systèmes de vision directe et de systèmes de vision indirecte (des classes IV, V et</w:t>
            </w:r>
            <w:r w:rsidR="00CF6F1F">
              <w:rPr>
                <w:sz w:val="18"/>
                <w:szCs w:val="18"/>
                <w:lang w:val="fr-FR"/>
              </w:rPr>
              <w:t> </w:t>
            </w:r>
            <w:r w:rsidRPr="00DF13BD">
              <w:rPr>
                <w:sz w:val="18"/>
                <w:szCs w:val="18"/>
                <w:lang w:val="fr-FR"/>
              </w:rPr>
              <w:t>VI).</w:t>
            </w:r>
          </w:p>
        </w:tc>
        <w:tc>
          <w:tcPr>
            <w:tcW w:w="1780" w:type="dxa"/>
            <w:tcBorders>
              <w:right w:val="single" w:sz="4" w:space="0" w:color="auto"/>
            </w:tcBorders>
            <w:shd w:val="clear" w:color="auto" w:fill="auto"/>
          </w:tcPr>
          <w:p w14:paraId="10EF0208"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Obligatoire</w:t>
            </w:r>
          </w:p>
          <w:p w14:paraId="3C2DAD32" w14:textId="4625F771"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(voir par</w:t>
            </w:r>
            <w:r w:rsidR="00CF6F1F">
              <w:rPr>
                <w:sz w:val="18"/>
                <w:szCs w:val="18"/>
                <w:lang w:val="fr-FR"/>
              </w:rPr>
              <w:t>. </w:t>
            </w:r>
            <w:r w:rsidRPr="00DF13BD">
              <w:rPr>
                <w:sz w:val="18"/>
                <w:szCs w:val="18"/>
                <w:lang w:val="fr-FR"/>
              </w:rPr>
              <w:t>15.2.1.1.2)</w:t>
            </w:r>
          </w:p>
          <w:p w14:paraId="3F5A2B29"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Facultatifs</w:t>
            </w:r>
          </w:p>
          <w:p w14:paraId="01368F20" w14:textId="5B8BC2C6"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 xml:space="preserve">1 </w:t>
            </w:r>
            <w:proofErr w:type="spellStart"/>
            <w:r w:rsidRPr="00DF13BD">
              <w:rPr>
                <w:sz w:val="18"/>
                <w:szCs w:val="18"/>
                <w:lang w:val="fr-FR"/>
              </w:rPr>
              <w:t>antéviseur</w:t>
            </w:r>
            <w:proofErr w:type="spellEnd"/>
            <w:r w:rsidRPr="00DF13BD">
              <w:rPr>
                <w:sz w:val="18"/>
                <w:szCs w:val="18"/>
                <w:lang w:val="fr-FR"/>
              </w:rPr>
              <w:t xml:space="preserve"> (doit être installé à une hauteur minimale de </w:t>
            </w:r>
            <w:r w:rsidR="00CF6F1F">
              <w:rPr>
                <w:sz w:val="18"/>
                <w:szCs w:val="18"/>
                <w:lang w:val="fr-FR"/>
              </w:rPr>
              <w:t>2 m</w:t>
            </w:r>
            <w:r w:rsidRPr="00DF13BD">
              <w:rPr>
                <w:sz w:val="18"/>
                <w:szCs w:val="18"/>
                <w:lang w:val="fr-FR"/>
              </w:rPr>
              <w:t xml:space="preserve"> du sol)</w:t>
            </w:r>
          </w:p>
          <w:p w14:paraId="251D8030" w14:textId="3375A78D" w:rsidR="00517B62" w:rsidRPr="00CF6F1F" w:rsidRDefault="00517B62" w:rsidP="00DF13BD">
            <w:pPr>
              <w:suppressAutoHyphens w:val="0"/>
              <w:spacing w:before="40" w:after="120" w:line="220" w:lineRule="atLeast"/>
              <w:ind w:right="57"/>
              <w:rPr>
                <w:spacing w:val="-1"/>
                <w:sz w:val="18"/>
                <w:szCs w:val="18"/>
                <w:lang w:val="fr-FR"/>
              </w:rPr>
            </w:pPr>
            <w:r w:rsidRPr="00CF6F1F">
              <w:rPr>
                <w:spacing w:val="-1"/>
                <w:sz w:val="18"/>
                <w:szCs w:val="18"/>
                <w:lang w:val="fr-FR"/>
              </w:rPr>
              <w:t>En outre, conformément aux paragraphes 15.2.4.5.6 à 15.2.4.5.11, pour les véhicules dont la hauteur de montage du rétroviseur de la classe V n’est pas inférieure à 2,4</w:t>
            </w:r>
            <w:r w:rsidR="00CF6F1F" w:rsidRPr="00CF6F1F">
              <w:rPr>
                <w:spacing w:val="-1"/>
                <w:sz w:val="18"/>
                <w:szCs w:val="18"/>
                <w:lang w:val="fr-FR"/>
              </w:rPr>
              <w:t> </w:t>
            </w:r>
            <w:r w:rsidRPr="00CF6F1F">
              <w:rPr>
                <w:spacing w:val="-1"/>
                <w:sz w:val="18"/>
                <w:szCs w:val="18"/>
                <w:lang w:val="fr-FR"/>
              </w:rPr>
              <w:t>m (voir par</w:t>
            </w:r>
            <w:r w:rsidR="00CF6F1F" w:rsidRPr="00CF6F1F">
              <w:rPr>
                <w:spacing w:val="-1"/>
                <w:sz w:val="18"/>
                <w:szCs w:val="18"/>
                <w:lang w:val="fr-FR"/>
              </w:rPr>
              <w:t>. </w:t>
            </w:r>
            <w:r w:rsidRPr="00CF6F1F">
              <w:rPr>
                <w:spacing w:val="-1"/>
                <w:sz w:val="18"/>
                <w:szCs w:val="18"/>
                <w:lang w:val="fr-FR"/>
              </w:rPr>
              <w:t>15.2.4.5.12), le champ de vision requis (par</w:t>
            </w:r>
            <w:r w:rsidR="00CF6F1F" w:rsidRPr="00CF6F1F">
              <w:rPr>
                <w:spacing w:val="-1"/>
                <w:sz w:val="18"/>
                <w:szCs w:val="18"/>
                <w:lang w:val="fr-FR"/>
              </w:rPr>
              <w:t>. </w:t>
            </w:r>
            <w:r w:rsidRPr="00CF6F1F">
              <w:rPr>
                <w:spacing w:val="-1"/>
                <w:sz w:val="18"/>
                <w:szCs w:val="18"/>
                <w:lang w:val="fr-FR"/>
              </w:rPr>
              <w:t>15.2.4.5.6 à 15.2.4.5.9) peut être visualisé à l’aide d’une combinaison de systèmes de vision directe et de systèmes de vision indirecte (des classes IV, V et VI).</w:t>
            </w:r>
          </w:p>
        </w:tc>
      </w:tr>
      <w:tr w:rsidR="00DF13BD" w:rsidRPr="00DF13BD" w14:paraId="6C1A31B0" w14:textId="77777777" w:rsidTr="00DF13BD">
        <w:trPr>
          <w:cantSplit/>
        </w:trPr>
        <w:tc>
          <w:tcPr>
            <w:tcW w:w="867" w:type="dxa"/>
            <w:tcBorders>
              <w:left w:val="single" w:sz="4" w:space="0" w:color="auto"/>
              <w:bottom w:val="single" w:sz="4" w:space="0" w:color="auto"/>
            </w:tcBorders>
            <w:shd w:val="clear" w:color="auto" w:fill="auto"/>
          </w:tcPr>
          <w:p w14:paraId="564C243C" w14:textId="77777777" w:rsidR="00517B62" w:rsidRPr="00DF13BD" w:rsidRDefault="00517B62" w:rsidP="00DF13BD">
            <w:pPr>
              <w:suppressAutoHyphens w:val="0"/>
              <w:spacing w:before="40" w:after="120" w:line="220" w:lineRule="atLeast"/>
              <w:ind w:left="57" w:right="113"/>
              <w:rPr>
                <w:sz w:val="18"/>
                <w:szCs w:val="18"/>
                <w:lang w:val="fr-FR"/>
              </w:rPr>
            </w:pPr>
            <w:r w:rsidRPr="00DF13BD">
              <w:rPr>
                <w:sz w:val="18"/>
                <w:szCs w:val="18"/>
                <w:lang w:val="fr-FR"/>
              </w:rPr>
              <w:lastRenderedPageBreak/>
              <w:t>N</w:t>
            </w:r>
            <w:r w:rsidRPr="00DF13BD">
              <w:rPr>
                <w:sz w:val="18"/>
                <w:szCs w:val="18"/>
                <w:vertAlign w:val="subscript"/>
                <w:lang w:val="fr-FR"/>
              </w:rPr>
              <w:t>3</w:t>
            </w:r>
          </w:p>
        </w:tc>
        <w:tc>
          <w:tcPr>
            <w:tcW w:w="1686" w:type="dxa"/>
            <w:tcBorders>
              <w:bottom w:val="single" w:sz="4" w:space="0" w:color="auto"/>
            </w:tcBorders>
            <w:shd w:val="clear" w:color="auto" w:fill="auto"/>
          </w:tcPr>
          <w:p w14:paraId="4216E87D"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03E1E35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(pas de prescriptions pour le champ de vision)</w:t>
            </w:r>
          </w:p>
        </w:tc>
        <w:tc>
          <w:tcPr>
            <w:tcW w:w="1944" w:type="dxa"/>
            <w:tcBorders>
              <w:bottom w:val="single" w:sz="4" w:space="0" w:color="auto"/>
            </w:tcBorders>
            <w:shd w:val="clear" w:color="auto" w:fill="auto"/>
          </w:tcPr>
          <w:p w14:paraId="0BDA8773"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598B0544" w14:textId="032FA408"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BF5CCE">
              <w:rPr>
                <w:sz w:val="18"/>
                <w:szCs w:val="18"/>
                <w:lang w:val="fr-FR"/>
              </w:rPr>
              <w:br/>
            </w:r>
            <w:r w:rsidRPr="00DF13BD">
              <w:rPr>
                <w:sz w:val="18"/>
                <w:szCs w:val="18"/>
                <w:lang w:val="fr-FR"/>
              </w:rPr>
              <w:t>1 du côté passager</w:t>
            </w:r>
          </w:p>
        </w:tc>
        <w:tc>
          <w:tcPr>
            <w:tcW w:w="1941" w:type="dxa"/>
            <w:tcBorders>
              <w:bottom w:val="single" w:sz="4" w:space="0" w:color="auto"/>
            </w:tcBorders>
            <w:shd w:val="clear" w:color="auto" w:fill="auto"/>
          </w:tcPr>
          <w:p w14:paraId="4555EE46"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Non autorisés</w:t>
            </w:r>
          </w:p>
        </w:tc>
        <w:tc>
          <w:tcPr>
            <w:tcW w:w="2038" w:type="dxa"/>
            <w:tcBorders>
              <w:bottom w:val="single" w:sz="4" w:space="0" w:color="auto"/>
            </w:tcBorders>
            <w:shd w:val="clear" w:color="auto" w:fill="auto"/>
          </w:tcPr>
          <w:p w14:paraId="0CA2D4D7"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Obligatoires</w:t>
            </w:r>
          </w:p>
          <w:p w14:paraId="5DCBF4AD" w14:textId="55B46ACC"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et </w:t>
            </w:r>
            <w:r w:rsidR="00BF5CCE">
              <w:rPr>
                <w:sz w:val="18"/>
                <w:szCs w:val="18"/>
                <w:lang w:val="fr-FR"/>
              </w:rPr>
              <w:br/>
            </w:r>
            <w:r w:rsidRPr="00DF13BD">
              <w:rPr>
                <w:sz w:val="18"/>
                <w:szCs w:val="18"/>
                <w:lang w:val="fr-FR"/>
              </w:rPr>
              <w:t>1 du côté passager</w:t>
            </w:r>
          </w:p>
          <w:p w14:paraId="74767001" w14:textId="5A1CC97A"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En outre, conformément aux paragraphes 15.2.4.5.6 à 15.2.4.5.11, pour les véhicules dont la hauteur de montage du rétroviseur de la classe V n’est pas inférieure à 2,4 m (voir par</w:t>
            </w:r>
            <w:r w:rsidR="00BF5CCE">
              <w:rPr>
                <w:sz w:val="18"/>
                <w:szCs w:val="18"/>
                <w:lang w:val="fr-FR"/>
              </w:rPr>
              <w:t>. </w:t>
            </w:r>
            <w:r w:rsidRPr="00DF13BD">
              <w:rPr>
                <w:sz w:val="18"/>
                <w:szCs w:val="18"/>
                <w:lang w:val="fr-FR"/>
              </w:rPr>
              <w:t>15.2.4.5.12), le champ de vision requis (par</w:t>
            </w:r>
            <w:r w:rsidR="00BF5CCE">
              <w:rPr>
                <w:sz w:val="18"/>
                <w:szCs w:val="18"/>
                <w:lang w:val="fr-FR"/>
              </w:rPr>
              <w:t>. </w:t>
            </w:r>
            <w:r w:rsidRPr="00DF13BD">
              <w:rPr>
                <w:sz w:val="18"/>
                <w:szCs w:val="18"/>
                <w:lang w:val="fr-FR"/>
              </w:rPr>
              <w:t>15.2.4.5.6 à 15.2.4.5.9) peut être visualisé à l’aide d’une combinaison de systèmes de vision directe et de systèmes de vision indirecte (des classes IV, V et</w:t>
            </w:r>
            <w:r w:rsidR="00BF5CCE">
              <w:rPr>
                <w:sz w:val="18"/>
                <w:szCs w:val="18"/>
                <w:lang w:val="fr-FR"/>
              </w:rPr>
              <w:t> </w:t>
            </w:r>
            <w:r w:rsidRPr="00DF13BD">
              <w:rPr>
                <w:sz w:val="18"/>
                <w:szCs w:val="18"/>
                <w:lang w:val="fr-FR"/>
              </w:rPr>
              <w:t>VI).</w:t>
            </w:r>
          </w:p>
        </w:tc>
        <w:tc>
          <w:tcPr>
            <w:tcW w:w="2103" w:type="dxa"/>
            <w:tcBorders>
              <w:bottom w:val="single" w:sz="4" w:space="0" w:color="auto"/>
            </w:tcBorders>
            <w:shd w:val="clear" w:color="auto" w:fill="auto"/>
          </w:tcPr>
          <w:p w14:paraId="7EB3CA6C"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Obligatoire</w:t>
            </w:r>
          </w:p>
          <w:p w14:paraId="52699F5F" w14:textId="31C175CD"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(voir par</w:t>
            </w:r>
            <w:r w:rsidR="00BF5CCE">
              <w:rPr>
                <w:sz w:val="18"/>
                <w:szCs w:val="18"/>
                <w:lang w:val="fr-FR"/>
              </w:rPr>
              <w:t>. </w:t>
            </w:r>
            <w:r w:rsidRPr="00DF13BD">
              <w:rPr>
                <w:sz w:val="18"/>
                <w:szCs w:val="18"/>
                <w:lang w:val="fr-FR"/>
              </w:rPr>
              <w:t>15.2.2.7. et 15.2.4.5.5)</w:t>
            </w:r>
          </w:p>
          <w:p w14:paraId="3913EF61"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1 du côté passager</w:t>
            </w:r>
          </w:p>
          <w:p w14:paraId="4CD33D58" w14:textId="1B3D53A0" w:rsidR="00517B62" w:rsidRPr="00DF13BD" w:rsidRDefault="00517B62" w:rsidP="00DF13BD">
            <w:pPr>
              <w:suppressAutoHyphens w:val="0"/>
              <w:spacing w:before="40" w:after="120" w:line="220" w:lineRule="atLeast"/>
              <w:ind w:right="113"/>
              <w:rPr>
                <w:b/>
                <w:sz w:val="18"/>
                <w:szCs w:val="18"/>
                <w:lang w:val="fr-FR"/>
              </w:rPr>
            </w:pPr>
            <w:r w:rsidRPr="00DF13BD">
              <w:rPr>
                <w:b/>
                <w:bCs/>
                <w:sz w:val="18"/>
                <w:szCs w:val="18"/>
                <w:lang w:val="fr-FR"/>
              </w:rPr>
              <w:t>Pour les véhicules à poste de</w:t>
            </w:r>
            <w:r w:rsidR="00BF5CCE">
              <w:rPr>
                <w:b/>
                <w:bCs/>
                <w:sz w:val="18"/>
                <w:szCs w:val="18"/>
                <w:lang w:val="fr-FR"/>
              </w:rPr>
              <w:t> </w:t>
            </w:r>
            <w:r w:rsidRPr="00DF13BD">
              <w:rPr>
                <w:b/>
                <w:bCs/>
                <w:sz w:val="18"/>
                <w:szCs w:val="18"/>
                <w:lang w:val="fr-FR"/>
              </w:rPr>
              <w:t>conduite central (voir par</w:t>
            </w:r>
            <w:r w:rsidR="00BF5CCE">
              <w:rPr>
                <w:b/>
                <w:bCs/>
                <w:sz w:val="18"/>
                <w:szCs w:val="18"/>
                <w:lang w:val="fr-FR"/>
              </w:rPr>
              <w:t>. </w:t>
            </w:r>
            <w:r w:rsidRPr="00DF13BD">
              <w:rPr>
                <w:b/>
                <w:bCs/>
                <w:sz w:val="18"/>
                <w:szCs w:val="18"/>
                <w:lang w:val="fr-FR"/>
              </w:rPr>
              <w:t>15.2.2.7 et 15.2.4.5.5), 1</w:t>
            </w:r>
            <w:r w:rsidR="00BF5CCE">
              <w:rPr>
                <w:b/>
                <w:bCs/>
                <w:sz w:val="18"/>
                <w:szCs w:val="18"/>
                <w:lang w:val="fr-FR"/>
              </w:rPr>
              <w:t> </w:t>
            </w:r>
            <w:r w:rsidRPr="00DF13BD">
              <w:rPr>
                <w:b/>
                <w:bCs/>
                <w:sz w:val="18"/>
                <w:szCs w:val="18"/>
                <w:lang w:val="fr-FR"/>
              </w:rPr>
              <w:t>de chaque côté</w:t>
            </w:r>
          </w:p>
          <w:p w14:paraId="5EE54264" w14:textId="77777777"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Facultatifs</w:t>
            </w:r>
          </w:p>
          <w:p w14:paraId="1C30E5F9" w14:textId="0385BC19"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 xml:space="preserve">1 du côté conducteur (les deux doivent être installés à une hauteur minimale de </w:t>
            </w:r>
            <w:r w:rsidR="00CF6F1F">
              <w:rPr>
                <w:sz w:val="18"/>
                <w:szCs w:val="18"/>
                <w:lang w:val="fr-FR"/>
              </w:rPr>
              <w:t>2 m</w:t>
            </w:r>
            <w:r w:rsidRPr="00DF13BD">
              <w:rPr>
                <w:sz w:val="18"/>
                <w:szCs w:val="18"/>
                <w:lang w:val="fr-FR"/>
              </w:rPr>
              <w:t xml:space="preserve"> du</w:t>
            </w:r>
            <w:r w:rsidR="00BF5CCE">
              <w:rPr>
                <w:sz w:val="18"/>
                <w:szCs w:val="18"/>
                <w:lang w:val="fr-FR"/>
              </w:rPr>
              <w:t xml:space="preserve"> </w:t>
            </w:r>
            <w:r w:rsidRPr="00DF13BD">
              <w:rPr>
                <w:sz w:val="18"/>
                <w:szCs w:val="18"/>
                <w:lang w:val="fr-FR"/>
              </w:rPr>
              <w:t>sol)</w:t>
            </w:r>
          </w:p>
          <w:p w14:paraId="1AF34DA9" w14:textId="0635ABBD" w:rsidR="00517B62" w:rsidRPr="00DF13BD" w:rsidRDefault="00517B62" w:rsidP="00DF13BD">
            <w:pPr>
              <w:suppressAutoHyphens w:val="0"/>
              <w:spacing w:before="40" w:after="120" w:line="220" w:lineRule="atLeast"/>
              <w:ind w:right="113"/>
              <w:rPr>
                <w:sz w:val="18"/>
                <w:szCs w:val="18"/>
                <w:lang w:val="fr-FR"/>
              </w:rPr>
            </w:pPr>
            <w:r w:rsidRPr="00DF13BD">
              <w:rPr>
                <w:sz w:val="18"/>
                <w:szCs w:val="18"/>
                <w:lang w:val="fr-FR"/>
              </w:rPr>
              <w:t>En outre, conformément aux paragraphes 15.2.4.5.6 à 15.2.4.5.11, pour les véhicules dont la hauteur de montage du rétroviseur de la classe V n’est pas inférieure à 2,4 m (voir par</w:t>
            </w:r>
            <w:r w:rsidR="00BF5CCE">
              <w:rPr>
                <w:sz w:val="18"/>
                <w:szCs w:val="18"/>
                <w:lang w:val="fr-FR"/>
              </w:rPr>
              <w:t>. </w:t>
            </w:r>
            <w:r w:rsidRPr="00DF13BD">
              <w:rPr>
                <w:sz w:val="18"/>
                <w:szCs w:val="18"/>
                <w:lang w:val="fr-FR"/>
              </w:rPr>
              <w:t>15.2.4.5.12), le champ de vision requis (par</w:t>
            </w:r>
            <w:r w:rsidR="00BF5CCE">
              <w:rPr>
                <w:sz w:val="18"/>
                <w:szCs w:val="18"/>
                <w:lang w:val="fr-FR"/>
              </w:rPr>
              <w:t>. </w:t>
            </w:r>
            <w:r w:rsidRPr="00DF13BD">
              <w:rPr>
                <w:sz w:val="18"/>
                <w:szCs w:val="18"/>
                <w:lang w:val="fr-FR"/>
              </w:rPr>
              <w:t>15.2.4.5.6 à 15.2.4.5.9) peut être visualisé à l’aide d’une combinaison de systèmes de vision directe et de systèmes de vision indirecte (des classes IV, V et</w:t>
            </w:r>
            <w:r w:rsidR="00BF5CCE">
              <w:rPr>
                <w:sz w:val="18"/>
                <w:szCs w:val="18"/>
                <w:lang w:val="fr-FR"/>
              </w:rPr>
              <w:t> </w:t>
            </w:r>
            <w:r w:rsidRPr="00DF13BD">
              <w:rPr>
                <w:sz w:val="18"/>
                <w:szCs w:val="18"/>
                <w:lang w:val="fr-FR"/>
              </w:rPr>
              <w:t>VI).</w:t>
            </w:r>
          </w:p>
        </w:tc>
        <w:tc>
          <w:tcPr>
            <w:tcW w:w="1780" w:type="dxa"/>
            <w:tcBorders>
              <w:bottom w:val="single" w:sz="4" w:space="0" w:color="auto"/>
              <w:right w:val="single" w:sz="4" w:space="0" w:color="auto"/>
            </w:tcBorders>
            <w:shd w:val="clear" w:color="auto" w:fill="auto"/>
          </w:tcPr>
          <w:p w14:paraId="02F71BD3" w14:textId="77777777"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Obligatoires</w:t>
            </w:r>
          </w:p>
          <w:p w14:paraId="5CF30F72" w14:textId="2E82DEA5"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(voir par</w:t>
            </w:r>
            <w:r w:rsidR="00BF5CCE">
              <w:rPr>
                <w:sz w:val="18"/>
                <w:szCs w:val="18"/>
                <w:lang w:val="fr-FR"/>
              </w:rPr>
              <w:t>. </w:t>
            </w:r>
            <w:r w:rsidRPr="00DF13BD">
              <w:rPr>
                <w:sz w:val="18"/>
                <w:szCs w:val="18"/>
                <w:lang w:val="fr-FR"/>
              </w:rPr>
              <w:t>15.2.1.1.2)</w:t>
            </w:r>
          </w:p>
          <w:p w14:paraId="73A45F2E" w14:textId="185A565C" w:rsidR="00517B62" w:rsidRPr="00DF13BD" w:rsidRDefault="00517B62" w:rsidP="00DF13BD">
            <w:pPr>
              <w:suppressAutoHyphens w:val="0"/>
              <w:spacing w:before="40" w:after="120" w:line="220" w:lineRule="atLeast"/>
              <w:ind w:right="57"/>
              <w:rPr>
                <w:sz w:val="18"/>
                <w:szCs w:val="18"/>
                <w:lang w:val="fr-FR"/>
              </w:rPr>
            </w:pPr>
            <w:r w:rsidRPr="00DF13BD">
              <w:rPr>
                <w:sz w:val="18"/>
                <w:szCs w:val="18"/>
                <w:lang w:val="fr-FR"/>
              </w:rPr>
              <w:t xml:space="preserve">1 </w:t>
            </w:r>
            <w:proofErr w:type="spellStart"/>
            <w:r w:rsidRPr="00DF13BD">
              <w:rPr>
                <w:sz w:val="18"/>
                <w:szCs w:val="18"/>
                <w:lang w:val="fr-FR"/>
              </w:rPr>
              <w:t>antéviseur</w:t>
            </w:r>
            <w:proofErr w:type="spellEnd"/>
            <w:r w:rsidRPr="00DF13BD">
              <w:rPr>
                <w:sz w:val="18"/>
                <w:szCs w:val="18"/>
                <w:lang w:val="fr-FR"/>
              </w:rPr>
              <w:t xml:space="preserve"> (doit être installé à une hauteur minimale de </w:t>
            </w:r>
            <w:r w:rsidR="00CF6F1F">
              <w:rPr>
                <w:sz w:val="18"/>
                <w:szCs w:val="18"/>
                <w:lang w:val="fr-FR"/>
              </w:rPr>
              <w:t>2 m</w:t>
            </w:r>
            <w:r w:rsidRPr="00DF13BD">
              <w:rPr>
                <w:sz w:val="18"/>
                <w:szCs w:val="18"/>
                <w:lang w:val="fr-FR"/>
              </w:rPr>
              <w:t xml:space="preserve"> du sol)</w:t>
            </w:r>
          </w:p>
          <w:p w14:paraId="03E46598" w14:textId="7D8C877F" w:rsidR="00517B62" w:rsidRPr="00BF5CCE" w:rsidRDefault="00517B62" w:rsidP="00DF13BD">
            <w:pPr>
              <w:suppressAutoHyphens w:val="0"/>
              <w:spacing w:before="40" w:after="120" w:line="220" w:lineRule="atLeast"/>
              <w:ind w:right="57"/>
              <w:rPr>
                <w:spacing w:val="-1"/>
                <w:sz w:val="18"/>
                <w:szCs w:val="18"/>
                <w:lang w:val="fr-FR"/>
              </w:rPr>
            </w:pPr>
            <w:r w:rsidRPr="00BF5CCE">
              <w:rPr>
                <w:spacing w:val="-1"/>
                <w:sz w:val="18"/>
                <w:szCs w:val="18"/>
                <w:lang w:val="fr-FR"/>
              </w:rPr>
              <w:t>En outre, conformément aux paragraphes 15.2.4.5.6 à 15.2.4.5.11, pour les véhicules dont la hauteur de montage du rétroviseur de la classe V n’est pas inférieure à 2,4</w:t>
            </w:r>
            <w:r w:rsidR="00BF5CCE" w:rsidRPr="00BF5CCE">
              <w:rPr>
                <w:spacing w:val="-1"/>
                <w:sz w:val="18"/>
                <w:szCs w:val="18"/>
                <w:lang w:val="fr-FR"/>
              </w:rPr>
              <w:t> </w:t>
            </w:r>
            <w:r w:rsidRPr="00BF5CCE">
              <w:rPr>
                <w:spacing w:val="-1"/>
                <w:sz w:val="18"/>
                <w:szCs w:val="18"/>
                <w:lang w:val="fr-FR"/>
              </w:rPr>
              <w:t>m (voir par</w:t>
            </w:r>
            <w:r w:rsidR="00BF5CCE" w:rsidRPr="00BF5CCE">
              <w:rPr>
                <w:spacing w:val="-1"/>
                <w:sz w:val="18"/>
                <w:szCs w:val="18"/>
                <w:lang w:val="fr-FR"/>
              </w:rPr>
              <w:t>. </w:t>
            </w:r>
            <w:r w:rsidRPr="00BF5CCE">
              <w:rPr>
                <w:spacing w:val="-1"/>
                <w:sz w:val="18"/>
                <w:szCs w:val="18"/>
                <w:lang w:val="fr-FR"/>
              </w:rPr>
              <w:t>15.2.4.5.12), le champ de vision requis (par</w:t>
            </w:r>
            <w:r w:rsidR="00BF5CCE" w:rsidRPr="00BF5CCE">
              <w:rPr>
                <w:spacing w:val="-1"/>
                <w:sz w:val="18"/>
                <w:szCs w:val="18"/>
                <w:lang w:val="fr-FR"/>
              </w:rPr>
              <w:t>. </w:t>
            </w:r>
            <w:r w:rsidRPr="00BF5CCE">
              <w:rPr>
                <w:spacing w:val="-1"/>
                <w:sz w:val="18"/>
                <w:szCs w:val="18"/>
                <w:lang w:val="fr-FR"/>
              </w:rPr>
              <w:t>15.2.4.5.6 à 15.2.4.5.9) peut être visualisé à l’aide d’une combinaison de systèmes de vision directe et de systèmes de vision indirecte (des classes IV, V et VI).</w:t>
            </w:r>
          </w:p>
        </w:tc>
      </w:tr>
    </w:tbl>
    <w:p w14:paraId="12AB4CFA" w14:textId="77777777" w:rsidR="002E16D8" w:rsidRDefault="002E16D8" w:rsidP="00517B62">
      <w:pPr>
        <w:sectPr w:rsidR="002E16D8" w:rsidSect="00517B62">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50D11216" w14:textId="4235CAA1" w:rsidR="002E16D8" w:rsidRPr="00C12C66" w:rsidRDefault="002E16D8" w:rsidP="00DF13BD">
      <w:pPr>
        <w:pStyle w:val="SingleTxtG"/>
        <w:rPr>
          <w:lang w:val="fr-FR"/>
        </w:rPr>
      </w:pPr>
      <w:r w:rsidRPr="00DF13BD">
        <w:rPr>
          <w:i/>
          <w:iCs/>
          <w:lang w:val="fr-FR"/>
        </w:rPr>
        <w:lastRenderedPageBreak/>
        <w:t>Les</w:t>
      </w:r>
      <w:r w:rsidRPr="00C12C66">
        <w:rPr>
          <w:lang w:val="fr-FR"/>
        </w:rPr>
        <w:t xml:space="preserve"> </w:t>
      </w:r>
      <w:r w:rsidRPr="00C12C66">
        <w:rPr>
          <w:i/>
          <w:iCs/>
          <w:lang w:val="fr-FR"/>
        </w:rPr>
        <w:t>paragraphes 15.2.1.1.2 et 15.2.1.1.3</w:t>
      </w:r>
      <w:r w:rsidRPr="00C12C66">
        <w:rPr>
          <w:lang w:val="fr-FR"/>
        </w:rPr>
        <w:t xml:space="preserve"> restent inchangés et sont repositionnés après les</w:t>
      </w:r>
      <w:r w:rsidR="00BF5CCE">
        <w:rPr>
          <w:lang w:val="fr-FR"/>
        </w:rPr>
        <w:t> </w:t>
      </w:r>
      <w:r w:rsidRPr="00C12C66">
        <w:rPr>
          <w:lang w:val="fr-FR"/>
        </w:rPr>
        <w:t>tableaux.</w:t>
      </w:r>
    </w:p>
    <w:p w14:paraId="7FAFBD2A" w14:textId="3A8B55CB" w:rsidR="002E16D8" w:rsidRPr="00C12C66" w:rsidRDefault="002E16D8" w:rsidP="00DF13BD">
      <w:pPr>
        <w:pStyle w:val="SingleTxtG"/>
        <w:rPr>
          <w:lang w:val="fr-FR"/>
        </w:rPr>
      </w:pPr>
      <w:r w:rsidRPr="00DF13BD">
        <w:rPr>
          <w:i/>
          <w:iCs/>
          <w:lang w:val="fr-FR"/>
        </w:rPr>
        <w:t>Le paragraphe 15.2.4.6.1</w:t>
      </w:r>
      <w:r w:rsidRPr="00C12C66">
        <w:rPr>
          <w:lang w:val="fr-FR"/>
        </w:rPr>
        <w:t xml:space="preserve"> est modifié comme suit</w:t>
      </w:r>
      <w:r w:rsidR="00F91AEA">
        <w:rPr>
          <w:lang w:val="fr-FR"/>
        </w:rPr>
        <w:t> :</w:t>
      </w:r>
    </w:p>
    <w:p w14:paraId="13F8F909" w14:textId="6D918E6A" w:rsidR="002E16D8" w:rsidRPr="00C12C66" w:rsidRDefault="002E16D8" w:rsidP="002E16D8">
      <w:pPr>
        <w:pStyle w:val="SingleTxtG"/>
        <w:spacing w:line="276" w:lineRule="auto"/>
        <w:ind w:left="2268" w:hanging="1134"/>
        <w:rPr>
          <w:lang w:val="fr-FR"/>
        </w:rPr>
      </w:pPr>
      <w:r w:rsidRPr="00C12C66">
        <w:rPr>
          <w:lang w:val="fr-FR"/>
        </w:rPr>
        <w:t>«</w:t>
      </w:r>
      <w:r w:rsidR="00DF13BD">
        <w:rPr>
          <w:lang w:val="fr-FR"/>
        </w:rPr>
        <w:t> </w:t>
      </w:r>
      <w:r w:rsidRPr="00C12C66">
        <w:rPr>
          <w:lang w:val="fr-FR"/>
        </w:rPr>
        <w:t>15.2.4.6.1</w:t>
      </w:r>
      <w:r w:rsidRPr="00C12C66">
        <w:rPr>
          <w:lang w:val="fr-FR"/>
        </w:rPr>
        <w:tab/>
        <w:t xml:space="preserve">Le champ de vision doit être tel que le conducteur puisse voir au moins une portion de route plane et horizontale délimitée, </w:t>
      </w:r>
      <w:r w:rsidRPr="00C12C66">
        <w:rPr>
          <w:b/>
          <w:bCs/>
          <w:lang w:val="fr-FR"/>
        </w:rPr>
        <w:t>pour les véhicules à poste de conduite latéral,</w:t>
      </w:r>
      <w:r w:rsidRPr="00C12C66">
        <w:rPr>
          <w:lang w:val="fr-FR"/>
        </w:rPr>
        <w:t xml:space="preserve"> par</w:t>
      </w:r>
      <w:r w:rsidR="00F91AEA">
        <w:rPr>
          <w:lang w:val="fr-FR"/>
        </w:rPr>
        <w:t> :</w:t>
      </w:r>
    </w:p>
    <w:p w14:paraId="51767CA6" w14:textId="12C8B829" w:rsidR="002E16D8" w:rsidRPr="00C12C66" w:rsidRDefault="002E16D8" w:rsidP="004A19C8">
      <w:pPr>
        <w:pStyle w:val="SingleTxtG"/>
        <w:ind w:left="2835" w:hanging="567"/>
        <w:rPr>
          <w:lang w:val="fr-FR"/>
        </w:rPr>
      </w:pPr>
      <w:r w:rsidRPr="00C12C66">
        <w:rPr>
          <w:lang w:val="fr-FR"/>
        </w:rPr>
        <w:t>a)</w:t>
      </w:r>
      <w:r w:rsidRPr="00C12C66">
        <w:rPr>
          <w:lang w:val="fr-FR"/>
        </w:rPr>
        <w:tab/>
        <w:t>Un plan vertical transversal passant par le point avant extrême de la cabine du véhicule</w:t>
      </w:r>
      <w:r w:rsidR="00F91AEA">
        <w:rPr>
          <w:lang w:val="fr-FR"/>
        </w:rPr>
        <w:t> ;</w:t>
      </w:r>
    </w:p>
    <w:p w14:paraId="4998D6DA" w14:textId="5D65526E" w:rsidR="002E16D8" w:rsidRPr="00C12C66" w:rsidRDefault="002E16D8" w:rsidP="004A19C8">
      <w:pPr>
        <w:pStyle w:val="SingleTxtG"/>
        <w:ind w:left="2835" w:hanging="567"/>
        <w:rPr>
          <w:lang w:val="fr-FR"/>
        </w:rPr>
      </w:pPr>
      <w:r w:rsidRPr="00C12C66">
        <w:rPr>
          <w:lang w:val="fr-FR"/>
        </w:rPr>
        <w:t>b)</w:t>
      </w:r>
      <w:r w:rsidRPr="00C12C66">
        <w:rPr>
          <w:lang w:val="fr-FR"/>
        </w:rPr>
        <w:tab/>
        <w:t xml:space="preserve">Un plan vertical transversal situé à </w:t>
      </w:r>
      <w:r w:rsidR="00CF6F1F">
        <w:rPr>
          <w:lang w:val="fr-FR"/>
        </w:rPr>
        <w:t>2 m</w:t>
      </w:r>
      <w:r w:rsidRPr="00C12C66">
        <w:rPr>
          <w:lang w:val="fr-FR"/>
        </w:rPr>
        <w:t xml:space="preserve"> en avant du plan défini à l’alinéa</w:t>
      </w:r>
      <w:r w:rsidR="00DF13BD">
        <w:rPr>
          <w:lang w:val="fr-FR"/>
        </w:rPr>
        <w:t> </w:t>
      </w:r>
      <w:r w:rsidRPr="00C12C66">
        <w:rPr>
          <w:lang w:val="fr-FR"/>
        </w:rPr>
        <w:t>a)</w:t>
      </w:r>
      <w:r w:rsidR="00F91AEA">
        <w:rPr>
          <w:lang w:val="fr-FR"/>
        </w:rPr>
        <w:t> ;</w:t>
      </w:r>
    </w:p>
    <w:p w14:paraId="07774E47" w14:textId="7DCAA4CA" w:rsidR="002E16D8" w:rsidRPr="00C12C66" w:rsidRDefault="002E16D8" w:rsidP="004A19C8">
      <w:pPr>
        <w:pStyle w:val="SingleTxtG"/>
        <w:ind w:left="2835" w:hanging="567"/>
        <w:rPr>
          <w:lang w:val="fr-FR"/>
        </w:rPr>
      </w:pPr>
      <w:r w:rsidRPr="00C12C66">
        <w:rPr>
          <w:lang w:val="fr-FR"/>
        </w:rPr>
        <w:t>c)</w:t>
      </w:r>
      <w:r w:rsidRPr="00C12C66">
        <w:rPr>
          <w:lang w:val="fr-FR"/>
        </w:rPr>
        <w:tab/>
        <w:t>Un plan vertical longitudinal parallèle au plan vertical longitudinal médian et passant par le point latéral extrême du véhicule du côté conducteur</w:t>
      </w:r>
      <w:r w:rsidR="00F91AEA">
        <w:rPr>
          <w:lang w:val="fr-FR"/>
        </w:rPr>
        <w:t> ;</w:t>
      </w:r>
      <w:r w:rsidRPr="00C12C66">
        <w:rPr>
          <w:lang w:val="fr-FR"/>
        </w:rPr>
        <w:t xml:space="preserve"> et</w:t>
      </w:r>
    </w:p>
    <w:p w14:paraId="0702AE8C" w14:textId="2376DFE2" w:rsidR="002E16D8" w:rsidRPr="00DF13BD" w:rsidRDefault="002E16D8" w:rsidP="004A19C8">
      <w:pPr>
        <w:pStyle w:val="SingleTxtG"/>
        <w:ind w:left="2835" w:hanging="567"/>
        <w:rPr>
          <w:lang w:val="fr-FR"/>
        </w:rPr>
      </w:pPr>
      <w:r w:rsidRPr="00C12C66">
        <w:rPr>
          <w:lang w:val="fr-FR"/>
        </w:rPr>
        <w:t>d)</w:t>
      </w:r>
      <w:r w:rsidRPr="00C12C66">
        <w:rPr>
          <w:lang w:val="fr-FR"/>
        </w:rPr>
        <w:tab/>
        <w:t xml:space="preserve">Un plan vertical longitudinal parallèle au plan vertical longitudinal médian et passant à </w:t>
      </w:r>
      <w:r w:rsidR="00CF6F1F">
        <w:rPr>
          <w:lang w:val="fr-FR"/>
        </w:rPr>
        <w:t>2 m</w:t>
      </w:r>
      <w:r w:rsidRPr="00C12C66">
        <w:rPr>
          <w:lang w:val="fr-FR"/>
        </w:rPr>
        <w:t xml:space="preserve"> du véhicule du côté opposé à celui du conducteur</w:t>
      </w:r>
      <w:r w:rsidRPr="00DF13BD">
        <w:rPr>
          <w:lang w:val="fr-FR"/>
        </w:rPr>
        <w:t>.</w:t>
      </w:r>
    </w:p>
    <w:p w14:paraId="0CEEDF8B" w14:textId="62CAA992" w:rsidR="002E16D8" w:rsidRPr="00C12C66" w:rsidRDefault="002E16D8" w:rsidP="004A19C8">
      <w:pPr>
        <w:pStyle w:val="SingleTxtG"/>
        <w:ind w:left="2268"/>
        <w:rPr>
          <w:lang w:val="fr-FR"/>
        </w:rPr>
      </w:pPr>
      <w:r w:rsidRPr="00C12C66">
        <w:rPr>
          <w:b/>
          <w:bCs/>
          <w:lang w:val="fr-FR"/>
        </w:rPr>
        <w:t>En outre, le</w:t>
      </w:r>
      <w:r w:rsidRPr="00C12C66">
        <w:rPr>
          <w:strike/>
          <w:lang w:val="fr-FR"/>
        </w:rPr>
        <w:t xml:space="preserve"> </w:t>
      </w:r>
      <w:proofErr w:type="spellStart"/>
      <w:r w:rsidRPr="00C12C66">
        <w:rPr>
          <w:strike/>
          <w:lang w:val="fr-FR"/>
        </w:rPr>
        <w:t>Le</w:t>
      </w:r>
      <w:proofErr w:type="spellEnd"/>
      <w:r w:rsidRPr="00C12C66">
        <w:rPr>
          <w:strike/>
          <w:lang w:val="fr-FR"/>
        </w:rPr>
        <w:t xml:space="preserve"> </w:t>
      </w:r>
      <w:r w:rsidRPr="00C12C66">
        <w:rPr>
          <w:lang w:val="fr-FR"/>
        </w:rPr>
        <w:t xml:space="preserve">contour avant de ce champ de vision du côté opposé à celui du conducteur peut être arrondi selon un rayon de </w:t>
      </w:r>
      <w:r w:rsidR="00CF6F1F">
        <w:rPr>
          <w:lang w:val="fr-FR"/>
        </w:rPr>
        <w:t>2 m</w:t>
      </w:r>
      <w:r w:rsidRPr="00C12C66">
        <w:rPr>
          <w:lang w:val="fr-FR"/>
        </w:rPr>
        <w:t xml:space="preserve"> (voir fig</w:t>
      </w:r>
      <w:r w:rsidR="00DF13BD">
        <w:rPr>
          <w:lang w:val="fr-FR"/>
        </w:rPr>
        <w:t>. </w:t>
      </w:r>
      <w:r w:rsidRPr="00C12C66">
        <w:rPr>
          <w:strike/>
          <w:lang w:val="fr-FR"/>
        </w:rPr>
        <w:t>9</w:t>
      </w:r>
      <w:r w:rsidRPr="00C12C66">
        <w:rPr>
          <w:lang w:val="fr-FR"/>
        </w:rPr>
        <w:t xml:space="preserve"> </w:t>
      </w:r>
      <w:r w:rsidRPr="00C12C66">
        <w:rPr>
          <w:b/>
          <w:bCs/>
          <w:lang w:val="fr-FR"/>
        </w:rPr>
        <w:t>9.1</w:t>
      </w:r>
      <w:r w:rsidRPr="00C12C66">
        <w:rPr>
          <w:lang w:val="fr-FR"/>
        </w:rPr>
        <w:t>).</w:t>
      </w:r>
    </w:p>
    <w:p w14:paraId="5488D965" w14:textId="4914E41D" w:rsidR="002E16D8" w:rsidRPr="00C12C66" w:rsidRDefault="002E16D8" w:rsidP="004A19C8">
      <w:pPr>
        <w:pStyle w:val="SingleTxtG"/>
        <w:ind w:left="2268"/>
        <w:rPr>
          <w:b/>
          <w:lang w:val="fr-FR"/>
        </w:rPr>
      </w:pPr>
      <w:r w:rsidRPr="00C12C66">
        <w:rPr>
          <w:b/>
          <w:bCs/>
          <w:lang w:val="fr-FR"/>
        </w:rPr>
        <w:t>Le champ de vision doit être tel que le conducteur puisse voir au moins une portion de route plane et horizontale délimitée, pour les véhicules à poste de conduite central, par</w:t>
      </w:r>
      <w:r w:rsidR="00F91AEA">
        <w:rPr>
          <w:b/>
          <w:bCs/>
          <w:lang w:val="fr-FR"/>
        </w:rPr>
        <w:t> :</w:t>
      </w:r>
    </w:p>
    <w:p w14:paraId="2108D44E" w14:textId="6EF88D93" w:rsidR="002E16D8" w:rsidRPr="00C12C66" w:rsidRDefault="002E16D8" w:rsidP="004A19C8">
      <w:pPr>
        <w:pStyle w:val="SingleTxtG"/>
        <w:ind w:left="2835" w:hanging="567"/>
        <w:rPr>
          <w:b/>
          <w:lang w:val="fr-FR"/>
        </w:rPr>
      </w:pPr>
      <w:r w:rsidRPr="00C12C66">
        <w:rPr>
          <w:b/>
          <w:bCs/>
          <w:lang w:val="fr-FR"/>
        </w:rPr>
        <w:t>f)</w:t>
      </w:r>
      <w:r w:rsidRPr="00C12C66">
        <w:rPr>
          <w:lang w:val="fr-FR"/>
        </w:rPr>
        <w:tab/>
      </w:r>
      <w:r w:rsidRPr="00C12C66">
        <w:rPr>
          <w:b/>
          <w:bCs/>
          <w:lang w:val="fr-FR"/>
        </w:rPr>
        <w:t>Un plan vertical transversal passant par le point avant extrême de la cabine du véhicule</w:t>
      </w:r>
      <w:r w:rsidR="00F91AEA">
        <w:rPr>
          <w:b/>
          <w:bCs/>
          <w:lang w:val="fr-FR"/>
        </w:rPr>
        <w:t> ;</w:t>
      </w:r>
    </w:p>
    <w:p w14:paraId="6AC57B4A" w14:textId="5D43F136" w:rsidR="002E16D8" w:rsidRPr="00C12C66" w:rsidRDefault="002E16D8" w:rsidP="004A19C8">
      <w:pPr>
        <w:pStyle w:val="SingleTxtG"/>
        <w:ind w:left="2835" w:hanging="567"/>
        <w:rPr>
          <w:b/>
          <w:lang w:val="fr-FR"/>
        </w:rPr>
      </w:pPr>
      <w:r w:rsidRPr="00C12C66">
        <w:rPr>
          <w:b/>
          <w:bCs/>
          <w:lang w:val="fr-FR"/>
        </w:rPr>
        <w:t>g)</w:t>
      </w:r>
      <w:r w:rsidRPr="00C12C66">
        <w:rPr>
          <w:lang w:val="fr-FR"/>
        </w:rPr>
        <w:tab/>
      </w:r>
      <w:r w:rsidRPr="00C12C66">
        <w:rPr>
          <w:b/>
          <w:bCs/>
          <w:lang w:val="fr-FR"/>
        </w:rPr>
        <w:t xml:space="preserve">Un plan vertical transversal situé à </w:t>
      </w:r>
      <w:r w:rsidR="00CF6F1F">
        <w:rPr>
          <w:b/>
          <w:bCs/>
          <w:lang w:val="fr-FR"/>
        </w:rPr>
        <w:t>2 m</w:t>
      </w:r>
      <w:r w:rsidRPr="00C12C66">
        <w:rPr>
          <w:b/>
          <w:bCs/>
          <w:lang w:val="fr-FR"/>
        </w:rPr>
        <w:t xml:space="preserve"> en avant du plan défini à l’alinéa</w:t>
      </w:r>
      <w:r w:rsidR="00BF5CCE">
        <w:rPr>
          <w:b/>
          <w:bCs/>
          <w:lang w:val="fr-FR"/>
        </w:rPr>
        <w:t> </w:t>
      </w:r>
      <w:r w:rsidRPr="00C12C66">
        <w:rPr>
          <w:b/>
          <w:bCs/>
          <w:lang w:val="fr-FR"/>
        </w:rPr>
        <w:t>a)</w:t>
      </w:r>
      <w:r w:rsidR="00F91AEA">
        <w:rPr>
          <w:b/>
          <w:bCs/>
          <w:lang w:val="fr-FR"/>
        </w:rPr>
        <w:t> ;</w:t>
      </w:r>
      <w:r w:rsidRPr="00C12C66">
        <w:rPr>
          <w:b/>
          <w:bCs/>
          <w:lang w:val="fr-FR"/>
        </w:rPr>
        <w:t xml:space="preserve"> et</w:t>
      </w:r>
    </w:p>
    <w:p w14:paraId="3517C69C" w14:textId="37A9774F" w:rsidR="002E16D8" w:rsidRPr="004A19C8" w:rsidRDefault="002E16D8" w:rsidP="004A19C8">
      <w:pPr>
        <w:pStyle w:val="SingleTxtG"/>
        <w:ind w:left="2835" w:hanging="567"/>
        <w:rPr>
          <w:b/>
          <w:bCs/>
          <w:lang w:val="fr-FR"/>
        </w:rPr>
      </w:pPr>
      <w:r w:rsidRPr="004A19C8">
        <w:rPr>
          <w:b/>
          <w:bCs/>
          <w:lang w:val="fr-FR"/>
        </w:rPr>
        <w:t>h)</w:t>
      </w:r>
      <w:r w:rsidRPr="004A19C8">
        <w:rPr>
          <w:b/>
          <w:bCs/>
          <w:lang w:val="fr-FR"/>
        </w:rPr>
        <w:tab/>
        <w:t xml:space="preserve">Un plan vertical longitudinal parallèle au plan vertical longitudinal médian et passant à </w:t>
      </w:r>
      <w:r w:rsidR="00CF6F1F">
        <w:rPr>
          <w:b/>
          <w:bCs/>
          <w:lang w:val="fr-FR"/>
        </w:rPr>
        <w:t>2 m</w:t>
      </w:r>
      <w:r w:rsidRPr="004A19C8">
        <w:rPr>
          <w:b/>
          <w:bCs/>
          <w:lang w:val="fr-FR"/>
        </w:rPr>
        <w:t xml:space="preserve"> du véhicule de chaque côté</w:t>
      </w:r>
      <w:r w:rsidR="00DF13BD">
        <w:rPr>
          <w:b/>
          <w:bCs/>
          <w:lang w:val="fr-FR"/>
        </w:rPr>
        <w:t>.</w:t>
      </w:r>
    </w:p>
    <w:p w14:paraId="6C2B2AE8" w14:textId="36D8222B" w:rsidR="002E16D8" w:rsidRPr="00C12C66" w:rsidRDefault="002E16D8" w:rsidP="004A19C8">
      <w:pPr>
        <w:pStyle w:val="SingleTxtG"/>
        <w:ind w:left="2268"/>
        <w:rPr>
          <w:b/>
          <w:bCs/>
          <w:lang w:val="fr-FR"/>
        </w:rPr>
      </w:pPr>
      <w:r w:rsidRPr="00C12C66">
        <w:rPr>
          <w:b/>
          <w:bCs/>
          <w:lang w:val="fr-FR"/>
        </w:rPr>
        <w:t xml:space="preserve">En outre, le contour avant de ce champ de vision sur les deux côtés peut être arrondi selon un rayon de </w:t>
      </w:r>
      <w:r w:rsidR="00CF6F1F">
        <w:rPr>
          <w:b/>
          <w:bCs/>
          <w:lang w:val="fr-FR"/>
        </w:rPr>
        <w:t>2 m</w:t>
      </w:r>
      <w:r w:rsidRPr="00C12C66">
        <w:rPr>
          <w:lang w:val="fr-FR"/>
        </w:rPr>
        <w:t xml:space="preserve"> </w:t>
      </w:r>
      <w:r w:rsidRPr="00C12C66">
        <w:rPr>
          <w:b/>
          <w:bCs/>
          <w:lang w:val="fr-FR"/>
        </w:rPr>
        <w:t>(voir fig</w:t>
      </w:r>
      <w:r w:rsidR="00DF13BD">
        <w:rPr>
          <w:b/>
          <w:bCs/>
          <w:lang w:val="fr-FR"/>
        </w:rPr>
        <w:t>. </w:t>
      </w:r>
      <w:r w:rsidRPr="00C12C66">
        <w:rPr>
          <w:b/>
          <w:bCs/>
          <w:lang w:val="fr-FR"/>
        </w:rPr>
        <w:t>9.2).</w:t>
      </w:r>
    </w:p>
    <w:p w14:paraId="322A4F62" w14:textId="369D5398" w:rsidR="002E16D8" w:rsidRPr="00C12C66" w:rsidRDefault="002E16D8" w:rsidP="004A19C8">
      <w:pPr>
        <w:pStyle w:val="SingleTxtG"/>
        <w:ind w:left="2268"/>
        <w:rPr>
          <w:lang w:val="fr-FR"/>
        </w:rPr>
      </w:pPr>
      <w:r w:rsidRPr="00C12C66">
        <w:rPr>
          <w:lang w:val="fr-FR"/>
        </w:rPr>
        <w:tab/>
        <w:t>En ce qui concerne le champ de vision ainsi défini, voir aussi le paragraphe 15.2.4.9.2. ci-dessous.</w:t>
      </w:r>
    </w:p>
    <w:p w14:paraId="1C342464" w14:textId="77777777" w:rsidR="002E16D8" w:rsidRPr="00C12C66" w:rsidRDefault="002E16D8" w:rsidP="004A19C8">
      <w:pPr>
        <w:pStyle w:val="SingleTxtG"/>
        <w:ind w:left="2268"/>
        <w:rPr>
          <w:lang w:val="fr-FR"/>
        </w:rPr>
      </w:pPr>
      <w:r w:rsidRPr="00C12C66">
        <w:rPr>
          <w:lang w:val="fr-FR"/>
        </w:rPr>
        <w:t>Les prescriptions applicables aux systèmes de vision vers l’avant de la classe VI sont obligatoires pour les véhicules à cabine avancée (tels qu’ils sont définis au paragraphe 12.5 du présent Règlement) des catégories N</w:t>
      </w:r>
      <w:r w:rsidRPr="00C12C66">
        <w:rPr>
          <w:vertAlign w:val="subscript"/>
          <w:lang w:val="fr-FR"/>
        </w:rPr>
        <w:t>2</w:t>
      </w:r>
      <w:r w:rsidRPr="00C12C66">
        <w:rPr>
          <w:lang w:val="fr-FR"/>
        </w:rPr>
        <w:t xml:space="preserve"> &gt; 7,5 t et N</w:t>
      </w:r>
      <w:r w:rsidRPr="00C12C66">
        <w:rPr>
          <w:vertAlign w:val="subscript"/>
          <w:lang w:val="fr-FR"/>
        </w:rPr>
        <w:t>3</w:t>
      </w:r>
      <w:r w:rsidRPr="00C12C66">
        <w:rPr>
          <w:lang w:val="fr-FR"/>
        </w:rPr>
        <w:t>.</w:t>
      </w:r>
    </w:p>
    <w:p w14:paraId="1764D63D" w14:textId="3E16219E" w:rsidR="002E16D8" w:rsidRPr="00C12C66" w:rsidRDefault="002E16D8" w:rsidP="004A19C8">
      <w:pPr>
        <w:pStyle w:val="SingleTxtG"/>
        <w:ind w:left="2268"/>
        <w:rPr>
          <w:lang w:val="fr-FR"/>
        </w:rPr>
      </w:pPr>
      <w:r w:rsidRPr="00C12C66">
        <w:rPr>
          <w:lang w:val="fr-FR"/>
        </w:rPr>
        <w:t>S’il n’est pas possible, sur les véhicules de ces catégories, de satisfaire aux prescriptions avec un système de vision vers l’avant, un système d’aide à la vision doit être utilisé. Un tel système doit pouvoir détecter un objet d’une hauteur de 0,5</w:t>
      </w:r>
      <w:r w:rsidR="00BF5CCE">
        <w:rPr>
          <w:lang w:val="fr-FR"/>
        </w:rPr>
        <w:t> </w:t>
      </w:r>
      <w:r w:rsidRPr="00C12C66">
        <w:rPr>
          <w:lang w:val="fr-FR"/>
        </w:rPr>
        <w:t>m et d’un diamètre de 0,3</w:t>
      </w:r>
      <w:r w:rsidR="00BF5CCE">
        <w:rPr>
          <w:lang w:val="fr-FR"/>
        </w:rPr>
        <w:t> </w:t>
      </w:r>
      <w:r w:rsidRPr="00C12C66">
        <w:rPr>
          <w:lang w:val="fr-FR"/>
        </w:rPr>
        <w:t xml:space="preserve">m dans le champ défini </w:t>
      </w:r>
      <w:r w:rsidRPr="00C12C66">
        <w:rPr>
          <w:strike/>
          <w:lang w:val="fr-FR"/>
        </w:rPr>
        <w:t>à la</w:t>
      </w:r>
      <w:r w:rsidR="00DF13BD" w:rsidRPr="00DF13BD">
        <w:rPr>
          <w:lang w:val="fr-FR"/>
        </w:rPr>
        <w:t xml:space="preserve"> </w:t>
      </w:r>
      <w:r w:rsidRPr="00C12C66">
        <w:rPr>
          <w:b/>
          <w:bCs/>
          <w:lang w:val="fr-FR"/>
        </w:rPr>
        <w:t>aux</w:t>
      </w:r>
      <w:r w:rsidRPr="00C12C66">
        <w:rPr>
          <w:lang w:val="fr-FR"/>
        </w:rPr>
        <w:t xml:space="preserve"> figure</w:t>
      </w:r>
      <w:r w:rsidRPr="00C12C66">
        <w:rPr>
          <w:b/>
          <w:bCs/>
          <w:lang w:val="fr-FR"/>
        </w:rPr>
        <w:t>s</w:t>
      </w:r>
      <w:r w:rsidRPr="00C12C66">
        <w:rPr>
          <w:lang w:val="fr-FR"/>
        </w:rPr>
        <w:t xml:space="preserve"> </w:t>
      </w:r>
      <w:r w:rsidRPr="00C12C66">
        <w:rPr>
          <w:strike/>
          <w:lang w:val="fr-FR"/>
        </w:rPr>
        <w:t>9</w:t>
      </w:r>
      <w:r w:rsidRPr="00C12C66">
        <w:rPr>
          <w:lang w:val="fr-FR"/>
        </w:rPr>
        <w:t xml:space="preserve"> </w:t>
      </w:r>
      <w:r w:rsidRPr="00C12C66">
        <w:rPr>
          <w:b/>
          <w:bCs/>
          <w:lang w:val="fr-FR"/>
        </w:rPr>
        <w:t>9.1 et 9.2.</w:t>
      </w:r>
      <w:r w:rsidR="004A19C8">
        <w:rPr>
          <w:b/>
          <w:bCs/>
          <w:lang w:val="fr-FR"/>
        </w:rPr>
        <w:t> </w:t>
      </w:r>
      <w:r w:rsidRPr="004A19C8">
        <w:rPr>
          <w:lang w:val="fr-FR"/>
        </w:rPr>
        <w:t>».</w:t>
      </w:r>
    </w:p>
    <w:p w14:paraId="127BA7B2" w14:textId="10141698" w:rsidR="002E16D8" w:rsidRPr="00C12C66" w:rsidRDefault="002E16D8" w:rsidP="004A19C8">
      <w:pPr>
        <w:pStyle w:val="SingleTxtG"/>
        <w:keepNext/>
        <w:rPr>
          <w:lang w:val="fr-FR"/>
        </w:rPr>
      </w:pPr>
      <w:r w:rsidRPr="004A19C8">
        <w:rPr>
          <w:i/>
          <w:iCs/>
          <w:lang w:val="fr-FR"/>
        </w:rPr>
        <w:lastRenderedPageBreak/>
        <w:t>Figure 9.1</w:t>
      </w:r>
      <w:r w:rsidRPr="00C12C66">
        <w:rPr>
          <w:lang w:val="fr-FR"/>
        </w:rPr>
        <w:t>, lire</w:t>
      </w:r>
      <w:r w:rsidR="00F91AEA">
        <w:rPr>
          <w:lang w:val="fr-FR"/>
        </w:rPr>
        <w:t> :</w:t>
      </w:r>
    </w:p>
    <w:p w14:paraId="3A3D1081" w14:textId="77777777" w:rsidR="002E16D8" w:rsidRPr="004A19C8" w:rsidRDefault="002E16D8" w:rsidP="004A19C8">
      <w:pPr>
        <w:pStyle w:val="Titre1"/>
        <w:rPr>
          <w:strike/>
          <w:lang w:val="fr-FR"/>
        </w:rPr>
      </w:pPr>
      <w:r w:rsidRPr="004A19C8">
        <w:rPr>
          <w:strike/>
          <w:lang w:val="fr-FR"/>
        </w:rPr>
        <w:t>Figure 9</w:t>
      </w:r>
    </w:p>
    <w:p w14:paraId="53AF00A6" w14:textId="77777777" w:rsidR="002E16D8" w:rsidRPr="004A19C8" w:rsidRDefault="002E16D8" w:rsidP="004A19C8">
      <w:pPr>
        <w:pStyle w:val="Titre1"/>
        <w:rPr>
          <w:b/>
          <w:bCs/>
          <w:lang w:val="fr-FR"/>
        </w:rPr>
      </w:pPr>
      <w:r w:rsidRPr="004A19C8">
        <w:rPr>
          <w:b/>
          <w:bCs/>
          <w:lang w:val="fr-FR"/>
        </w:rPr>
        <w:t>Figure 9.1</w:t>
      </w:r>
    </w:p>
    <w:p w14:paraId="7BB8CDB2" w14:textId="227D1953" w:rsidR="002E16D8" w:rsidRPr="00C12C66" w:rsidRDefault="002E16D8" w:rsidP="004A19C8">
      <w:pPr>
        <w:pStyle w:val="SingleTxtG"/>
        <w:keepNext/>
        <w:jc w:val="left"/>
        <w:rPr>
          <w:b/>
          <w:bCs/>
          <w:lang w:val="fr-FR"/>
        </w:rPr>
      </w:pPr>
      <w:r w:rsidRPr="004A19C8">
        <w:rPr>
          <w:lang w:val="fr-FR"/>
        </w:rPr>
        <w:t>Champ</w:t>
      </w:r>
      <w:r w:rsidRPr="00C12C66">
        <w:rPr>
          <w:lang w:val="fr-FR"/>
        </w:rPr>
        <w:t xml:space="preserve"> de vision </w:t>
      </w:r>
      <w:r w:rsidRPr="00C12C66">
        <w:rPr>
          <w:strike/>
          <w:lang w:val="fr-FR"/>
        </w:rPr>
        <w:t>pour</w:t>
      </w:r>
      <w:r w:rsidRPr="00C12C66">
        <w:rPr>
          <w:lang w:val="fr-FR"/>
        </w:rPr>
        <w:t xml:space="preserve"> </w:t>
      </w:r>
      <w:r w:rsidRPr="00C12C66">
        <w:rPr>
          <w:b/>
          <w:bCs/>
          <w:lang w:val="fr-FR"/>
        </w:rPr>
        <w:t>de</w:t>
      </w:r>
      <w:r w:rsidRPr="00C12C66">
        <w:rPr>
          <w:lang w:val="fr-FR"/>
        </w:rPr>
        <w:t xml:space="preserve"> la classe VI </w:t>
      </w:r>
      <w:r w:rsidRPr="00C12C66">
        <w:rPr>
          <w:b/>
          <w:bCs/>
          <w:lang w:val="fr-FR"/>
        </w:rPr>
        <w:t>pour les véhicules à poste de conduite latéral</w:t>
      </w:r>
    </w:p>
    <w:p w14:paraId="7BB82D5B" w14:textId="5A0F7F82" w:rsidR="002E16D8" w:rsidRPr="00C12C66" w:rsidRDefault="004A19C8" w:rsidP="004A19C8">
      <w:pPr>
        <w:pStyle w:val="SingleTxtG"/>
        <w:rPr>
          <w:lang w:val="fr-FR"/>
        </w:rPr>
      </w:pPr>
      <w:r w:rsidRPr="004A19C8">
        <w:rPr>
          <w:lang w:val="fr-FR"/>
        </w:rPr>
        <mc:AlternateContent>
          <mc:Choice Requires="wps">
            <w:drawing>
              <wp:anchor distT="45720" distB="45720" distL="114300" distR="114300" simplePos="0" relativeHeight="251667456" behindDoc="0" locked="0" layoutInCell="1" allowOverlap="1" wp14:anchorId="23791241" wp14:editId="50354D0F">
                <wp:simplePos x="0" y="0"/>
                <wp:positionH relativeFrom="column">
                  <wp:posOffset>2236470</wp:posOffset>
                </wp:positionH>
                <wp:positionV relativeFrom="paragraph">
                  <wp:posOffset>1431290</wp:posOffset>
                </wp:positionV>
                <wp:extent cx="2360930" cy="140462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1BF860" w14:textId="77777777" w:rsidR="004A19C8" w:rsidRPr="00617AD7" w:rsidRDefault="004A19C8" w:rsidP="004A19C8">
                            <w:r w:rsidRPr="00C12C66">
                              <w:rPr>
                                <w:lang w:val="fr-FR"/>
                              </w:rPr>
                              <w:t>Points oculaires du conducteur</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791241" id="_x0000_t202" coordsize="21600,21600" o:spt="202" path="m,l,21600r21600,l21600,xe">
                <v:stroke joinstyle="miter"/>
                <v:path gradientshapeok="t" o:connecttype="rect"/>
              </v:shapetype>
              <v:shape id="Text Box 2" o:spid="_x0000_s1026" type="#_x0000_t202" style="position:absolute;left:0;text-align:left;margin-left:176.1pt;margin-top:112.7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" stroked="f">
                <v:textbox style="mso-fit-shape-to-text:t" inset="0,0,0,0">
                  <w:txbxContent>
                    <w:p w14:paraId="491BF860" w14:textId="77777777" w:rsidR="004A19C8" w:rsidRPr="00617AD7" w:rsidRDefault="004A19C8" w:rsidP="004A19C8">
                      <w:r w:rsidRPr="00C12C66">
                        <w:rPr>
                          <w:lang w:val="fr-FR"/>
                        </w:rPr>
                        <w:t>Points oculaires du conducteur</w:t>
                      </w:r>
                    </w:p>
                  </w:txbxContent>
                </v:textbox>
              </v:shape>
            </w:pict>
          </mc:Fallback>
        </mc:AlternateContent>
      </w:r>
      <w:r w:rsidRPr="004A19C8">
        <w:rPr>
          <w:lang w:val="fr-FR"/>
        </w:rPr>
        <mc:AlternateContent>
          <mc:Choice Requires="wps">
            <w:drawing>
              <wp:anchor distT="45720" distB="45720" distL="114300" distR="114300" simplePos="0" relativeHeight="251668480" behindDoc="0" locked="0" layoutInCell="1" allowOverlap="1" wp14:anchorId="75334689" wp14:editId="67647F94">
                <wp:simplePos x="0" y="0"/>
                <wp:positionH relativeFrom="column">
                  <wp:posOffset>1932305</wp:posOffset>
                </wp:positionH>
                <wp:positionV relativeFrom="paragraph">
                  <wp:posOffset>23165</wp:posOffset>
                </wp:positionV>
                <wp:extent cx="2360930" cy="140462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14516B" w14:textId="77777777" w:rsidR="004A19C8" w:rsidRPr="00617AD7" w:rsidRDefault="004A19C8" w:rsidP="004A19C8">
                            <w:r>
                              <w:rPr>
                                <w:lang w:val="fr-FR"/>
                              </w:rPr>
                              <w:t>Zone de vision au sol</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334689" id="_x0000_s1027" type="#_x0000_t202" style="position:absolute;left:0;text-align:left;margin-left:152.15pt;margin-top:1.8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" stroked="f">
                <v:textbox style="mso-fit-shape-to-text:t" inset="0,0,0,0">
                  <w:txbxContent>
                    <w:p w14:paraId="5114516B" w14:textId="77777777" w:rsidR="004A19C8" w:rsidRPr="00617AD7" w:rsidRDefault="004A19C8" w:rsidP="004A19C8">
                      <w:r>
                        <w:rPr>
                          <w:lang w:val="fr-FR"/>
                        </w:rPr>
                        <w:t>Zone de vision au sol</w:t>
                      </w:r>
                    </w:p>
                  </w:txbxContent>
                </v:textbox>
              </v:shape>
            </w:pict>
          </mc:Fallback>
        </mc:AlternateContent>
      </w:r>
      <w:r w:rsidR="002E16D8" w:rsidRPr="00C12C66">
        <w:rPr>
          <w:noProof/>
          <w:lang w:val="fr-FR" w:eastAsia="de-DE"/>
        </w:rPr>
        <w:drawing>
          <wp:inline distT="0" distB="0" distL="0" distR="0" wp14:anchorId="4A15DC37" wp14:editId="50A01608">
            <wp:extent cx="4680000" cy="1666800"/>
            <wp:effectExtent l="0" t="0" r="6350" b="0"/>
            <wp:docPr id="14"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80000" cy="1666800"/>
                    </a:xfrm>
                    <a:prstGeom prst="rect">
                      <a:avLst/>
                    </a:prstGeom>
                  </pic:spPr>
                </pic:pic>
              </a:graphicData>
            </a:graphic>
          </wp:inline>
        </w:drawing>
      </w:r>
    </w:p>
    <w:p w14:paraId="63B0FA76" w14:textId="77777777" w:rsidR="002E16D8" w:rsidRPr="00C12C66" w:rsidRDefault="002E16D8" w:rsidP="002E16D8">
      <w:pPr>
        <w:spacing w:line="276" w:lineRule="auto"/>
        <w:ind w:left="284" w:right="849"/>
        <w:jc w:val="center"/>
        <w:rPr>
          <w:sz w:val="16"/>
          <w:szCs w:val="16"/>
          <w:lang w:val="fr-FR"/>
        </w:rPr>
      </w:pPr>
      <w:bookmarkStart w:id="1" w:name="_MON_1108366407"/>
      <w:bookmarkStart w:id="2" w:name="_MON_1126617702"/>
      <w:bookmarkStart w:id="3" w:name="_MON_1188724169"/>
      <w:bookmarkStart w:id="4" w:name="_MON_1390832080"/>
      <w:bookmarkStart w:id="5" w:name="_MON_1430233286"/>
      <w:bookmarkStart w:id="6" w:name="_MON_1108296710"/>
      <w:bookmarkStart w:id="7" w:name="_MON_1108366379"/>
      <w:bookmarkEnd w:id="1"/>
      <w:bookmarkEnd w:id="2"/>
      <w:bookmarkEnd w:id="3"/>
      <w:bookmarkEnd w:id="4"/>
      <w:bookmarkEnd w:id="5"/>
      <w:bookmarkEnd w:id="6"/>
      <w:bookmarkEnd w:id="7"/>
      <w:r w:rsidRPr="00C12C66">
        <w:rPr>
          <w:noProof/>
          <w:sz w:val="16"/>
          <w:szCs w:val="16"/>
          <w:lang w:val="fr-FR" w:eastAsia="de-DE"/>
        </w:rPr>
        <w:drawing>
          <wp:anchor distT="0" distB="0" distL="114300" distR="114300" simplePos="0" relativeHeight="251659264" behindDoc="1" locked="0" layoutInCell="1" allowOverlap="1" wp14:anchorId="07C3CAB8" wp14:editId="7D44BBF3">
            <wp:simplePos x="0" y="0"/>
            <wp:positionH relativeFrom="column">
              <wp:posOffset>549910</wp:posOffset>
            </wp:positionH>
            <wp:positionV relativeFrom="paragraph">
              <wp:posOffset>-7284720</wp:posOffset>
            </wp:positionV>
            <wp:extent cx="4663440" cy="1563624"/>
            <wp:effectExtent l="0" t="0" r="3810" b="0"/>
            <wp:wrapNone/>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63440" cy="1563624"/>
                    </a:xfrm>
                    <a:prstGeom prst="rect">
                      <a:avLst/>
                    </a:prstGeom>
                  </pic:spPr>
                </pic:pic>
              </a:graphicData>
            </a:graphic>
            <wp14:sizeRelH relativeFrom="margin">
              <wp14:pctWidth>0</wp14:pctWidth>
            </wp14:sizeRelH>
            <wp14:sizeRelV relativeFrom="margin">
              <wp14:pctHeight>0</wp14:pctHeight>
            </wp14:sizeRelV>
          </wp:anchor>
        </w:drawing>
      </w:r>
    </w:p>
    <w:p w14:paraId="570E2484" w14:textId="3E4291E8" w:rsidR="002E16D8" w:rsidRPr="00C12C66" w:rsidRDefault="002E16D8" w:rsidP="004A19C8">
      <w:pPr>
        <w:pStyle w:val="SingleTxtG"/>
        <w:keepNext/>
        <w:rPr>
          <w:lang w:val="fr-FR"/>
        </w:rPr>
      </w:pPr>
      <w:r w:rsidRPr="004A19C8">
        <w:rPr>
          <w:i/>
          <w:iCs/>
          <w:lang w:val="fr-FR"/>
        </w:rPr>
        <w:t>Ajouter une nouvelle figure 9.2</w:t>
      </w:r>
      <w:r w:rsidRPr="00C12C66">
        <w:rPr>
          <w:lang w:val="fr-FR"/>
        </w:rPr>
        <w:t>, ainsi conçue</w:t>
      </w:r>
      <w:r w:rsidR="00F91AEA">
        <w:rPr>
          <w:lang w:val="fr-FR"/>
        </w:rPr>
        <w:t> :</w:t>
      </w:r>
    </w:p>
    <w:p w14:paraId="549BC3E1" w14:textId="77777777" w:rsidR="002E16D8" w:rsidRPr="004A19C8" w:rsidRDefault="002E16D8" w:rsidP="004A19C8">
      <w:pPr>
        <w:pStyle w:val="Titre1"/>
        <w:rPr>
          <w:b/>
          <w:bCs/>
          <w:lang w:val="fr-FR"/>
        </w:rPr>
      </w:pPr>
      <w:r w:rsidRPr="004A19C8">
        <w:rPr>
          <w:b/>
          <w:bCs/>
          <w:lang w:val="fr-FR"/>
        </w:rPr>
        <w:t>Figure 9.2</w:t>
      </w:r>
    </w:p>
    <w:p w14:paraId="76B6661A" w14:textId="73462DC9" w:rsidR="002E16D8" w:rsidRPr="004A19C8" w:rsidRDefault="004A19C8" w:rsidP="004A19C8">
      <w:pPr>
        <w:pStyle w:val="SingleTxtG"/>
        <w:keepNext/>
        <w:jc w:val="left"/>
        <w:rPr>
          <w:b/>
          <w:bCs/>
          <w:lang w:val="fr-FR"/>
        </w:rPr>
      </w:pPr>
      <w:r w:rsidRPr="00C12C66">
        <w:rPr>
          <w:noProof/>
          <w:lang w:val="fr-FR"/>
        </w:rPr>
        <mc:AlternateContent>
          <mc:Choice Requires="wps">
            <w:drawing>
              <wp:anchor distT="45720" distB="45720" distL="114300" distR="114300" simplePos="0" relativeHeight="251665408" behindDoc="0" locked="0" layoutInCell="1" allowOverlap="1" wp14:anchorId="3369C463" wp14:editId="58A208B1">
                <wp:simplePos x="0" y="0"/>
                <wp:positionH relativeFrom="column">
                  <wp:posOffset>1971040</wp:posOffset>
                </wp:positionH>
                <wp:positionV relativeFrom="paragraph">
                  <wp:posOffset>175260</wp:posOffset>
                </wp:positionV>
                <wp:extent cx="2360930" cy="140462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65CAA6" w14:textId="77777777" w:rsidR="004A19C8" w:rsidRPr="00617AD7" w:rsidRDefault="004A19C8" w:rsidP="004A19C8">
                            <w:r>
                              <w:rPr>
                                <w:lang w:val="fr-FR"/>
                              </w:rPr>
                              <w:t>Zone de vision au sol</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69C463" id="_x0000_s1028" type="#_x0000_t202" style="position:absolute;left:0;text-align:left;margin-left:155.2pt;margin-top:13.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" stroked="f">
                <v:textbox style="mso-fit-shape-to-text:t" inset="0,0,0,0">
                  <w:txbxContent>
                    <w:p w14:paraId="7065CAA6" w14:textId="77777777" w:rsidR="004A19C8" w:rsidRPr="00617AD7" w:rsidRDefault="004A19C8" w:rsidP="004A19C8">
                      <w:r>
                        <w:rPr>
                          <w:lang w:val="fr-FR"/>
                        </w:rPr>
                        <w:t>Zone de vision au sol</w:t>
                      </w:r>
                    </w:p>
                  </w:txbxContent>
                </v:textbox>
              </v:shape>
            </w:pict>
          </mc:Fallback>
        </mc:AlternateContent>
      </w:r>
      <w:r w:rsidR="002E16D8" w:rsidRPr="004A19C8">
        <w:rPr>
          <w:b/>
          <w:bCs/>
          <w:lang w:val="fr-FR"/>
        </w:rPr>
        <w:t>Champ de vision de la classe VI pour les véhicules à poste de conduite central</w:t>
      </w:r>
    </w:p>
    <w:p w14:paraId="62DB1AEB" w14:textId="50AC64D0" w:rsidR="004A19C8" w:rsidRPr="00C12C66" w:rsidRDefault="004A19C8" w:rsidP="004A19C8">
      <w:pPr>
        <w:pStyle w:val="SingleTxtG"/>
        <w:rPr>
          <w:lang w:val="fr-FR"/>
        </w:rPr>
      </w:pPr>
      <w:r w:rsidRPr="00C12C66">
        <w:rPr>
          <w:noProof/>
          <w:lang w:val="fr-FR"/>
        </w:rPr>
        <mc:AlternateContent>
          <mc:Choice Requires="wps">
            <w:drawing>
              <wp:anchor distT="45720" distB="45720" distL="114300" distR="114300" simplePos="0" relativeHeight="251663360" behindDoc="0" locked="0" layoutInCell="1" allowOverlap="1" wp14:anchorId="1993245C" wp14:editId="00A45057">
                <wp:simplePos x="0" y="0"/>
                <wp:positionH relativeFrom="column">
                  <wp:posOffset>2359330</wp:posOffset>
                </wp:positionH>
                <wp:positionV relativeFrom="paragraph">
                  <wp:posOffset>1294155</wp:posOffset>
                </wp:positionV>
                <wp:extent cx="2360930" cy="140462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694A53" w14:textId="0C2134C1" w:rsidR="004A19C8" w:rsidRPr="00617AD7" w:rsidRDefault="004A19C8" w:rsidP="004A19C8">
                            <w:r w:rsidRPr="00C12C66">
                              <w:rPr>
                                <w:lang w:val="fr-FR"/>
                              </w:rPr>
                              <w:t>Points oculaires du conducteur</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93245C" id="_x0000_s1029" type="#_x0000_t202" style="position:absolute;left:0;text-align:left;margin-left:185.75pt;margin-top:101.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" stroked="f">
                <v:textbox style="mso-fit-shape-to-text:t" inset="0,0,0,0">
                  <w:txbxContent>
                    <w:p w14:paraId="3F694A53" w14:textId="0C2134C1" w:rsidR="004A19C8" w:rsidRPr="00617AD7" w:rsidRDefault="004A19C8" w:rsidP="004A19C8">
                      <w:r w:rsidRPr="00C12C66">
                        <w:rPr>
                          <w:lang w:val="fr-FR"/>
                        </w:rPr>
                        <w:t>Points oculaires du conducteur</w:t>
                      </w:r>
                    </w:p>
                  </w:txbxContent>
                </v:textbox>
              </v:shape>
            </w:pict>
          </mc:Fallback>
        </mc:AlternateContent>
      </w:r>
      <w:r w:rsidRPr="00C12C66">
        <w:rPr>
          <w:noProof/>
          <w:lang w:val="fr-FR"/>
        </w:rPr>
        <w:drawing>
          <wp:inline distT="0" distB="0" distL="0" distR="0" wp14:anchorId="0B094E6F" wp14:editId="7D357233">
            <wp:extent cx="4680000" cy="1667368"/>
            <wp:effectExtent l="0" t="0" r="635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0000" cy="1667368"/>
                    </a:xfrm>
                    <a:prstGeom prst="rect">
                      <a:avLst/>
                    </a:prstGeom>
                  </pic:spPr>
                </pic:pic>
              </a:graphicData>
            </a:graphic>
          </wp:inline>
        </w:drawing>
      </w:r>
    </w:p>
    <w:p w14:paraId="7A8D65FD" w14:textId="11D11E1B" w:rsidR="002E16D8" w:rsidRPr="00C12C66" w:rsidRDefault="002E16D8" w:rsidP="00BF5CCE">
      <w:pPr>
        <w:pStyle w:val="SingleTxtG"/>
        <w:keepNext/>
        <w:rPr>
          <w:lang w:val="fr-FR"/>
        </w:rPr>
      </w:pPr>
      <w:r w:rsidRPr="00C12C66">
        <w:rPr>
          <w:lang w:val="fr-FR"/>
        </w:rPr>
        <w:t xml:space="preserve">Le </w:t>
      </w:r>
      <w:r w:rsidRPr="00C12C66">
        <w:rPr>
          <w:i/>
          <w:iCs/>
          <w:lang w:val="fr-FR"/>
        </w:rPr>
        <w:t>paragraphe 15.2.4.6.2</w:t>
      </w:r>
      <w:r w:rsidRPr="00C12C66">
        <w:rPr>
          <w:lang w:val="fr-FR"/>
        </w:rPr>
        <w:t xml:space="preserve"> est modifié comme suit</w:t>
      </w:r>
      <w:r w:rsidR="00F91AEA">
        <w:rPr>
          <w:lang w:val="fr-FR"/>
        </w:rPr>
        <w:t> :</w:t>
      </w:r>
    </w:p>
    <w:p w14:paraId="1D8E8A55" w14:textId="4BCD8006" w:rsidR="002E16D8" w:rsidRPr="00C12C66" w:rsidRDefault="002E16D8" w:rsidP="00F91AEA">
      <w:pPr>
        <w:pStyle w:val="SingleTxtG"/>
        <w:ind w:left="2268" w:hanging="1134"/>
        <w:rPr>
          <w:bCs/>
          <w:szCs w:val="16"/>
          <w:lang w:val="fr-FR"/>
        </w:rPr>
      </w:pPr>
      <w:r w:rsidRPr="00C12C66">
        <w:rPr>
          <w:szCs w:val="16"/>
          <w:lang w:val="fr-FR"/>
        </w:rPr>
        <w:t>«</w:t>
      </w:r>
      <w:r w:rsidR="00F91AEA">
        <w:rPr>
          <w:szCs w:val="16"/>
          <w:lang w:val="fr-FR"/>
        </w:rPr>
        <w:t> </w:t>
      </w:r>
      <w:r w:rsidRPr="00C12C66">
        <w:rPr>
          <w:szCs w:val="16"/>
          <w:lang w:val="fr-FR"/>
        </w:rPr>
        <w:t>15.2.4.6.2</w:t>
      </w:r>
      <w:r w:rsidRPr="00C12C66">
        <w:rPr>
          <w:szCs w:val="16"/>
          <w:lang w:val="fr-FR"/>
        </w:rPr>
        <w:tab/>
        <w:t>Toutefois, si le conducteur peut voir, compte tenu des angles morts dus aux montants A, une ligne droite située à 0,3</w:t>
      </w:r>
      <w:r w:rsidR="00F91AEA">
        <w:rPr>
          <w:szCs w:val="16"/>
          <w:lang w:val="fr-FR"/>
        </w:rPr>
        <w:t> </w:t>
      </w:r>
      <w:r w:rsidRPr="00C12C66">
        <w:rPr>
          <w:szCs w:val="16"/>
          <w:lang w:val="fr-FR"/>
        </w:rPr>
        <w:t>m en avant du véhicule à une hauteur de 1,</w:t>
      </w:r>
      <w:r w:rsidR="00CF6F1F">
        <w:rPr>
          <w:szCs w:val="16"/>
          <w:lang w:val="fr-FR"/>
        </w:rPr>
        <w:t>2 m</w:t>
      </w:r>
      <w:r w:rsidRPr="00C12C66">
        <w:rPr>
          <w:szCs w:val="16"/>
          <w:lang w:val="fr-FR"/>
        </w:rPr>
        <w:t xml:space="preserve"> de la surface de la route et située entre un plan vertical longitudinal parallèle au plan vertical longitudinal médian et passant par le point latéral extrême du véhicule du côté conducteur et un plan vertical longitudinal parallèle au plan vertical longitudinal médian et passant à 0,9</w:t>
      </w:r>
      <w:r w:rsidR="00F91AEA">
        <w:rPr>
          <w:szCs w:val="16"/>
          <w:lang w:val="fr-FR"/>
        </w:rPr>
        <w:t> </w:t>
      </w:r>
      <w:r w:rsidRPr="00C12C66">
        <w:rPr>
          <w:szCs w:val="16"/>
          <w:lang w:val="fr-FR"/>
        </w:rPr>
        <w:t xml:space="preserve">m du point latéral extrême du véhicule du côté opposé à celui du conducteur </w:t>
      </w:r>
      <w:r w:rsidRPr="00C12C66">
        <w:rPr>
          <w:b/>
          <w:bCs/>
          <w:szCs w:val="16"/>
          <w:lang w:val="fr-FR"/>
        </w:rPr>
        <w:t>pour les véhicules à poste de conduite latéral ou de chaque côté pour les véhicules à poste de conduite central</w:t>
      </w:r>
      <w:r w:rsidRPr="00C12C66">
        <w:rPr>
          <w:szCs w:val="16"/>
          <w:lang w:val="fr-FR"/>
        </w:rPr>
        <w:t>, un système de vision indirecte de la classe VI n’est pas obligatoire.</w:t>
      </w:r>
      <w:r w:rsidR="00F91AEA">
        <w:rPr>
          <w:szCs w:val="16"/>
          <w:lang w:val="fr-FR"/>
        </w:rPr>
        <w:t> </w:t>
      </w:r>
      <w:r w:rsidRPr="00C12C66">
        <w:rPr>
          <w:szCs w:val="16"/>
          <w:lang w:val="fr-FR"/>
        </w:rPr>
        <w:t>».</w:t>
      </w:r>
    </w:p>
    <w:p w14:paraId="005D9641" w14:textId="31619639" w:rsidR="002E16D8" w:rsidRPr="00C12C66" w:rsidRDefault="002E16D8" w:rsidP="00F91AEA">
      <w:pPr>
        <w:pStyle w:val="SingleTxtG"/>
        <w:keepNext/>
        <w:rPr>
          <w:lang w:val="fr-FR"/>
        </w:rPr>
      </w:pPr>
      <w:r w:rsidRPr="00F91AEA">
        <w:rPr>
          <w:i/>
          <w:iCs/>
          <w:lang w:val="fr-FR"/>
        </w:rPr>
        <w:t>Paragraphe 16.1.3.1 (actuel)</w:t>
      </w:r>
      <w:r w:rsidRPr="00C12C66">
        <w:rPr>
          <w:lang w:val="fr-FR"/>
        </w:rPr>
        <w:t>, lire</w:t>
      </w:r>
      <w:r w:rsidR="00F91AEA">
        <w:rPr>
          <w:lang w:val="fr-FR"/>
        </w:rPr>
        <w:t> :</w:t>
      </w:r>
    </w:p>
    <w:p w14:paraId="2159F802" w14:textId="2A17FC2B" w:rsidR="002E16D8" w:rsidRPr="00C12C66" w:rsidRDefault="002E16D8" w:rsidP="00F91AEA">
      <w:pPr>
        <w:pStyle w:val="SingleTxtG"/>
        <w:keepNext/>
        <w:ind w:left="2268" w:hanging="1134"/>
        <w:rPr>
          <w:szCs w:val="16"/>
          <w:lang w:val="fr-FR"/>
        </w:rPr>
      </w:pPr>
      <w:r w:rsidRPr="00C12C66">
        <w:rPr>
          <w:szCs w:val="16"/>
          <w:lang w:val="fr-FR"/>
        </w:rPr>
        <w:t>«</w:t>
      </w:r>
      <w:r w:rsidR="00F91AEA">
        <w:rPr>
          <w:szCs w:val="16"/>
          <w:lang w:val="fr-FR"/>
        </w:rPr>
        <w:t> </w:t>
      </w:r>
      <w:r w:rsidRPr="00C12C66">
        <w:rPr>
          <w:szCs w:val="16"/>
          <w:lang w:val="fr-FR"/>
        </w:rPr>
        <w:t>16.1.3.1</w:t>
      </w:r>
      <w:r w:rsidRPr="00C12C66">
        <w:rPr>
          <w:szCs w:val="16"/>
          <w:lang w:val="fr-FR"/>
        </w:rPr>
        <w:tab/>
        <w:t>Facteur de grossissement</w:t>
      </w:r>
    </w:p>
    <w:p w14:paraId="138C27A4" w14:textId="59AEAB72" w:rsidR="002E16D8" w:rsidRPr="00C12C66" w:rsidRDefault="002E16D8" w:rsidP="00F91AEA">
      <w:pPr>
        <w:pStyle w:val="SingleTxtG"/>
        <w:ind w:left="2268"/>
        <w:rPr>
          <w:rFonts w:asciiTheme="majorBidi" w:hAnsiTheme="majorBidi" w:cstheme="majorBidi"/>
          <w:iCs/>
          <w:strike/>
          <w:lang w:val="fr-FR"/>
        </w:rPr>
      </w:pPr>
      <w:r w:rsidRPr="00C12C66">
        <w:rPr>
          <w:rFonts w:asciiTheme="majorBidi" w:hAnsiTheme="majorBidi" w:cstheme="majorBidi"/>
          <w:iCs/>
          <w:strike/>
          <w:lang w:val="fr-FR"/>
        </w:rPr>
        <w:t xml:space="preserve">Les facteurs </w:t>
      </w:r>
      <w:r w:rsidRPr="00C12C66">
        <w:rPr>
          <w:rFonts w:asciiTheme="majorBidi" w:hAnsiTheme="majorBidi" w:cstheme="majorBidi"/>
          <w:strike/>
          <w:lang w:val="fr-FR"/>
        </w:rPr>
        <w:t>de</w:t>
      </w:r>
      <w:r w:rsidRPr="00C12C66">
        <w:rPr>
          <w:rFonts w:asciiTheme="majorBidi" w:hAnsiTheme="majorBidi" w:cstheme="majorBidi"/>
          <w:iCs/>
          <w:strike/>
          <w:lang w:val="fr-FR"/>
        </w:rPr>
        <w:t xml:space="preserve"> grossissement minimal et moyen du CMS dans les directions horizontale et verticale ne doivent pas être inférieurs aux facteurs de grossissement moyens et minimaux indiqués ci-après</w:t>
      </w:r>
      <w:r w:rsidR="00F91AEA">
        <w:rPr>
          <w:rFonts w:asciiTheme="majorBidi" w:hAnsiTheme="majorBidi" w:cstheme="majorBidi"/>
          <w:iCs/>
          <w:strike/>
          <w:lang w:val="fr-FR"/>
        </w:rPr>
        <w:t> :</w:t>
      </w:r>
    </w:p>
    <w:p w14:paraId="02D98850" w14:textId="5A3B20A1" w:rsidR="002E16D8" w:rsidRPr="00C12C66" w:rsidRDefault="002E16D8" w:rsidP="00F91AEA">
      <w:pPr>
        <w:pStyle w:val="SingleTxtG"/>
        <w:ind w:left="2268"/>
        <w:rPr>
          <w:rFonts w:asciiTheme="majorBidi" w:hAnsiTheme="majorBidi" w:cstheme="majorBidi"/>
          <w:iCs/>
          <w:strike/>
          <w:lang w:val="fr-FR"/>
        </w:rPr>
      </w:pPr>
      <w:r w:rsidRPr="00C12C66">
        <w:rPr>
          <w:rFonts w:asciiTheme="majorBidi" w:hAnsiTheme="majorBidi" w:cstheme="majorBidi"/>
          <w:iCs/>
          <w:strike/>
          <w:lang w:val="fr-FR"/>
        </w:rPr>
        <w:t xml:space="preserve">Le facteur </w:t>
      </w:r>
      <w:r w:rsidRPr="00C12C66">
        <w:rPr>
          <w:rFonts w:asciiTheme="majorBidi" w:hAnsiTheme="majorBidi" w:cstheme="majorBidi"/>
          <w:strike/>
          <w:lang w:val="fr-FR"/>
        </w:rPr>
        <w:t>de</w:t>
      </w:r>
      <w:r w:rsidRPr="00C12C66">
        <w:rPr>
          <w:rFonts w:asciiTheme="majorBidi" w:hAnsiTheme="majorBidi" w:cstheme="majorBidi"/>
          <w:iCs/>
          <w:strike/>
          <w:lang w:val="fr-FR"/>
        </w:rPr>
        <w:t xml:space="preserve"> grossissement minimal ne doit pas être inférieur à</w:t>
      </w:r>
      <w:r w:rsidR="00F91AEA">
        <w:rPr>
          <w:rFonts w:asciiTheme="majorBidi" w:hAnsiTheme="majorBidi" w:cstheme="majorBidi"/>
          <w:iCs/>
          <w:strike/>
          <w:lang w:val="fr-FR"/>
        </w:rPr>
        <w:t> :</w:t>
      </w:r>
    </w:p>
    <w:p w14:paraId="6E4F0E58" w14:textId="51E90FC9"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a)</w:t>
      </w:r>
      <w:r w:rsidRPr="00C12C66">
        <w:rPr>
          <w:rFonts w:asciiTheme="majorBidi" w:hAnsiTheme="majorBidi" w:cstheme="majorBidi"/>
          <w:strike/>
          <w:lang w:val="fr-FR"/>
        </w:rPr>
        <w:tab/>
        <w:t>0,31 pour la classe I</w:t>
      </w:r>
      <w:r w:rsidR="00F91AEA">
        <w:rPr>
          <w:rFonts w:asciiTheme="majorBidi" w:hAnsiTheme="majorBidi" w:cstheme="majorBidi"/>
          <w:strike/>
          <w:lang w:val="fr-FR"/>
        </w:rPr>
        <w:t> ;</w:t>
      </w:r>
    </w:p>
    <w:p w14:paraId="69E64965" w14:textId="6DBD70AA"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b)</w:t>
      </w:r>
      <w:r w:rsidRPr="00C12C66">
        <w:rPr>
          <w:rFonts w:asciiTheme="majorBidi" w:hAnsiTheme="majorBidi" w:cstheme="majorBidi"/>
          <w:strike/>
          <w:lang w:val="fr-FR"/>
        </w:rPr>
        <w:tab/>
        <w:t>0,26 pour la classe II (côté conducteur)</w:t>
      </w:r>
      <w:r w:rsidR="00F91AEA">
        <w:rPr>
          <w:rFonts w:asciiTheme="majorBidi" w:hAnsiTheme="majorBidi" w:cstheme="majorBidi"/>
          <w:strike/>
          <w:lang w:val="fr-FR"/>
        </w:rPr>
        <w:t> ;</w:t>
      </w:r>
    </w:p>
    <w:p w14:paraId="429A892C" w14:textId="443B0C5B"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c)</w:t>
      </w:r>
      <w:r w:rsidRPr="00C12C66">
        <w:rPr>
          <w:rFonts w:asciiTheme="majorBidi" w:hAnsiTheme="majorBidi" w:cstheme="majorBidi"/>
          <w:strike/>
          <w:lang w:val="fr-FR"/>
        </w:rPr>
        <w:tab/>
        <w:t>0,29 pour la classe III (côté conducteur)</w:t>
      </w:r>
      <w:r w:rsidR="00F91AEA">
        <w:rPr>
          <w:rFonts w:asciiTheme="majorBidi" w:hAnsiTheme="majorBidi" w:cstheme="majorBidi"/>
          <w:strike/>
          <w:lang w:val="fr-FR"/>
        </w:rPr>
        <w:t> ;</w:t>
      </w:r>
    </w:p>
    <w:p w14:paraId="3D8D42E3" w14:textId="7ED97375"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d)</w:t>
      </w:r>
      <w:r w:rsidRPr="00C12C66">
        <w:rPr>
          <w:rFonts w:asciiTheme="majorBidi" w:hAnsiTheme="majorBidi" w:cstheme="majorBidi"/>
          <w:strike/>
          <w:lang w:val="fr-FR"/>
        </w:rPr>
        <w:tab/>
        <w:t>0,054 pour la classe IV (côté conducteur)</w:t>
      </w:r>
      <w:r w:rsidR="00F91AEA">
        <w:rPr>
          <w:rFonts w:asciiTheme="majorBidi" w:hAnsiTheme="majorBidi" w:cstheme="majorBidi"/>
          <w:strike/>
          <w:lang w:val="fr-FR"/>
        </w:rPr>
        <w:t> ;</w:t>
      </w:r>
    </w:p>
    <w:p w14:paraId="6F4BD980" w14:textId="6DD7FB80"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lastRenderedPageBreak/>
        <w:t>e)</w:t>
      </w:r>
      <w:r w:rsidRPr="00C12C66">
        <w:rPr>
          <w:rFonts w:asciiTheme="majorBidi" w:hAnsiTheme="majorBidi" w:cstheme="majorBidi"/>
          <w:strike/>
          <w:lang w:val="fr-FR"/>
        </w:rPr>
        <w:tab/>
        <w:t>0,13 pour la classe II (côté passager)</w:t>
      </w:r>
      <w:r w:rsidR="00F91AEA">
        <w:rPr>
          <w:rFonts w:asciiTheme="majorBidi" w:hAnsiTheme="majorBidi" w:cstheme="majorBidi"/>
          <w:strike/>
          <w:lang w:val="fr-FR"/>
        </w:rPr>
        <w:t> ;</w:t>
      </w:r>
    </w:p>
    <w:p w14:paraId="4BE3F7F0" w14:textId="3222B013"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f)</w:t>
      </w:r>
      <w:r w:rsidRPr="00C12C66">
        <w:rPr>
          <w:rFonts w:asciiTheme="majorBidi" w:hAnsiTheme="majorBidi" w:cstheme="majorBidi"/>
          <w:strike/>
          <w:lang w:val="fr-FR"/>
        </w:rPr>
        <w:tab/>
        <w:t>0,19 pour la classe III (côté passager)</w:t>
      </w:r>
      <w:r w:rsidR="00F91AEA">
        <w:rPr>
          <w:rFonts w:asciiTheme="majorBidi" w:hAnsiTheme="majorBidi" w:cstheme="majorBidi"/>
          <w:strike/>
          <w:lang w:val="fr-FR"/>
        </w:rPr>
        <w:t> ;</w:t>
      </w:r>
    </w:p>
    <w:p w14:paraId="03AB9685" w14:textId="09DA6E36"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g)</w:t>
      </w:r>
      <w:r w:rsidRPr="00C12C66">
        <w:rPr>
          <w:rFonts w:asciiTheme="majorBidi" w:hAnsiTheme="majorBidi" w:cstheme="majorBidi"/>
          <w:strike/>
          <w:lang w:val="fr-FR"/>
        </w:rPr>
        <w:tab/>
        <w:t>0,016 pour la classe IV (côté passager)</w:t>
      </w:r>
      <w:r w:rsidR="00F91AEA">
        <w:rPr>
          <w:rFonts w:asciiTheme="majorBidi" w:hAnsiTheme="majorBidi" w:cstheme="majorBidi"/>
          <w:strike/>
          <w:lang w:val="fr-FR"/>
        </w:rPr>
        <w:t> ;</w:t>
      </w:r>
    </w:p>
    <w:p w14:paraId="68BA281B" w14:textId="5462922B"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Le facteur de grossissement moyen ne doit pas être inférieur à</w:t>
      </w:r>
      <w:r w:rsidR="00F91AEA">
        <w:rPr>
          <w:rFonts w:asciiTheme="majorBidi" w:hAnsiTheme="majorBidi" w:cstheme="majorBidi"/>
          <w:strike/>
          <w:lang w:val="fr-FR"/>
        </w:rPr>
        <w:t> :</w:t>
      </w:r>
    </w:p>
    <w:p w14:paraId="48A19210" w14:textId="1C2E2819"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h)</w:t>
      </w:r>
      <w:r w:rsidRPr="00C12C66">
        <w:rPr>
          <w:rFonts w:asciiTheme="majorBidi" w:hAnsiTheme="majorBidi" w:cstheme="majorBidi"/>
          <w:strike/>
          <w:lang w:val="fr-FR"/>
        </w:rPr>
        <w:tab/>
        <w:t>0,33 pour la classe I</w:t>
      </w:r>
      <w:r w:rsidR="00F91AEA">
        <w:rPr>
          <w:rFonts w:asciiTheme="majorBidi" w:hAnsiTheme="majorBidi" w:cstheme="majorBidi"/>
          <w:strike/>
          <w:lang w:val="fr-FR"/>
        </w:rPr>
        <w:t> ;</w:t>
      </w:r>
    </w:p>
    <w:p w14:paraId="796D4C1F" w14:textId="6CC19223" w:rsidR="002E16D8" w:rsidRPr="00C12C66" w:rsidRDefault="002E16D8" w:rsidP="00F91AEA">
      <w:pPr>
        <w:pStyle w:val="SingleTxtG"/>
        <w:ind w:left="2268"/>
        <w:rPr>
          <w:rFonts w:asciiTheme="majorBidi" w:hAnsiTheme="majorBidi" w:cstheme="majorBidi"/>
          <w:iCs/>
          <w:strike/>
          <w:lang w:val="fr-FR"/>
        </w:rPr>
      </w:pPr>
      <w:r w:rsidRPr="00C12C66">
        <w:rPr>
          <w:rFonts w:asciiTheme="majorBidi" w:hAnsiTheme="majorBidi" w:cstheme="majorBidi"/>
          <w:strike/>
          <w:lang w:val="fr-FR"/>
        </w:rPr>
        <w:t>i</w:t>
      </w:r>
      <w:r w:rsidRPr="00C12C66">
        <w:rPr>
          <w:rFonts w:asciiTheme="majorBidi" w:hAnsiTheme="majorBidi" w:cstheme="majorBidi"/>
          <w:iCs/>
          <w:strike/>
          <w:lang w:val="fr-FR"/>
        </w:rPr>
        <w:t>)</w:t>
      </w:r>
      <w:r w:rsidRPr="00C12C66">
        <w:rPr>
          <w:rFonts w:asciiTheme="majorBidi" w:hAnsiTheme="majorBidi" w:cstheme="majorBidi"/>
          <w:iCs/>
          <w:strike/>
          <w:lang w:val="fr-FR"/>
        </w:rPr>
        <w:tab/>
        <w:t>0,31 pour la classe II (côté conducteur)</w:t>
      </w:r>
      <w:r w:rsidR="00F91AEA">
        <w:rPr>
          <w:rFonts w:asciiTheme="majorBidi" w:hAnsiTheme="majorBidi" w:cstheme="majorBidi"/>
          <w:iCs/>
          <w:strike/>
          <w:lang w:val="fr-FR"/>
        </w:rPr>
        <w:t> ;</w:t>
      </w:r>
    </w:p>
    <w:p w14:paraId="710E3912" w14:textId="5D7197A8"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j)</w:t>
      </w:r>
      <w:r w:rsidRPr="00C12C66">
        <w:rPr>
          <w:rFonts w:asciiTheme="majorBidi" w:hAnsiTheme="majorBidi" w:cstheme="majorBidi"/>
          <w:strike/>
          <w:lang w:val="fr-FR"/>
        </w:rPr>
        <w:tab/>
        <w:t>0,31 pour la classe III (côté conducteur)</w:t>
      </w:r>
      <w:r w:rsidR="00F91AEA">
        <w:rPr>
          <w:rFonts w:asciiTheme="majorBidi" w:hAnsiTheme="majorBidi" w:cstheme="majorBidi"/>
          <w:strike/>
          <w:lang w:val="fr-FR"/>
        </w:rPr>
        <w:t> ;</w:t>
      </w:r>
    </w:p>
    <w:p w14:paraId="49B05276" w14:textId="01984DA9"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k)</w:t>
      </w:r>
      <w:r w:rsidRPr="00C12C66">
        <w:rPr>
          <w:rFonts w:asciiTheme="majorBidi" w:hAnsiTheme="majorBidi" w:cstheme="majorBidi"/>
          <w:strike/>
          <w:lang w:val="fr-FR"/>
        </w:rPr>
        <w:tab/>
        <w:t>0,091 pour la classe IV (côté conducteur)</w:t>
      </w:r>
      <w:r w:rsidR="00F91AEA">
        <w:rPr>
          <w:rFonts w:asciiTheme="majorBidi" w:hAnsiTheme="majorBidi" w:cstheme="majorBidi"/>
          <w:strike/>
          <w:lang w:val="fr-FR"/>
        </w:rPr>
        <w:t> ;</w:t>
      </w:r>
    </w:p>
    <w:p w14:paraId="0C585A81" w14:textId="414CFFD0"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l)</w:t>
      </w:r>
      <w:r w:rsidRPr="00C12C66">
        <w:rPr>
          <w:rFonts w:asciiTheme="majorBidi" w:hAnsiTheme="majorBidi" w:cstheme="majorBidi"/>
          <w:strike/>
          <w:lang w:val="fr-FR"/>
        </w:rPr>
        <w:tab/>
        <w:t>0,16 pour la classe II (côté passager)</w:t>
      </w:r>
      <w:r w:rsidR="00F91AEA">
        <w:rPr>
          <w:rFonts w:asciiTheme="majorBidi" w:hAnsiTheme="majorBidi" w:cstheme="majorBidi"/>
          <w:strike/>
          <w:lang w:val="fr-FR"/>
        </w:rPr>
        <w:t> ;</w:t>
      </w:r>
    </w:p>
    <w:p w14:paraId="3494ADFA" w14:textId="63D3EEF7" w:rsidR="002E16D8" w:rsidRPr="00C12C66" w:rsidRDefault="002E16D8" w:rsidP="00F91AEA">
      <w:pPr>
        <w:pStyle w:val="SingleTxtG"/>
        <w:ind w:left="2268"/>
        <w:rPr>
          <w:rFonts w:asciiTheme="majorBidi" w:hAnsiTheme="majorBidi" w:cstheme="majorBidi"/>
          <w:strike/>
          <w:lang w:val="fr-FR"/>
        </w:rPr>
      </w:pPr>
      <w:r w:rsidRPr="00C12C66">
        <w:rPr>
          <w:rFonts w:asciiTheme="majorBidi" w:hAnsiTheme="majorBidi" w:cstheme="majorBidi"/>
          <w:strike/>
          <w:lang w:val="fr-FR"/>
        </w:rPr>
        <w:t>m)</w:t>
      </w:r>
      <w:r w:rsidRPr="00C12C66">
        <w:rPr>
          <w:rFonts w:asciiTheme="majorBidi" w:hAnsiTheme="majorBidi" w:cstheme="majorBidi"/>
          <w:strike/>
          <w:lang w:val="fr-FR"/>
        </w:rPr>
        <w:tab/>
        <w:t>0,20 pour la classe III (côté passager)</w:t>
      </w:r>
      <w:r w:rsidR="00F91AEA">
        <w:rPr>
          <w:rFonts w:asciiTheme="majorBidi" w:hAnsiTheme="majorBidi" w:cstheme="majorBidi"/>
          <w:strike/>
          <w:lang w:val="fr-FR"/>
        </w:rPr>
        <w:t> ;</w:t>
      </w:r>
    </w:p>
    <w:p w14:paraId="46E3229E" w14:textId="12746EF1" w:rsidR="002E16D8" w:rsidRPr="00C12C66" w:rsidRDefault="002E16D8" w:rsidP="00F91AEA">
      <w:pPr>
        <w:pStyle w:val="SingleTxtG"/>
        <w:ind w:left="2268"/>
        <w:rPr>
          <w:rFonts w:asciiTheme="majorBidi" w:hAnsiTheme="majorBidi" w:cstheme="majorBidi"/>
          <w:iCs/>
          <w:strike/>
          <w:lang w:val="fr-FR"/>
        </w:rPr>
      </w:pPr>
      <w:r w:rsidRPr="00C12C66">
        <w:rPr>
          <w:rFonts w:asciiTheme="majorBidi" w:hAnsiTheme="majorBidi" w:cstheme="majorBidi"/>
          <w:strike/>
          <w:lang w:val="fr-FR"/>
        </w:rPr>
        <w:t>n</w:t>
      </w:r>
      <w:r w:rsidRPr="00C12C66">
        <w:rPr>
          <w:rFonts w:asciiTheme="majorBidi" w:hAnsiTheme="majorBidi" w:cstheme="majorBidi"/>
          <w:iCs/>
          <w:strike/>
          <w:lang w:val="fr-FR"/>
        </w:rPr>
        <w:t>)</w:t>
      </w:r>
      <w:r w:rsidRPr="00C12C66">
        <w:rPr>
          <w:rFonts w:asciiTheme="majorBidi" w:hAnsiTheme="majorBidi" w:cstheme="majorBidi"/>
          <w:iCs/>
          <w:strike/>
          <w:lang w:val="fr-FR"/>
        </w:rPr>
        <w:tab/>
        <w:t>0,046 pour la classe IV (côté passager).</w:t>
      </w:r>
      <w:r w:rsidR="00F91AEA">
        <w:rPr>
          <w:rFonts w:asciiTheme="majorBidi" w:hAnsiTheme="majorBidi" w:cstheme="majorBidi"/>
          <w:iCs/>
          <w:strike/>
          <w:lang w:val="fr-FR"/>
        </w:rPr>
        <w:t> </w:t>
      </w:r>
      <w:r w:rsidRPr="00C12C66">
        <w:rPr>
          <w:rFonts w:asciiTheme="majorBidi" w:hAnsiTheme="majorBidi" w:cstheme="majorBidi"/>
          <w:iCs/>
          <w:strike/>
          <w:lang w:val="fr-FR"/>
        </w:rPr>
        <w:t>».</w:t>
      </w:r>
    </w:p>
    <w:p w14:paraId="12B3D63A" w14:textId="45544BD0" w:rsidR="002E16D8" w:rsidRPr="00C12C66" w:rsidRDefault="002E16D8" w:rsidP="00F91AEA">
      <w:pPr>
        <w:pStyle w:val="SingleTxtG"/>
        <w:rPr>
          <w:lang w:val="fr-FR"/>
        </w:rPr>
      </w:pPr>
      <w:r w:rsidRPr="00F91AEA">
        <w:rPr>
          <w:i/>
          <w:iCs/>
          <w:lang w:val="fr-FR"/>
        </w:rPr>
        <w:t>Ajouter les nouveaux paragraphes 16.1.3.1.1 et 16.1.3.1.2</w:t>
      </w:r>
      <w:r w:rsidRPr="00C12C66">
        <w:rPr>
          <w:lang w:val="fr-FR"/>
        </w:rPr>
        <w:t>, libellés comme suit</w:t>
      </w:r>
      <w:r w:rsidR="00F91AEA">
        <w:rPr>
          <w:lang w:val="fr-FR"/>
        </w:rPr>
        <w:t> :</w:t>
      </w:r>
    </w:p>
    <w:p w14:paraId="182E25D8" w14:textId="7531CC38" w:rsidR="002E16D8" w:rsidRPr="00C12C66" w:rsidRDefault="002E16D8" w:rsidP="00F91AEA">
      <w:pPr>
        <w:pStyle w:val="SingleTxtG"/>
        <w:ind w:left="2268" w:hanging="1134"/>
        <w:rPr>
          <w:b/>
          <w:lang w:val="fr-FR"/>
        </w:rPr>
      </w:pPr>
      <w:r w:rsidRPr="00C12C66">
        <w:rPr>
          <w:b/>
          <w:bCs/>
          <w:lang w:val="fr-FR"/>
        </w:rPr>
        <w:t>«</w:t>
      </w:r>
      <w:r w:rsidR="00F91AEA">
        <w:rPr>
          <w:b/>
          <w:bCs/>
          <w:lang w:val="fr-FR"/>
        </w:rPr>
        <w:t> </w:t>
      </w:r>
      <w:r w:rsidRPr="00C12C66">
        <w:rPr>
          <w:b/>
          <w:bCs/>
          <w:lang w:val="fr-FR"/>
        </w:rPr>
        <w:t>16.1.3.1.1</w:t>
      </w:r>
      <w:r w:rsidRPr="00C12C66">
        <w:rPr>
          <w:lang w:val="fr-FR"/>
        </w:rPr>
        <w:tab/>
      </w:r>
      <w:r w:rsidRPr="00C12C66">
        <w:rPr>
          <w:b/>
          <w:bCs/>
          <w:lang w:val="fr-FR"/>
        </w:rPr>
        <w:t>Facteur de grossissement pour les véhicules à poste de conduite latéral.</w:t>
      </w:r>
      <w:r w:rsidRPr="00C12C66">
        <w:rPr>
          <w:lang w:val="fr-FR"/>
        </w:rPr>
        <w:t xml:space="preserve"> </w:t>
      </w:r>
      <w:r w:rsidRPr="00C12C66">
        <w:rPr>
          <w:b/>
          <w:bCs/>
          <w:lang w:val="fr-FR"/>
        </w:rPr>
        <w:t>Les facteurs de grossissement minimal et moyen du CMS dans les directions horizontale et verticale ne doivent pas être inférieurs aux facteurs de grossissement moyens et minimaux indiqués ci-après</w:t>
      </w:r>
      <w:r w:rsidR="00F91AEA">
        <w:rPr>
          <w:b/>
          <w:bCs/>
          <w:lang w:val="fr-FR"/>
        </w:rPr>
        <w:t> :</w:t>
      </w:r>
    </w:p>
    <w:p w14:paraId="3D6EA0D7" w14:textId="0B33A388" w:rsidR="002E16D8" w:rsidRPr="00C12C66" w:rsidRDefault="002E16D8" w:rsidP="00F91AEA">
      <w:pPr>
        <w:pStyle w:val="SingleTxtG"/>
        <w:ind w:left="2268"/>
        <w:rPr>
          <w:b/>
          <w:lang w:val="fr-FR"/>
        </w:rPr>
      </w:pPr>
      <w:r w:rsidRPr="00C12C66">
        <w:rPr>
          <w:b/>
          <w:bCs/>
          <w:lang w:val="fr-FR"/>
        </w:rPr>
        <w:t>Le facteur de grossissement minimal ne doit pas être inférieur à</w:t>
      </w:r>
      <w:r w:rsidR="00F91AEA">
        <w:rPr>
          <w:b/>
          <w:bCs/>
          <w:lang w:val="fr-FR"/>
        </w:rPr>
        <w:t> :</w:t>
      </w:r>
    </w:p>
    <w:p w14:paraId="581D3BFC" w14:textId="4ED34692"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a)</w:t>
      </w:r>
      <w:r w:rsidRPr="00C12C66">
        <w:rPr>
          <w:rFonts w:asciiTheme="majorBidi" w:hAnsiTheme="majorBidi" w:cstheme="majorBidi"/>
          <w:b/>
          <w:bCs/>
          <w:lang w:val="fr-FR"/>
        </w:rPr>
        <w:tab/>
        <w:t xml:space="preserve">0,31 </w:t>
      </w:r>
      <w:r w:rsidRPr="00F91AEA">
        <w:rPr>
          <w:b/>
          <w:bCs/>
          <w:lang w:val="fr-FR"/>
        </w:rPr>
        <w:t>pour</w:t>
      </w:r>
      <w:r w:rsidRPr="00C12C66">
        <w:rPr>
          <w:rFonts w:asciiTheme="majorBidi" w:hAnsiTheme="majorBidi" w:cstheme="majorBidi"/>
          <w:b/>
          <w:bCs/>
          <w:lang w:val="fr-FR"/>
        </w:rPr>
        <w:t xml:space="preserve"> la classe I</w:t>
      </w:r>
      <w:r w:rsidR="00F91AEA">
        <w:rPr>
          <w:rFonts w:asciiTheme="majorBidi" w:hAnsiTheme="majorBidi" w:cstheme="majorBidi"/>
          <w:b/>
          <w:bCs/>
          <w:lang w:val="fr-FR"/>
        </w:rPr>
        <w:t> ;</w:t>
      </w:r>
    </w:p>
    <w:p w14:paraId="74931141" w14:textId="377C4B76"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b)</w:t>
      </w:r>
      <w:r w:rsidRPr="00C12C66">
        <w:rPr>
          <w:rFonts w:asciiTheme="majorBidi" w:hAnsiTheme="majorBidi" w:cstheme="majorBidi"/>
          <w:b/>
          <w:bCs/>
          <w:lang w:val="fr-FR"/>
        </w:rPr>
        <w:tab/>
        <w:t xml:space="preserve">0,26 </w:t>
      </w:r>
      <w:r w:rsidRPr="00F91AEA">
        <w:rPr>
          <w:b/>
          <w:bCs/>
          <w:lang w:val="fr-FR"/>
        </w:rPr>
        <w:t>pour</w:t>
      </w:r>
      <w:r w:rsidRPr="00C12C66">
        <w:rPr>
          <w:rFonts w:asciiTheme="majorBidi" w:hAnsiTheme="majorBidi" w:cstheme="majorBidi"/>
          <w:b/>
          <w:bCs/>
          <w:lang w:val="fr-FR"/>
        </w:rPr>
        <w:t xml:space="preserve"> la classe II (côté conducteur)</w:t>
      </w:r>
      <w:r w:rsidR="00F91AEA">
        <w:rPr>
          <w:rFonts w:asciiTheme="majorBidi" w:hAnsiTheme="majorBidi" w:cstheme="majorBidi"/>
          <w:b/>
          <w:bCs/>
          <w:lang w:val="fr-FR"/>
        </w:rPr>
        <w:t> ;</w:t>
      </w:r>
    </w:p>
    <w:p w14:paraId="4909DB3B" w14:textId="46AA3952"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c)</w:t>
      </w:r>
      <w:r w:rsidRPr="00C12C66">
        <w:rPr>
          <w:rFonts w:asciiTheme="majorBidi" w:hAnsiTheme="majorBidi" w:cstheme="majorBidi"/>
          <w:b/>
          <w:bCs/>
          <w:lang w:val="fr-FR"/>
        </w:rPr>
        <w:tab/>
        <w:t xml:space="preserve">0,29 </w:t>
      </w:r>
      <w:r w:rsidRPr="00F91AEA">
        <w:rPr>
          <w:b/>
          <w:bCs/>
          <w:lang w:val="fr-FR"/>
        </w:rPr>
        <w:t>pour</w:t>
      </w:r>
      <w:r w:rsidRPr="00C12C66">
        <w:rPr>
          <w:rFonts w:asciiTheme="majorBidi" w:hAnsiTheme="majorBidi" w:cstheme="majorBidi"/>
          <w:b/>
          <w:bCs/>
          <w:lang w:val="fr-FR"/>
        </w:rPr>
        <w:t xml:space="preserve"> la classe III (côté conducteur)</w:t>
      </w:r>
      <w:r w:rsidR="00F91AEA">
        <w:rPr>
          <w:rFonts w:asciiTheme="majorBidi" w:hAnsiTheme="majorBidi" w:cstheme="majorBidi"/>
          <w:b/>
          <w:bCs/>
          <w:lang w:val="fr-FR"/>
        </w:rPr>
        <w:t> ;</w:t>
      </w:r>
    </w:p>
    <w:p w14:paraId="1A2C4093" w14:textId="5F900F00"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d)</w:t>
      </w:r>
      <w:r w:rsidRPr="00C12C66">
        <w:rPr>
          <w:rFonts w:asciiTheme="majorBidi" w:hAnsiTheme="majorBidi" w:cstheme="majorBidi"/>
          <w:b/>
          <w:bCs/>
          <w:lang w:val="fr-FR"/>
        </w:rPr>
        <w:tab/>
        <w:t xml:space="preserve">0,054 </w:t>
      </w:r>
      <w:r w:rsidRPr="00F91AEA">
        <w:rPr>
          <w:b/>
          <w:bCs/>
          <w:lang w:val="fr-FR"/>
        </w:rPr>
        <w:t>pour</w:t>
      </w:r>
      <w:r w:rsidRPr="00C12C66">
        <w:rPr>
          <w:rFonts w:asciiTheme="majorBidi" w:hAnsiTheme="majorBidi" w:cstheme="majorBidi"/>
          <w:b/>
          <w:bCs/>
          <w:lang w:val="fr-FR"/>
        </w:rPr>
        <w:t xml:space="preserve"> la classe IV (côté conducteur)</w:t>
      </w:r>
      <w:r w:rsidR="00F91AEA">
        <w:rPr>
          <w:rFonts w:asciiTheme="majorBidi" w:hAnsiTheme="majorBidi" w:cstheme="majorBidi"/>
          <w:b/>
          <w:bCs/>
          <w:lang w:val="fr-FR"/>
        </w:rPr>
        <w:t> ;</w:t>
      </w:r>
    </w:p>
    <w:p w14:paraId="2EB60E96" w14:textId="6DB50953"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e)</w:t>
      </w:r>
      <w:r w:rsidRPr="00C12C66">
        <w:rPr>
          <w:rFonts w:asciiTheme="majorBidi" w:hAnsiTheme="majorBidi" w:cstheme="majorBidi"/>
          <w:b/>
          <w:bCs/>
          <w:lang w:val="fr-FR"/>
        </w:rPr>
        <w:tab/>
        <w:t xml:space="preserve">0,13 </w:t>
      </w:r>
      <w:r w:rsidRPr="00F91AEA">
        <w:rPr>
          <w:b/>
          <w:bCs/>
          <w:lang w:val="fr-FR"/>
        </w:rPr>
        <w:t>pour</w:t>
      </w:r>
      <w:r w:rsidRPr="00C12C66">
        <w:rPr>
          <w:rFonts w:asciiTheme="majorBidi" w:hAnsiTheme="majorBidi" w:cstheme="majorBidi"/>
          <w:b/>
          <w:bCs/>
          <w:lang w:val="fr-FR"/>
        </w:rPr>
        <w:t xml:space="preserve"> la classe II (côté passager)</w:t>
      </w:r>
      <w:r w:rsidR="00F91AEA">
        <w:rPr>
          <w:rFonts w:asciiTheme="majorBidi" w:hAnsiTheme="majorBidi" w:cstheme="majorBidi"/>
          <w:b/>
          <w:bCs/>
          <w:lang w:val="fr-FR"/>
        </w:rPr>
        <w:t> ;</w:t>
      </w:r>
    </w:p>
    <w:p w14:paraId="195A5966" w14:textId="380CA07C"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f)</w:t>
      </w:r>
      <w:r w:rsidRPr="00C12C66">
        <w:rPr>
          <w:rFonts w:asciiTheme="majorBidi" w:hAnsiTheme="majorBidi" w:cstheme="majorBidi"/>
          <w:b/>
          <w:bCs/>
          <w:lang w:val="fr-FR"/>
        </w:rPr>
        <w:tab/>
        <w:t xml:space="preserve">0,19 </w:t>
      </w:r>
      <w:r w:rsidRPr="00F91AEA">
        <w:rPr>
          <w:b/>
          <w:bCs/>
          <w:lang w:val="fr-FR"/>
        </w:rPr>
        <w:t>pour</w:t>
      </w:r>
      <w:r w:rsidRPr="00C12C66">
        <w:rPr>
          <w:rFonts w:asciiTheme="majorBidi" w:hAnsiTheme="majorBidi" w:cstheme="majorBidi"/>
          <w:b/>
          <w:bCs/>
          <w:lang w:val="fr-FR"/>
        </w:rPr>
        <w:t xml:space="preserve"> la classe III (côté passager)</w:t>
      </w:r>
      <w:r w:rsidR="00F91AEA">
        <w:rPr>
          <w:rFonts w:asciiTheme="majorBidi" w:hAnsiTheme="majorBidi" w:cstheme="majorBidi"/>
          <w:b/>
          <w:bCs/>
          <w:lang w:val="fr-FR"/>
        </w:rPr>
        <w:t> ;</w:t>
      </w:r>
    </w:p>
    <w:p w14:paraId="3A246DC7" w14:textId="51C6E55B" w:rsidR="002E16D8" w:rsidRPr="00C12C66" w:rsidRDefault="002E16D8" w:rsidP="00F91AEA">
      <w:pPr>
        <w:pStyle w:val="SingleTxtG"/>
        <w:ind w:left="2268"/>
        <w:rPr>
          <w:b/>
          <w:bCs/>
          <w:lang w:val="fr-FR"/>
        </w:rPr>
      </w:pPr>
      <w:r w:rsidRPr="00C12C66">
        <w:rPr>
          <w:rFonts w:asciiTheme="majorBidi" w:hAnsiTheme="majorBidi" w:cstheme="majorBidi"/>
          <w:b/>
          <w:bCs/>
          <w:lang w:val="fr-FR"/>
        </w:rPr>
        <w:t>g)</w:t>
      </w:r>
      <w:r w:rsidRPr="00C12C66">
        <w:rPr>
          <w:rFonts w:asciiTheme="majorBidi" w:hAnsiTheme="majorBidi" w:cstheme="majorBidi"/>
          <w:b/>
          <w:bCs/>
          <w:lang w:val="fr-FR"/>
        </w:rPr>
        <w:tab/>
        <w:t xml:space="preserve">0,016 </w:t>
      </w:r>
      <w:r w:rsidRPr="00F91AEA">
        <w:rPr>
          <w:b/>
          <w:bCs/>
          <w:lang w:val="fr-FR"/>
        </w:rPr>
        <w:t>pour</w:t>
      </w:r>
      <w:r w:rsidRPr="00C12C66">
        <w:rPr>
          <w:rFonts w:asciiTheme="majorBidi" w:hAnsiTheme="majorBidi" w:cstheme="majorBidi"/>
          <w:b/>
          <w:bCs/>
          <w:lang w:val="fr-FR"/>
        </w:rPr>
        <w:t xml:space="preserve"> la classe IV (côté passager)</w:t>
      </w:r>
      <w:r w:rsidR="00F91AEA">
        <w:rPr>
          <w:rFonts w:asciiTheme="majorBidi" w:hAnsiTheme="majorBidi" w:cstheme="majorBidi"/>
          <w:b/>
          <w:bCs/>
          <w:lang w:val="fr-FR"/>
        </w:rPr>
        <w:t> ;</w:t>
      </w:r>
    </w:p>
    <w:p w14:paraId="22944F53" w14:textId="6946152A" w:rsidR="002E16D8" w:rsidRPr="00C12C66" w:rsidRDefault="002E16D8" w:rsidP="00BF5CCE">
      <w:pPr>
        <w:pStyle w:val="SingleTxtG"/>
        <w:keepNext/>
        <w:ind w:left="2268"/>
        <w:rPr>
          <w:b/>
          <w:lang w:val="fr-FR"/>
        </w:rPr>
      </w:pPr>
      <w:r w:rsidRPr="00C12C66">
        <w:rPr>
          <w:b/>
          <w:bCs/>
          <w:lang w:val="fr-FR"/>
        </w:rPr>
        <w:t>Le facteur de grossissement moyen ne doit pas être inférieur à</w:t>
      </w:r>
      <w:r w:rsidR="00F91AEA">
        <w:rPr>
          <w:b/>
          <w:bCs/>
          <w:lang w:val="fr-FR"/>
        </w:rPr>
        <w:t> :</w:t>
      </w:r>
    </w:p>
    <w:p w14:paraId="2EB3E970" w14:textId="4912467E"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h)</w:t>
      </w:r>
      <w:r w:rsidRPr="00C12C66">
        <w:rPr>
          <w:rFonts w:asciiTheme="majorBidi" w:hAnsiTheme="majorBidi" w:cstheme="majorBidi"/>
          <w:b/>
          <w:bCs/>
          <w:lang w:val="fr-FR"/>
        </w:rPr>
        <w:tab/>
        <w:t xml:space="preserve">0,33 </w:t>
      </w:r>
      <w:r w:rsidRPr="00F91AEA">
        <w:rPr>
          <w:b/>
          <w:bCs/>
          <w:lang w:val="fr-FR"/>
        </w:rPr>
        <w:t>pour</w:t>
      </w:r>
      <w:r w:rsidRPr="00C12C66">
        <w:rPr>
          <w:rFonts w:asciiTheme="majorBidi" w:hAnsiTheme="majorBidi" w:cstheme="majorBidi"/>
          <w:b/>
          <w:bCs/>
          <w:lang w:val="fr-FR"/>
        </w:rPr>
        <w:t xml:space="preserve"> la classe I</w:t>
      </w:r>
      <w:r w:rsidR="00F91AEA">
        <w:rPr>
          <w:rFonts w:asciiTheme="majorBidi" w:hAnsiTheme="majorBidi" w:cstheme="majorBidi"/>
          <w:b/>
          <w:bCs/>
          <w:lang w:val="fr-FR"/>
        </w:rPr>
        <w:t> ;</w:t>
      </w:r>
    </w:p>
    <w:p w14:paraId="470F2FB3" w14:textId="4584FA67" w:rsidR="002E16D8" w:rsidRPr="00C12C66" w:rsidRDefault="002E16D8" w:rsidP="00F91AEA">
      <w:pPr>
        <w:pStyle w:val="SingleTxtG"/>
        <w:ind w:left="2268"/>
        <w:rPr>
          <w:rFonts w:asciiTheme="majorBidi" w:hAnsiTheme="majorBidi" w:cstheme="majorBidi"/>
          <w:b/>
          <w:bCs/>
          <w:iCs/>
          <w:lang w:val="fr-FR"/>
        </w:rPr>
      </w:pPr>
      <w:r w:rsidRPr="00C12C66">
        <w:rPr>
          <w:rFonts w:asciiTheme="majorBidi" w:hAnsiTheme="majorBidi" w:cstheme="majorBidi"/>
          <w:b/>
          <w:bCs/>
          <w:lang w:val="fr-FR"/>
        </w:rPr>
        <w:t>i</w:t>
      </w:r>
      <w:r w:rsidRPr="00C12C66">
        <w:rPr>
          <w:rFonts w:asciiTheme="majorBidi" w:hAnsiTheme="majorBidi" w:cstheme="majorBidi"/>
          <w:b/>
          <w:bCs/>
          <w:iCs/>
          <w:lang w:val="fr-FR"/>
        </w:rPr>
        <w:t>)</w:t>
      </w:r>
      <w:r w:rsidRPr="00C12C66">
        <w:rPr>
          <w:rFonts w:asciiTheme="majorBidi" w:hAnsiTheme="majorBidi" w:cstheme="majorBidi"/>
          <w:b/>
          <w:bCs/>
          <w:iCs/>
          <w:lang w:val="fr-FR"/>
        </w:rPr>
        <w:tab/>
        <w:t xml:space="preserve">0,31 </w:t>
      </w:r>
      <w:r w:rsidRPr="00F91AEA">
        <w:rPr>
          <w:b/>
          <w:bCs/>
          <w:lang w:val="fr-FR"/>
        </w:rPr>
        <w:t>pour</w:t>
      </w:r>
      <w:r w:rsidRPr="00C12C66">
        <w:rPr>
          <w:rFonts w:asciiTheme="majorBidi" w:hAnsiTheme="majorBidi" w:cstheme="majorBidi"/>
          <w:b/>
          <w:bCs/>
          <w:iCs/>
          <w:lang w:val="fr-FR"/>
        </w:rPr>
        <w:t xml:space="preserve"> la classe II (côté conducteur)</w:t>
      </w:r>
      <w:r w:rsidR="00F91AEA">
        <w:rPr>
          <w:rFonts w:asciiTheme="majorBidi" w:hAnsiTheme="majorBidi" w:cstheme="majorBidi"/>
          <w:b/>
          <w:bCs/>
          <w:iCs/>
          <w:lang w:val="fr-FR"/>
        </w:rPr>
        <w:t> ;</w:t>
      </w:r>
    </w:p>
    <w:p w14:paraId="2CA5C0D8" w14:textId="6D3C3B05"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j)</w:t>
      </w:r>
      <w:r w:rsidRPr="00C12C66">
        <w:rPr>
          <w:rFonts w:asciiTheme="majorBidi" w:hAnsiTheme="majorBidi" w:cstheme="majorBidi"/>
          <w:b/>
          <w:bCs/>
          <w:lang w:val="fr-FR"/>
        </w:rPr>
        <w:tab/>
        <w:t xml:space="preserve">0,31 </w:t>
      </w:r>
      <w:r w:rsidRPr="00F91AEA">
        <w:rPr>
          <w:b/>
          <w:bCs/>
          <w:lang w:val="fr-FR"/>
        </w:rPr>
        <w:t>pour</w:t>
      </w:r>
      <w:r w:rsidRPr="00C12C66">
        <w:rPr>
          <w:rFonts w:asciiTheme="majorBidi" w:hAnsiTheme="majorBidi" w:cstheme="majorBidi"/>
          <w:b/>
          <w:bCs/>
          <w:lang w:val="fr-FR"/>
        </w:rPr>
        <w:t xml:space="preserve"> la classe III (côté conducteur)</w:t>
      </w:r>
      <w:r w:rsidR="00F91AEA">
        <w:rPr>
          <w:rFonts w:asciiTheme="majorBidi" w:hAnsiTheme="majorBidi" w:cstheme="majorBidi"/>
          <w:b/>
          <w:bCs/>
          <w:lang w:val="fr-FR"/>
        </w:rPr>
        <w:t> ;</w:t>
      </w:r>
    </w:p>
    <w:p w14:paraId="6DE3D7A3" w14:textId="37F020D0"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k)</w:t>
      </w:r>
      <w:r w:rsidRPr="00C12C66">
        <w:rPr>
          <w:rFonts w:asciiTheme="majorBidi" w:hAnsiTheme="majorBidi" w:cstheme="majorBidi"/>
          <w:b/>
          <w:bCs/>
          <w:lang w:val="fr-FR"/>
        </w:rPr>
        <w:tab/>
        <w:t xml:space="preserve">0,091 </w:t>
      </w:r>
      <w:r w:rsidRPr="00F91AEA">
        <w:rPr>
          <w:b/>
          <w:bCs/>
          <w:lang w:val="fr-FR"/>
        </w:rPr>
        <w:t>pour</w:t>
      </w:r>
      <w:r w:rsidRPr="00C12C66">
        <w:rPr>
          <w:rFonts w:asciiTheme="majorBidi" w:hAnsiTheme="majorBidi" w:cstheme="majorBidi"/>
          <w:b/>
          <w:bCs/>
          <w:lang w:val="fr-FR"/>
        </w:rPr>
        <w:t xml:space="preserve"> la classe IV (côté conducteur)</w:t>
      </w:r>
      <w:r w:rsidR="00F91AEA">
        <w:rPr>
          <w:rFonts w:asciiTheme="majorBidi" w:hAnsiTheme="majorBidi" w:cstheme="majorBidi"/>
          <w:b/>
          <w:bCs/>
          <w:lang w:val="fr-FR"/>
        </w:rPr>
        <w:t> ;</w:t>
      </w:r>
    </w:p>
    <w:p w14:paraId="58D478C2" w14:textId="1335724C"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l)</w:t>
      </w:r>
      <w:r w:rsidRPr="00C12C66">
        <w:rPr>
          <w:rFonts w:asciiTheme="majorBidi" w:hAnsiTheme="majorBidi" w:cstheme="majorBidi"/>
          <w:b/>
          <w:bCs/>
          <w:lang w:val="fr-FR"/>
        </w:rPr>
        <w:tab/>
        <w:t xml:space="preserve">0,16 </w:t>
      </w:r>
      <w:r w:rsidRPr="00F91AEA">
        <w:rPr>
          <w:b/>
          <w:bCs/>
          <w:lang w:val="fr-FR"/>
        </w:rPr>
        <w:t>pour</w:t>
      </w:r>
      <w:r w:rsidRPr="00C12C66">
        <w:rPr>
          <w:rFonts w:asciiTheme="majorBidi" w:hAnsiTheme="majorBidi" w:cstheme="majorBidi"/>
          <w:b/>
          <w:bCs/>
          <w:lang w:val="fr-FR"/>
        </w:rPr>
        <w:t xml:space="preserve"> la classe II (côté passager)</w:t>
      </w:r>
      <w:r w:rsidR="00F91AEA">
        <w:rPr>
          <w:rFonts w:asciiTheme="majorBidi" w:hAnsiTheme="majorBidi" w:cstheme="majorBidi"/>
          <w:b/>
          <w:bCs/>
          <w:lang w:val="fr-FR"/>
        </w:rPr>
        <w:t> ;</w:t>
      </w:r>
    </w:p>
    <w:p w14:paraId="6A297DB8" w14:textId="1CD6EC20" w:rsidR="002E16D8" w:rsidRPr="00C12C66" w:rsidRDefault="002E16D8" w:rsidP="00F91AEA">
      <w:pPr>
        <w:pStyle w:val="SingleTxtG"/>
        <w:ind w:left="2268"/>
        <w:rPr>
          <w:rFonts w:asciiTheme="majorBidi" w:hAnsiTheme="majorBidi" w:cstheme="majorBidi"/>
          <w:b/>
          <w:bCs/>
          <w:lang w:val="fr-FR"/>
        </w:rPr>
      </w:pPr>
      <w:r w:rsidRPr="00C12C66">
        <w:rPr>
          <w:rFonts w:asciiTheme="majorBidi" w:hAnsiTheme="majorBidi" w:cstheme="majorBidi"/>
          <w:b/>
          <w:bCs/>
          <w:lang w:val="fr-FR"/>
        </w:rPr>
        <w:t>m)</w:t>
      </w:r>
      <w:r w:rsidRPr="00C12C66">
        <w:rPr>
          <w:rFonts w:asciiTheme="majorBidi" w:hAnsiTheme="majorBidi" w:cstheme="majorBidi"/>
          <w:b/>
          <w:bCs/>
          <w:lang w:val="fr-FR"/>
        </w:rPr>
        <w:tab/>
        <w:t xml:space="preserve">0,20 </w:t>
      </w:r>
      <w:r w:rsidRPr="00F91AEA">
        <w:rPr>
          <w:b/>
          <w:bCs/>
          <w:lang w:val="fr-FR"/>
        </w:rPr>
        <w:t>pour</w:t>
      </w:r>
      <w:r w:rsidRPr="00C12C66">
        <w:rPr>
          <w:rFonts w:asciiTheme="majorBidi" w:hAnsiTheme="majorBidi" w:cstheme="majorBidi"/>
          <w:b/>
          <w:bCs/>
          <w:lang w:val="fr-FR"/>
        </w:rPr>
        <w:t xml:space="preserve"> la classe III (côté passager)</w:t>
      </w:r>
      <w:r w:rsidR="00F91AEA">
        <w:rPr>
          <w:rFonts w:asciiTheme="majorBidi" w:hAnsiTheme="majorBidi" w:cstheme="majorBidi"/>
          <w:b/>
          <w:bCs/>
          <w:lang w:val="fr-FR"/>
        </w:rPr>
        <w:t> ;</w:t>
      </w:r>
    </w:p>
    <w:p w14:paraId="54C8F47A" w14:textId="77777777" w:rsidR="002E16D8" w:rsidRPr="00C12C66" w:rsidRDefault="002E16D8" w:rsidP="002E16D8">
      <w:pPr>
        <w:pStyle w:val="SingleTxtG"/>
        <w:spacing w:line="276" w:lineRule="auto"/>
        <w:ind w:left="2835" w:hanging="567"/>
        <w:rPr>
          <w:b/>
          <w:lang w:val="fr-FR"/>
        </w:rPr>
      </w:pPr>
      <w:r w:rsidRPr="00C12C66">
        <w:rPr>
          <w:rFonts w:asciiTheme="majorBidi" w:hAnsiTheme="majorBidi" w:cstheme="majorBidi"/>
          <w:b/>
          <w:bCs/>
          <w:lang w:val="fr-FR"/>
        </w:rPr>
        <w:t>n</w:t>
      </w:r>
      <w:r w:rsidRPr="00C12C66">
        <w:rPr>
          <w:rFonts w:asciiTheme="majorBidi" w:hAnsiTheme="majorBidi" w:cstheme="majorBidi"/>
          <w:b/>
          <w:bCs/>
          <w:iCs/>
          <w:lang w:val="fr-FR"/>
        </w:rPr>
        <w:t>)</w:t>
      </w:r>
      <w:r w:rsidRPr="00C12C66">
        <w:rPr>
          <w:rFonts w:asciiTheme="majorBidi" w:hAnsiTheme="majorBidi" w:cstheme="majorBidi"/>
          <w:b/>
          <w:bCs/>
          <w:iCs/>
          <w:lang w:val="fr-FR"/>
        </w:rPr>
        <w:tab/>
        <w:t>0,046 pour la classe IV (côté passager). </w:t>
      </w:r>
      <w:r w:rsidRPr="00F91AEA">
        <w:rPr>
          <w:rFonts w:asciiTheme="majorBidi" w:hAnsiTheme="majorBidi" w:cstheme="majorBidi"/>
          <w:iCs/>
          <w:lang w:val="fr-FR"/>
        </w:rPr>
        <w:t>»</w:t>
      </w:r>
      <w:r w:rsidRPr="00F91AEA">
        <w:rPr>
          <w:lang w:val="fr-FR"/>
        </w:rPr>
        <w:t>.</w:t>
      </w:r>
    </w:p>
    <w:p w14:paraId="3C57D718" w14:textId="5D2C4F29" w:rsidR="002E16D8" w:rsidRPr="00C12C66" w:rsidRDefault="002E16D8" w:rsidP="00F91AEA">
      <w:pPr>
        <w:pStyle w:val="SingleTxtG"/>
        <w:keepNext/>
        <w:rPr>
          <w:i/>
          <w:lang w:val="fr-FR"/>
        </w:rPr>
      </w:pPr>
      <w:r w:rsidRPr="00C12C66">
        <w:rPr>
          <w:i/>
          <w:iCs/>
          <w:lang w:val="fr-FR"/>
        </w:rPr>
        <w:t>Ajouter un nouveau paragraphe</w:t>
      </w:r>
      <w:r w:rsidRPr="00C12C66">
        <w:rPr>
          <w:lang w:val="fr-FR"/>
        </w:rPr>
        <w:t xml:space="preserve"> 16.1.3.1.2, libellé comme suit</w:t>
      </w:r>
      <w:r w:rsidR="00F91AEA">
        <w:rPr>
          <w:lang w:val="fr-FR"/>
        </w:rPr>
        <w:t> :</w:t>
      </w:r>
    </w:p>
    <w:p w14:paraId="10E38758" w14:textId="6D2088F5" w:rsidR="002E16D8" w:rsidRPr="00F91AEA" w:rsidRDefault="002E16D8" w:rsidP="00F91AEA">
      <w:pPr>
        <w:pStyle w:val="SingleTxtG"/>
        <w:ind w:left="2268" w:hanging="1134"/>
        <w:rPr>
          <w:b/>
          <w:bCs/>
          <w:lang w:val="fr-FR"/>
        </w:rPr>
      </w:pPr>
      <w:r w:rsidRPr="00C12C66">
        <w:rPr>
          <w:lang w:val="fr-FR"/>
        </w:rPr>
        <w:t>«</w:t>
      </w:r>
      <w:r w:rsidR="00F91AEA">
        <w:rPr>
          <w:lang w:val="fr-FR"/>
        </w:rPr>
        <w:t> </w:t>
      </w:r>
      <w:r w:rsidRPr="00F91AEA">
        <w:rPr>
          <w:b/>
          <w:bCs/>
          <w:lang w:val="fr-FR"/>
        </w:rPr>
        <w:t>16.1.3.1.2</w:t>
      </w:r>
      <w:r w:rsidRPr="00F91AEA">
        <w:rPr>
          <w:b/>
          <w:bCs/>
          <w:lang w:val="fr-FR"/>
        </w:rPr>
        <w:tab/>
        <w:t>Facteur de grossissement pour les véhicules à poste de conduite central des catégories M</w:t>
      </w:r>
      <w:r w:rsidRPr="00F91AEA">
        <w:rPr>
          <w:b/>
          <w:bCs/>
          <w:vertAlign w:val="subscript"/>
          <w:lang w:val="fr-FR"/>
        </w:rPr>
        <w:t>2</w:t>
      </w:r>
      <w:r w:rsidRPr="00F91AEA">
        <w:rPr>
          <w:b/>
          <w:bCs/>
          <w:lang w:val="fr-FR"/>
        </w:rPr>
        <w:t>, M</w:t>
      </w:r>
      <w:r w:rsidRPr="00F91AEA">
        <w:rPr>
          <w:b/>
          <w:bCs/>
          <w:vertAlign w:val="subscript"/>
          <w:lang w:val="fr-FR"/>
        </w:rPr>
        <w:t>3</w:t>
      </w:r>
      <w:r w:rsidRPr="00F91AEA">
        <w:rPr>
          <w:b/>
          <w:bCs/>
          <w:lang w:val="fr-FR"/>
        </w:rPr>
        <w:t>, N</w:t>
      </w:r>
      <w:r w:rsidRPr="00F91AEA">
        <w:rPr>
          <w:b/>
          <w:bCs/>
          <w:vertAlign w:val="subscript"/>
          <w:lang w:val="fr-FR"/>
        </w:rPr>
        <w:t>2</w:t>
      </w:r>
      <w:r w:rsidRPr="00F91AEA">
        <w:rPr>
          <w:b/>
          <w:bCs/>
          <w:lang w:val="fr-FR"/>
        </w:rPr>
        <w:t xml:space="preserve"> et N</w:t>
      </w:r>
      <w:r w:rsidRPr="00F91AEA">
        <w:rPr>
          <w:b/>
          <w:bCs/>
          <w:vertAlign w:val="subscript"/>
          <w:lang w:val="fr-FR"/>
        </w:rPr>
        <w:t>3</w:t>
      </w:r>
      <w:r w:rsidRPr="00F91AEA">
        <w:rPr>
          <w:b/>
          <w:bCs/>
          <w:lang w:val="fr-FR"/>
        </w:rPr>
        <w:t>. Les facteurs de grossissement minimal et moyen du CMS dans les directions horizontale et verticale ne doivent pas être inférieurs aux facteurs de grossissement moyens et minimaux indiqués ci-après. Le facteur de grossissement minimal ne doit pas être inférieur à</w:t>
      </w:r>
      <w:r w:rsidR="00F91AEA">
        <w:rPr>
          <w:b/>
          <w:bCs/>
          <w:lang w:val="fr-FR"/>
        </w:rPr>
        <w:t> :</w:t>
      </w:r>
    </w:p>
    <w:p w14:paraId="03CBE35C" w14:textId="1480ECB6" w:rsidR="002E16D8" w:rsidRPr="00F91AEA" w:rsidRDefault="002E16D8" w:rsidP="00F91AEA">
      <w:pPr>
        <w:pStyle w:val="SingleTxtG"/>
        <w:ind w:left="2268"/>
        <w:rPr>
          <w:b/>
          <w:bCs/>
          <w:lang w:val="fr-FR"/>
        </w:rPr>
      </w:pPr>
      <w:r w:rsidRPr="00F91AEA">
        <w:rPr>
          <w:b/>
          <w:bCs/>
          <w:lang w:val="fr-FR"/>
        </w:rPr>
        <w:t>a)</w:t>
      </w:r>
      <w:r w:rsidRPr="00F91AEA">
        <w:rPr>
          <w:b/>
          <w:bCs/>
          <w:lang w:val="fr-FR"/>
        </w:rPr>
        <w:tab/>
        <w:t>0,22 pour la classe II (poste central de conduite)</w:t>
      </w:r>
      <w:r w:rsidR="00F91AEA">
        <w:rPr>
          <w:b/>
          <w:bCs/>
          <w:lang w:val="fr-FR"/>
        </w:rPr>
        <w:t> ;</w:t>
      </w:r>
    </w:p>
    <w:p w14:paraId="3FDDF03A" w14:textId="77777777" w:rsidR="002E16D8" w:rsidRPr="00F91AEA" w:rsidRDefault="002E16D8" w:rsidP="00F91AEA">
      <w:pPr>
        <w:pStyle w:val="SingleTxtG"/>
        <w:ind w:left="2268"/>
        <w:rPr>
          <w:b/>
          <w:bCs/>
          <w:lang w:val="fr-FR"/>
        </w:rPr>
      </w:pPr>
      <w:r w:rsidRPr="00F91AEA">
        <w:rPr>
          <w:b/>
          <w:bCs/>
          <w:lang w:val="fr-FR"/>
        </w:rPr>
        <w:t>b)</w:t>
      </w:r>
      <w:r w:rsidRPr="00F91AEA">
        <w:rPr>
          <w:b/>
          <w:bCs/>
          <w:lang w:val="fr-FR"/>
        </w:rPr>
        <w:tab/>
        <w:t>0,043 pour la classe IV (poste central de conduite).</w:t>
      </w:r>
    </w:p>
    <w:p w14:paraId="4055B690" w14:textId="04AEEF21" w:rsidR="002E16D8" w:rsidRPr="00F91AEA" w:rsidRDefault="002E16D8" w:rsidP="00BF5CCE">
      <w:pPr>
        <w:pStyle w:val="SingleTxtG"/>
        <w:keepNext/>
        <w:ind w:left="2268"/>
        <w:rPr>
          <w:b/>
          <w:bCs/>
          <w:lang w:val="fr-FR"/>
        </w:rPr>
      </w:pPr>
      <w:r w:rsidRPr="00F91AEA">
        <w:rPr>
          <w:b/>
          <w:bCs/>
          <w:lang w:val="fr-FR"/>
        </w:rPr>
        <w:lastRenderedPageBreak/>
        <w:t>Le facteur de grossissement moyen ne doit pas être inférieur à</w:t>
      </w:r>
      <w:r w:rsidR="00F91AEA">
        <w:rPr>
          <w:b/>
          <w:bCs/>
          <w:lang w:val="fr-FR"/>
        </w:rPr>
        <w:t> :</w:t>
      </w:r>
    </w:p>
    <w:p w14:paraId="334995D2" w14:textId="4239E3B8" w:rsidR="002E16D8" w:rsidRPr="00F91AEA" w:rsidRDefault="002E16D8" w:rsidP="00F91AEA">
      <w:pPr>
        <w:pStyle w:val="SingleTxtG"/>
        <w:ind w:left="2268"/>
        <w:rPr>
          <w:b/>
          <w:bCs/>
          <w:lang w:val="fr-FR"/>
        </w:rPr>
      </w:pPr>
      <w:r w:rsidRPr="00F91AEA">
        <w:rPr>
          <w:b/>
          <w:bCs/>
          <w:lang w:val="fr-FR"/>
        </w:rPr>
        <w:t>c)</w:t>
      </w:r>
      <w:r w:rsidRPr="00F91AEA">
        <w:rPr>
          <w:b/>
          <w:bCs/>
          <w:lang w:val="fr-FR"/>
        </w:rPr>
        <w:tab/>
        <w:t>0,23 pour la classe II (</w:t>
      </w:r>
      <w:r w:rsidRPr="00F91AEA">
        <w:rPr>
          <w:rFonts w:asciiTheme="majorBidi" w:hAnsiTheme="majorBidi" w:cstheme="majorBidi"/>
          <w:b/>
          <w:bCs/>
          <w:lang w:val="fr-FR"/>
        </w:rPr>
        <w:t>poste central de conduite</w:t>
      </w:r>
      <w:r w:rsidRPr="00F91AEA">
        <w:rPr>
          <w:b/>
          <w:bCs/>
          <w:lang w:val="fr-FR"/>
        </w:rPr>
        <w:t>)</w:t>
      </w:r>
      <w:r w:rsidR="00F91AEA">
        <w:rPr>
          <w:b/>
          <w:bCs/>
          <w:lang w:val="fr-FR"/>
        </w:rPr>
        <w:t> ;</w:t>
      </w:r>
    </w:p>
    <w:p w14:paraId="29055529" w14:textId="1C4BA4C6" w:rsidR="002E16D8" w:rsidRPr="00C12C66" w:rsidRDefault="002E16D8" w:rsidP="00F91AEA">
      <w:pPr>
        <w:pStyle w:val="SingleTxtG"/>
        <w:ind w:left="2268"/>
        <w:rPr>
          <w:lang w:val="fr-FR"/>
        </w:rPr>
      </w:pPr>
      <w:r w:rsidRPr="00F91AEA">
        <w:rPr>
          <w:b/>
          <w:bCs/>
          <w:lang w:val="fr-FR"/>
        </w:rPr>
        <w:t>d)</w:t>
      </w:r>
      <w:r w:rsidRPr="00F91AEA">
        <w:rPr>
          <w:b/>
          <w:bCs/>
          <w:lang w:val="fr-FR"/>
        </w:rPr>
        <w:tab/>
        <w:t>0,068 pour la classe IV (</w:t>
      </w:r>
      <w:r w:rsidRPr="00F91AEA">
        <w:rPr>
          <w:rFonts w:asciiTheme="majorBidi" w:hAnsiTheme="majorBidi" w:cstheme="majorBidi"/>
          <w:b/>
          <w:bCs/>
          <w:lang w:val="fr-FR"/>
        </w:rPr>
        <w:t>poste central de conduite</w:t>
      </w:r>
      <w:r w:rsidRPr="00F91AEA">
        <w:rPr>
          <w:b/>
          <w:bCs/>
          <w:lang w:val="fr-FR"/>
        </w:rPr>
        <w:t>).</w:t>
      </w:r>
      <w:r w:rsidR="00F91AEA">
        <w:rPr>
          <w:b/>
          <w:bCs/>
          <w:lang w:val="fr-FR"/>
        </w:rPr>
        <w:t> </w:t>
      </w:r>
      <w:r w:rsidRPr="00C12C66">
        <w:rPr>
          <w:lang w:val="fr-FR"/>
        </w:rPr>
        <w:t>».</w:t>
      </w:r>
    </w:p>
    <w:p w14:paraId="4CA0BE64" w14:textId="77777777" w:rsidR="002E16D8" w:rsidRPr="00C12C66" w:rsidRDefault="002E16D8" w:rsidP="00F91AEA">
      <w:pPr>
        <w:pStyle w:val="HChG"/>
        <w:rPr>
          <w:rFonts w:asciiTheme="majorBidi" w:hAnsiTheme="majorBidi" w:cstheme="majorBidi"/>
          <w:lang w:val="fr-FR"/>
        </w:rPr>
      </w:pPr>
      <w:r w:rsidRPr="00C12C66">
        <w:rPr>
          <w:lang w:val="fr-FR"/>
        </w:rPr>
        <w:tab/>
        <w:t>II.</w:t>
      </w:r>
      <w:r w:rsidRPr="00C12C66">
        <w:rPr>
          <w:lang w:val="fr-FR"/>
        </w:rPr>
        <w:tab/>
        <w:t>Justification</w:t>
      </w:r>
    </w:p>
    <w:p w14:paraId="4DB4DA85" w14:textId="4A88ED53" w:rsidR="002E16D8" w:rsidRPr="00C12C66" w:rsidRDefault="00F91AEA" w:rsidP="00F91AEA">
      <w:pPr>
        <w:pStyle w:val="SingleTxtG"/>
        <w:ind w:left="1494" w:hanging="360"/>
        <w:rPr>
          <w:lang w:val="fr-FR"/>
        </w:rPr>
      </w:pPr>
      <w:r w:rsidRPr="00C12C66">
        <w:rPr>
          <w:lang w:val="fr-FR"/>
        </w:rPr>
        <w:t>1.</w:t>
      </w:r>
      <w:r w:rsidRPr="00C12C66">
        <w:rPr>
          <w:lang w:val="fr-FR"/>
        </w:rPr>
        <w:tab/>
      </w:r>
      <w:r w:rsidR="002E16D8" w:rsidRPr="00F91AEA">
        <w:rPr>
          <w:i/>
          <w:iCs/>
          <w:lang w:val="fr-FR"/>
        </w:rPr>
        <w:t>Paragraphes 12.7 à 12.9</w:t>
      </w:r>
    </w:p>
    <w:p w14:paraId="2E2FF224" w14:textId="511A7216" w:rsidR="002E16D8" w:rsidRPr="00C12C66" w:rsidRDefault="002E16D8" w:rsidP="00BF5CCE">
      <w:pPr>
        <w:pStyle w:val="SingleTxtG"/>
        <w:ind w:firstLine="567"/>
        <w:rPr>
          <w:lang w:val="fr-FR"/>
        </w:rPr>
      </w:pPr>
      <w:r w:rsidRPr="00C12C66">
        <w:rPr>
          <w:lang w:val="fr-FR"/>
        </w:rPr>
        <w:t xml:space="preserve">Création d’une nouvelle définition du terme « véhicule à poste de conduite central », en s’inspirant du paragraphe 2.38 du Règlement ONU </w:t>
      </w:r>
      <w:r w:rsidR="00BF5CCE" w:rsidRPr="00BF5CCE">
        <w:rPr>
          <w:rFonts w:eastAsia="MS Mincho"/>
          <w:lang w:val="fr-FR"/>
        </w:rPr>
        <w:t>n</w:t>
      </w:r>
      <w:r w:rsidR="00BF5CCE" w:rsidRPr="00BF5CCE">
        <w:rPr>
          <w:rFonts w:eastAsia="MS Mincho"/>
          <w:vertAlign w:val="superscript"/>
          <w:lang w:val="fr-FR"/>
        </w:rPr>
        <w:t>o</w:t>
      </w:r>
      <w:r w:rsidR="00BF5CCE">
        <w:rPr>
          <w:lang w:val="fr-FR"/>
        </w:rPr>
        <w:t> </w:t>
      </w:r>
      <w:r w:rsidRPr="00C12C66">
        <w:rPr>
          <w:lang w:val="fr-FR"/>
        </w:rPr>
        <w:t>43</w:t>
      </w:r>
      <w:r w:rsidR="00F91AEA">
        <w:rPr>
          <w:lang w:val="fr-FR"/>
        </w:rPr>
        <w:t> :</w:t>
      </w:r>
    </w:p>
    <w:p w14:paraId="0069100C" w14:textId="238E8CA6" w:rsidR="002E16D8" w:rsidRPr="00C12C66" w:rsidRDefault="002E16D8" w:rsidP="00F91AEA">
      <w:pPr>
        <w:pStyle w:val="SingleTxtG"/>
        <w:rPr>
          <w:lang w:val="fr-FR"/>
        </w:rPr>
      </w:pPr>
      <w:r w:rsidRPr="00C12C66">
        <w:rPr>
          <w:lang w:val="fr-FR"/>
        </w:rPr>
        <w:t>«</w:t>
      </w:r>
      <w:r w:rsidR="00F91AEA">
        <w:rPr>
          <w:lang w:val="fr-FR"/>
        </w:rPr>
        <w:t> </w:t>
      </w:r>
      <w:r w:rsidR="00BF5CCE">
        <w:rPr>
          <w:lang w:val="fr-FR"/>
        </w:rPr>
        <w:t>“</w:t>
      </w:r>
      <w:r w:rsidRPr="00F91AEA">
        <w:rPr>
          <w:i/>
          <w:iCs/>
          <w:lang w:val="fr-FR"/>
        </w:rPr>
        <w:t>Position de conduite en place centrale</w:t>
      </w:r>
      <w:r w:rsidR="00BF5CCE" w:rsidRPr="00BF5CCE">
        <w:rPr>
          <w:lang w:val="fr-FR"/>
        </w:rPr>
        <w:t>”</w:t>
      </w:r>
      <w:r w:rsidRPr="00F91AEA">
        <w:rPr>
          <w:i/>
          <w:iCs/>
          <w:lang w:val="fr-FR"/>
        </w:rPr>
        <w:t>, définie lorsque la coordonnée en Y du point R se situe en Y0 à + ou - 60 </w:t>
      </w:r>
      <w:proofErr w:type="spellStart"/>
      <w:r w:rsidRPr="00F91AEA">
        <w:rPr>
          <w:i/>
          <w:iCs/>
          <w:lang w:val="fr-FR"/>
        </w:rPr>
        <w:t>mm.</w:t>
      </w:r>
      <w:proofErr w:type="spellEnd"/>
      <w:r w:rsidRPr="00C12C66">
        <w:rPr>
          <w:lang w:val="fr-FR"/>
        </w:rPr>
        <w:t> ».</w:t>
      </w:r>
    </w:p>
    <w:p w14:paraId="59993BFA" w14:textId="77777777" w:rsidR="002E16D8" w:rsidRPr="00C12C66" w:rsidRDefault="002E16D8" w:rsidP="00F91AEA">
      <w:pPr>
        <w:pStyle w:val="SingleTxtG"/>
        <w:rPr>
          <w:lang w:val="fr-FR"/>
        </w:rPr>
      </w:pPr>
      <w:r w:rsidRPr="00C12C66">
        <w:rPr>
          <w:lang w:val="fr-FR"/>
        </w:rPr>
        <w:t>2.</w:t>
      </w:r>
      <w:r w:rsidRPr="00C12C66">
        <w:rPr>
          <w:lang w:val="fr-FR"/>
        </w:rPr>
        <w:tab/>
        <w:t>Pour permettre la différenciation dans le reste du texte, il est également proposé de définir le terme « véhicule à poste de conduite latéral ».</w:t>
      </w:r>
    </w:p>
    <w:p w14:paraId="669ED8AF" w14:textId="77777777" w:rsidR="002E16D8" w:rsidRPr="00F91AEA" w:rsidRDefault="002E16D8" w:rsidP="00F91AEA">
      <w:pPr>
        <w:pStyle w:val="SingleTxtG"/>
        <w:rPr>
          <w:i/>
          <w:iCs/>
          <w:lang w:val="fr-FR"/>
        </w:rPr>
      </w:pPr>
      <w:r w:rsidRPr="00F91AEA">
        <w:rPr>
          <w:i/>
          <w:iCs/>
          <w:lang w:val="fr-FR"/>
        </w:rPr>
        <w:t>Paragraphe 15.2.1.1.1</w:t>
      </w:r>
    </w:p>
    <w:p w14:paraId="035EAE88" w14:textId="76EBAB41" w:rsidR="00DE6634" w:rsidRDefault="002E16D8" w:rsidP="002E16D8">
      <w:pPr>
        <w:pStyle w:val="SingleTxtG"/>
      </w:pPr>
      <w:r w:rsidRPr="00C12C66">
        <w:rPr>
          <w:lang w:val="fr-FR"/>
        </w:rPr>
        <w:t>Sur les véhicules à poste de conduite central, étant donné que le conducteur est assis dans l’axe longitudinal du véhicule et qu’il est éloigné de la fenêtre dont il aurait été le plus proche si le poste de conduite avait été latéral, le champ de vision directe sur le côté du véhicule est plus réduit. Le conducteur ne peut voir directement la route de part et d’autre du véhicule. Par conséquent, un dispositif de vision indirecte de la classe V est nécessaire de chaque côté du véhicule pour assurer une vision adéquate.</w:t>
      </w:r>
    </w:p>
    <w:p w14:paraId="0D7E2297" w14:textId="1314ADC4" w:rsidR="002E16D8" w:rsidRPr="002E16D8" w:rsidRDefault="002E16D8" w:rsidP="002E16D8">
      <w:pPr>
        <w:pStyle w:val="SingleTxtG"/>
        <w:spacing w:before="240" w:after="0"/>
        <w:jc w:val="center"/>
        <w:rPr>
          <w:u w:val="single"/>
        </w:rPr>
      </w:pPr>
      <w:r>
        <w:rPr>
          <w:u w:val="single"/>
        </w:rPr>
        <w:tab/>
      </w:r>
      <w:r>
        <w:rPr>
          <w:u w:val="single"/>
        </w:rPr>
        <w:tab/>
      </w:r>
      <w:r>
        <w:rPr>
          <w:u w:val="single"/>
        </w:rPr>
        <w:tab/>
      </w:r>
      <w:r>
        <w:rPr>
          <w:u w:val="single"/>
        </w:rPr>
        <w:tab/>
      </w:r>
    </w:p>
    <w:sectPr w:rsidR="002E16D8" w:rsidRPr="002E16D8" w:rsidSect="002E16D8">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F666" w14:textId="77777777" w:rsidR="007A463B" w:rsidRDefault="007A463B" w:rsidP="00F95C08">
      <w:pPr>
        <w:spacing w:line="240" w:lineRule="auto"/>
      </w:pPr>
    </w:p>
  </w:endnote>
  <w:endnote w:type="continuationSeparator" w:id="0">
    <w:p w14:paraId="37762557" w14:textId="77777777" w:rsidR="007A463B" w:rsidRPr="00AC3823" w:rsidRDefault="007A463B" w:rsidP="00AC3823">
      <w:pPr>
        <w:pStyle w:val="Pieddepage"/>
      </w:pPr>
    </w:p>
  </w:endnote>
  <w:endnote w:type="continuationNotice" w:id="1">
    <w:p w14:paraId="286E6C11" w14:textId="77777777" w:rsidR="007A463B" w:rsidRDefault="007A46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9DA" w14:textId="2180EFB0" w:rsidR="00590CE8" w:rsidRPr="00590CE8" w:rsidRDefault="00590CE8" w:rsidP="00590CE8">
    <w:pPr>
      <w:pStyle w:val="Pieddepage"/>
      <w:tabs>
        <w:tab w:val="right" w:pos="9638"/>
      </w:tabs>
    </w:pPr>
    <w:r w:rsidRPr="00590CE8">
      <w:rPr>
        <w:b/>
        <w:sz w:val="18"/>
      </w:rPr>
      <w:fldChar w:fldCharType="begin"/>
    </w:r>
    <w:r w:rsidRPr="00590CE8">
      <w:rPr>
        <w:b/>
        <w:sz w:val="18"/>
      </w:rPr>
      <w:instrText xml:space="preserve"> PAGE  \* MERGEFORMAT </w:instrText>
    </w:r>
    <w:r w:rsidRPr="00590CE8">
      <w:rPr>
        <w:b/>
        <w:sz w:val="18"/>
      </w:rPr>
      <w:fldChar w:fldCharType="separate"/>
    </w:r>
    <w:r w:rsidRPr="00590CE8">
      <w:rPr>
        <w:b/>
        <w:noProof/>
        <w:sz w:val="18"/>
      </w:rPr>
      <w:t>2</w:t>
    </w:r>
    <w:r w:rsidRPr="00590CE8">
      <w:rPr>
        <w:b/>
        <w:sz w:val="18"/>
      </w:rPr>
      <w:fldChar w:fldCharType="end"/>
    </w:r>
    <w:r>
      <w:rPr>
        <w:b/>
        <w:sz w:val="18"/>
      </w:rPr>
      <w:tab/>
    </w:r>
    <w:r>
      <w:t>GE.23-00236</w:t>
    </w:r>
  </w:p>
  <w:p w14:paraId="75FCD53D" w14:textId="77777777" w:rsidR="00000000" w:rsidRDefault="001570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8F7E" w14:textId="6FF4AB8B" w:rsidR="00590CE8" w:rsidRPr="00590CE8" w:rsidRDefault="00590CE8" w:rsidP="00590CE8">
    <w:pPr>
      <w:pStyle w:val="Pieddepage"/>
      <w:tabs>
        <w:tab w:val="right" w:pos="9638"/>
      </w:tabs>
      <w:rPr>
        <w:b/>
        <w:sz w:val="18"/>
      </w:rPr>
    </w:pPr>
    <w:r>
      <w:t>GE.23-00236</w:t>
    </w:r>
    <w:r>
      <w:tab/>
    </w:r>
    <w:r w:rsidRPr="00590CE8">
      <w:rPr>
        <w:b/>
        <w:sz w:val="18"/>
      </w:rPr>
      <w:fldChar w:fldCharType="begin"/>
    </w:r>
    <w:r w:rsidRPr="00590CE8">
      <w:rPr>
        <w:b/>
        <w:sz w:val="18"/>
      </w:rPr>
      <w:instrText xml:space="preserve"> PAGE  \* MERGEFORMAT </w:instrText>
    </w:r>
    <w:r w:rsidRPr="00590CE8">
      <w:rPr>
        <w:b/>
        <w:sz w:val="18"/>
      </w:rPr>
      <w:fldChar w:fldCharType="separate"/>
    </w:r>
    <w:r w:rsidRPr="00590CE8">
      <w:rPr>
        <w:b/>
        <w:noProof/>
        <w:sz w:val="18"/>
      </w:rPr>
      <w:t>3</w:t>
    </w:r>
    <w:r w:rsidRPr="00590CE8">
      <w:rPr>
        <w:b/>
        <w:sz w:val="18"/>
      </w:rPr>
      <w:fldChar w:fldCharType="end"/>
    </w:r>
  </w:p>
  <w:p w14:paraId="2F75BEEC" w14:textId="77777777" w:rsidR="00000000" w:rsidRDefault="001570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E20" w14:textId="401ADAE7" w:rsidR="007F20FA" w:rsidRPr="00590CE8" w:rsidRDefault="00590CE8" w:rsidP="00590CE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4D17FFE" wp14:editId="37EA51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23-00236  (F)</w:t>
    </w:r>
    <w:r>
      <w:rPr>
        <w:noProof/>
        <w:sz w:val="20"/>
      </w:rPr>
      <w:drawing>
        <wp:anchor distT="0" distB="0" distL="114300" distR="114300" simplePos="0" relativeHeight="251660288" behindDoc="0" locked="0" layoutInCell="1" allowOverlap="1" wp14:anchorId="4F131852" wp14:editId="49ECD2E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1C7">
      <w:rPr>
        <w:sz w:val="20"/>
      </w:rPr>
      <w:t xml:space="preserve">    190123    190123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B860" w14:textId="3ADA0C1B" w:rsidR="00517B62" w:rsidRDefault="00517B62">
    <w:r>
      <w:rPr>
        <w:noProof/>
      </w:rPr>
      <mc:AlternateContent>
        <mc:Choice Requires="wps">
          <w:drawing>
            <wp:anchor distT="0" distB="0" distL="114300" distR="114300" simplePos="0" relativeHeight="251662336" behindDoc="0" locked="0" layoutInCell="1" allowOverlap="1" wp14:anchorId="5A0F349C" wp14:editId="07F02B5C">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7CAB695" w14:textId="77777777" w:rsidR="00517B62" w:rsidRPr="00590CE8" w:rsidRDefault="00517B62" w:rsidP="00517B62">
                          <w:pPr>
                            <w:pStyle w:val="Pieddepage"/>
                            <w:tabs>
                              <w:tab w:val="right" w:pos="9638"/>
                            </w:tabs>
                          </w:pPr>
                          <w:r w:rsidRPr="00590CE8">
                            <w:rPr>
                              <w:b/>
                              <w:sz w:val="18"/>
                            </w:rPr>
                            <w:fldChar w:fldCharType="begin"/>
                          </w:r>
                          <w:r w:rsidRPr="00590CE8">
                            <w:rPr>
                              <w:b/>
                              <w:sz w:val="18"/>
                            </w:rPr>
                            <w:instrText xml:space="preserve"> PAGE  \* MERGEFORMAT </w:instrText>
                          </w:r>
                          <w:r w:rsidRPr="00590CE8">
                            <w:rPr>
                              <w:b/>
                              <w:sz w:val="18"/>
                            </w:rPr>
                            <w:fldChar w:fldCharType="separate"/>
                          </w:r>
                          <w:r>
                            <w:rPr>
                              <w:b/>
                              <w:sz w:val="18"/>
                            </w:rPr>
                            <w:t>4</w:t>
                          </w:r>
                          <w:r w:rsidRPr="00590CE8">
                            <w:rPr>
                              <w:b/>
                              <w:sz w:val="18"/>
                            </w:rPr>
                            <w:fldChar w:fldCharType="end"/>
                          </w:r>
                          <w:r>
                            <w:rPr>
                              <w:b/>
                              <w:sz w:val="18"/>
                            </w:rPr>
                            <w:tab/>
                          </w:r>
                          <w:r>
                            <w:t>GE.23-00236</w:t>
                          </w:r>
                        </w:p>
                        <w:p w14:paraId="1444AD3D" w14:textId="77777777" w:rsidR="00517B62" w:rsidRDefault="00517B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0F349C" id="_x0000_t202" coordsize="21600,21600" o:spt="202" path="m,l,21600r21600,l21600,xe">
              <v:stroke joinstyle="miter"/>
              <v:path gradientshapeok="t" o:connecttype="rect"/>
            </v:shapetype>
            <v:shape id="Zone de texte 9" o:spid="_x0000_s1032"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7CAB695" w14:textId="77777777" w:rsidR="00517B62" w:rsidRPr="00590CE8" w:rsidRDefault="00517B62" w:rsidP="00517B62">
                    <w:pPr>
                      <w:pStyle w:val="Pieddepage"/>
                      <w:tabs>
                        <w:tab w:val="right" w:pos="9638"/>
                      </w:tabs>
                    </w:pPr>
                    <w:r w:rsidRPr="00590CE8">
                      <w:rPr>
                        <w:b/>
                        <w:sz w:val="18"/>
                      </w:rPr>
                      <w:fldChar w:fldCharType="begin"/>
                    </w:r>
                    <w:r w:rsidRPr="00590CE8">
                      <w:rPr>
                        <w:b/>
                        <w:sz w:val="18"/>
                      </w:rPr>
                      <w:instrText xml:space="preserve"> PAGE  \* MERGEFORMAT </w:instrText>
                    </w:r>
                    <w:r w:rsidRPr="00590CE8">
                      <w:rPr>
                        <w:b/>
                        <w:sz w:val="18"/>
                      </w:rPr>
                      <w:fldChar w:fldCharType="separate"/>
                    </w:r>
                    <w:r>
                      <w:rPr>
                        <w:b/>
                        <w:sz w:val="18"/>
                      </w:rPr>
                      <w:t>4</w:t>
                    </w:r>
                    <w:r w:rsidRPr="00590CE8">
                      <w:rPr>
                        <w:b/>
                        <w:sz w:val="18"/>
                      </w:rPr>
                      <w:fldChar w:fldCharType="end"/>
                    </w:r>
                    <w:r>
                      <w:rPr>
                        <w:b/>
                        <w:sz w:val="18"/>
                      </w:rPr>
                      <w:tab/>
                    </w:r>
                    <w:r>
                      <w:t>GE.23-00236</w:t>
                    </w:r>
                  </w:p>
                  <w:p w14:paraId="1444AD3D" w14:textId="77777777" w:rsidR="00517B62" w:rsidRDefault="00517B6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D89A" w14:textId="551F65B0" w:rsidR="00517B62" w:rsidRPr="00517B62" w:rsidRDefault="00517B62" w:rsidP="00517B62">
    <w:pPr>
      <w:pStyle w:val="Pieddepage"/>
    </w:pPr>
    <w:r>
      <w:rPr>
        <w:noProof/>
      </w:rPr>
      <mc:AlternateContent>
        <mc:Choice Requires="wps">
          <w:drawing>
            <wp:anchor distT="0" distB="0" distL="114300" distR="114300" simplePos="0" relativeHeight="251664384" behindDoc="0" locked="0" layoutInCell="1" allowOverlap="1" wp14:anchorId="308CF245" wp14:editId="583135E1">
              <wp:simplePos x="0" y="0"/>
              <wp:positionH relativeFrom="margin">
                <wp:posOffset>-431800</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D5C384" w14:textId="77777777" w:rsidR="00517B62" w:rsidRPr="00590CE8" w:rsidRDefault="00517B62" w:rsidP="00517B62">
                          <w:pPr>
                            <w:pStyle w:val="Pieddepage"/>
                            <w:tabs>
                              <w:tab w:val="right" w:pos="9638"/>
                            </w:tabs>
                            <w:rPr>
                              <w:b/>
                              <w:sz w:val="18"/>
                            </w:rPr>
                          </w:pPr>
                          <w:r>
                            <w:t>GE.23-00236</w:t>
                          </w:r>
                          <w:r>
                            <w:tab/>
                          </w:r>
                          <w:r w:rsidRPr="00590CE8">
                            <w:rPr>
                              <w:b/>
                              <w:sz w:val="18"/>
                            </w:rPr>
                            <w:fldChar w:fldCharType="begin"/>
                          </w:r>
                          <w:r w:rsidRPr="00590CE8">
                            <w:rPr>
                              <w:b/>
                              <w:sz w:val="18"/>
                            </w:rPr>
                            <w:instrText xml:space="preserve"> PAGE  \* MERGEFORMAT </w:instrText>
                          </w:r>
                          <w:r w:rsidRPr="00590CE8">
                            <w:rPr>
                              <w:b/>
                              <w:sz w:val="18"/>
                            </w:rPr>
                            <w:fldChar w:fldCharType="separate"/>
                          </w:r>
                          <w:r>
                            <w:rPr>
                              <w:b/>
                              <w:sz w:val="18"/>
                            </w:rPr>
                            <w:t>5</w:t>
                          </w:r>
                          <w:r w:rsidRPr="00590CE8">
                            <w:rPr>
                              <w:b/>
                              <w:sz w:val="18"/>
                            </w:rPr>
                            <w:fldChar w:fldCharType="end"/>
                          </w:r>
                        </w:p>
                        <w:p w14:paraId="68BA4C35" w14:textId="77777777" w:rsidR="00517B62" w:rsidRDefault="00517B62" w:rsidP="00517B62"/>
                        <w:p w14:paraId="1EC82B30" w14:textId="77777777" w:rsidR="00517B62" w:rsidRDefault="00517B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8CF245" id="_x0000_t202" coordsize="21600,21600" o:spt="202" path="m,l,21600r21600,l21600,xe">
              <v:stroke joinstyle="miter"/>
              <v:path gradientshapeok="t" o:connecttype="rect"/>
            </v:shapetype>
            <v:shape id="Zone de texte 12" o:spid="_x0000_s1033"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" fillcolor="#4f81bd [3204]" stroked="f" strokeweight=".5pt">
              <v:fill opacity="0"/>
              <v:stroke joinstyle="round"/>
              <v:textbox style="layout-flow:vertical" inset="0,0,0,0">
                <w:txbxContent>
                  <w:p w14:paraId="09D5C384" w14:textId="77777777" w:rsidR="00517B62" w:rsidRPr="00590CE8" w:rsidRDefault="00517B62" w:rsidP="00517B62">
                    <w:pPr>
                      <w:pStyle w:val="Pieddepage"/>
                      <w:tabs>
                        <w:tab w:val="right" w:pos="9638"/>
                      </w:tabs>
                      <w:rPr>
                        <w:b/>
                        <w:sz w:val="18"/>
                      </w:rPr>
                    </w:pPr>
                    <w:r>
                      <w:t>GE.23-00236</w:t>
                    </w:r>
                    <w:r>
                      <w:tab/>
                    </w:r>
                    <w:r w:rsidRPr="00590CE8">
                      <w:rPr>
                        <w:b/>
                        <w:sz w:val="18"/>
                      </w:rPr>
                      <w:fldChar w:fldCharType="begin"/>
                    </w:r>
                    <w:r w:rsidRPr="00590CE8">
                      <w:rPr>
                        <w:b/>
                        <w:sz w:val="18"/>
                      </w:rPr>
                      <w:instrText xml:space="preserve"> PAGE  \* MERGEFORMAT </w:instrText>
                    </w:r>
                    <w:r w:rsidRPr="00590CE8">
                      <w:rPr>
                        <w:b/>
                        <w:sz w:val="18"/>
                      </w:rPr>
                      <w:fldChar w:fldCharType="separate"/>
                    </w:r>
                    <w:r>
                      <w:rPr>
                        <w:b/>
                        <w:sz w:val="18"/>
                      </w:rPr>
                      <w:t>5</w:t>
                    </w:r>
                    <w:r w:rsidRPr="00590CE8">
                      <w:rPr>
                        <w:b/>
                        <w:sz w:val="18"/>
                      </w:rPr>
                      <w:fldChar w:fldCharType="end"/>
                    </w:r>
                  </w:p>
                  <w:p w14:paraId="68BA4C35" w14:textId="77777777" w:rsidR="00517B62" w:rsidRDefault="00517B62" w:rsidP="00517B62"/>
                  <w:p w14:paraId="1EC82B30" w14:textId="77777777" w:rsidR="00517B62" w:rsidRDefault="00517B6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7EA9" w14:textId="47D7FEDE" w:rsidR="002E16D8" w:rsidRPr="002E16D8" w:rsidRDefault="002E16D8" w:rsidP="002E16D8">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2E16D8">
      <w:t>GE.</w:t>
    </w:r>
    <w:r w:rsidRPr="002E16D8">
      <w:t>23</w:t>
    </w:r>
    <w:r w:rsidRPr="002E16D8">
      <w:t>-</w:t>
    </w:r>
    <w:r w:rsidRPr="002E16D8">
      <w:t>00236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C8FF" w14:textId="616E0F65" w:rsidR="002E16D8" w:rsidRPr="002E16D8" w:rsidRDefault="002E16D8" w:rsidP="002E16D8">
    <w:pPr>
      <w:pStyle w:val="Pieddepage"/>
      <w:tabs>
        <w:tab w:val="right" w:pos="9638"/>
      </w:tabs>
      <w:rPr>
        <w:b/>
        <w:sz w:val="18"/>
      </w:rPr>
    </w:pPr>
    <w:r>
      <w:t>GE.</w:t>
    </w:r>
    <w:r w:rsidRPr="002E16D8">
      <w:t>23</w:t>
    </w:r>
    <w:r>
      <w:t>-</w:t>
    </w:r>
    <w:r w:rsidRPr="002E16D8">
      <w:t>00236</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7A93" w14:textId="77777777" w:rsidR="007A463B" w:rsidRPr="00AC3823" w:rsidRDefault="007A463B" w:rsidP="00AC3823">
      <w:pPr>
        <w:pStyle w:val="Pieddepage"/>
        <w:tabs>
          <w:tab w:val="right" w:pos="2155"/>
        </w:tabs>
        <w:spacing w:after="80" w:line="240" w:lineRule="atLeast"/>
        <w:ind w:left="680"/>
        <w:rPr>
          <w:u w:val="single"/>
        </w:rPr>
      </w:pPr>
      <w:r>
        <w:rPr>
          <w:u w:val="single"/>
        </w:rPr>
        <w:tab/>
      </w:r>
    </w:p>
  </w:footnote>
  <w:footnote w:type="continuationSeparator" w:id="0">
    <w:p w14:paraId="39DF1A97" w14:textId="77777777" w:rsidR="007A463B" w:rsidRPr="00AC3823" w:rsidRDefault="007A463B" w:rsidP="00AC3823">
      <w:pPr>
        <w:pStyle w:val="Pieddepage"/>
        <w:tabs>
          <w:tab w:val="right" w:pos="2155"/>
        </w:tabs>
        <w:spacing w:after="80" w:line="240" w:lineRule="atLeast"/>
        <w:ind w:left="680"/>
        <w:rPr>
          <w:u w:val="single"/>
        </w:rPr>
      </w:pPr>
      <w:r>
        <w:rPr>
          <w:u w:val="single"/>
        </w:rPr>
        <w:tab/>
      </w:r>
    </w:p>
  </w:footnote>
  <w:footnote w:type="continuationNotice" w:id="1">
    <w:p w14:paraId="465F0787" w14:textId="77777777" w:rsidR="007A463B" w:rsidRPr="00AC3823" w:rsidRDefault="007A463B">
      <w:pPr>
        <w:spacing w:line="240" w:lineRule="auto"/>
        <w:rPr>
          <w:sz w:val="2"/>
          <w:szCs w:val="2"/>
        </w:rPr>
      </w:pPr>
    </w:p>
  </w:footnote>
  <w:footnote w:id="2">
    <w:p w14:paraId="302A744C" w14:textId="154F3712" w:rsidR="00DE6634" w:rsidRPr="00FE7B14" w:rsidRDefault="00DE6634" w:rsidP="00DE6634">
      <w:pPr>
        <w:pStyle w:val="Notedebasdepage"/>
      </w:pPr>
      <w:r w:rsidRPr="00DE6634">
        <w:rPr>
          <w:sz w:val="20"/>
          <w:lang w:val="fr-FR"/>
        </w:rPr>
        <w:tab/>
        <w:t>*</w:t>
      </w:r>
      <w:r w:rsidRPr="00DE6634">
        <w:rPr>
          <w:sz w:val="20"/>
          <w:lang w:val="fr-FR"/>
        </w:rPr>
        <w:tab/>
      </w:r>
      <w:r>
        <w:rPr>
          <w:lang w:val="fr-FR"/>
        </w:rPr>
        <w:t>Conformément au programme de travail du Comité des transports intérieurs pour 2023 tel qu’il figure dans le projet de budget-programme pour 2023 (A/77/6 (Sect.20),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7F69" w14:textId="3A38B832" w:rsidR="00590CE8" w:rsidRPr="00590CE8" w:rsidRDefault="00590CE8">
    <w:pPr>
      <w:pStyle w:val="En-tte"/>
    </w:pPr>
    <w:fldSimple w:instr=" TITLE  \* MERGEFORMAT ">
      <w:r w:rsidR="001570F2">
        <w:t>ECE/TRANS/WP.29/GRSG/2023/9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5240" w14:textId="510D3422" w:rsidR="00590CE8" w:rsidRPr="00590CE8" w:rsidRDefault="00590CE8" w:rsidP="00590CE8">
    <w:pPr>
      <w:pStyle w:val="En-tte"/>
      <w:jc w:val="right"/>
    </w:pPr>
    <w:fldSimple w:instr=" TITLE  \* MERGEFORMAT ">
      <w:r w:rsidR="001570F2">
        <w:t>ECE/TRANS/WP.29/GRSG/2023/9</w:t>
      </w:r>
    </w:fldSimple>
  </w:p>
  <w:p w14:paraId="503E0941" w14:textId="77777777" w:rsidR="00000000" w:rsidRDefault="001570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2D48" w14:textId="471BB473" w:rsidR="00517B62" w:rsidRPr="00517B62" w:rsidRDefault="00517B62" w:rsidP="00517B62">
    <w:r>
      <w:rPr>
        <w:noProof/>
      </w:rPr>
      <mc:AlternateContent>
        <mc:Choice Requires="wps">
          <w:drawing>
            <wp:anchor distT="0" distB="0" distL="114300" distR="114300" simplePos="0" relativeHeight="251661312" behindDoc="0" locked="0" layoutInCell="1" allowOverlap="1" wp14:anchorId="0CE68665" wp14:editId="6B4C8C82">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CB1DFD" w14:textId="241F4555" w:rsidR="00517B62" w:rsidRPr="00590CE8" w:rsidRDefault="00517B62" w:rsidP="00517B62">
                          <w:pPr>
                            <w:pStyle w:val="En-tte"/>
                          </w:pPr>
                          <w:r>
                            <w:fldChar w:fldCharType="begin"/>
                          </w:r>
                          <w:r>
                            <w:instrText xml:space="preserve"> TITLE  \* MERGEFORMAT </w:instrText>
                          </w:r>
                          <w:r>
                            <w:fldChar w:fldCharType="separate"/>
                          </w:r>
                          <w:r w:rsidR="001570F2">
                            <w:t>ECE/TRANS/WP.29/GRSG/2023/9</w:t>
                          </w:r>
                          <w:r>
                            <w:fldChar w:fldCharType="end"/>
                          </w:r>
                        </w:p>
                        <w:p w14:paraId="6359C659" w14:textId="77777777" w:rsidR="00517B62" w:rsidRDefault="00517B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E68665" id="_x0000_t202" coordsize="21600,21600" o:spt="202" path="m,l,21600r21600,l21600,xe">
              <v:stroke joinstyle="miter"/>
              <v:path gradientshapeok="t" o:connecttype="rect"/>
            </v:shapetype>
            <v:shape id="Zone de texte 8" o:spid="_x0000_s1030"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bP1p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5BCB1DFD" w14:textId="241F4555" w:rsidR="00517B62" w:rsidRPr="00590CE8" w:rsidRDefault="00517B62" w:rsidP="00517B62">
                    <w:pPr>
                      <w:pStyle w:val="En-tte"/>
                    </w:pPr>
                    <w:r>
                      <w:fldChar w:fldCharType="begin"/>
                    </w:r>
                    <w:r>
                      <w:instrText xml:space="preserve"> TITLE  \* MERGEFORMAT </w:instrText>
                    </w:r>
                    <w:r>
                      <w:fldChar w:fldCharType="separate"/>
                    </w:r>
                    <w:r w:rsidR="001570F2">
                      <w:t>ECE/TRANS/WP.29/GRSG/2023/9</w:t>
                    </w:r>
                    <w:r>
                      <w:fldChar w:fldCharType="end"/>
                    </w:r>
                  </w:p>
                  <w:p w14:paraId="6359C659" w14:textId="77777777" w:rsidR="00517B62" w:rsidRDefault="00517B6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9442" w14:textId="29484AEB" w:rsidR="00517B62" w:rsidRPr="00517B62" w:rsidRDefault="00517B62" w:rsidP="00517B62">
    <w:r>
      <w:rPr>
        <w:noProof/>
      </w:rPr>
      <mc:AlternateContent>
        <mc:Choice Requires="wps">
          <w:drawing>
            <wp:anchor distT="0" distB="0" distL="114300" distR="114300" simplePos="0" relativeHeight="251663360" behindDoc="0" locked="0" layoutInCell="1" allowOverlap="1" wp14:anchorId="556EED5D" wp14:editId="4719F7D1">
              <wp:simplePos x="0" y="0"/>
              <wp:positionH relativeFrom="page">
                <wp:posOffset>9935845</wp:posOffset>
              </wp:positionH>
              <wp:positionV relativeFrom="margin">
                <wp:posOffset>0</wp:posOffset>
              </wp:positionV>
              <wp:extent cx="215900" cy="612013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C001C7A" w14:textId="36BF1225" w:rsidR="00517B62" w:rsidRPr="00590CE8" w:rsidRDefault="00517B62" w:rsidP="00517B62">
                          <w:pPr>
                            <w:pStyle w:val="En-tte"/>
                            <w:jc w:val="right"/>
                          </w:pPr>
                          <w:r>
                            <w:fldChar w:fldCharType="begin"/>
                          </w:r>
                          <w:r>
                            <w:instrText xml:space="preserve"> TITLE  \* MERGEFORMAT </w:instrText>
                          </w:r>
                          <w:r>
                            <w:fldChar w:fldCharType="separate"/>
                          </w:r>
                          <w:r w:rsidR="001570F2">
                            <w:t>ECE/TRANS/WP.29/GRSG/2023/9</w:t>
                          </w:r>
                          <w:r>
                            <w:fldChar w:fldCharType="end"/>
                          </w:r>
                        </w:p>
                        <w:p w14:paraId="7B511AD5" w14:textId="77777777" w:rsidR="00517B62" w:rsidRDefault="00517B62" w:rsidP="00517B62"/>
                        <w:p w14:paraId="3D561CCD" w14:textId="77777777" w:rsidR="00517B62" w:rsidRDefault="00517B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6EED5D" id="_x0000_t202" coordsize="21600,21600" o:spt="202" path="m,l,21600r21600,l21600,xe">
              <v:stroke joinstyle="miter"/>
              <v:path gradientshapeok="t" o:connecttype="rect"/>
            </v:shapetype>
            <v:shape id="Zone de texte 10" o:spid="_x0000_s1031"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C001C7A" w14:textId="36BF1225" w:rsidR="00517B62" w:rsidRPr="00590CE8" w:rsidRDefault="00517B62" w:rsidP="00517B62">
                    <w:pPr>
                      <w:pStyle w:val="En-tte"/>
                      <w:jc w:val="right"/>
                    </w:pPr>
                    <w:r>
                      <w:fldChar w:fldCharType="begin"/>
                    </w:r>
                    <w:r>
                      <w:instrText xml:space="preserve"> TITLE  \* MERGEFORMAT </w:instrText>
                    </w:r>
                    <w:r>
                      <w:fldChar w:fldCharType="separate"/>
                    </w:r>
                    <w:r w:rsidR="001570F2">
                      <w:t>ECE/TRANS/WP.29/GRSG/2023/9</w:t>
                    </w:r>
                    <w:r>
                      <w:fldChar w:fldCharType="end"/>
                    </w:r>
                  </w:p>
                  <w:p w14:paraId="7B511AD5" w14:textId="77777777" w:rsidR="00517B62" w:rsidRDefault="00517B62" w:rsidP="00517B62"/>
                  <w:p w14:paraId="3D561CCD" w14:textId="77777777" w:rsidR="00517B62" w:rsidRDefault="00517B6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1FFA" w14:textId="4CD61E7A" w:rsidR="002E16D8" w:rsidRPr="002E16D8" w:rsidRDefault="002E16D8" w:rsidP="002E16D8">
    <w:pPr>
      <w:pStyle w:val="En-tte"/>
    </w:pPr>
    <w:fldSimple w:instr=" TITLE  \* MERGEFORMAT ">
      <w:r w:rsidR="001570F2">
        <w:t>ECE/TRANS/WP.29/GRSG/2023/9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3066" w14:textId="5E5319D6" w:rsidR="002E16D8" w:rsidRPr="002E16D8" w:rsidRDefault="002E16D8" w:rsidP="002E16D8">
    <w:pPr>
      <w:pStyle w:val="En-tte"/>
      <w:jc w:val="right"/>
    </w:pPr>
    <w:fldSimple w:instr=" TITLE  \* MERGEFORMAT ">
      <w:r w:rsidR="001570F2">
        <w:t>ECE/TRANS/WP.29/GRSG/2023/9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1B00ECD"/>
    <w:multiLevelType w:val="hybridMultilevel"/>
    <w:tmpl w:val="8F24F9BE"/>
    <w:lvl w:ilvl="0" w:tplc="7DF2341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76764A1"/>
    <w:multiLevelType w:val="hybridMultilevel"/>
    <w:tmpl w:val="4756FFB0"/>
    <w:lvl w:ilvl="0" w:tplc="A49EE2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8327AFD"/>
    <w:multiLevelType w:val="hybridMultilevel"/>
    <w:tmpl w:val="C8981596"/>
    <w:lvl w:ilvl="0" w:tplc="0164936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3B"/>
    <w:rsid w:val="00017F94"/>
    <w:rsid w:val="00023842"/>
    <w:rsid w:val="000334F9"/>
    <w:rsid w:val="00045FEB"/>
    <w:rsid w:val="0007796D"/>
    <w:rsid w:val="000B7790"/>
    <w:rsid w:val="00111F2F"/>
    <w:rsid w:val="0014365E"/>
    <w:rsid w:val="00143C66"/>
    <w:rsid w:val="001570F2"/>
    <w:rsid w:val="00176178"/>
    <w:rsid w:val="001F525A"/>
    <w:rsid w:val="00201148"/>
    <w:rsid w:val="00223272"/>
    <w:rsid w:val="0024779E"/>
    <w:rsid w:val="00257168"/>
    <w:rsid w:val="002744B8"/>
    <w:rsid w:val="002832AC"/>
    <w:rsid w:val="002D7C93"/>
    <w:rsid w:val="002E16D8"/>
    <w:rsid w:val="00305801"/>
    <w:rsid w:val="003916DE"/>
    <w:rsid w:val="00421996"/>
    <w:rsid w:val="00441C3B"/>
    <w:rsid w:val="00446FE5"/>
    <w:rsid w:val="00452396"/>
    <w:rsid w:val="00477EB2"/>
    <w:rsid w:val="004837D8"/>
    <w:rsid w:val="004A19C8"/>
    <w:rsid w:val="004B7A4F"/>
    <w:rsid w:val="004E2EED"/>
    <w:rsid w:val="004E468C"/>
    <w:rsid w:val="00517B62"/>
    <w:rsid w:val="005505B7"/>
    <w:rsid w:val="00573BE5"/>
    <w:rsid w:val="00586ED3"/>
    <w:rsid w:val="00590CE8"/>
    <w:rsid w:val="00596AA9"/>
    <w:rsid w:val="0071601D"/>
    <w:rsid w:val="007A463B"/>
    <w:rsid w:val="007A62E6"/>
    <w:rsid w:val="007F20FA"/>
    <w:rsid w:val="0080684C"/>
    <w:rsid w:val="00871C75"/>
    <w:rsid w:val="008776DC"/>
    <w:rsid w:val="008D5EF9"/>
    <w:rsid w:val="008F21C7"/>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F5CCE"/>
    <w:rsid w:val="00C02897"/>
    <w:rsid w:val="00C514C8"/>
    <w:rsid w:val="00C97039"/>
    <w:rsid w:val="00CF6F1F"/>
    <w:rsid w:val="00D3439C"/>
    <w:rsid w:val="00D7622E"/>
    <w:rsid w:val="00DB1831"/>
    <w:rsid w:val="00DD3BFD"/>
    <w:rsid w:val="00DE6634"/>
    <w:rsid w:val="00DF13BD"/>
    <w:rsid w:val="00DF6678"/>
    <w:rsid w:val="00E0299A"/>
    <w:rsid w:val="00E85C74"/>
    <w:rsid w:val="00EA6547"/>
    <w:rsid w:val="00EB4727"/>
    <w:rsid w:val="00ED7237"/>
    <w:rsid w:val="00EF2E22"/>
    <w:rsid w:val="00F35BAF"/>
    <w:rsid w:val="00F660DF"/>
    <w:rsid w:val="00F85B6A"/>
    <w:rsid w:val="00F91AE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7931D"/>
  <w15:docId w15:val="{760280C1-D662-44B5-9D55-2A3BF058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DE6634"/>
    <w:rPr>
      <w:rFonts w:ascii="Times New Roman" w:eastAsiaTheme="minorHAnsi" w:hAnsi="Times New Roman" w:cs="Times New Roman"/>
      <w:sz w:val="20"/>
      <w:szCs w:val="20"/>
      <w:lang w:eastAsia="en-US"/>
    </w:rPr>
  </w:style>
  <w:style w:type="character" w:customStyle="1" w:styleId="HChGChar">
    <w:name w:val="_ H _Ch_G Char"/>
    <w:link w:val="HChG"/>
    <w:locked/>
    <w:rsid w:val="00DE6634"/>
    <w:rPr>
      <w:rFonts w:ascii="Times New Roman" w:eastAsiaTheme="minorHAnsi" w:hAnsi="Times New Roman" w:cs="Times New Roman"/>
      <w:b/>
      <w:sz w:val="28"/>
      <w:szCs w:val="20"/>
      <w:lang w:eastAsia="en-US"/>
    </w:rPr>
  </w:style>
  <w:style w:type="paragraph" w:styleId="Sansinterligne">
    <w:name w:val="No Spacing"/>
    <w:uiPriority w:val="1"/>
    <w:qFormat/>
    <w:rsid w:val="002E16D8"/>
    <w:pPr>
      <w:spacing w:after="0" w:line="240" w:lineRule="auto"/>
    </w:pPr>
    <w:rPr>
      <w:rFonts w:eastAsiaTheme="minorHAns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10</Pages>
  <Words>2169</Words>
  <Characters>15186</Characters>
  <Application>Microsoft Office Word</Application>
  <DocSecurity>0</DocSecurity>
  <Lines>1265</Lines>
  <Paragraphs>694</Paragraphs>
  <ScaleCrop>false</ScaleCrop>
  <HeadingPairs>
    <vt:vector size="2" baseType="variant">
      <vt:variant>
        <vt:lpstr>Titre</vt:lpstr>
      </vt:variant>
      <vt:variant>
        <vt:i4>1</vt:i4>
      </vt:variant>
    </vt:vector>
  </HeadingPairs>
  <TitlesOfParts>
    <vt:vector size="1" baseType="lpstr">
      <vt:lpstr>ECE/TRANS/WP.29/GRSG/2023/9</vt:lpstr>
    </vt:vector>
  </TitlesOfParts>
  <Company>DCM</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ECE/TRANS/WP.29/GRSG/2023/9</dc:title>
  <dc:subject/>
  <dc:creator>Nicolas MORIN</dc:creator>
  <cp:keywords/>
  <cp:lastModifiedBy>Nicolas Morin</cp:lastModifiedBy>
  <cp:revision>2</cp:revision>
  <cp:lastPrinted>2023-01-19T11:08:00Z</cp:lastPrinted>
  <dcterms:created xsi:type="dcterms:W3CDTF">2023-01-19T11:08:00Z</dcterms:created>
  <dcterms:modified xsi:type="dcterms:W3CDTF">2023-01-19T11:08:00Z</dcterms:modified>
</cp:coreProperties>
</file>