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5532850" w14:textId="77777777" w:rsidTr="00387CD4">
        <w:trPr>
          <w:trHeight w:hRule="exact" w:val="851"/>
        </w:trPr>
        <w:tc>
          <w:tcPr>
            <w:tcW w:w="142" w:type="dxa"/>
            <w:tcBorders>
              <w:bottom w:val="single" w:sz="4" w:space="0" w:color="auto"/>
            </w:tcBorders>
          </w:tcPr>
          <w:p w14:paraId="477DD92E" w14:textId="77777777" w:rsidR="002D5AAC" w:rsidRDefault="002D5AAC" w:rsidP="0051512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20191A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13E7D20" w14:textId="1B82B660" w:rsidR="002D5AAC" w:rsidRDefault="00515124" w:rsidP="00515124">
            <w:pPr>
              <w:jc w:val="right"/>
            </w:pPr>
            <w:r w:rsidRPr="00515124">
              <w:rPr>
                <w:sz w:val="40"/>
              </w:rPr>
              <w:t>ECE</w:t>
            </w:r>
            <w:r>
              <w:t>/TRANS/WP.29/GRSG/2023/6</w:t>
            </w:r>
          </w:p>
        </w:tc>
      </w:tr>
      <w:tr w:rsidR="002D5AAC" w:rsidRPr="00F12544" w14:paraId="65173D3A" w14:textId="77777777" w:rsidTr="00387CD4">
        <w:trPr>
          <w:trHeight w:hRule="exact" w:val="2835"/>
        </w:trPr>
        <w:tc>
          <w:tcPr>
            <w:tcW w:w="1280" w:type="dxa"/>
            <w:gridSpan w:val="2"/>
            <w:tcBorders>
              <w:top w:val="single" w:sz="4" w:space="0" w:color="auto"/>
              <w:bottom w:val="single" w:sz="12" w:space="0" w:color="auto"/>
            </w:tcBorders>
          </w:tcPr>
          <w:p w14:paraId="423E7049" w14:textId="77777777" w:rsidR="002D5AAC" w:rsidRDefault="002E5067" w:rsidP="00387CD4">
            <w:pPr>
              <w:spacing w:before="120"/>
              <w:jc w:val="center"/>
            </w:pPr>
            <w:r>
              <w:rPr>
                <w:noProof/>
                <w:lang w:val="fr-CH" w:eastAsia="fr-CH"/>
              </w:rPr>
              <w:drawing>
                <wp:inline distT="0" distB="0" distL="0" distR="0" wp14:anchorId="412370D7" wp14:editId="07ACCCE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066779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C9E199D" w14:textId="77777777" w:rsidR="002D5AAC" w:rsidRDefault="00515124" w:rsidP="00387CD4">
            <w:pPr>
              <w:spacing w:before="240"/>
              <w:rPr>
                <w:lang w:val="en-US"/>
              </w:rPr>
            </w:pPr>
            <w:r>
              <w:rPr>
                <w:lang w:val="en-US"/>
              </w:rPr>
              <w:t>Distr.: General</w:t>
            </w:r>
          </w:p>
          <w:p w14:paraId="7E64C9FD" w14:textId="77777777" w:rsidR="00515124" w:rsidRDefault="00515124" w:rsidP="00515124">
            <w:pPr>
              <w:spacing w:line="240" w:lineRule="exact"/>
              <w:rPr>
                <w:lang w:val="en-US"/>
              </w:rPr>
            </w:pPr>
            <w:r>
              <w:rPr>
                <w:lang w:val="en-US"/>
              </w:rPr>
              <w:t>11 January 2023</w:t>
            </w:r>
          </w:p>
          <w:p w14:paraId="21AF77B6" w14:textId="77777777" w:rsidR="00515124" w:rsidRDefault="00515124" w:rsidP="00515124">
            <w:pPr>
              <w:spacing w:line="240" w:lineRule="exact"/>
              <w:rPr>
                <w:lang w:val="en-US"/>
              </w:rPr>
            </w:pPr>
            <w:r>
              <w:rPr>
                <w:lang w:val="en-US"/>
              </w:rPr>
              <w:t>Russian</w:t>
            </w:r>
          </w:p>
          <w:p w14:paraId="260691E1" w14:textId="2E191E93" w:rsidR="00515124" w:rsidRPr="008D53B6" w:rsidRDefault="00515124" w:rsidP="00515124">
            <w:pPr>
              <w:spacing w:line="240" w:lineRule="exact"/>
              <w:rPr>
                <w:lang w:val="en-US"/>
              </w:rPr>
            </w:pPr>
            <w:r>
              <w:rPr>
                <w:lang w:val="en-US"/>
              </w:rPr>
              <w:t>Original: English</w:t>
            </w:r>
          </w:p>
        </w:tc>
      </w:tr>
    </w:tbl>
    <w:p w14:paraId="4794C7C4"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22DB954" w14:textId="77777777" w:rsidR="00515124" w:rsidRPr="00515124" w:rsidRDefault="00515124" w:rsidP="00515124">
      <w:pPr>
        <w:spacing w:before="120"/>
        <w:rPr>
          <w:color w:val="000000"/>
          <w:sz w:val="28"/>
          <w:szCs w:val="28"/>
        </w:rPr>
      </w:pPr>
      <w:r w:rsidRPr="00515124">
        <w:rPr>
          <w:sz w:val="28"/>
          <w:szCs w:val="28"/>
        </w:rPr>
        <w:t xml:space="preserve">Комитет по внутреннему транспорту </w:t>
      </w:r>
    </w:p>
    <w:p w14:paraId="5F2BCE57" w14:textId="5F720468" w:rsidR="00515124" w:rsidRPr="00515124" w:rsidRDefault="00515124" w:rsidP="00515124">
      <w:pPr>
        <w:spacing w:before="120"/>
        <w:rPr>
          <w:sz w:val="24"/>
          <w:szCs w:val="24"/>
        </w:rPr>
      </w:pPr>
      <w:r w:rsidRPr="00515124">
        <w:rPr>
          <w:b/>
          <w:bCs/>
          <w:sz w:val="24"/>
          <w:szCs w:val="24"/>
        </w:rPr>
        <w:t xml:space="preserve">Всемирный форум для согласования правил </w:t>
      </w:r>
      <w:r w:rsidRPr="00515124">
        <w:rPr>
          <w:b/>
          <w:bCs/>
          <w:sz w:val="24"/>
          <w:szCs w:val="24"/>
        </w:rPr>
        <w:br/>
        <w:t>в области транспортных средств</w:t>
      </w:r>
      <w:r w:rsidRPr="00515124">
        <w:rPr>
          <w:sz w:val="24"/>
          <w:szCs w:val="24"/>
        </w:rPr>
        <w:t xml:space="preserve"> </w:t>
      </w:r>
    </w:p>
    <w:p w14:paraId="2E97BF24" w14:textId="6DE84CED" w:rsidR="00515124" w:rsidRPr="00B66038" w:rsidRDefault="00515124" w:rsidP="00515124">
      <w:pPr>
        <w:tabs>
          <w:tab w:val="left" w:pos="7256"/>
        </w:tabs>
        <w:spacing w:before="120" w:after="120"/>
        <w:rPr>
          <w:b/>
          <w:bCs/>
        </w:rPr>
      </w:pPr>
      <w:r>
        <w:rPr>
          <w:b/>
          <w:bCs/>
        </w:rPr>
        <w:t xml:space="preserve">Рабочая группа по общим предписаниям, </w:t>
      </w:r>
      <w:r>
        <w:rPr>
          <w:b/>
          <w:bCs/>
        </w:rPr>
        <w:br/>
        <w:t>касающимся безопасности</w:t>
      </w:r>
    </w:p>
    <w:p w14:paraId="0E8C9243" w14:textId="77777777" w:rsidR="00515124" w:rsidRPr="00B66038" w:rsidRDefault="00515124" w:rsidP="00515124">
      <w:pPr>
        <w:rPr>
          <w:b/>
        </w:rPr>
      </w:pPr>
      <w:r>
        <w:rPr>
          <w:b/>
          <w:bCs/>
        </w:rPr>
        <w:t>Сто двадцать пятая сессия</w:t>
      </w:r>
      <w:r>
        <w:t xml:space="preserve"> </w:t>
      </w:r>
    </w:p>
    <w:p w14:paraId="41D3C112" w14:textId="2D548CCB" w:rsidR="00515124" w:rsidRPr="00B66038" w:rsidRDefault="00515124" w:rsidP="00515124">
      <w:pPr>
        <w:rPr>
          <w:bCs/>
        </w:rPr>
      </w:pPr>
      <w:r>
        <w:t>Женева, 27</w:t>
      </w:r>
      <w:r w:rsidRPr="00F12544">
        <w:t>–</w:t>
      </w:r>
      <w:r>
        <w:t>31 марта 2023 года</w:t>
      </w:r>
    </w:p>
    <w:p w14:paraId="73A2BA3C" w14:textId="77777777" w:rsidR="00515124" w:rsidRPr="00B66038" w:rsidRDefault="00515124" w:rsidP="00515124">
      <w:pPr>
        <w:rPr>
          <w:bCs/>
        </w:rPr>
      </w:pPr>
      <w:r>
        <w:t>Пункт 15 b) предварительной повестки дня</w:t>
      </w:r>
    </w:p>
    <w:p w14:paraId="44CF82D0" w14:textId="77777777" w:rsidR="00515124" w:rsidRPr="00B66038" w:rsidRDefault="00515124" w:rsidP="00515124">
      <w:pPr>
        <w:rPr>
          <w:b/>
          <w:bCs/>
        </w:rPr>
      </w:pPr>
      <w:r>
        <w:rPr>
          <w:b/>
          <w:bCs/>
        </w:rPr>
        <w:t>Периодические технические осмотры</w:t>
      </w:r>
    </w:p>
    <w:p w14:paraId="67DA3882" w14:textId="6ED9CC66" w:rsidR="00515124" w:rsidRPr="00B66038" w:rsidRDefault="00515124" w:rsidP="00515124">
      <w:pPr>
        <w:pStyle w:val="HChG"/>
      </w:pPr>
      <w:r>
        <w:tab/>
      </w:r>
      <w:r>
        <w:tab/>
      </w:r>
      <w:r>
        <w:tab/>
        <w:t xml:space="preserve">Предложение по новому Предписанию </w:t>
      </w:r>
      <w:r>
        <w:br/>
        <w:t>(Соглашение 1997 года)</w:t>
      </w:r>
    </w:p>
    <w:p w14:paraId="39B6AFFD" w14:textId="07E44214" w:rsidR="00515124" w:rsidRPr="00B66038" w:rsidRDefault="00515124" w:rsidP="00515124">
      <w:pPr>
        <w:pStyle w:val="H1G"/>
      </w:pPr>
      <w:r>
        <w:tab/>
      </w:r>
      <w:r>
        <w:tab/>
        <w:t>Представлено экспертом неофициальной рабочей группы по</w:t>
      </w:r>
      <w:r>
        <w:rPr>
          <w:lang w:val="en-US"/>
        </w:rPr>
        <w:t> </w:t>
      </w:r>
      <w:r>
        <w:t>периодическим техническим осмотрам</w:t>
      </w:r>
      <w:r w:rsidRPr="008A7DC3">
        <w:rPr>
          <w:b w:val="0"/>
          <w:bCs/>
          <w:sz w:val="20"/>
        </w:rPr>
        <w:footnoteReference w:customMarkFollows="1" w:id="1"/>
        <w:t>*</w:t>
      </w:r>
    </w:p>
    <w:p w14:paraId="29414969" w14:textId="00D5C851" w:rsidR="00E12C5F" w:rsidRDefault="00515124" w:rsidP="00515124">
      <w:pPr>
        <w:pStyle w:val="SingleTxtG"/>
      </w:pPr>
      <w:r>
        <w:tab/>
        <w:t>Воспроизведенный ниже текст был подготовлен неофициальной рабочей группой по периодическим техническим осмотрам (НРГ по ПТО). В его основу положен неофициальный документ GRSG-</w:t>
      </w:r>
      <w:proofErr w:type="gramStart"/>
      <w:r>
        <w:t>124-11</w:t>
      </w:r>
      <w:proofErr w:type="gramEnd"/>
      <w:r>
        <w:t>, распространенный на сто двадцать четвертой сессии Рабочей группы по общим предписаниям, касающимся безопасности (GRSG).</w:t>
      </w:r>
    </w:p>
    <w:p w14:paraId="24728DD1" w14:textId="59B7475A" w:rsidR="00515124" w:rsidRDefault="00515124">
      <w:pPr>
        <w:suppressAutoHyphens w:val="0"/>
        <w:spacing w:line="240" w:lineRule="auto"/>
        <w:rPr>
          <w:rFonts w:eastAsia="Times New Roman" w:cs="Times New Roman"/>
          <w:szCs w:val="20"/>
        </w:rPr>
      </w:pPr>
      <w:r>
        <w:br w:type="page"/>
      </w:r>
    </w:p>
    <w:p w14:paraId="30F27F15" w14:textId="77777777" w:rsidR="00515124" w:rsidRPr="00B66038" w:rsidRDefault="00515124" w:rsidP="00515124">
      <w:pPr>
        <w:pStyle w:val="HChG"/>
        <w:rPr>
          <w:color w:val="000000" w:themeColor="text1"/>
        </w:rPr>
      </w:pPr>
      <w:bookmarkStart w:id="0" w:name="_Hlk50446194"/>
      <w:bookmarkStart w:id="1" w:name="_Hlk50446402"/>
      <w:r>
        <w:lastRenderedPageBreak/>
        <w:tab/>
      </w:r>
      <w:r w:rsidRPr="00B66038">
        <w:t>I.</w:t>
      </w:r>
      <w:r w:rsidRPr="00B66038">
        <w:tab/>
        <w:t xml:space="preserve">Предложение </w:t>
      </w:r>
    </w:p>
    <w:bookmarkEnd w:id="0"/>
    <w:bookmarkEnd w:id="1"/>
    <w:p w14:paraId="62021C3F" w14:textId="77777777" w:rsidR="00515124" w:rsidRPr="00B66038" w:rsidRDefault="00515124" w:rsidP="00515124">
      <w:pPr>
        <w:pStyle w:val="HChG"/>
      </w:pPr>
      <w:r>
        <w:tab/>
      </w:r>
      <w:r>
        <w:tab/>
        <w:t xml:space="preserve">«Предписание № 5 </w:t>
      </w:r>
    </w:p>
    <w:p w14:paraId="06029201" w14:textId="77777777" w:rsidR="00515124" w:rsidRPr="00B66038" w:rsidRDefault="00515124" w:rsidP="00515124">
      <w:pPr>
        <w:pStyle w:val="HChG"/>
      </w:pPr>
      <w:r>
        <w:tab/>
      </w:r>
      <w:r>
        <w:tab/>
        <w:t>Единообразные предписания, касающиеся периодических технических осмотров колесных транспортных средств, в отношении автоматических систем вызова экстренных оперативных служб</w:t>
      </w:r>
    </w:p>
    <w:p w14:paraId="4D68CACF" w14:textId="77777777" w:rsidR="00515124" w:rsidRDefault="00515124" w:rsidP="00515124">
      <w:pPr>
        <w:spacing w:before="360" w:after="120"/>
        <w:rPr>
          <w:sz w:val="28"/>
        </w:rPr>
      </w:pPr>
      <w:r>
        <w:rPr>
          <w:sz w:val="28"/>
        </w:rPr>
        <w:t>Содержание</w:t>
      </w:r>
    </w:p>
    <w:p w14:paraId="48395592" w14:textId="77777777" w:rsidR="00515124" w:rsidRDefault="00515124" w:rsidP="00F1583A">
      <w:pPr>
        <w:tabs>
          <w:tab w:val="right" w:pos="9638"/>
        </w:tabs>
        <w:spacing w:after="120"/>
        <w:ind w:left="283"/>
        <w:rPr>
          <w:sz w:val="18"/>
        </w:rPr>
      </w:pPr>
      <w:r>
        <w:rPr>
          <w:i/>
          <w:sz w:val="18"/>
        </w:rPr>
        <w:tab/>
        <w:t>Стр.</w:t>
      </w:r>
    </w:p>
    <w:p w14:paraId="7C62E890" w14:textId="7AAB8225" w:rsidR="00515124" w:rsidRPr="00515124" w:rsidRDefault="00515124" w:rsidP="00BD73B5">
      <w:pPr>
        <w:tabs>
          <w:tab w:val="right" w:pos="1092"/>
          <w:tab w:val="left" w:pos="1418"/>
          <w:tab w:val="left" w:leader="dot" w:pos="8787"/>
          <w:tab w:val="right" w:pos="9638"/>
        </w:tabs>
        <w:spacing w:after="120"/>
      </w:pPr>
      <w:r>
        <w:tab/>
      </w:r>
      <w:r w:rsidRPr="00515124">
        <w:t>1.</w:t>
      </w:r>
      <w:r w:rsidRPr="00515124">
        <w:tab/>
        <w:t>Область применения</w:t>
      </w:r>
      <w:r w:rsidRPr="00515124">
        <w:tab/>
      </w:r>
      <w:r w:rsidRPr="00515124">
        <w:tab/>
      </w:r>
      <w:r w:rsidR="00005A57">
        <w:t>3</w:t>
      </w:r>
    </w:p>
    <w:p w14:paraId="7980CAD4" w14:textId="20ACBBC1" w:rsidR="00515124" w:rsidRPr="00515124" w:rsidRDefault="00515124" w:rsidP="00BD73B5">
      <w:pPr>
        <w:tabs>
          <w:tab w:val="right" w:pos="1092"/>
          <w:tab w:val="left" w:pos="1418"/>
          <w:tab w:val="left" w:leader="dot" w:pos="8787"/>
          <w:tab w:val="right" w:pos="9638"/>
        </w:tabs>
        <w:spacing w:after="120"/>
      </w:pPr>
      <w:r>
        <w:tab/>
      </w:r>
      <w:r w:rsidRPr="00515124">
        <w:t>2.</w:t>
      </w:r>
      <w:r w:rsidRPr="00515124">
        <w:tab/>
        <w:t>Определения</w:t>
      </w:r>
      <w:r w:rsidRPr="00515124">
        <w:tab/>
      </w:r>
      <w:r w:rsidRPr="00515124">
        <w:tab/>
      </w:r>
      <w:r w:rsidR="00005A57">
        <w:t>3</w:t>
      </w:r>
    </w:p>
    <w:p w14:paraId="5CF22438" w14:textId="1DABADC3" w:rsidR="00515124" w:rsidRPr="00515124" w:rsidRDefault="00515124" w:rsidP="00BD73B5">
      <w:pPr>
        <w:tabs>
          <w:tab w:val="right" w:pos="1092"/>
          <w:tab w:val="left" w:pos="1418"/>
          <w:tab w:val="left" w:leader="dot" w:pos="8787"/>
          <w:tab w:val="right" w:pos="9638"/>
        </w:tabs>
        <w:spacing w:after="120"/>
      </w:pPr>
      <w:r>
        <w:tab/>
      </w:r>
      <w:r w:rsidRPr="00515124">
        <w:t>3.</w:t>
      </w:r>
      <w:r w:rsidRPr="00515124">
        <w:tab/>
        <w:t>Периодичность технических осмотров</w:t>
      </w:r>
      <w:r w:rsidRPr="00515124">
        <w:tab/>
      </w:r>
      <w:r w:rsidRPr="00515124">
        <w:tab/>
      </w:r>
      <w:r w:rsidR="00005A57">
        <w:t>4</w:t>
      </w:r>
    </w:p>
    <w:p w14:paraId="50646643" w14:textId="5E35D2BA" w:rsidR="00515124" w:rsidRPr="00515124" w:rsidRDefault="00515124" w:rsidP="00BD73B5">
      <w:pPr>
        <w:tabs>
          <w:tab w:val="right" w:pos="1092"/>
          <w:tab w:val="left" w:pos="1418"/>
          <w:tab w:val="left" w:leader="dot" w:pos="8787"/>
          <w:tab w:val="right" w:pos="9638"/>
        </w:tabs>
        <w:spacing w:after="120"/>
      </w:pPr>
      <w:r>
        <w:tab/>
      </w:r>
      <w:r w:rsidRPr="00515124">
        <w:t>4.</w:t>
      </w:r>
      <w:r w:rsidRPr="00515124">
        <w:tab/>
        <w:t>Технический осмотр</w:t>
      </w:r>
      <w:r w:rsidRPr="00515124">
        <w:tab/>
      </w:r>
      <w:r w:rsidRPr="00515124">
        <w:tab/>
      </w:r>
      <w:r w:rsidR="00005A57">
        <w:t>4</w:t>
      </w:r>
    </w:p>
    <w:p w14:paraId="36B40416" w14:textId="51E20EF3" w:rsidR="00515124" w:rsidRPr="00515124" w:rsidRDefault="00515124" w:rsidP="00BD73B5">
      <w:pPr>
        <w:tabs>
          <w:tab w:val="right" w:pos="1092"/>
          <w:tab w:val="left" w:pos="1418"/>
          <w:tab w:val="left" w:leader="dot" w:pos="8787"/>
          <w:tab w:val="right" w:pos="9638"/>
        </w:tabs>
        <w:spacing w:after="120"/>
      </w:pPr>
      <w:r>
        <w:tab/>
      </w:r>
      <w:r w:rsidRPr="00515124">
        <w:t>5.</w:t>
      </w:r>
      <w:r w:rsidRPr="00515124">
        <w:tab/>
        <w:t>Методы проведения осмотра</w:t>
      </w:r>
      <w:r w:rsidRPr="00515124">
        <w:tab/>
      </w:r>
      <w:r w:rsidRPr="00515124">
        <w:tab/>
      </w:r>
      <w:r w:rsidR="00005A57">
        <w:t>4</w:t>
      </w:r>
    </w:p>
    <w:p w14:paraId="330DA17A" w14:textId="686450E6" w:rsidR="00515124" w:rsidRPr="00515124" w:rsidRDefault="00515124" w:rsidP="00BD73B5">
      <w:pPr>
        <w:tabs>
          <w:tab w:val="right" w:pos="1092"/>
          <w:tab w:val="left" w:pos="1418"/>
          <w:tab w:val="left" w:leader="dot" w:pos="8787"/>
          <w:tab w:val="right" w:pos="9638"/>
        </w:tabs>
        <w:spacing w:after="120"/>
      </w:pPr>
      <w:r>
        <w:tab/>
      </w:r>
      <w:r w:rsidRPr="00515124">
        <w:t>6.</w:t>
      </w:r>
      <w:r w:rsidRPr="00515124">
        <w:tab/>
        <w:t>Основные причины для отказа и оценка дефектов</w:t>
      </w:r>
      <w:r w:rsidRPr="00515124">
        <w:tab/>
      </w:r>
      <w:r w:rsidRPr="00515124">
        <w:tab/>
      </w:r>
      <w:r w:rsidR="00005A57">
        <w:t>4</w:t>
      </w:r>
    </w:p>
    <w:p w14:paraId="2CF884DC" w14:textId="6B80727A" w:rsidR="00515124" w:rsidRPr="00515124" w:rsidRDefault="00515124" w:rsidP="00BD73B5">
      <w:pPr>
        <w:tabs>
          <w:tab w:val="right" w:pos="1092"/>
          <w:tab w:val="left" w:pos="1418"/>
          <w:tab w:val="left" w:leader="dot" w:pos="8787"/>
          <w:tab w:val="right" w:pos="9638"/>
        </w:tabs>
        <w:spacing w:after="120"/>
      </w:pPr>
      <w:r>
        <w:tab/>
      </w:r>
      <w:r w:rsidRPr="00515124">
        <w:t>7.</w:t>
      </w:r>
      <w:r w:rsidRPr="00515124">
        <w:tab/>
        <w:t>Названия и адреса</w:t>
      </w:r>
      <w:r w:rsidRPr="00515124">
        <w:tab/>
      </w:r>
      <w:r w:rsidRPr="00515124">
        <w:tab/>
      </w:r>
      <w:r w:rsidR="00005A57">
        <w:t>5</w:t>
      </w:r>
    </w:p>
    <w:p w14:paraId="550DC6F5" w14:textId="2884894B" w:rsidR="00515124" w:rsidRPr="00515124" w:rsidRDefault="00515124" w:rsidP="009A0832">
      <w:pPr>
        <w:tabs>
          <w:tab w:val="right" w:pos="993"/>
          <w:tab w:val="left" w:pos="1418"/>
          <w:tab w:val="left" w:leader="dot" w:pos="8787"/>
          <w:tab w:val="right" w:pos="9638"/>
        </w:tabs>
        <w:spacing w:after="120"/>
      </w:pPr>
      <w:r w:rsidRPr="00515124">
        <w:tab/>
        <w:t>Приложение</w:t>
      </w:r>
      <w:r w:rsidRPr="00515124">
        <w:tab/>
      </w:r>
      <w:r w:rsidR="000134AD">
        <w:rPr>
          <w:bCs/>
        </w:rPr>
        <w:t>Минимальные требования к осмотру</w:t>
      </w:r>
      <w:r w:rsidRPr="00515124">
        <w:tab/>
      </w:r>
      <w:r w:rsidRPr="00515124">
        <w:tab/>
      </w:r>
      <w:r w:rsidR="00005A57">
        <w:t>6</w:t>
      </w:r>
    </w:p>
    <w:p w14:paraId="673930A1" w14:textId="34D7D762" w:rsidR="00515124" w:rsidRDefault="00515124">
      <w:pPr>
        <w:suppressAutoHyphens w:val="0"/>
        <w:spacing w:line="240" w:lineRule="auto"/>
        <w:rPr>
          <w:rFonts w:eastAsia="Times New Roman" w:cs="Times New Roman"/>
          <w:szCs w:val="20"/>
        </w:rPr>
      </w:pPr>
      <w:r>
        <w:br w:type="page"/>
      </w:r>
    </w:p>
    <w:p w14:paraId="602BDA59" w14:textId="77777777" w:rsidR="00515124" w:rsidRPr="00B66038" w:rsidRDefault="00515124" w:rsidP="00515124">
      <w:pPr>
        <w:pStyle w:val="H1G"/>
      </w:pPr>
      <w:r>
        <w:rPr>
          <w:bCs/>
        </w:rPr>
        <w:lastRenderedPageBreak/>
        <w:tab/>
      </w:r>
      <w:r>
        <w:rPr>
          <w:bCs/>
        </w:rPr>
        <w:tab/>
        <w:t>1.</w:t>
      </w:r>
      <w:r>
        <w:tab/>
      </w:r>
      <w:r>
        <w:tab/>
      </w:r>
      <w:r>
        <w:rPr>
          <w:bCs/>
        </w:rPr>
        <w:t>Область применения</w:t>
      </w:r>
    </w:p>
    <w:p w14:paraId="0D647462" w14:textId="77777777" w:rsidR="00515124" w:rsidRPr="00B66038" w:rsidRDefault="00515124" w:rsidP="00515124">
      <w:pPr>
        <w:pStyle w:val="para"/>
        <w:rPr>
          <w:lang w:val="ru-RU"/>
        </w:rPr>
      </w:pPr>
      <w:r>
        <w:rPr>
          <w:lang w:val="ru-RU"/>
        </w:rPr>
        <w:t>1.1</w:t>
      </w:r>
      <w:r>
        <w:rPr>
          <w:lang w:val="ru-RU"/>
        </w:rPr>
        <w:tab/>
        <w:t>Для целей статьи 1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 подлежащие осмотру позиции имеют отношение к требованиям об обеспечении безопасности.</w:t>
      </w:r>
    </w:p>
    <w:p w14:paraId="61D1843A" w14:textId="69F4F09B" w:rsidR="00515124" w:rsidRPr="0080392A" w:rsidRDefault="00515124" w:rsidP="00515124">
      <w:pPr>
        <w:pStyle w:val="para"/>
        <w:rPr>
          <w:lang w:val="ru-RU"/>
        </w:rPr>
      </w:pPr>
      <w:r>
        <w:rPr>
          <w:lang w:val="ru-RU"/>
        </w:rPr>
        <w:t>1.2</w:t>
      </w:r>
      <w:r>
        <w:rPr>
          <w:lang w:val="ru-RU"/>
        </w:rPr>
        <w:tab/>
        <w:t>Колесные транспортные средства, определенные в пункте</w:t>
      </w:r>
      <w:r w:rsidR="00B9372D">
        <w:rPr>
          <w:lang w:val="en-US"/>
        </w:rPr>
        <w:t> </w:t>
      </w:r>
      <w:r>
        <w:rPr>
          <w:lang w:val="ru-RU"/>
        </w:rPr>
        <w:t>3, подпадающие под область применения Правил № 144 ООН и используемые в международном сообщении, должны соответствовать изложенным ниже требованиям.</w:t>
      </w:r>
    </w:p>
    <w:p w14:paraId="3DCAA0DA" w14:textId="77777777" w:rsidR="00515124" w:rsidRPr="00B66038" w:rsidRDefault="00515124" w:rsidP="00515124">
      <w:pPr>
        <w:pStyle w:val="para"/>
        <w:rPr>
          <w:lang w:val="ru-RU"/>
        </w:rPr>
      </w:pPr>
      <w:r>
        <w:rPr>
          <w:lang w:val="ru-RU"/>
        </w:rPr>
        <w:t>1.3</w:t>
      </w:r>
      <w:r>
        <w:rPr>
          <w:lang w:val="ru-RU"/>
        </w:rPr>
        <w:tab/>
        <w:t>Договаривающиеся стороны могут принять решение о распространении требования пункта 1.2 выше и на транспортные средства, используемые для внутренних перевозок.</w:t>
      </w:r>
    </w:p>
    <w:p w14:paraId="2189A7BC" w14:textId="77777777" w:rsidR="00515124" w:rsidRPr="00B66038" w:rsidRDefault="00515124" w:rsidP="00515124">
      <w:pPr>
        <w:pStyle w:val="H1G"/>
      </w:pPr>
      <w:r>
        <w:rPr>
          <w:bCs/>
        </w:rPr>
        <w:tab/>
      </w:r>
      <w:r>
        <w:rPr>
          <w:bCs/>
        </w:rPr>
        <w:tab/>
        <w:t>2.</w:t>
      </w:r>
      <w:r>
        <w:tab/>
      </w:r>
      <w:r>
        <w:tab/>
      </w:r>
      <w:r>
        <w:rPr>
          <w:bCs/>
        </w:rPr>
        <w:t>Определения</w:t>
      </w:r>
    </w:p>
    <w:p w14:paraId="38F49749" w14:textId="77777777" w:rsidR="00515124" w:rsidRPr="00B66038" w:rsidRDefault="00515124" w:rsidP="00515124">
      <w:pPr>
        <w:pStyle w:val="para"/>
        <w:rPr>
          <w:lang w:val="ru-RU"/>
        </w:rPr>
      </w:pPr>
      <w:r>
        <w:rPr>
          <w:lang w:val="ru-RU"/>
        </w:rPr>
        <w:tab/>
        <w:t xml:space="preserve">Для целей настоящего Предписания: </w:t>
      </w:r>
    </w:p>
    <w:p w14:paraId="1A5CAA02" w14:textId="6A12490F" w:rsidR="00515124" w:rsidRPr="0080392A" w:rsidRDefault="00515124" w:rsidP="00515124">
      <w:pPr>
        <w:tabs>
          <w:tab w:val="left" w:pos="2250"/>
        </w:tabs>
        <w:spacing w:before="120" w:after="120" w:line="240" w:lineRule="auto"/>
        <w:ind w:left="2268" w:right="1134" w:hanging="1134"/>
        <w:jc w:val="both"/>
      </w:pPr>
      <w:r>
        <w:t>2.1</w:t>
      </w:r>
      <w:r>
        <w:tab/>
        <w:t xml:space="preserve">Определение </w:t>
      </w:r>
      <w:r w:rsidR="003B7841" w:rsidRPr="00DB12FB">
        <w:t>“</w:t>
      </w:r>
      <w:r>
        <w:rPr>
          <w:i/>
          <w:iCs/>
        </w:rPr>
        <w:t>система вызова экстренных служб (СВЭС)</w:t>
      </w:r>
      <w:r w:rsidR="003B7841" w:rsidRPr="003B7841">
        <w:t>”</w:t>
      </w:r>
      <w:r w:rsidRPr="0008138A">
        <w:t xml:space="preserve"> </w:t>
      </w:r>
      <w:r>
        <w:t>соответствует Правилам № 144 ООН.</w:t>
      </w:r>
    </w:p>
    <w:p w14:paraId="6FF2C413" w14:textId="5B6B99DF" w:rsidR="00515124" w:rsidRPr="00B66038" w:rsidRDefault="00515124" w:rsidP="00515124">
      <w:pPr>
        <w:pStyle w:val="para"/>
        <w:rPr>
          <w:lang w:val="ru-RU"/>
        </w:rPr>
      </w:pPr>
      <w:r>
        <w:rPr>
          <w:lang w:val="ru-RU"/>
        </w:rPr>
        <w:t>2.2</w:t>
      </w:r>
      <w:r>
        <w:rPr>
          <w:lang w:val="ru-RU"/>
        </w:rPr>
        <w:tab/>
      </w:r>
      <w:r w:rsidR="007427A6" w:rsidRPr="007427A6">
        <w:rPr>
          <w:lang w:val="ru-RU"/>
        </w:rPr>
        <w:t>“</w:t>
      </w:r>
      <w:r w:rsidRPr="00C7500B">
        <w:rPr>
          <w:i/>
          <w:iCs/>
          <w:lang w:val="ru-RU"/>
        </w:rPr>
        <w:t>Соглашение</w:t>
      </w:r>
      <w:r w:rsidR="003B7841" w:rsidRPr="003B7841">
        <w:rPr>
          <w:lang w:val="ru-RU"/>
        </w:rPr>
        <w:t>”</w:t>
      </w:r>
      <w:r>
        <w:rPr>
          <w:lang w:val="ru-RU"/>
        </w:rPr>
        <w:t xml:space="preserve"> означает Венское 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w:t>
      </w:r>
    </w:p>
    <w:p w14:paraId="4F58F354" w14:textId="0D7DB519" w:rsidR="00515124" w:rsidRPr="00B66038" w:rsidRDefault="00515124" w:rsidP="00515124">
      <w:pPr>
        <w:pStyle w:val="para"/>
        <w:rPr>
          <w:lang w:val="ru-RU"/>
        </w:rPr>
      </w:pPr>
      <w:r>
        <w:rPr>
          <w:lang w:val="ru-RU"/>
        </w:rPr>
        <w:t>2.3</w:t>
      </w:r>
      <w:r>
        <w:rPr>
          <w:lang w:val="ru-RU"/>
        </w:rPr>
        <w:tab/>
      </w:r>
      <w:r w:rsidR="007427A6" w:rsidRPr="007427A6">
        <w:rPr>
          <w:lang w:val="ru-RU"/>
        </w:rPr>
        <w:t>“</w:t>
      </w:r>
      <w:r w:rsidRPr="00C7500B">
        <w:rPr>
          <w:i/>
          <w:iCs/>
          <w:lang w:val="ru-RU"/>
        </w:rPr>
        <w:t>Международный сертификат технического осмотра</w:t>
      </w:r>
      <w:r w:rsidR="003B7841" w:rsidRPr="003B7841">
        <w:rPr>
          <w:lang w:val="ru-RU"/>
        </w:rPr>
        <w:t>”</w:t>
      </w:r>
      <w:r>
        <w:rPr>
          <w:lang w:val="ru-RU"/>
        </w:rPr>
        <w:t xml:space="preserve"> означает сертификат о первой регистрации после изготовления и о периодических технических осмотрах колесных транспортных средств в соответствии с положениями статьи 1 и добавления 2 к этому Соглашению.</w:t>
      </w:r>
    </w:p>
    <w:p w14:paraId="227BC30C" w14:textId="537E198F" w:rsidR="00515124" w:rsidRPr="0080392A" w:rsidRDefault="00515124" w:rsidP="00515124">
      <w:pPr>
        <w:pStyle w:val="para"/>
        <w:rPr>
          <w:lang w:val="ru-RU"/>
        </w:rPr>
      </w:pPr>
      <w:r>
        <w:rPr>
          <w:lang w:val="ru-RU"/>
        </w:rPr>
        <w:t>2.4</w:t>
      </w:r>
      <w:r>
        <w:rPr>
          <w:lang w:val="ru-RU"/>
        </w:rPr>
        <w:tab/>
      </w:r>
      <w:r w:rsidR="007427A6" w:rsidRPr="007427A6">
        <w:rPr>
          <w:lang w:val="ru-RU"/>
        </w:rPr>
        <w:t>“</w:t>
      </w:r>
      <w:r w:rsidRPr="00C7500B">
        <w:rPr>
          <w:i/>
          <w:iCs/>
          <w:lang w:val="ru-RU"/>
        </w:rPr>
        <w:t>СИН</w:t>
      </w:r>
      <w:r w:rsidR="003B7841" w:rsidRPr="003B7841">
        <w:rPr>
          <w:lang w:val="ru-RU"/>
        </w:rPr>
        <w:t>”</w:t>
      </w:r>
      <w:r>
        <w:rPr>
          <w:lang w:val="ru-RU"/>
        </w:rPr>
        <w:t xml:space="preserve"> означает световой индикатор неисправности.</w:t>
      </w:r>
    </w:p>
    <w:p w14:paraId="00F65B8F" w14:textId="414518B4" w:rsidR="00515124" w:rsidRPr="00B66038" w:rsidRDefault="00515124" w:rsidP="00515124">
      <w:pPr>
        <w:pStyle w:val="para"/>
        <w:rPr>
          <w:lang w:val="ru-RU"/>
        </w:rPr>
      </w:pPr>
      <w:r>
        <w:rPr>
          <w:lang w:val="ru-RU"/>
        </w:rPr>
        <w:t>2.5</w:t>
      </w:r>
      <w:r>
        <w:rPr>
          <w:lang w:val="ru-RU"/>
        </w:rPr>
        <w:tab/>
      </w:r>
      <w:r w:rsidR="007427A6" w:rsidRPr="007427A6">
        <w:rPr>
          <w:lang w:val="ru-RU"/>
        </w:rPr>
        <w:t>“</w:t>
      </w:r>
      <w:r w:rsidRPr="00C7500B">
        <w:rPr>
          <w:i/>
          <w:iCs/>
          <w:lang w:val="ru-RU"/>
        </w:rPr>
        <w:t>Периодический технический осмотр</w:t>
      </w:r>
      <w:r w:rsidR="003B7841" w:rsidRPr="003B7841">
        <w:rPr>
          <w:lang w:val="ru-RU"/>
        </w:rPr>
        <w:t>”</w:t>
      </w:r>
      <w:r>
        <w:rPr>
          <w:lang w:val="ru-RU"/>
        </w:rPr>
        <w:t xml:space="preserve"> означает периодическую административную единообразную процедуру, посредством которой уполномоченные центры технического осмотра, отвечающие за проведение соответствующих испытаний, заявляют после проведения необходимых проверок, что представленное колесное транспортное средство отвечает требованиям настоящего Предписания.</w:t>
      </w:r>
    </w:p>
    <w:p w14:paraId="06233945" w14:textId="4E1268AF" w:rsidR="00515124" w:rsidRPr="00B66038" w:rsidRDefault="00515124" w:rsidP="00515124">
      <w:pPr>
        <w:pStyle w:val="para"/>
        <w:rPr>
          <w:lang w:val="ru-RU"/>
        </w:rPr>
      </w:pPr>
      <w:r>
        <w:rPr>
          <w:lang w:val="ru-RU"/>
        </w:rPr>
        <w:t>2.6</w:t>
      </w:r>
      <w:r>
        <w:rPr>
          <w:lang w:val="ru-RU"/>
        </w:rPr>
        <w:tab/>
      </w:r>
      <w:r w:rsidR="007427A6" w:rsidRPr="007427A6">
        <w:rPr>
          <w:lang w:val="ru-RU"/>
        </w:rPr>
        <w:t>“</w:t>
      </w:r>
      <w:r w:rsidRPr="00C7500B">
        <w:rPr>
          <w:i/>
          <w:iCs/>
          <w:lang w:val="ru-RU"/>
        </w:rPr>
        <w:t>Официальное утверждение типа</w:t>
      </w:r>
      <w:r w:rsidR="003B7841" w:rsidRPr="003B7841">
        <w:rPr>
          <w:lang w:val="ru-RU"/>
        </w:rPr>
        <w:t>”</w:t>
      </w:r>
      <w:r>
        <w:rPr>
          <w:lang w:val="ru-RU"/>
        </w:rPr>
        <w:t xml:space="preserve"> означает административную процедуру, посредством которой органы по официальному утверждению Договаривающейся стороны после проведения необходимых проверок заявляют, что тип транспортного средства, предметов оборудования или частей, представленных изготовителем, отвечает требованиям данных правил ООН. Впоследствии изготовитель удостоверяет, что все выпущенные на рынок транспортные средства, предметы оборудования и части были изготовлены в полном соответствии с официально утвержденным типом.</w:t>
      </w:r>
    </w:p>
    <w:p w14:paraId="1058C803" w14:textId="13AC21D7" w:rsidR="00515124" w:rsidRPr="00B66038" w:rsidRDefault="00515124" w:rsidP="00515124">
      <w:pPr>
        <w:pStyle w:val="para"/>
        <w:rPr>
          <w:lang w:val="ru-RU"/>
        </w:rPr>
      </w:pPr>
      <w:r>
        <w:rPr>
          <w:lang w:val="ru-RU"/>
        </w:rPr>
        <w:t>2.7</w:t>
      </w:r>
      <w:r>
        <w:rPr>
          <w:lang w:val="ru-RU"/>
        </w:rPr>
        <w:tab/>
      </w:r>
      <w:r w:rsidR="007427A6" w:rsidRPr="007427A6">
        <w:rPr>
          <w:lang w:val="ru-RU"/>
        </w:rPr>
        <w:t>“</w:t>
      </w:r>
      <w:r w:rsidRPr="00C7500B">
        <w:rPr>
          <w:i/>
          <w:iCs/>
          <w:lang w:val="ru-RU"/>
        </w:rPr>
        <w:t>Правила ООН</w:t>
      </w:r>
      <w:r w:rsidR="003B7841" w:rsidRPr="003B7841">
        <w:rPr>
          <w:lang w:val="ru-RU"/>
        </w:rPr>
        <w:t>”</w:t>
      </w:r>
      <w:r>
        <w:rPr>
          <w:lang w:val="ru-RU"/>
        </w:rPr>
        <w:t xml:space="preserve"> означают правила, прилагаемые к Женевскому соглашению 1958 года.</w:t>
      </w:r>
    </w:p>
    <w:p w14:paraId="38FDE60D" w14:textId="6F166E6A" w:rsidR="00515124" w:rsidRPr="00B66038" w:rsidRDefault="00515124" w:rsidP="00515124">
      <w:pPr>
        <w:pStyle w:val="para"/>
        <w:rPr>
          <w:lang w:val="ru-RU"/>
        </w:rPr>
      </w:pPr>
      <w:r>
        <w:rPr>
          <w:lang w:val="ru-RU"/>
        </w:rPr>
        <w:t>2.8</w:t>
      </w:r>
      <w:r>
        <w:rPr>
          <w:lang w:val="ru-RU"/>
        </w:rPr>
        <w:tab/>
      </w:r>
      <w:r w:rsidR="007427A6" w:rsidRPr="007427A6">
        <w:rPr>
          <w:lang w:val="ru-RU"/>
        </w:rPr>
        <w:t>“</w:t>
      </w:r>
      <w:r w:rsidRPr="00C7500B">
        <w:rPr>
          <w:i/>
          <w:iCs/>
          <w:lang w:val="ru-RU"/>
        </w:rPr>
        <w:t>Проверка</w:t>
      </w:r>
      <w:r w:rsidR="003B7841" w:rsidRPr="003B7841">
        <w:rPr>
          <w:lang w:val="ru-RU"/>
        </w:rPr>
        <w:t>”</w:t>
      </w:r>
      <w:r>
        <w:rPr>
          <w:lang w:val="ru-RU"/>
        </w:rPr>
        <w:t xml:space="preserve"> означает доказательство соответствия требованиям, изложенным в приложении к настоящему Предписанию, полученное посредством испытаний и проверок, проводимых с использованием доступных в настоящее время методов и оборудования, причем без инструментов, позволяющих демонтировать или снять какую-либо часть транспортного средства.</w:t>
      </w:r>
    </w:p>
    <w:p w14:paraId="7F6F5BD0" w14:textId="06F58B8D" w:rsidR="00515124" w:rsidRPr="00B66038" w:rsidRDefault="00515124" w:rsidP="00B9372D">
      <w:pPr>
        <w:pStyle w:val="para"/>
        <w:keepNext/>
        <w:keepLines/>
        <w:rPr>
          <w:lang w:val="ru-RU"/>
        </w:rPr>
      </w:pPr>
      <w:r>
        <w:rPr>
          <w:lang w:val="ru-RU"/>
        </w:rPr>
        <w:lastRenderedPageBreak/>
        <w:t>2.9</w:t>
      </w:r>
      <w:r>
        <w:rPr>
          <w:lang w:val="ru-RU"/>
        </w:rPr>
        <w:tab/>
      </w:r>
      <w:r w:rsidR="007427A6" w:rsidRPr="007427A6">
        <w:rPr>
          <w:lang w:val="ru-RU"/>
        </w:rPr>
        <w:t>“</w:t>
      </w:r>
      <w:r w:rsidRPr="00C7500B">
        <w:rPr>
          <w:i/>
          <w:iCs/>
          <w:lang w:val="ru-RU"/>
        </w:rPr>
        <w:t>Колесное транспортное средство</w:t>
      </w:r>
      <w:r w:rsidR="003B7841" w:rsidRPr="003B7841">
        <w:rPr>
          <w:lang w:val="ru-RU"/>
        </w:rPr>
        <w:t>”</w:t>
      </w:r>
      <w:r>
        <w:rPr>
          <w:lang w:val="ru-RU"/>
        </w:rPr>
        <w:t xml:space="preserve"> означает указанные в Сводной резолюции о конструкции транспортных средств (СР.3) (документ TRANS/WP.29/78/Rev.2 с внесенными в него поправками) автотранспортные средства категорий M</w:t>
      </w:r>
      <w:r>
        <w:rPr>
          <w:vertAlign w:val="subscript"/>
          <w:lang w:val="ru-RU"/>
        </w:rPr>
        <w:t>1</w:t>
      </w:r>
      <w:r>
        <w:rPr>
          <w:lang w:val="ru-RU"/>
        </w:rPr>
        <w:t xml:space="preserve"> и N</w:t>
      </w:r>
      <w:r>
        <w:rPr>
          <w:vertAlign w:val="subscript"/>
          <w:lang w:val="ru-RU"/>
        </w:rPr>
        <w:t>1</w:t>
      </w:r>
      <w:r>
        <w:rPr>
          <w:lang w:val="ru-RU"/>
        </w:rPr>
        <w:t>, используемые в международном сообщении и оборудованные системой вызова экстренных служб.</w:t>
      </w:r>
    </w:p>
    <w:p w14:paraId="6E223DD6" w14:textId="78F2FB2F" w:rsidR="00515124" w:rsidRPr="00B66038" w:rsidRDefault="00515124" w:rsidP="00515124">
      <w:pPr>
        <w:pStyle w:val="para"/>
        <w:rPr>
          <w:lang w:val="ru-RU"/>
        </w:rPr>
      </w:pPr>
      <w:r>
        <w:rPr>
          <w:lang w:val="ru-RU"/>
        </w:rPr>
        <w:t>2.10</w:t>
      </w:r>
      <w:r>
        <w:rPr>
          <w:lang w:val="ru-RU"/>
        </w:rPr>
        <w:tab/>
      </w:r>
      <w:r w:rsidR="007427A6" w:rsidRPr="007427A6">
        <w:rPr>
          <w:lang w:val="ru-RU"/>
        </w:rPr>
        <w:t>“</w:t>
      </w:r>
      <w:r w:rsidRPr="00C7500B">
        <w:rPr>
          <w:i/>
          <w:iCs/>
          <w:lang w:val="ru-RU"/>
        </w:rPr>
        <w:t>Женевское соглашение 1958 года</w:t>
      </w:r>
      <w:r w:rsidR="003B7841" w:rsidRPr="003B7841">
        <w:rPr>
          <w:lang w:val="ru-RU"/>
        </w:rPr>
        <w:t>”</w:t>
      </w:r>
      <w:r>
        <w:rPr>
          <w:lang w:val="ru-RU"/>
        </w:rPr>
        <w:t xml:space="preserve"> означает 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совершенное в Женеве 20</w:t>
      </w:r>
      <w:r w:rsidR="00511AD0">
        <w:rPr>
          <w:lang w:val="en-US"/>
        </w:rPr>
        <w:t> </w:t>
      </w:r>
      <w:r>
        <w:rPr>
          <w:lang w:val="ru-RU"/>
        </w:rPr>
        <w:t>марта 1958 года и включающее поправки, вступившие в силу 16</w:t>
      </w:r>
      <w:r w:rsidR="00B9372D">
        <w:rPr>
          <w:lang w:val="en-US"/>
        </w:rPr>
        <w:t> </w:t>
      </w:r>
      <w:r>
        <w:rPr>
          <w:lang w:val="ru-RU"/>
        </w:rPr>
        <w:t>октября 1995 года.</w:t>
      </w:r>
    </w:p>
    <w:p w14:paraId="32AB1D93" w14:textId="77777777" w:rsidR="00515124" w:rsidRPr="00DD27D6" w:rsidRDefault="00515124" w:rsidP="00515124">
      <w:pPr>
        <w:pStyle w:val="H1G"/>
      </w:pPr>
      <w:r>
        <w:rPr>
          <w:bCs/>
        </w:rPr>
        <w:tab/>
      </w:r>
      <w:r>
        <w:rPr>
          <w:bCs/>
        </w:rPr>
        <w:tab/>
        <w:t>3.</w:t>
      </w:r>
      <w:r>
        <w:tab/>
      </w:r>
      <w:r>
        <w:tab/>
      </w:r>
      <w:r>
        <w:rPr>
          <w:bCs/>
        </w:rPr>
        <w:t>Периодичность технических осмотров</w:t>
      </w:r>
    </w:p>
    <w:tbl>
      <w:tblPr>
        <w:tblW w:w="7370" w:type="dxa"/>
        <w:tblInd w:w="1134" w:type="dxa"/>
        <w:tblLayout w:type="fixed"/>
        <w:tblCellMar>
          <w:left w:w="0" w:type="dxa"/>
          <w:right w:w="0" w:type="dxa"/>
        </w:tblCellMar>
        <w:tblLook w:val="04A0" w:firstRow="1" w:lastRow="0" w:firstColumn="1" w:lastColumn="0" w:noHBand="0" w:noVBand="1"/>
      </w:tblPr>
      <w:tblGrid>
        <w:gridCol w:w="3685"/>
        <w:gridCol w:w="3685"/>
      </w:tblGrid>
      <w:tr w:rsidR="00515124" w:rsidRPr="00B9372D" w14:paraId="471953D3" w14:textId="77777777" w:rsidTr="00B9372D">
        <w:trPr>
          <w:tblHeader/>
        </w:trPr>
        <w:tc>
          <w:tcPr>
            <w:tcW w:w="3685" w:type="dxa"/>
            <w:tcBorders>
              <w:top w:val="single" w:sz="4" w:space="0" w:color="auto"/>
              <w:bottom w:val="single" w:sz="12" w:space="0" w:color="auto"/>
            </w:tcBorders>
            <w:shd w:val="clear" w:color="auto" w:fill="auto"/>
            <w:vAlign w:val="bottom"/>
          </w:tcPr>
          <w:p w14:paraId="6189399C" w14:textId="77777777" w:rsidR="00515124" w:rsidRPr="00B9372D" w:rsidRDefault="00515124" w:rsidP="00B9372D">
            <w:pPr>
              <w:spacing w:before="80" w:after="80" w:line="200" w:lineRule="exact"/>
              <w:ind w:left="57" w:right="57"/>
              <w:rPr>
                <w:i/>
                <w:sz w:val="16"/>
                <w:szCs w:val="16"/>
              </w:rPr>
            </w:pPr>
            <w:r w:rsidRPr="00B9372D">
              <w:rPr>
                <w:i/>
                <w:iCs/>
                <w:sz w:val="16"/>
                <w:szCs w:val="16"/>
              </w:rPr>
              <w:t>Категории транспортных средств</w:t>
            </w:r>
          </w:p>
        </w:tc>
        <w:tc>
          <w:tcPr>
            <w:tcW w:w="3685" w:type="dxa"/>
            <w:tcBorders>
              <w:top w:val="single" w:sz="4" w:space="0" w:color="auto"/>
              <w:bottom w:val="single" w:sz="12" w:space="0" w:color="auto"/>
            </w:tcBorders>
            <w:shd w:val="clear" w:color="auto" w:fill="auto"/>
            <w:vAlign w:val="bottom"/>
          </w:tcPr>
          <w:p w14:paraId="68740CBB" w14:textId="77777777" w:rsidR="00515124" w:rsidRPr="00B9372D" w:rsidRDefault="00515124" w:rsidP="00B9372D">
            <w:pPr>
              <w:spacing w:before="80" w:after="80" w:line="200" w:lineRule="exact"/>
              <w:ind w:left="57" w:right="57"/>
              <w:rPr>
                <w:i/>
                <w:sz w:val="16"/>
                <w:szCs w:val="16"/>
              </w:rPr>
            </w:pPr>
            <w:r w:rsidRPr="00B9372D">
              <w:rPr>
                <w:i/>
                <w:iCs/>
                <w:sz w:val="16"/>
                <w:szCs w:val="16"/>
              </w:rPr>
              <w:t>Допустимая периодичность осмотра</w:t>
            </w:r>
          </w:p>
        </w:tc>
      </w:tr>
      <w:tr w:rsidR="00515124" w:rsidRPr="00236437" w14:paraId="1F40A78F" w14:textId="77777777" w:rsidTr="00B9372D">
        <w:trPr>
          <w:trHeight w:hRule="exact" w:val="113"/>
        </w:trPr>
        <w:tc>
          <w:tcPr>
            <w:tcW w:w="3685" w:type="dxa"/>
            <w:tcBorders>
              <w:top w:val="single" w:sz="12" w:space="0" w:color="auto"/>
            </w:tcBorders>
            <w:shd w:val="clear" w:color="auto" w:fill="auto"/>
          </w:tcPr>
          <w:p w14:paraId="31B1A317" w14:textId="77777777" w:rsidR="00515124" w:rsidRPr="00236437" w:rsidRDefault="00515124" w:rsidP="00B9372D">
            <w:pPr>
              <w:spacing w:before="40" w:after="120"/>
              <w:ind w:left="57" w:right="57"/>
            </w:pPr>
          </w:p>
        </w:tc>
        <w:tc>
          <w:tcPr>
            <w:tcW w:w="3685" w:type="dxa"/>
            <w:tcBorders>
              <w:top w:val="single" w:sz="12" w:space="0" w:color="auto"/>
            </w:tcBorders>
            <w:shd w:val="clear" w:color="auto" w:fill="auto"/>
          </w:tcPr>
          <w:p w14:paraId="06CA703E" w14:textId="77777777" w:rsidR="00515124" w:rsidRPr="00236437" w:rsidRDefault="00515124" w:rsidP="00B9372D">
            <w:pPr>
              <w:spacing w:before="40" w:after="120"/>
              <w:ind w:left="57" w:right="57"/>
            </w:pPr>
          </w:p>
        </w:tc>
      </w:tr>
      <w:tr w:rsidR="00515124" w:rsidRPr="00B66038" w14:paraId="3DAA910D" w14:textId="77777777" w:rsidTr="00B9372D">
        <w:tc>
          <w:tcPr>
            <w:tcW w:w="3685" w:type="dxa"/>
            <w:tcBorders>
              <w:bottom w:val="single" w:sz="12" w:space="0" w:color="auto"/>
            </w:tcBorders>
            <w:shd w:val="clear" w:color="auto" w:fill="auto"/>
          </w:tcPr>
          <w:p w14:paraId="0E68D2CC" w14:textId="77777777" w:rsidR="00515124" w:rsidRPr="00B9372D" w:rsidRDefault="00515124" w:rsidP="00B9372D">
            <w:pPr>
              <w:spacing w:before="40" w:after="120"/>
              <w:ind w:left="57" w:right="57"/>
            </w:pPr>
            <w:r w:rsidRPr="00B9372D">
              <w:t>Автотранспортные средства, используемые для перевозки пассажиров: М</w:t>
            </w:r>
            <w:r w:rsidRPr="00B9372D">
              <w:rPr>
                <w:vertAlign w:val="subscript"/>
              </w:rPr>
              <w:t>1</w:t>
            </w:r>
            <w:r w:rsidRPr="00B9372D">
              <w:t xml:space="preserve"> </w:t>
            </w:r>
          </w:p>
          <w:p w14:paraId="48BDB029" w14:textId="466368DA" w:rsidR="00515124" w:rsidRPr="00B9372D" w:rsidRDefault="00515124" w:rsidP="00B9372D">
            <w:pPr>
              <w:spacing w:before="40" w:after="120"/>
              <w:ind w:left="57" w:right="57"/>
              <w:rPr>
                <w:lang w:val="en-GB"/>
              </w:rPr>
            </w:pPr>
            <w:r w:rsidRPr="00B9372D">
              <w:t>Грузовые транспортные средства: N</w:t>
            </w:r>
            <w:r w:rsidRPr="00B9372D">
              <w:rPr>
                <w:vertAlign w:val="subscript"/>
              </w:rPr>
              <w:t>1</w:t>
            </w:r>
          </w:p>
        </w:tc>
        <w:tc>
          <w:tcPr>
            <w:tcW w:w="3685" w:type="dxa"/>
            <w:tcBorders>
              <w:bottom w:val="single" w:sz="12" w:space="0" w:color="auto"/>
            </w:tcBorders>
            <w:shd w:val="clear" w:color="auto" w:fill="auto"/>
          </w:tcPr>
          <w:p w14:paraId="301C02F7" w14:textId="5BC64256" w:rsidR="00515124" w:rsidRPr="00B9372D" w:rsidRDefault="00515124" w:rsidP="00B9372D">
            <w:pPr>
              <w:spacing w:before="40" w:after="120"/>
              <w:ind w:left="57" w:right="57"/>
            </w:pPr>
            <w:r w:rsidRPr="00B9372D">
              <w:t>Через четыре года после первой регистрации (либо, если регистрации транспортного средства не требуется, с</w:t>
            </w:r>
            <w:r w:rsidR="00B9372D">
              <w:rPr>
                <w:lang w:val="en-US"/>
              </w:rPr>
              <w:t> </w:t>
            </w:r>
            <w:r w:rsidRPr="00B9372D">
              <w:t>даты первоначального использования) и затем один раз в два года</w:t>
            </w:r>
          </w:p>
        </w:tc>
      </w:tr>
    </w:tbl>
    <w:p w14:paraId="538B78F6" w14:textId="503CFEF7" w:rsidR="00515124" w:rsidRPr="00B66038" w:rsidRDefault="00515124" w:rsidP="00515124">
      <w:pPr>
        <w:pStyle w:val="H1G"/>
        <w:rPr>
          <w:bCs/>
        </w:rPr>
      </w:pPr>
      <w:r>
        <w:rPr>
          <w:bCs/>
        </w:rPr>
        <w:tab/>
      </w:r>
      <w:r>
        <w:rPr>
          <w:bCs/>
        </w:rPr>
        <w:tab/>
        <w:t>4</w:t>
      </w:r>
      <w:r w:rsidR="00B52219" w:rsidRPr="00F12544">
        <w:rPr>
          <w:bCs/>
        </w:rPr>
        <w:t>.</w:t>
      </w:r>
      <w:r>
        <w:rPr>
          <w:bCs/>
        </w:rPr>
        <w:tab/>
      </w:r>
      <w:r>
        <w:tab/>
      </w:r>
      <w:r>
        <w:rPr>
          <w:bCs/>
        </w:rPr>
        <w:t>Технический осмотр</w:t>
      </w:r>
    </w:p>
    <w:p w14:paraId="28AC5C05" w14:textId="77777777" w:rsidR="00515124" w:rsidRPr="00B66038" w:rsidRDefault="00515124" w:rsidP="00515124">
      <w:pPr>
        <w:pStyle w:val="para"/>
        <w:rPr>
          <w:lang w:val="ru-RU"/>
        </w:rPr>
      </w:pPr>
      <w:r>
        <w:rPr>
          <w:lang w:val="ru-RU"/>
        </w:rPr>
        <w:tab/>
        <w:t>Транспортные средства, к которым применяются настоящие положения, должны подвергаться периодическому техническому осмотру в соответствии с приведенным ниже приложением.</w:t>
      </w:r>
    </w:p>
    <w:p w14:paraId="7752FFCF" w14:textId="604760F7" w:rsidR="00515124" w:rsidRPr="00B66038" w:rsidRDefault="00515124" w:rsidP="00515124">
      <w:pPr>
        <w:pStyle w:val="para"/>
        <w:rPr>
          <w:lang w:val="ru-RU"/>
        </w:rPr>
      </w:pPr>
      <w:r>
        <w:rPr>
          <w:lang w:val="ru-RU"/>
        </w:rPr>
        <w:tab/>
        <w:t>После проверки соответствие</w:t>
      </w:r>
      <w:r w:rsidR="0011028F">
        <w:rPr>
          <w:lang w:val="ru-RU"/>
        </w:rPr>
        <w:t xml:space="preserve"> </w:t>
      </w:r>
      <w:r w:rsidR="00F26933" w:rsidRPr="00F26933">
        <w:rPr>
          <w:lang w:val="ru-RU"/>
        </w:rPr>
        <w:t>—</w:t>
      </w:r>
      <w:r>
        <w:rPr>
          <w:lang w:val="ru-RU"/>
        </w:rPr>
        <w:t xml:space="preserve"> по крайней мере положениям этого приложения </w:t>
      </w:r>
      <w:r w:rsidR="00F26933" w:rsidRPr="00F26933">
        <w:rPr>
          <w:lang w:val="ru-RU"/>
        </w:rPr>
        <w:t>—</w:t>
      </w:r>
      <w:r>
        <w:rPr>
          <w:lang w:val="ru-RU"/>
        </w:rPr>
        <w:t xml:space="preserve"> подтверждается международным сертификатом технического осмотра.</w:t>
      </w:r>
    </w:p>
    <w:p w14:paraId="462C99CA" w14:textId="77777777" w:rsidR="00515124" w:rsidRPr="00B66038" w:rsidRDefault="00515124" w:rsidP="00515124">
      <w:pPr>
        <w:pStyle w:val="H1G"/>
      </w:pPr>
      <w:r>
        <w:rPr>
          <w:bCs/>
        </w:rPr>
        <w:tab/>
      </w:r>
      <w:r>
        <w:rPr>
          <w:bCs/>
        </w:rPr>
        <w:tab/>
        <w:t>5.</w:t>
      </w:r>
      <w:r>
        <w:tab/>
      </w:r>
      <w:r>
        <w:tab/>
      </w:r>
      <w:r>
        <w:rPr>
          <w:bCs/>
        </w:rPr>
        <w:t>Методы проведения осмотра</w:t>
      </w:r>
    </w:p>
    <w:p w14:paraId="3814C24F" w14:textId="7E653D65" w:rsidR="00515124" w:rsidRPr="00B66038" w:rsidRDefault="00515124" w:rsidP="00515124">
      <w:pPr>
        <w:pStyle w:val="para"/>
        <w:rPr>
          <w:lang w:val="ru-RU"/>
        </w:rPr>
      </w:pPr>
      <w:r>
        <w:rPr>
          <w:lang w:val="ru-RU"/>
        </w:rPr>
        <w:tab/>
        <w:t xml:space="preserve">Метод проведения осмотра, предусмотренный в приложении, соответствует минимальному требованию. Если в качестве соответствующего метода указан визуальный осмотр, то это означает, что инспектор </w:t>
      </w:r>
      <w:r w:rsidR="00F26933" w:rsidRPr="00EC6768">
        <w:rPr>
          <w:lang w:val="ru-RU"/>
        </w:rPr>
        <w:t>—</w:t>
      </w:r>
      <w:r>
        <w:rPr>
          <w:lang w:val="ru-RU"/>
        </w:rPr>
        <w:t xml:space="preserve"> помимо собственно осмотра </w:t>
      </w:r>
      <w:r w:rsidR="00F26933" w:rsidRPr="00F26933">
        <w:rPr>
          <w:lang w:val="ru-RU"/>
        </w:rPr>
        <w:t>—</w:t>
      </w:r>
      <w:r>
        <w:rPr>
          <w:lang w:val="ru-RU"/>
        </w:rPr>
        <w:t xml:space="preserve"> может также использовать, если это возможно, технические характеристики транспортного средства и, если имеются необходимые данные, электронный интерфейс.</w:t>
      </w:r>
    </w:p>
    <w:p w14:paraId="0F6F2812" w14:textId="77777777" w:rsidR="00515124" w:rsidRPr="00B66038" w:rsidRDefault="00515124" w:rsidP="00515124">
      <w:pPr>
        <w:pStyle w:val="H1G"/>
      </w:pPr>
      <w:r>
        <w:rPr>
          <w:bCs/>
        </w:rPr>
        <w:tab/>
      </w:r>
      <w:r>
        <w:rPr>
          <w:bCs/>
        </w:rPr>
        <w:tab/>
        <w:t>6.</w:t>
      </w:r>
      <w:r>
        <w:tab/>
      </w:r>
      <w:r>
        <w:tab/>
      </w:r>
      <w:r>
        <w:rPr>
          <w:bCs/>
        </w:rPr>
        <w:t>Основные причины для отказа и оценка дефектов</w:t>
      </w:r>
      <w:r>
        <w:t xml:space="preserve"> </w:t>
      </w:r>
    </w:p>
    <w:p w14:paraId="3660E613" w14:textId="77777777" w:rsidR="00515124" w:rsidRPr="00B66038" w:rsidRDefault="00515124" w:rsidP="00515124">
      <w:pPr>
        <w:pStyle w:val="para"/>
        <w:rPr>
          <w:lang w:val="ru-RU"/>
        </w:rPr>
      </w:pPr>
      <w:r>
        <w:rPr>
          <w:lang w:val="ru-RU"/>
        </w:rPr>
        <w:tab/>
        <w:t xml:space="preserve">В приложении указаны также рекомендации в отношении основных причин для отказа и оценки дефектов. Ниже определены три критерия для оценки дефектов. </w:t>
      </w:r>
    </w:p>
    <w:p w14:paraId="3E672ED5" w14:textId="3AFB5E8B" w:rsidR="00515124" w:rsidRPr="00B66038" w:rsidRDefault="00515124" w:rsidP="00515124">
      <w:pPr>
        <w:pStyle w:val="para"/>
        <w:rPr>
          <w:lang w:val="ru-RU"/>
        </w:rPr>
      </w:pPr>
      <w:r>
        <w:rPr>
          <w:lang w:val="ru-RU"/>
        </w:rPr>
        <w:t>6.1</w:t>
      </w:r>
      <w:r>
        <w:rPr>
          <w:lang w:val="ru-RU"/>
        </w:rPr>
        <w:tab/>
        <w:t xml:space="preserve">К </w:t>
      </w:r>
      <w:r w:rsidR="007427A6" w:rsidRPr="007427A6">
        <w:rPr>
          <w:lang w:val="ru-RU"/>
        </w:rPr>
        <w:t>“</w:t>
      </w:r>
      <w:r w:rsidRPr="0052429A">
        <w:rPr>
          <w:i/>
          <w:iCs/>
          <w:lang w:val="ru-RU"/>
        </w:rPr>
        <w:t>незначительным дефектам</w:t>
      </w:r>
      <w:r w:rsidR="003B7841" w:rsidRPr="003B7841">
        <w:rPr>
          <w:lang w:val="ru-RU"/>
        </w:rPr>
        <w:t>”</w:t>
      </w:r>
      <w:r>
        <w:rPr>
          <w:lang w:val="ru-RU"/>
        </w:rPr>
        <w:t xml:space="preserve"> (НД) относятся технические дефекты, не сказывающиеся существенным образом на безопасности транспортного средства, и другие незначительные несоответствия. Проведение повторного осмотра транспортного средства не требуется, поскольку </w:t>
      </w:r>
      <w:r>
        <w:rPr>
          <w:lang w:val="ru-RU"/>
        </w:rPr>
        <w:lastRenderedPageBreak/>
        <w:t xml:space="preserve">можно с полным основанием рассчитывать на то, что выявленные дефекты будут незамедлительно устранены. </w:t>
      </w:r>
    </w:p>
    <w:p w14:paraId="177C899B" w14:textId="5639F505" w:rsidR="00515124" w:rsidRPr="00B66038" w:rsidRDefault="00515124" w:rsidP="00515124">
      <w:pPr>
        <w:pStyle w:val="para"/>
        <w:rPr>
          <w:lang w:val="ru-RU"/>
        </w:rPr>
      </w:pPr>
      <w:r>
        <w:rPr>
          <w:lang w:val="ru-RU"/>
        </w:rPr>
        <w:t>6.2</w:t>
      </w:r>
      <w:r>
        <w:rPr>
          <w:lang w:val="ru-RU"/>
        </w:rPr>
        <w:tab/>
        <w:t xml:space="preserve">К </w:t>
      </w:r>
      <w:r w:rsidR="007427A6" w:rsidRPr="007427A6">
        <w:rPr>
          <w:lang w:val="ru-RU"/>
        </w:rPr>
        <w:t>“</w:t>
      </w:r>
      <w:r w:rsidRPr="0052429A">
        <w:rPr>
          <w:i/>
          <w:iCs/>
          <w:lang w:val="ru-RU"/>
        </w:rPr>
        <w:t>серьезным дефектам</w:t>
      </w:r>
      <w:r w:rsidR="003B7841" w:rsidRPr="003B7841">
        <w:rPr>
          <w:lang w:val="ru-RU"/>
        </w:rPr>
        <w:t>”</w:t>
      </w:r>
      <w:r>
        <w:rPr>
          <w:lang w:val="ru-RU"/>
        </w:rPr>
        <w:t xml:space="preserve"> (СД) относятся дефекты, которые могут нанести ущерб безопасности транспортного средства и/или поставить под угрозу других участников дорожного движения, а также иные более существенные несоответствия. Дальнейшего использования транспортного средства в дорожных условиях без устранения выявленных дефектов не допускается, хотя оно может все же быть отогнано до места проведения ремонтных работ и впоследствии до специальной площадки для проверки качества выполненного ремонта.</w:t>
      </w:r>
    </w:p>
    <w:p w14:paraId="1FB7CC30" w14:textId="7DEA6197" w:rsidR="00515124" w:rsidRPr="00B66038" w:rsidRDefault="00515124" w:rsidP="00515124">
      <w:pPr>
        <w:pStyle w:val="para"/>
        <w:rPr>
          <w:lang w:val="ru-RU"/>
        </w:rPr>
      </w:pPr>
      <w:r>
        <w:rPr>
          <w:lang w:val="ru-RU"/>
        </w:rPr>
        <w:t>6.3</w:t>
      </w:r>
      <w:r>
        <w:rPr>
          <w:lang w:val="ru-RU"/>
        </w:rPr>
        <w:tab/>
        <w:t xml:space="preserve">К </w:t>
      </w:r>
      <w:r w:rsidR="007427A6" w:rsidRPr="007427A6">
        <w:rPr>
          <w:lang w:val="ru-RU"/>
        </w:rPr>
        <w:t>“</w:t>
      </w:r>
      <w:r w:rsidRPr="0052429A">
        <w:rPr>
          <w:i/>
          <w:iCs/>
          <w:lang w:val="ru-RU"/>
        </w:rPr>
        <w:t>опасным дефектам</w:t>
      </w:r>
      <w:r w:rsidR="003B7841" w:rsidRPr="003B7841">
        <w:rPr>
          <w:lang w:val="ru-RU"/>
        </w:rPr>
        <w:t>”</w:t>
      </w:r>
      <w:r>
        <w:rPr>
          <w:lang w:val="ru-RU"/>
        </w:rPr>
        <w:t xml:space="preserve"> (ОД) относятся дефекты, которые представляют прямую и непосредственную угрозу для безопасности дорожного движения, причем транспортное средство не должно использоваться в дорожных условиях ни при каких обстоятельствах.</w:t>
      </w:r>
    </w:p>
    <w:p w14:paraId="69210ED9" w14:textId="77777777" w:rsidR="00515124" w:rsidRPr="00B66038" w:rsidRDefault="00515124" w:rsidP="00515124">
      <w:pPr>
        <w:pStyle w:val="para"/>
        <w:rPr>
          <w:lang w:val="ru-RU"/>
        </w:rPr>
      </w:pPr>
      <w:r>
        <w:rPr>
          <w:lang w:val="ru-RU"/>
        </w:rPr>
        <w:t>6.4</w:t>
      </w:r>
      <w:r>
        <w:rPr>
          <w:lang w:val="ru-RU"/>
        </w:rPr>
        <w:tab/>
        <w:t>Транспортное средство, имеющее дефекты, подпадающие под более чем одну группу дефектов, следует классифицировать в соответствии с наиболее серьезным из выявленных дефектов. Транспортное средство с несколькими дефектами, относящимися к одной и той же группе, может быть приписано к следующей порядковой группе, если совокупность имеющихся дефектов делает транспортное средство более опасным в эксплуатации.</w:t>
      </w:r>
    </w:p>
    <w:p w14:paraId="34438AA0" w14:textId="77777777" w:rsidR="00515124" w:rsidRPr="00B66038" w:rsidRDefault="00515124" w:rsidP="00515124">
      <w:pPr>
        <w:pStyle w:val="H1G"/>
      </w:pPr>
      <w:r>
        <w:rPr>
          <w:bCs/>
        </w:rPr>
        <w:tab/>
      </w:r>
      <w:r>
        <w:rPr>
          <w:bCs/>
        </w:rPr>
        <w:tab/>
        <w:t>7.</w:t>
      </w:r>
      <w:r>
        <w:tab/>
      </w:r>
      <w:r>
        <w:tab/>
      </w:r>
      <w:r>
        <w:rPr>
          <w:bCs/>
        </w:rPr>
        <w:t>Названия и адреса</w:t>
      </w:r>
    </w:p>
    <w:p w14:paraId="1E29F644" w14:textId="10EE423D" w:rsidR="00515124" w:rsidRDefault="00515124" w:rsidP="00515124">
      <w:pPr>
        <w:pStyle w:val="para"/>
        <w:rPr>
          <w:lang w:val="ru-RU"/>
        </w:rPr>
      </w:pPr>
      <w:r>
        <w:rPr>
          <w:lang w:val="ru-RU"/>
        </w:rPr>
        <w:tab/>
        <w:t>Договаривающиеся стороны Соглашения, применяющие настоящее Предписание, сообщают в Секретариат Организации Объединенных Наций основные данные об административных органах, осуществляющих контроль за техническим осмотром и выдающих международные сертификаты технического осмотра.</w:t>
      </w:r>
    </w:p>
    <w:p w14:paraId="1F6FDBD4" w14:textId="4F2893BB" w:rsidR="00515124" w:rsidRDefault="00515124">
      <w:pPr>
        <w:suppressAutoHyphens w:val="0"/>
        <w:spacing w:line="240" w:lineRule="auto"/>
        <w:rPr>
          <w:rFonts w:eastAsia="Times New Roman" w:cs="Times New Roman"/>
          <w:szCs w:val="20"/>
        </w:rPr>
      </w:pPr>
      <w:r>
        <w:br w:type="page"/>
      </w:r>
    </w:p>
    <w:p w14:paraId="292E40F1" w14:textId="77777777" w:rsidR="00515124" w:rsidRPr="00B66038" w:rsidRDefault="00515124" w:rsidP="00515124">
      <w:pPr>
        <w:pStyle w:val="HChG"/>
        <w:ind w:left="0" w:right="0" w:firstLine="0"/>
      </w:pPr>
      <w:r>
        <w:rPr>
          <w:bCs/>
        </w:rPr>
        <w:lastRenderedPageBreak/>
        <w:t>Приложение</w:t>
      </w:r>
    </w:p>
    <w:p w14:paraId="6E7E1944" w14:textId="77777777" w:rsidR="00515124" w:rsidRPr="00B66038" w:rsidRDefault="00515124" w:rsidP="00515124">
      <w:pPr>
        <w:pStyle w:val="H1G"/>
      </w:pPr>
      <w:r>
        <w:tab/>
      </w:r>
      <w:r>
        <w:tab/>
      </w:r>
      <w:r>
        <w:rPr>
          <w:bCs/>
        </w:rPr>
        <w:t>Минимальные требования к осмотру</w:t>
      </w:r>
    </w:p>
    <w:p w14:paraId="62B8523C" w14:textId="040D4C9C" w:rsidR="00515124" w:rsidRDefault="00515124" w:rsidP="00515124">
      <w:pPr>
        <w:pStyle w:val="SingleTxtG"/>
      </w:pPr>
      <w:r>
        <w:tab/>
        <w:t>Осмотр системы вызова экстренных служб (если она установлена в соответствии с требованиями</w:t>
      </w:r>
      <w:r>
        <w:rPr>
          <w:rStyle w:val="FootnoteReference"/>
        </w:rPr>
        <w:footnoteReference w:id="2"/>
      </w:r>
      <w:r>
        <w:t>) охватывает как минимум перечисленные ниже позиции.</w:t>
      </w:r>
    </w:p>
    <w:tbl>
      <w:tblPr>
        <w:tblW w:w="7370" w:type="dxa"/>
        <w:tblInd w:w="1134" w:type="dxa"/>
        <w:tblLayout w:type="fixed"/>
        <w:tblCellMar>
          <w:left w:w="0" w:type="dxa"/>
          <w:right w:w="0" w:type="dxa"/>
        </w:tblCellMar>
        <w:tblLook w:val="0000" w:firstRow="0" w:lastRow="0" w:firstColumn="0" w:lastColumn="0" w:noHBand="0" w:noVBand="0"/>
      </w:tblPr>
      <w:tblGrid>
        <w:gridCol w:w="1429"/>
        <w:gridCol w:w="1401"/>
        <w:gridCol w:w="2840"/>
        <w:gridCol w:w="567"/>
        <w:gridCol w:w="567"/>
        <w:gridCol w:w="566"/>
      </w:tblGrid>
      <w:tr w:rsidR="0054042A" w:rsidRPr="00EC6768" w14:paraId="395F5F19" w14:textId="77777777" w:rsidTr="00EC6768">
        <w:trPr>
          <w:cantSplit/>
          <w:tblHeader/>
        </w:trPr>
        <w:tc>
          <w:tcPr>
            <w:tcW w:w="1919" w:type="pct"/>
            <w:gridSpan w:val="2"/>
            <w:tcBorders>
              <w:top w:val="single" w:sz="4" w:space="0" w:color="auto"/>
              <w:bottom w:val="single" w:sz="12" w:space="0" w:color="auto"/>
            </w:tcBorders>
            <w:shd w:val="clear" w:color="auto" w:fill="auto"/>
            <w:vAlign w:val="bottom"/>
          </w:tcPr>
          <w:p w14:paraId="5BEC0790" w14:textId="77777777" w:rsidR="0054042A" w:rsidRPr="00EC6768" w:rsidRDefault="0054042A" w:rsidP="00EC6768">
            <w:pPr>
              <w:spacing w:before="80" w:after="80" w:line="200" w:lineRule="exact"/>
              <w:ind w:left="57" w:right="57"/>
              <w:rPr>
                <w:i/>
                <w:sz w:val="16"/>
                <w:szCs w:val="16"/>
              </w:rPr>
            </w:pPr>
            <w:r w:rsidRPr="00EC6768">
              <w:rPr>
                <w:i/>
                <w:iCs/>
                <w:sz w:val="16"/>
                <w:szCs w:val="16"/>
              </w:rPr>
              <w:t>Обязательные требования</w:t>
            </w:r>
          </w:p>
        </w:tc>
        <w:tc>
          <w:tcPr>
            <w:tcW w:w="3081" w:type="pct"/>
            <w:gridSpan w:val="4"/>
            <w:tcBorders>
              <w:top w:val="single" w:sz="4" w:space="0" w:color="auto"/>
              <w:bottom w:val="single" w:sz="12" w:space="0" w:color="auto"/>
            </w:tcBorders>
            <w:shd w:val="clear" w:color="auto" w:fill="auto"/>
            <w:vAlign w:val="bottom"/>
          </w:tcPr>
          <w:p w14:paraId="08EAF901" w14:textId="77777777" w:rsidR="0054042A" w:rsidRPr="00EC6768" w:rsidRDefault="0054042A" w:rsidP="00EC6768">
            <w:pPr>
              <w:spacing w:before="80" w:after="80" w:line="200" w:lineRule="exact"/>
              <w:ind w:left="57" w:right="57"/>
              <w:rPr>
                <w:i/>
                <w:sz w:val="16"/>
                <w:szCs w:val="16"/>
              </w:rPr>
            </w:pPr>
            <w:r w:rsidRPr="00EC6768">
              <w:rPr>
                <w:i/>
                <w:iCs/>
                <w:sz w:val="16"/>
                <w:szCs w:val="16"/>
              </w:rPr>
              <w:t>Рекомендация</w:t>
            </w:r>
          </w:p>
        </w:tc>
      </w:tr>
      <w:tr w:rsidR="0054042A" w:rsidRPr="000243ED" w14:paraId="4586B9CD" w14:textId="77777777" w:rsidTr="00EC6768">
        <w:trPr>
          <w:cantSplit/>
          <w:trHeight w:hRule="exact" w:val="113"/>
          <w:tblHeader/>
        </w:trPr>
        <w:tc>
          <w:tcPr>
            <w:tcW w:w="1919" w:type="pct"/>
            <w:gridSpan w:val="2"/>
            <w:tcBorders>
              <w:top w:val="single" w:sz="12" w:space="0" w:color="auto"/>
            </w:tcBorders>
            <w:shd w:val="clear" w:color="auto" w:fill="auto"/>
          </w:tcPr>
          <w:p w14:paraId="1AD023B7" w14:textId="77777777" w:rsidR="0054042A" w:rsidRPr="000243ED" w:rsidRDefault="0054042A" w:rsidP="00EC6768">
            <w:pPr>
              <w:spacing w:before="40" w:after="120"/>
              <w:ind w:left="57" w:right="57"/>
            </w:pPr>
          </w:p>
        </w:tc>
        <w:tc>
          <w:tcPr>
            <w:tcW w:w="3081" w:type="pct"/>
            <w:gridSpan w:val="4"/>
            <w:tcBorders>
              <w:top w:val="single" w:sz="12" w:space="0" w:color="auto"/>
            </w:tcBorders>
            <w:shd w:val="clear" w:color="auto" w:fill="auto"/>
          </w:tcPr>
          <w:p w14:paraId="3DF6F0F5" w14:textId="77777777" w:rsidR="0054042A" w:rsidRPr="000243ED" w:rsidRDefault="0054042A" w:rsidP="00EC6768">
            <w:pPr>
              <w:spacing w:before="40" w:after="120"/>
              <w:ind w:left="57" w:right="57"/>
            </w:pPr>
          </w:p>
        </w:tc>
      </w:tr>
      <w:tr w:rsidR="0054042A" w:rsidRPr="000243ED" w14:paraId="05FE8BC6" w14:textId="77777777" w:rsidTr="00EC6768">
        <w:trPr>
          <w:cantSplit/>
          <w:tblHeader/>
        </w:trPr>
        <w:tc>
          <w:tcPr>
            <w:tcW w:w="969" w:type="pct"/>
            <w:shd w:val="clear" w:color="auto" w:fill="auto"/>
          </w:tcPr>
          <w:p w14:paraId="5C92BC4C" w14:textId="0D40A38E" w:rsidR="0054042A" w:rsidRPr="000243ED" w:rsidRDefault="0054042A" w:rsidP="00EC6768">
            <w:pPr>
              <w:spacing w:before="40" w:after="120"/>
              <w:ind w:left="57" w:right="57"/>
            </w:pPr>
            <w:r>
              <w:t>Позиция</w:t>
            </w:r>
          </w:p>
        </w:tc>
        <w:tc>
          <w:tcPr>
            <w:tcW w:w="950" w:type="pct"/>
            <w:shd w:val="clear" w:color="auto" w:fill="auto"/>
          </w:tcPr>
          <w:p w14:paraId="044E8CC0" w14:textId="77777777" w:rsidR="0054042A" w:rsidRPr="000243ED" w:rsidRDefault="0054042A" w:rsidP="00EC6768">
            <w:pPr>
              <w:spacing w:before="40" w:after="120"/>
              <w:ind w:left="57" w:right="57"/>
            </w:pPr>
            <w:r>
              <w:t>Метод</w:t>
            </w:r>
          </w:p>
        </w:tc>
        <w:tc>
          <w:tcPr>
            <w:tcW w:w="1927" w:type="pct"/>
            <w:shd w:val="clear" w:color="auto" w:fill="auto"/>
          </w:tcPr>
          <w:p w14:paraId="547A4CC2" w14:textId="77777777" w:rsidR="0054042A" w:rsidRPr="000243ED" w:rsidRDefault="0054042A" w:rsidP="00EC6768">
            <w:pPr>
              <w:spacing w:before="40" w:after="120"/>
              <w:ind w:left="57" w:right="57"/>
            </w:pPr>
            <w:r>
              <w:t>Основные причины для отказа</w:t>
            </w:r>
          </w:p>
        </w:tc>
        <w:tc>
          <w:tcPr>
            <w:tcW w:w="1154" w:type="pct"/>
            <w:gridSpan w:val="3"/>
            <w:shd w:val="clear" w:color="auto" w:fill="auto"/>
          </w:tcPr>
          <w:p w14:paraId="72DF925A" w14:textId="77777777" w:rsidR="0054042A" w:rsidRPr="000243ED" w:rsidRDefault="0054042A" w:rsidP="00EC6768">
            <w:pPr>
              <w:spacing w:before="40" w:after="120"/>
              <w:ind w:left="57" w:right="57"/>
            </w:pPr>
            <w:r>
              <w:t>Оценка дефектов</w:t>
            </w:r>
          </w:p>
        </w:tc>
      </w:tr>
      <w:tr w:rsidR="0054042A" w:rsidRPr="000243ED" w14:paraId="4D5ABCDA" w14:textId="77777777" w:rsidTr="00EC6768">
        <w:trPr>
          <w:cantSplit/>
          <w:tblHeader/>
        </w:trPr>
        <w:tc>
          <w:tcPr>
            <w:tcW w:w="3846" w:type="pct"/>
            <w:gridSpan w:val="3"/>
            <w:shd w:val="clear" w:color="auto" w:fill="auto"/>
          </w:tcPr>
          <w:p w14:paraId="1144CED3" w14:textId="77777777" w:rsidR="0054042A" w:rsidRPr="000243ED" w:rsidRDefault="0054042A" w:rsidP="00EC6768">
            <w:pPr>
              <w:spacing w:before="40" w:after="120"/>
              <w:ind w:left="57" w:right="57"/>
            </w:pPr>
          </w:p>
        </w:tc>
        <w:tc>
          <w:tcPr>
            <w:tcW w:w="385" w:type="pct"/>
            <w:shd w:val="clear" w:color="auto" w:fill="auto"/>
          </w:tcPr>
          <w:p w14:paraId="17BF285B" w14:textId="77777777" w:rsidR="0054042A" w:rsidRPr="000243ED" w:rsidRDefault="0054042A" w:rsidP="00EC6768">
            <w:pPr>
              <w:spacing w:before="40" w:after="120"/>
              <w:ind w:left="57" w:right="57"/>
            </w:pPr>
            <w:r>
              <w:t>НД</w:t>
            </w:r>
          </w:p>
        </w:tc>
        <w:tc>
          <w:tcPr>
            <w:tcW w:w="385" w:type="pct"/>
            <w:shd w:val="clear" w:color="auto" w:fill="auto"/>
          </w:tcPr>
          <w:p w14:paraId="1B7BEB46" w14:textId="77777777" w:rsidR="0054042A" w:rsidRPr="000243ED" w:rsidRDefault="0054042A" w:rsidP="00EC6768">
            <w:pPr>
              <w:spacing w:before="40" w:after="120"/>
              <w:ind w:left="57" w:right="57"/>
            </w:pPr>
            <w:r>
              <w:t>СД</w:t>
            </w:r>
          </w:p>
        </w:tc>
        <w:tc>
          <w:tcPr>
            <w:tcW w:w="385" w:type="pct"/>
            <w:shd w:val="clear" w:color="auto" w:fill="auto"/>
          </w:tcPr>
          <w:p w14:paraId="7BFDA974" w14:textId="77777777" w:rsidR="0054042A" w:rsidRPr="000243ED" w:rsidRDefault="0054042A" w:rsidP="00EC6768">
            <w:pPr>
              <w:spacing w:before="40" w:after="120"/>
              <w:ind w:left="57" w:right="57"/>
            </w:pPr>
            <w:r>
              <w:t>ОД</w:t>
            </w:r>
          </w:p>
        </w:tc>
      </w:tr>
      <w:tr w:rsidR="00F96C25" w:rsidRPr="000243ED" w14:paraId="6868DE8B" w14:textId="77777777" w:rsidTr="00F96C25">
        <w:trPr>
          <w:cantSplit/>
        </w:trPr>
        <w:tc>
          <w:tcPr>
            <w:tcW w:w="969" w:type="pct"/>
            <w:shd w:val="clear" w:color="auto" w:fill="auto"/>
          </w:tcPr>
          <w:p w14:paraId="2D0BDED3" w14:textId="77777777" w:rsidR="0054042A" w:rsidRPr="000243ED" w:rsidRDefault="0054042A" w:rsidP="00EC6768">
            <w:pPr>
              <w:spacing w:before="40" w:after="120"/>
              <w:ind w:left="57" w:right="57"/>
            </w:pPr>
            <w:r>
              <w:t>1. Установка и конфигурация</w:t>
            </w:r>
          </w:p>
        </w:tc>
        <w:tc>
          <w:tcPr>
            <w:tcW w:w="950" w:type="pct"/>
            <w:shd w:val="clear" w:color="auto" w:fill="auto"/>
          </w:tcPr>
          <w:p w14:paraId="3B700025" w14:textId="77777777" w:rsidR="0054042A" w:rsidRPr="00026C69" w:rsidRDefault="0054042A" w:rsidP="00EC6768">
            <w:pPr>
              <w:spacing w:before="40" w:after="120"/>
              <w:ind w:left="57" w:right="57"/>
            </w:pPr>
            <w:r>
              <w:t xml:space="preserve">Визуальный осмотр </w:t>
            </w:r>
          </w:p>
        </w:tc>
        <w:tc>
          <w:tcPr>
            <w:tcW w:w="1927" w:type="pct"/>
            <w:shd w:val="clear" w:color="auto" w:fill="auto"/>
          </w:tcPr>
          <w:p w14:paraId="52C26DD2" w14:textId="77777777" w:rsidR="0054042A" w:rsidRPr="00B66038" w:rsidRDefault="0054042A" w:rsidP="00EC6768">
            <w:pPr>
              <w:spacing w:before="40" w:after="120"/>
              <w:ind w:left="57" w:right="57"/>
            </w:pPr>
            <w:r>
              <w:t>a) Отсутствие системы или какого-либо элемента</w:t>
            </w:r>
          </w:p>
        </w:tc>
        <w:tc>
          <w:tcPr>
            <w:tcW w:w="385" w:type="pct"/>
            <w:shd w:val="clear" w:color="auto" w:fill="auto"/>
          </w:tcPr>
          <w:p w14:paraId="07FBFE17" w14:textId="77777777" w:rsidR="0054042A" w:rsidRPr="00B66038" w:rsidRDefault="0054042A" w:rsidP="00EC6768">
            <w:pPr>
              <w:spacing w:before="40" w:after="120"/>
              <w:ind w:left="57" w:right="57"/>
            </w:pPr>
          </w:p>
        </w:tc>
        <w:tc>
          <w:tcPr>
            <w:tcW w:w="385" w:type="pct"/>
            <w:shd w:val="clear" w:color="auto" w:fill="auto"/>
          </w:tcPr>
          <w:p w14:paraId="694F61F0" w14:textId="77777777" w:rsidR="0054042A" w:rsidRPr="000243ED" w:rsidRDefault="0054042A" w:rsidP="00EC6768">
            <w:pPr>
              <w:spacing w:before="40" w:after="120"/>
              <w:ind w:left="57" w:right="57"/>
            </w:pPr>
            <w:r>
              <w:t>X</w:t>
            </w:r>
          </w:p>
        </w:tc>
        <w:tc>
          <w:tcPr>
            <w:tcW w:w="385" w:type="pct"/>
            <w:shd w:val="clear" w:color="auto" w:fill="auto"/>
          </w:tcPr>
          <w:p w14:paraId="256D2D20" w14:textId="77777777" w:rsidR="0054042A" w:rsidRPr="000243ED" w:rsidRDefault="0054042A" w:rsidP="00EC6768">
            <w:pPr>
              <w:spacing w:before="40" w:after="120"/>
              <w:ind w:left="57" w:right="57"/>
            </w:pPr>
          </w:p>
        </w:tc>
      </w:tr>
      <w:tr w:rsidR="00F96C25" w:rsidRPr="000243ED" w14:paraId="1B934E33" w14:textId="77777777" w:rsidTr="00F96C25">
        <w:trPr>
          <w:cantSplit/>
        </w:trPr>
        <w:tc>
          <w:tcPr>
            <w:tcW w:w="969" w:type="pct"/>
            <w:vMerge w:val="restart"/>
            <w:tcBorders>
              <w:bottom w:val="single" w:sz="12" w:space="0" w:color="auto"/>
            </w:tcBorders>
            <w:shd w:val="clear" w:color="auto" w:fill="auto"/>
          </w:tcPr>
          <w:p w14:paraId="1A2E63FF" w14:textId="77777777" w:rsidR="0054042A" w:rsidRPr="000243ED" w:rsidRDefault="0054042A" w:rsidP="00EC6768">
            <w:pPr>
              <w:spacing w:before="40" w:after="120"/>
              <w:ind w:left="57" w:right="57"/>
            </w:pPr>
            <w:r>
              <w:t>2. Состояние</w:t>
            </w:r>
          </w:p>
        </w:tc>
        <w:tc>
          <w:tcPr>
            <w:tcW w:w="950" w:type="pct"/>
            <w:vMerge w:val="restart"/>
            <w:tcBorders>
              <w:bottom w:val="single" w:sz="12" w:space="0" w:color="auto"/>
            </w:tcBorders>
            <w:shd w:val="clear" w:color="auto" w:fill="auto"/>
          </w:tcPr>
          <w:p w14:paraId="00BEFDE4" w14:textId="77777777" w:rsidR="0054042A" w:rsidRPr="00026C69" w:rsidRDefault="0054042A" w:rsidP="00EC6768">
            <w:pPr>
              <w:spacing w:before="40" w:after="120"/>
              <w:ind w:left="57" w:right="57"/>
            </w:pPr>
            <w:r>
              <w:t xml:space="preserve">Визуальный осмотр </w:t>
            </w:r>
          </w:p>
        </w:tc>
        <w:tc>
          <w:tcPr>
            <w:tcW w:w="1927" w:type="pct"/>
            <w:shd w:val="clear" w:color="auto" w:fill="auto"/>
          </w:tcPr>
          <w:p w14:paraId="3A1EB58C" w14:textId="77777777" w:rsidR="0054042A" w:rsidRPr="00B66038" w:rsidRDefault="0054042A" w:rsidP="00EC6768">
            <w:pPr>
              <w:spacing w:before="40" w:after="120"/>
              <w:ind w:left="57" w:right="57"/>
            </w:pPr>
            <w:r>
              <w:t>b) Повреждение системы или элементов</w:t>
            </w:r>
          </w:p>
        </w:tc>
        <w:tc>
          <w:tcPr>
            <w:tcW w:w="385" w:type="pct"/>
            <w:shd w:val="clear" w:color="auto" w:fill="auto"/>
          </w:tcPr>
          <w:p w14:paraId="47278BA9" w14:textId="77777777" w:rsidR="0054042A" w:rsidRPr="000243ED" w:rsidRDefault="0054042A" w:rsidP="00EC6768">
            <w:pPr>
              <w:spacing w:before="40" w:after="120"/>
              <w:ind w:left="57" w:right="57"/>
            </w:pPr>
            <w:r>
              <w:t>X</w:t>
            </w:r>
          </w:p>
        </w:tc>
        <w:tc>
          <w:tcPr>
            <w:tcW w:w="385" w:type="pct"/>
            <w:shd w:val="clear" w:color="auto" w:fill="auto"/>
          </w:tcPr>
          <w:p w14:paraId="5325A27E" w14:textId="77777777" w:rsidR="0054042A" w:rsidRPr="000243ED" w:rsidRDefault="0054042A" w:rsidP="00EC6768">
            <w:pPr>
              <w:spacing w:before="40" w:after="120"/>
              <w:ind w:left="57" w:right="57"/>
            </w:pPr>
          </w:p>
        </w:tc>
        <w:tc>
          <w:tcPr>
            <w:tcW w:w="385" w:type="pct"/>
            <w:shd w:val="clear" w:color="auto" w:fill="auto"/>
          </w:tcPr>
          <w:p w14:paraId="65D79C47" w14:textId="77777777" w:rsidR="0054042A" w:rsidRPr="000243ED" w:rsidRDefault="0054042A" w:rsidP="00EC6768">
            <w:pPr>
              <w:spacing w:before="40" w:after="120"/>
              <w:ind w:left="57" w:right="57"/>
            </w:pPr>
          </w:p>
        </w:tc>
      </w:tr>
      <w:tr w:rsidR="00F96C25" w:rsidRPr="000243ED" w14:paraId="665E0F89" w14:textId="77777777" w:rsidTr="00F96C25">
        <w:trPr>
          <w:cantSplit/>
        </w:trPr>
        <w:tc>
          <w:tcPr>
            <w:tcW w:w="969" w:type="pct"/>
            <w:vMerge/>
            <w:tcBorders>
              <w:bottom w:val="single" w:sz="12" w:space="0" w:color="auto"/>
            </w:tcBorders>
            <w:shd w:val="clear" w:color="auto" w:fill="auto"/>
          </w:tcPr>
          <w:p w14:paraId="7D2BBE69" w14:textId="77777777" w:rsidR="0054042A" w:rsidRPr="000243ED" w:rsidRDefault="0054042A" w:rsidP="00EC6768">
            <w:pPr>
              <w:spacing w:before="40" w:after="120"/>
              <w:ind w:left="57" w:right="57"/>
            </w:pPr>
          </w:p>
        </w:tc>
        <w:tc>
          <w:tcPr>
            <w:tcW w:w="950" w:type="pct"/>
            <w:vMerge/>
            <w:tcBorders>
              <w:bottom w:val="single" w:sz="12" w:space="0" w:color="auto"/>
            </w:tcBorders>
            <w:shd w:val="clear" w:color="auto" w:fill="auto"/>
          </w:tcPr>
          <w:p w14:paraId="1234B1B7" w14:textId="77777777" w:rsidR="0054042A" w:rsidRPr="000243ED" w:rsidRDefault="0054042A" w:rsidP="00EC6768">
            <w:pPr>
              <w:spacing w:before="40" w:after="120"/>
              <w:ind w:left="57" w:right="57"/>
            </w:pPr>
          </w:p>
        </w:tc>
        <w:tc>
          <w:tcPr>
            <w:tcW w:w="1927" w:type="pct"/>
            <w:shd w:val="clear" w:color="auto" w:fill="auto"/>
          </w:tcPr>
          <w:p w14:paraId="0A927ECB" w14:textId="1AC1063F" w:rsidR="0054042A" w:rsidRPr="00B66038" w:rsidRDefault="0054042A" w:rsidP="00EC6768">
            <w:pPr>
              <w:spacing w:before="40" w:after="120"/>
              <w:ind w:left="57" w:right="57"/>
            </w:pPr>
            <w:r>
              <w:t>c) Световой индикатор неисправности СВЭС указывает на любой сбой в</w:t>
            </w:r>
            <w:r w:rsidR="00EC6768">
              <w:rPr>
                <w:lang w:val="en-US"/>
              </w:rPr>
              <w:t> </w:t>
            </w:r>
            <w:r>
              <w:t>работе системы</w:t>
            </w:r>
          </w:p>
        </w:tc>
        <w:tc>
          <w:tcPr>
            <w:tcW w:w="385" w:type="pct"/>
            <w:shd w:val="clear" w:color="auto" w:fill="auto"/>
          </w:tcPr>
          <w:p w14:paraId="3116E5E6" w14:textId="77777777" w:rsidR="0054042A" w:rsidRPr="000243ED" w:rsidRDefault="0054042A" w:rsidP="00EC6768">
            <w:pPr>
              <w:spacing w:before="40" w:after="120"/>
              <w:ind w:left="57" w:right="57"/>
            </w:pPr>
            <w:r>
              <w:t>X</w:t>
            </w:r>
          </w:p>
        </w:tc>
        <w:tc>
          <w:tcPr>
            <w:tcW w:w="385" w:type="pct"/>
            <w:shd w:val="clear" w:color="auto" w:fill="auto"/>
          </w:tcPr>
          <w:p w14:paraId="567E6C37" w14:textId="77777777" w:rsidR="0054042A" w:rsidRPr="000243ED" w:rsidRDefault="0054042A" w:rsidP="00EC6768">
            <w:pPr>
              <w:spacing w:before="40" w:after="120"/>
              <w:ind w:left="57" w:right="57"/>
            </w:pPr>
          </w:p>
        </w:tc>
        <w:tc>
          <w:tcPr>
            <w:tcW w:w="385" w:type="pct"/>
            <w:shd w:val="clear" w:color="auto" w:fill="auto"/>
          </w:tcPr>
          <w:p w14:paraId="4B0A54A5" w14:textId="77777777" w:rsidR="0054042A" w:rsidRPr="000243ED" w:rsidRDefault="0054042A" w:rsidP="00EC6768">
            <w:pPr>
              <w:spacing w:before="40" w:after="120"/>
              <w:ind w:left="57" w:right="57"/>
            </w:pPr>
          </w:p>
        </w:tc>
      </w:tr>
      <w:tr w:rsidR="00F96C25" w:rsidRPr="000243ED" w14:paraId="7ADB2BAC" w14:textId="77777777" w:rsidTr="00F12544">
        <w:trPr>
          <w:cantSplit/>
        </w:trPr>
        <w:tc>
          <w:tcPr>
            <w:tcW w:w="969" w:type="pct"/>
            <w:vMerge/>
            <w:tcBorders>
              <w:bottom w:val="single" w:sz="12" w:space="0" w:color="auto"/>
            </w:tcBorders>
            <w:shd w:val="clear" w:color="auto" w:fill="auto"/>
          </w:tcPr>
          <w:p w14:paraId="4186F38E" w14:textId="77777777" w:rsidR="0054042A" w:rsidRPr="000243ED" w:rsidRDefault="0054042A" w:rsidP="00EC6768">
            <w:pPr>
              <w:spacing w:before="40" w:after="120"/>
              <w:ind w:left="57" w:right="57"/>
            </w:pPr>
          </w:p>
        </w:tc>
        <w:tc>
          <w:tcPr>
            <w:tcW w:w="950" w:type="pct"/>
            <w:vMerge/>
            <w:tcBorders>
              <w:bottom w:val="single" w:sz="12" w:space="0" w:color="auto"/>
            </w:tcBorders>
            <w:shd w:val="clear" w:color="auto" w:fill="auto"/>
          </w:tcPr>
          <w:p w14:paraId="713A60EE" w14:textId="77777777" w:rsidR="0054042A" w:rsidRPr="000243ED" w:rsidRDefault="0054042A" w:rsidP="00EC6768">
            <w:pPr>
              <w:spacing w:before="40" w:after="120"/>
              <w:ind w:left="57" w:right="57"/>
            </w:pPr>
          </w:p>
        </w:tc>
        <w:tc>
          <w:tcPr>
            <w:tcW w:w="1927" w:type="pct"/>
            <w:shd w:val="clear" w:color="auto" w:fill="auto"/>
          </w:tcPr>
          <w:p w14:paraId="67A57C33" w14:textId="77777777" w:rsidR="0054042A" w:rsidRPr="00D279EB" w:rsidRDefault="0054042A" w:rsidP="00EC6768">
            <w:pPr>
              <w:spacing w:before="40" w:after="120"/>
              <w:ind w:left="57" w:right="57"/>
              <w:rPr>
                <w:strike/>
              </w:rPr>
            </w:pPr>
            <w:r>
              <w:t xml:space="preserve">d) </w:t>
            </w:r>
            <w:proofErr w:type="spellStart"/>
            <w:r>
              <w:t>Аудиокомпоненты</w:t>
            </w:r>
            <w:proofErr w:type="spellEnd"/>
            <w:r>
              <w:t xml:space="preserve"> не подключены</w:t>
            </w:r>
          </w:p>
        </w:tc>
        <w:tc>
          <w:tcPr>
            <w:tcW w:w="385" w:type="pct"/>
            <w:shd w:val="clear" w:color="auto" w:fill="auto"/>
          </w:tcPr>
          <w:p w14:paraId="529AA68A" w14:textId="77777777" w:rsidR="0054042A" w:rsidRPr="000243ED" w:rsidRDefault="0054042A" w:rsidP="00EC6768">
            <w:pPr>
              <w:spacing w:before="40" w:after="120"/>
              <w:ind w:left="57" w:right="57"/>
            </w:pPr>
            <w:r>
              <w:t>X</w:t>
            </w:r>
          </w:p>
        </w:tc>
        <w:tc>
          <w:tcPr>
            <w:tcW w:w="385" w:type="pct"/>
            <w:shd w:val="clear" w:color="auto" w:fill="auto"/>
          </w:tcPr>
          <w:p w14:paraId="11F3D932" w14:textId="77777777" w:rsidR="0054042A" w:rsidRPr="000243ED" w:rsidRDefault="0054042A" w:rsidP="00EC6768">
            <w:pPr>
              <w:spacing w:before="40" w:after="120"/>
              <w:ind w:left="57" w:right="57"/>
            </w:pPr>
          </w:p>
        </w:tc>
        <w:tc>
          <w:tcPr>
            <w:tcW w:w="385" w:type="pct"/>
            <w:shd w:val="clear" w:color="auto" w:fill="auto"/>
          </w:tcPr>
          <w:p w14:paraId="52E01D91" w14:textId="77777777" w:rsidR="0054042A" w:rsidRPr="000243ED" w:rsidRDefault="0054042A" w:rsidP="00EC6768">
            <w:pPr>
              <w:spacing w:before="40" w:after="120"/>
              <w:ind w:left="57" w:right="57"/>
            </w:pPr>
          </w:p>
        </w:tc>
      </w:tr>
      <w:tr w:rsidR="00F96C25" w:rsidRPr="000243ED" w14:paraId="24FE429C" w14:textId="77777777" w:rsidTr="00F12544">
        <w:trPr>
          <w:cantSplit/>
        </w:trPr>
        <w:tc>
          <w:tcPr>
            <w:tcW w:w="969" w:type="pct"/>
            <w:vMerge/>
            <w:tcBorders>
              <w:bottom w:val="single" w:sz="12" w:space="0" w:color="auto"/>
            </w:tcBorders>
            <w:shd w:val="clear" w:color="auto" w:fill="auto"/>
          </w:tcPr>
          <w:p w14:paraId="45276A2F" w14:textId="77777777" w:rsidR="0054042A" w:rsidRPr="000243ED" w:rsidRDefault="0054042A" w:rsidP="00EC6768">
            <w:pPr>
              <w:spacing w:before="40" w:after="120"/>
              <w:ind w:left="57" w:right="57"/>
            </w:pPr>
          </w:p>
        </w:tc>
        <w:tc>
          <w:tcPr>
            <w:tcW w:w="950" w:type="pct"/>
            <w:vMerge/>
            <w:tcBorders>
              <w:bottom w:val="single" w:sz="12" w:space="0" w:color="auto"/>
            </w:tcBorders>
            <w:shd w:val="clear" w:color="auto" w:fill="auto"/>
          </w:tcPr>
          <w:p w14:paraId="14215AED" w14:textId="77777777" w:rsidR="0054042A" w:rsidRPr="000243ED" w:rsidRDefault="0054042A" w:rsidP="00EC6768">
            <w:pPr>
              <w:spacing w:before="40" w:after="120"/>
              <w:ind w:left="57" w:right="57"/>
            </w:pPr>
          </w:p>
        </w:tc>
        <w:tc>
          <w:tcPr>
            <w:tcW w:w="1927" w:type="pct"/>
            <w:shd w:val="clear" w:color="auto" w:fill="auto"/>
          </w:tcPr>
          <w:p w14:paraId="5EAA055F" w14:textId="3C28610A" w:rsidR="0054042A" w:rsidRPr="00B66038" w:rsidRDefault="0054042A" w:rsidP="00EC6768">
            <w:pPr>
              <w:spacing w:before="40" w:after="120"/>
              <w:ind w:left="57" w:right="57"/>
              <w:rPr>
                <w:strike/>
              </w:rPr>
            </w:pPr>
            <w:r>
              <w:t>e) Система указывает на сбой в</w:t>
            </w:r>
            <w:r w:rsidR="00EC6768">
              <w:rPr>
                <w:lang w:val="en-US"/>
              </w:rPr>
              <w:t> </w:t>
            </w:r>
            <w:r>
              <w:t>работе через электронный интерфейс транспортного средства</w:t>
            </w:r>
          </w:p>
        </w:tc>
        <w:tc>
          <w:tcPr>
            <w:tcW w:w="385" w:type="pct"/>
            <w:shd w:val="clear" w:color="auto" w:fill="auto"/>
          </w:tcPr>
          <w:p w14:paraId="3B9CEE18" w14:textId="77777777" w:rsidR="0054042A" w:rsidRPr="000243ED" w:rsidRDefault="0054042A" w:rsidP="00EC6768">
            <w:pPr>
              <w:spacing w:before="40" w:after="120"/>
              <w:ind w:left="57" w:right="57"/>
            </w:pPr>
            <w:r>
              <w:t>X</w:t>
            </w:r>
          </w:p>
        </w:tc>
        <w:tc>
          <w:tcPr>
            <w:tcW w:w="385" w:type="pct"/>
            <w:shd w:val="clear" w:color="auto" w:fill="auto"/>
          </w:tcPr>
          <w:p w14:paraId="0E66EDBB" w14:textId="77777777" w:rsidR="0054042A" w:rsidRPr="000243ED" w:rsidRDefault="0054042A" w:rsidP="00EC6768">
            <w:pPr>
              <w:spacing w:before="40" w:after="120"/>
              <w:ind w:left="57" w:right="57"/>
            </w:pPr>
          </w:p>
        </w:tc>
        <w:tc>
          <w:tcPr>
            <w:tcW w:w="385" w:type="pct"/>
            <w:shd w:val="clear" w:color="auto" w:fill="auto"/>
          </w:tcPr>
          <w:p w14:paraId="1DBADEB3" w14:textId="77777777" w:rsidR="0054042A" w:rsidRPr="000243ED" w:rsidRDefault="0054042A" w:rsidP="00EC6768">
            <w:pPr>
              <w:spacing w:before="40" w:after="120"/>
              <w:ind w:left="57" w:right="57"/>
            </w:pPr>
          </w:p>
        </w:tc>
      </w:tr>
      <w:tr w:rsidR="00F96C25" w:rsidRPr="000243ED" w14:paraId="3B15E74E" w14:textId="77777777" w:rsidTr="00F12544">
        <w:trPr>
          <w:cantSplit/>
        </w:trPr>
        <w:tc>
          <w:tcPr>
            <w:tcW w:w="969" w:type="pct"/>
            <w:vMerge/>
            <w:tcBorders>
              <w:bottom w:val="single" w:sz="12" w:space="0" w:color="auto"/>
            </w:tcBorders>
            <w:shd w:val="clear" w:color="auto" w:fill="auto"/>
          </w:tcPr>
          <w:p w14:paraId="494E1C62" w14:textId="77777777" w:rsidR="0054042A" w:rsidRPr="000243ED" w:rsidRDefault="0054042A" w:rsidP="00EC6768">
            <w:pPr>
              <w:spacing w:before="40" w:after="120"/>
              <w:ind w:left="57" w:right="57"/>
            </w:pPr>
          </w:p>
        </w:tc>
        <w:tc>
          <w:tcPr>
            <w:tcW w:w="950" w:type="pct"/>
            <w:vMerge/>
            <w:tcBorders>
              <w:bottom w:val="single" w:sz="12" w:space="0" w:color="auto"/>
            </w:tcBorders>
            <w:shd w:val="clear" w:color="auto" w:fill="auto"/>
          </w:tcPr>
          <w:p w14:paraId="54A3C0E7" w14:textId="77777777" w:rsidR="0054042A" w:rsidRPr="000243ED" w:rsidRDefault="0054042A" w:rsidP="00EC6768">
            <w:pPr>
              <w:spacing w:before="40" w:after="120"/>
              <w:ind w:left="57" w:right="57"/>
            </w:pPr>
          </w:p>
        </w:tc>
        <w:tc>
          <w:tcPr>
            <w:tcW w:w="1927" w:type="pct"/>
            <w:tcBorders>
              <w:bottom w:val="single" w:sz="12" w:space="0" w:color="auto"/>
            </w:tcBorders>
            <w:shd w:val="clear" w:color="auto" w:fill="auto"/>
          </w:tcPr>
          <w:p w14:paraId="292C4DF0" w14:textId="77777777" w:rsidR="0054042A" w:rsidRPr="00026C69" w:rsidRDefault="0054042A" w:rsidP="00EC6768">
            <w:pPr>
              <w:spacing w:before="40" w:after="120"/>
              <w:ind w:left="57" w:right="57"/>
            </w:pPr>
            <w:r>
              <w:t xml:space="preserve">f) </w:t>
            </w:r>
            <w:proofErr w:type="spellStart"/>
            <w:r>
              <w:t>Аудиокомпоненты</w:t>
            </w:r>
            <w:proofErr w:type="spellEnd"/>
            <w:r>
              <w:t xml:space="preserve"> не подключены</w:t>
            </w:r>
          </w:p>
        </w:tc>
        <w:tc>
          <w:tcPr>
            <w:tcW w:w="385" w:type="pct"/>
            <w:tcBorders>
              <w:bottom w:val="single" w:sz="12" w:space="0" w:color="auto"/>
            </w:tcBorders>
            <w:shd w:val="clear" w:color="auto" w:fill="auto"/>
          </w:tcPr>
          <w:p w14:paraId="23B6B8DF" w14:textId="77777777" w:rsidR="0054042A" w:rsidRPr="000243ED" w:rsidRDefault="0054042A" w:rsidP="00EC6768">
            <w:pPr>
              <w:spacing w:before="40" w:after="120"/>
              <w:ind w:left="57" w:right="57"/>
            </w:pPr>
            <w:r>
              <w:t>X</w:t>
            </w:r>
          </w:p>
        </w:tc>
        <w:tc>
          <w:tcPr>
            <w:tcW w:w="385" w:type="pct"/>
            <w:tcBorders>
              <w:bottom w:val="single" w:sz="12" w:space="0" w:color="auto"/>
            </w:tcBorders>
            <w:shd w:val="clear" w:color="auto" w:fill="auto"/>
          </w:tcPr>
          <w:p w14:paraId="33DEFDD5" w14:textId="77777777" w:rsidR="0054042A" w:rsidRPr="000243ED" w:rsidRDefault="0054042A" w:rsidP="00EC6768">
            <w:pPr>
              <w:spacing w:before="40" w:after="120"/>
              <w:ind w:left="57" w:right="57"/>
            </w:pPr>
          </w:p>
        </w:tc>
        <w:tc>
          <w:tcPr>
            <w:tcW w:w="385" w:type="pct"/>
            <w:tcBorders>
              <w:bottom w:val="single" w:sz="12" w:space="0" w:color="auto"/>
            </w:tcBorders>
            <w:shd w:val="clear" w:color="auto" w:fill="auto"/>
          </w:tcPr>
          <w:p w14:paraId="0CBC9E69" w14:textId="77777777" w:rsidR="0054042A" w:rsidRPr="000243ED" w:rsidRDefault="0054042A" w:rsidP="00EC6768">
            <w:pPr>
              <w:spacing w:before="40" w:after="120"/>
              <w:ind w:left="57" w:right="57"/>
            </w:pPr>
          </w:p>
        </w:tc>
      </w:tr>
    </w:tbl>
    <w:p w14:paraId="37BB5447" w14:textId="6FFA2742" w:rsidR="000134AD" w:rsidRPr="000134AD" w:rsidRDefault="000134AD" w:rsidP="000134AD">
      <w:pPr>
        <w:pStyle w:val="SingleTxtG"/>
        <w:spacing w:after="0"/>
        <w:jc w:val="right"/>
      </w:pPr>
      <w:r>
        <w:t>»</w:t>
      </w:r>
    </w:p>
    <w:p w14:paraId="7A063A00" w14:textId="1C95BE89" w:rsidR="0054042A" w:rsidRPr="0054042A" w:rsidRDefault="0054042A" w:rsidP="0054042A">
      <w:pPr>
        <w:pStyle w:val="SingleTxtG"/>
        <w:spacing w:before="240" w:after="0"/>
        <w:jc w:val="center"/>
        <w:rPr>
          <w:u w:val="single"/>
        </w:rPr>
      </w:pPr>
      <w:r>
        <w:rPr>
          <w:u w:val="single"/>
        </w:rPr>
        <w:tab/>
      </w:r>
      <w:r>
        <w:rPr>
          <w:u w:val="single"/>
        </w:rPr>
        <w:tab/>
      </w:r>
      <w:r>
        <w:rPr>
          <w:u w:val="single"/>
        </w:rPr>
        <w:tab/>
      </w:r>
    </w:p>
    <w:sectPr w:rsidR="0054042A" w:rsidRPr="0054042A" w:rsidSect="0051512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0C8C" w14:textId="77777777" w:rsidR="000C58B0" w:rsidRPr="00A312BC" w:rsidRDefault="000C58B0" w:rsidP="00A312BC"/>
  </w:endnote>
  <w:endnote w:type="continuationSeparator" w:id="0">
    <w:p w14:paraId="37510205" w14:textId="77777777" w:rsidR="000C58B0" w:rsidRPr="00A312BC" w:rsidRDefault="000C58B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E033" w14:textId="50C8335B" w:rsidR="00515124" w:rsidRPr="00515124" w:rsidRDefault="00515124">
    <w:pPr>
      <w:pStyle w:val="Footer"/>
    </w:pPr>
    <w:r w:rsidRPr="00515124">
      <w:rPr>
        <w:b/>
        <w:sz w:val="18"/>
      </w:rPr>
      <w:fldChar w:fldCharType="begin"/>
    </w:r>
    <w:r w:rsidRPr="00515124">
      <w:rPr>
        <w:b/>
        <w:sz w:val="18"/>
      </w:rPr>
      <w:instrText xml:space="preserve"> PAGE  \* MERGEFORMAT </w:instrText>
    </w:r>
    <w:r w:rsidRPr="00515124">
      <w:rPr>
        <w:b/>
        <w:sz w:val="18"/>
      </w:rPr>
      <w:fldChar w:fldCharType="separate"/>
    </w:r>
    <w:r w:rsidRPr="00515124">
      <w:rPr>
        <w:b/>
        <w:noProof/>
        <w:sz w:val="18"/>
      </w:rPr>
      <w:t>2</w:t>
    </w:r>
    <w:r w:rsidRPr="00515124">
      <w:rPr>
        <w:b/>
        <w:sz w:val="18"/>
      </w:rPr>
      <w:fldChar w:fldCharType="end"/>
    </w:r>
    <w:r>
      <w:rPr>
        <w:b/>
        <w:sz w:val="18"/>
      </w:rPr>
      <w:tab/>
    </w:r>
    <w:r>
      <w:t>GE.23-00517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F285" w14:textId="74247B9C" w:rsidR="00515124" w:rsidRPr="00515124" w:rsidRDefault="00515124" w:rsidP="00515124">
    <w:pPr>
      <w:pStyle w:val="Footer"/>
      <w:tabs>
        <w:tab w:val="clear" w:pos="9639"/>
        <w:tab w:val="right" w:pos="9638"/>
      </w:tabs>
      <w:rPr>
        <w:b/>
        <w:sz w:val="18"/>
      </w:rPr>
    </w:pPr>
    <w:r>
      <w:t>GE.23-00517</w:t>
    </w:r>
    <w:r>
      <w:tab/>
    </w:r>
    <w:r w:rsidRPr="00515124">
      <w:rPr>
        <w:b/>
        <w:sz w:val="18"/>
      </w:rPr>
      <w:fldChar w:fldCharType="begin"/>
    </w:r>
    <w:r w:rsidRPr="00515124">
      <w:rPr>
        <w:b/>
        <w:sz w:val="18"/>
      </w:rPr>
      <w:instrText xml:space="preserve"> PAGE  \* MERGEFORMAT </w:instrText>
    </w:r>
    <w:r w:rsidRPr="00515124">
      <w:rPr>
        <w:b/>
        <w:sz w:val="18"/>
      </w:rPr>
      <w:fldChar w:fldCharType="separate"/>
    </w:r>
    <w:r w:rsidRPr="00515124">
      <w:rPr>
        <w:b/>
        <w:noProof/>
        <w:sz w:val="18"/>
      </w:rPr>
      <w:t>3</w:t>
    </w:r>
    <w:r w:rsidRPr="005151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5541" w14:textId="6D1A8569" w:rsidR="00042B72" w:rsidRPr="00515124" w:rsidRDefault="00515124" w:rsidP="00515124">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D356725" wp14:editId="06AADB2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00517  (</w:t>
    </w:r>
    <w:proofErr w:type="gramEnd"/>
    <w:r>
      <w:t>R)</w:t>
    </w:r>
    <w:r>
      <w:rPr>
        <w:noProof/>
      </w:rPr>
      <w:drawing>
        <wp:anchor distT="0" distB="0" distL="114300" distR="114300" simplePos="0" relativeHeight="251659264" behindDoc="0" locked="0" layoutInCell="1" allowOverlap="1" wp14:anchorId="468881DA" wp14:editId="4E0B304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160123  190123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D932" w14:textId="77777777" w:rsidR="000C58B0" w:rsidRPr="001075E9" w:rsidRDefault="000C58B0" w:rsidP="001075E9">
      <w:pPr>
        <w:tabs>
          <w:tab w:val="right" w:pos="2155"/>
        </w:tabs>
        <w:spacing w:after="80" w:line="240" w:lineRule="auto"/>
        <w:ind w:left="680"/>
        <w:rPr>
          <w:u w:val="single"/>
        </w:rPr>
      </w:pPr>
      <w:r>
        <w:rPr>
          <w:u w:val="single"/>
        </w:rPr>
        <w:tab/>
      </w:r>
    </w:p>
  </w:footnote>
  <w:footnote w:type="continuationSeparator" w:id="0">
    <w:p w14:paraId="7E52B360" w14:textId="77777777" w:rsidR="000C58B0" w:rsidRDefault="000C58B0" w:rsidP="00407B78">
      <w:pPr>
        <w:tabs>
          <w:tab w:val="right" w:pos="2155"/>
        </w:tabs>
        <w:spacing w:after="80"/>
        <w:ind w:left="680"/>
        <w:rPr>
          <w:u w:val="single"/>
        </w:rPr>
      </w:pPr>
      <w:r>
        <w:rPr>
          <w:u w:val="single"/>
        </w:rPr>
        <w:tab/>
      </w:r>
    </w:p>
  </w:footnote>
  <w:footnote w:id="1">
    <w:p w14:paraId="45711DF5" w14:textId="00F98E53" w:rsidR="00515124" w:rsidRPr="00B66038" w:rsidRDefault="00515124" w:rsidP="00515124">
      <w:pPr>
        <w:pStyle w:val="FootnoteText"/>
      </w:pPr>
      <w:r>
        <w:tab/>
      </w:r>
      <w:r w:rsidRPr="00515124">
        <w:rPr>
          <w:sz w:val="20"/>
        </w:rPr>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(разд</w:t>
      </w:r>
      <w:r w:rsidRPr="00515124">
        <w:t>.</w:t>
      </w:r>
      <w:r>
        <w:t xml:space="preserve"> 20), таблица</w:t>
      </w:r>
      <w:r>
        <w:rPr>
          <w:lang w:val="en-US"/>
        </w:rPr>
        <w:t> </w:t>
      </w:r>
      <w:r>
        <w:t>20.6), Всемирный форум будет разрабатывать, согласовывать и обновлять правила</w:t>
      </w:r>
      <w:r>
        <w:rPr>
          <w:lang w:val="en-US"/>
        </w:rPr>
        <w:t> </w:t>
      </w:r>
      <w:r>
        <w:t>ООН в целях улучшения эксплуатационных характеристик транспортных средств. Настоящий документ представлен в соответствии с этим мандатом.</w:t>
      </w:r>
    </w:p>
  </w:footnote>
  <w:footnote w:id="2">
    <w:p w14:paraId="1928F37B" w14:textId="64794D42" w:rsidR="00515124" w:rsidRPr="00515124" w:rsidRDefault="00515124" w:rsidP="000134AD">
      <w:pPr>
        <w:pStyle w:val="FootnoteText"/>
      </w:pPr>
      <w:r>
        <w:tab/>
      </w:r>
      <w:r>
        <w:rPr>
          <w:rStyle w:val="FootnoteReference"/>
        </w:rPr>
        <w:footnoteRef/>
      </w:r>
      <w:r>
        <w:tab/>
      </w:r>
      <w:r w:rsidR="000134AD">
        <w:t>«</w:t>
      </w:r>
      <w:r>
        <w:t>Требования</w:t>
      </w:r>
      <w:r w:rsidR="000134AD">
        <w:t>»</w:t>
      </w:r>
      <w:r>
        <w:t xml:space="preserve"> устанавливаются на основе требований об официальном утверждении типа на</w:t>
      </w:r>
      <w:r w:rsidR="000134AD">
        <w:t> </w:t>
      </w:r>
      <w:r>
        <w:t>дату первой регистрации или первого ввода в эксплуатацию, а также обязательств в</w:t>
      </w:r>
      <w:r w:rsidR="000134AD">
        <w:t> </w:t>
      </w:r>
      <w:r>
        <w:t>отношении пер</w:t>
      </w:r>
      <w:r w:rsidR="00E46122">
        <w:t>е</w:t>
      </w:r>
      <w:r>
        <w:t>оборудования или национального законодательства.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6E1A" w14:textId="46C67E28" w:rsidR="00515124" w:rsidRPr="00515124" w:rsidRDefault="00BD73B5">
    <w:pPr>
      <w:pStyle w:val="Header"/>
    </w:pPr>
    <w:r>
      <w:fldChar w:fldCharType="begin"/>
    </w:r>
    <w:r>
      <w:instrText xml:space="preserve"> TITLE  \* MERGEFORMAT </w:instrText>
    </w:r>
    <w:r>
      <w:fldChar w:fldCharType="separate"/>
    </w:r>
    <w:r>
      <w:t>ECE/TRANS/WP.29/GRSG/2023/6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C0B2" w14:textId="5A2AA7F8" w:rsidR="00515124" w:rsidRPr="00515124" w:rsidRDefault="00BD73B5" w:rsidP="00515124">
    <w:pPr>
      <w:pStyle w:val="Header"/>
      <w:jc w:val="right"/>
    </w:pPr>
    <w:fldSimple w:instr=" TITLE  \* MERGEFORMAT ">
      <w:r>
        <w:t>ECE/TRANS/WP.29/GRSG/2023/6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B674" w14:textId="77777777" w:rsidR="00515124" w:rsidRDefault="00515124" w:rsidP="0051512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86806180">
    <w:abstractNumId w:val="16"/>
  </w:num>
  <w:num w:numId="2" w16cid:durableId="257064471">
    <w:abstractNumId w:val="11"/>
  </w:num>
  <w:num w:numId="3" w16cid:durableId="190345541">
    <w:abstractNumId w:val="10"/>
  </w:num>
  <w:num w:numId="4" w16cid:durableId="2107387665">
    <w:abstractNumId w:val="17"/>
  </w:num>
  <w:num w:numId="5" w16cid:durableId="1726875709">
    <w:abstractNumId w:val="13"/>
  </w:num>
  <w:num w:numId="6" w16cid:durableId="1153989493">
    <w:abstractNumId w:val="8"/>
  </w:num>
  <w:num w:numId="7" w16cid:durableId="2016372457">
    <w:abstractNumId w:val="3"/>
  </w:num>
  <w:num w:numId="8" w16cid:durableId="25064331">
    <w:abstractNumId w:val="2"/>
  </w:num>
  <w:num w:numId="9" w16cid:durableId="634987183">
    <w:abstractNumId w:val="1"/>
  </w:num>
  <w:num w:numId="10" w16cid:durableId="2087720540">
    <w:abstractNumId w:val="0"/>
  </w:num>
  <w:num w:numId="11" w16cid:durableId="1139104559">
    <w:abstractNumId w:val="9"/>
  </w:num>
  <w:num w:numId="12" w16cid:durableId="1998924609">
    <w:abstractNumId w:val="7"/>
  </w:num>
  <w:num w:numId="13" w16cid:durableId="1973558710">
    <w:abstractNumId w:val="6"/>
  </w:num>
  <w:num w:numId="14" w16cid:durableId="616567600">
    <w:abstractNumId w:val="5"/>
  </w:num>
  <w:num w:numId="15" w16cid:durableId="1197352299">
    <w:abstractNumId w:val="4"/>
  </w:num>
  <w:num w:numId="16" w16cid:durableId="1964269665">
    <w:abstractNumId w:val="15"/>
  </w:num>
  <w:num w:numId="17" w16cid:durableId="335157295">
    <w:abstractNumId w:val="12"/>
  </w:num>
  <w:num w:numId="18" w16cid:durableId="226456357">
    <w:abstractNumId w:val="14"/>
  </w:num>
  <w:num w:numId="19" w16cid:durableId="1960449158">
    <w:abstractNumId w:val="15"/>
  </w:num>
  <w:num w:numId="20" w16cid:durableId="574825489">
    <w:abstractNumId w:val="12"/>
  </w:num>
  <w:num w:numId="21" w16cid:durableId="207396134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36"/>
    <w:rsid w:val="00001836"/>
    <w:rsid w:val="00005A57"/>
    <w:rsid w:val="000134AD"/>
    <w:rsid w:val="00033EE1"/>
    <w:rsid w:val="00037FD5"/>
    <w:rsid w:val="00042B72"/>
    <w:rsid w:val="000558BD"/>
    <w:rsid w:val="0008138A"/>
    <w:rsid w:val="000B57E7"/>
    <w:rsid w:val="000B6373"/>
    <w:rsid w:val="000C58B0"/>
    <w:rsid w:val="000D1D8E"/>
    <w:rsid w:val="000E4E5B"/>
    <w:rsid w:val="000F09DF"/>
    <w:rsid w:val="000F61B2"/>
    <w:rsid w:val="001075E9"/>
    <w:rsid w:val="0011028F"/>
    <w:rsid w:val="0014152F"/>
    <w:rsid w:val="001531E7"/>
    <w:rsid w:val="001679FB"/>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B7841"/>
    <w:rsid w:val="003E0B46"/>
    <w:rsid w:val="003F040E"/>
    <w:rsid w:val="00407B78"/>
    <w:rsid w:val="00424203"/>
    <w:rsid w:val="00452493"/>
    <w:rsid w:val="00453318"/>
    <w:rsid w:val="00454AF2"/>
    <w:rsid w:val="00454E07"/>
    <w:rsid w:val="00472C5C"/>
    <w:rsid w:val="00485F8A"/>
    <w:rsid w:val="004E05B7"/>
    <w:rsid w:val="0050108D"/>
    <w:rsid w:val="00511AD0"/>
    <w:rsid w:val="00513081"/>
    <w:rsid w:val="00515124"/>
    <w:rsid w:val="00517901"/>
    <w:rsid w:val="00526683"/>
    <w:rsid w:val="00526DB8"/>
    <w:rsid w:val="0054042A"/>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427A6"/>
    <w:rsid w:val="00757357"/>
    <w:rsid w:val="00766CF1"/>
    <w:rsid w:val="00792497"/>
    <w:rsid w:val="00806737"/>
    <w:rsid w:val="00825F8D"/>
    <w:rsid w:val="00834B71"/>
    <w:rsid w:val="0086445C"/>
    <w:rsid w:val="00894693"/>
    <w:rsid w:val="008A08D7"/>
    <w:rsid w:val="008A37C8"/>
    <w:rsid w:val="008A7DC3"/>
    <w:rsid w:val="008B6909"/>
    <w:rsid w:val="008D53B6"/>
    <w:rsid w:val="008F7609"/>
    <w:rsid w:val="00906890"/>
    <w:rsid w:val="00911BE4"/>
    <w:rsid w:val="00951972"/>
    <w:rsid w:val="00952786"/>
    <w:rsid w:val="009608F3"/>
    <w:rsid w:val="009A0832"/>
    <w:rsid w:val="009A24AC"/>
    <w:rsid w:val="009C59D7"/>
    <w:rsid w:val="009C6FE6"/>
    <w:rsid w:val="009D7E7D"/>
    <w:rsid w:val="00A14DA8"/>
    <w:rsid w:val="00A312BC"/>
    <w:rsid w:val="00A84021"/>
    <w:rsid w:val="00A84D35"/>
    <w:rsid w:val="00A917B3"/>
    <w:rsid w:val="00AB4B51"/>
    <w:rsid w:val="00B10CC7"/>
    <w:rsid w:val="00B36DF7"/>
    <w:rsid w:val="00B52219"/>
    <w:rsid w:val="00B539E7"/>
    <w:rsid w:val="00B62458"/>
    <w:rsid w:val="00B9372D"/>
    <w:rsid w:val="00BC18B2"/>
    <w:rsid w:val="00BD33EE"/>
    <w:rsid w:val="00BD73B5"/>
    <w:rsid w:val="00BE1CC7"/>
    <w:rsid w:val="00C106D6"/>
    <w:rsid w:val="00C119AE"/>
    <w:rsid w:val="00C60F0C"/>
    <w:rsid w:val="00C71E84"/>
    <w:rsid w:val="00C805C9"/>
    <w:rsid w:val="00C92939"/>
    <w:rsid w:val="00CA1679"/>
    <w:rsid w:val="00CB151C"/>
    <w:rsid w:val="00CD3DB9"/>
    <w:rsid w:val="00CE5A1A"/>
    <w:rsid w:val="00CF55F6"/>
    <w:rsid w:val="00D33D63"/>
    <w:rsid w:val="00D5253A"/>
    <w:rsid w:val="00D873A8"/>
    <w:rsid w:val="00D90028"/>
    <w:rsid w:val="00D90138"/>
    <w:rsid w:val="00D9145B"/>
    <w:rsid w:val="00DB12FB"/>
    <w:rsid w:val="00DD78D1"/>
    <w:rsid w:val="00DE32CD"/>
    <w:rsid w:val="00DF5767"/>
    <w:rsid w:val="00DF71B9"/>
    <w:rsid w:val="00E12C5F"/>
    <w:rsid w:val="00E31A1D"/>
    <w:rsid w:val="00E46122"/>
    <w:rsid w:val="00E62CF0"/>
    <w:rsid w:val="00E73F76"/>
    <w:rsid w:val="00EA2C9F"/>
    <w:rsid w:val="00EA420E"/>
    <w:rsid w:val="00EC6768"/>
    <w:rsid w:val="00ED0BDA"/>
    <w:rsid w:val="00EE142A"/>
    <w:rsid w:val="00EF1360"/>
    <w:rsid w:val="00EF3220"/>
    <w:rsid w:val="00F12544"/>
    <w:rsid w:val="00F2523A"/>
    <w:rsid w:val="00F26933"/>
    <w:rsid w:val="00F43903"/>
    <w:rsid w:val="00F94155"/>
    <w:rsid w:val="00F96C2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C2766"/>
  <w15:docId w15:val="{AD66AB90-BBB8-414C-8CB9-9AA847C3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 Char,PP Char,5_G_6 Char,Footnote Text Char Char,5_GR Char,-E Fußnotentext Char,footnote text Char,Fußnotentext Ursprung Char,Footnote Text Char Char Char Char Char,Footnote Text1 Char,Footnote Text Char Char Char Char1,Fußn Char"/>
    <w:basedOn w:val="DefaultParagraphFont"/>
    <w:link w:val="FootnoteText"/>
    <w:qForma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515124"/>
    <w:rPr>
      <w:b/>
      <w:sz w:val="28"/>
      <w:lang w:val="ru-RU" w:eastAsia="ru-RU"/>
    </w:rPr>
  </w:style>
  <w:style w:type="character" w:customStyle="1" w:styleId="H1GChar">
    <w:name w:val="_ H_1_G Char"/>
    <w:link w:val="H1G"/>
    <w:rsid w:val="00515124"/>
    <w:rPr>
      <w:b/>
      <w:sz w:val="24"/>
      <w:lang w:val="ru-RU" w:eastAsia="ru-RU"/>
    </w:rPr>
  </w:style>
  <w:style w:type="paragraph" w:customStyle="1" w:styleId="para">
    <w:name w:val="para"/>
    <w:basedOn w:val="Normal"/>
    <w:link w:val="paraChar"/>
    <w:qFormat/>
    <w:rsid w:val="00515124"/>
    <w:pPr>
      <w:spacing w:after="120"/>
      <w:ind w:left="2268" w:right="1134" w:hanging="1134"/>
      <w:jc w:val="both"/>
    </w:pPr>
    <w:rPr>
      <w:rFonts w:eastAsia="Times New Roman" w:cs="Times New Roman"/>
      <w:szCs w:val="20"/>
      <w:lang w:val="en-GB"/>
    </w:rPr>
  </w:style>
  <w:style w:type="character" w:customStyle="1" w:styleId="paraChar">
    <w:name w:val="para Char"/>
    <w:link w:val="para"/>
    <w:rsid w:val="0051512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1307</Words>
  <Characters>7456</Characters>
  <Application>Microsoft Office Word</Application>
  <DocSecurity>0</DocSecurity>
  <Lines>62</Lines>
  <Paragraphs>17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ECE/TRANS/WP.29/GRSG/2023/6</vt:lpstr>
      <vt:lpstr>A/</vt:lpstr>
      <vt:lpstr>A/</vt:lpstr>
    </vt:vector>
  </TitlesOfParts>
  <Company>DCM</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ECE/TRANS/WP.29/GRSG/2023/6</dc:title>
  <dc:subject/>
  <dc:creator>Shuvalova NATALIA</dc:creator>
  <cp:keywords/>
  <cp:lastModifiedBy>Benedicte Boudol</cp:lastModifiedBy>
  <cp:revision>2</cp:revision>
  <cp:lastPrinted>2023-01-19T15:10:00Z</cp:lastPrinted>
  <dcterms:created xsi:type="dcterms:W3CDTF">2023-05-02T13:40:00Z</dcterms:created>
  <dcterms:modified xsi:type="dcterms:W3CDTF">2023-05-02T13:40:00Z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