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543610" w14:textId="77777777" w:rsidTr="00C97039">
        <w:trPr>
          <w:trHeight w:hRule="exact" w:val="851"/>
        </w:trPr>
        <w:tc>
          <w:tcPr>
            <w:tcW w:w="1276" w:type="dxa"/>
            <w:tcBorders>
              <w:bottom w:val="single" w:sz="4" w:space="0" w:color="auto"/>
            </w:tcBorders>
          </w:tcPr>
          <w:p w14:paraId="03CF0EC2" w14:textId="77777777" w:rsidR="00F35BAF" w:rsidRPr="00DB58B5" w:rsidRDefault="00F35BAF" w:rsidP="00882B98"/>
        </w:tc>
        <w:tc>
          <w:tcPr>
            <w:tcW w:w="2268" w:type="dxa"/>
            <w:tcBorders>
              <w:bottom w:val="single" w:sz="4" w:space="0" w:color="auto"/>
            </w:tcBorders>
            <w:vAlign w:val="bottom"/>
          </w:tcPr>
          <w:p w14:paraId="3975DE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DD0D4D" w14:textId="21747468" w:rsidR="00F35BAF" w:rsidRPr="00DB58B5" w:rsidRDefault="00882B98" w:rsidP="00882B98">
            <w:pPr>
              <w:jc w:val="right"/>
            </w:pPr>
            <w:r w:rsidRPr="00882B98">
              <w:rPr>
                <w:sz w:val="40"/>
              </w:rPr>
              <w:t>ECE</w:t>
            </w:r>
            <w:r>
              <w:t>/TRANS/WP.29/GRE/2023/2</w:t>
            </w:r>
          </w:p>
        </w:tc>
      </w:tr>
      <w:tr w:rsidR="00F35BAF" w:rsidRPr="00DB58B5" w14:paraId="285307DD" w14:textId="77777777" w:rsidTr="00C97039">
        <w:trPr>
          <w:trHeight w:hRule="exact" w:val="2835"/>
        </w:trPr>
        <w:tc>
          <w:tcPr>
            <w:tcW w:w="1276" w:type="dxa"/>
            <w:tcBorders>
              <w:top w:val="single" w:sz="4" w:space="0" w:color="auto"/>
              <w:bottom w:val="single" w:sz="12" w:space="0" w:color="auto"/>
            </w:tcBorders>
          </w:tcPr>
          <w:p w14:paraId="29AADDA7" w14:textId="77777777" w:rsidR="00F35BAF" w:rsidRPr="00DB58B5" w:rsidRDefault="00F35BAF" w:rsidP="00C97039">
            <w:pPr>
              <w:spacing w:before="120"/>
              <w:jc w:val="center"/>
            </w:pPr>
            <w:r>
              <w:rPr>
                <w:noProof/>
                <w:lang w:eastAsia="fr-CH"/>
              </w:rPr>
              <w:drawing>
                <wp:inline distT="0" distB="0" distL="0" distR="0" wp14:anchorId="11DAE52F" wp14:editId="1596F2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0621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72B973" w14:textId="77777777" w:rsidR="00F35BAF" w:rsidRDefault="00882B98" w:rsidP="00C97039">
            <w:pPr>
              <w:spacing w:before="240"/>
            </w:pPr>
            <w:proofErr w:type="spellStart"/>
            <w:r>
              <w:t>Distr</w:t>
            </w:r>
            <w:proofErr w:type="spellEnd"/>
            <w:r>
              <w:t>. générale</w:t>
            </w:r>
          </w:p>
          <w:p w14:paraId="0817E15B" w14:textId="77777777" w:rsidR="00882B98" w:rsidRDefault="00882B98" w:rsidP="00882B98">
            <w:pPr>
              <w:spacing w:line="240" w:lineRule="exact"/>
            </w:pPr>
            <w:r>
              <w:t>6 février 2023</w:t>
            </w:r>
          </w:p>
          <w:p w14:paraId="235D6582" w14:textId="77777777" w:rsidR="00882B98" w:rsidRDefault="00882B98" w:rsidP="00882B98">
            <w:pPr>
              <w:spacing w:line="240" w:lineRule="exact"/>
            </w:pPr>
            <w:r>
              <w:t>Français</w:t>
            </w:r>
          </w:p>
          <w:p w14:paraId="5539DFFE" w14:textId="53718172" w:rsidR="00882B98" w:rsidRPr="00DB58B5" w:rsidRDefault="00882B98" w:rsidP="00882B98">
            <w:pPr>
              <w:spacing w:line="240" w:lineRule="exact"/>
            </w:pPr>
            <w:r>
              <w:t>Original : anglais</w:t>
            </w:r>
          </w:p>
        </w:tc>
      </w:tr>
    </w:tbl>
    <w:p w14:paraId="1461750A" w14:textId="77777777" w:rsidR="007F20FA" w:rsidRPr="000312C0" w:rsidRDefault="007F20FA" w:rsidP="007F20FA">
      <w:pPr>
        <w:spacing w:before="120"/>
        <w:rPr>
          <w:b/>
          <w:sz w:val="28"/>
          <w:szCs w:val="28"/>
        </w:rPr>
      </w:pPr>
      <w:r w:rsidRPr="000312C0">
        <w:rPr>
          <w:b/>
          <w:sz w:val="28"/>
          <w:szCs w:val="28"/>
        </w:rPr>
        <w:t>Commission économique pour l’Europe</w:t>
      </w:r>
    </w:p>
    <w:p w14:paraId="79D3CC9B" w14:textId="77777777" w:rsidR="007F20FA" w:rsidRDefault="007F20FA" w:rsidP="007F20FA">
      <w:pPr>
        <w:spacing w:before="120"/>
        <w:rPr>
          <w:sz w:val="28"/>
          <w:szCs w:val="28"/>
        </w:rPr>
      </w:pPr>
      <w:r w:rsidRPr="00685843">
        <w:rPr>
          <w:sz w:val="28"/>
          <w:szCs w:val="28"/>
        </w:rPr>
        <w:t>Comité des transports intérieurs</w:t>
      </w:r>
    </w:p>
    <w:p w14:paraId="36589027" w14:textId="347F5C35" w:rsidR="00540808" w:rsidRPr="00DE51B0" w:rsidRDefault="00540808" w:rsidP="00540808">
      <w:pPr>
        <w:spacing w:before="120"/>
        <w:rPr>
          <w:b/>
          <w:sz w:val="24"/>
          <w:szCs w:val="24"/>
          <w:lang w:val="fr-FR"/>
        </w:rPr>
      </w:pPr>
      <w:r w:rsidRPr="00DE51B0">
        <w:rPr>
          <w:b/>
          <w:bCs/>
          <w:sz w:val="24"/>
          <w:szCs w:val="24"/>
          <w:lang w:val="fr-FR"/>
        </w:rPr>
        <w:t xml:space="preserve">Forum mondial de l’harmonisation des Règlements </w:t>
      </w:r>
      <w:r w:rsidR="00DE51B0">
        <w:rPr>
          <w:b/>
          <w:bCs/>
          <w:sz w:val="24"/>
          <w:szCs w:val="24"/>
          <w:lang w:val="fr-FR"/>
        </w:rPr>
        <w:br/>
      </w:r>
      <w:r w:rsidRPr="00DE51B0">
        <w:rPr>
          <w:b/>
          <w:bCs/>
          <w:sz w:val="24"/>
          <w:szCs w:val="24"/>
          <w:lang w:val="fr-FR"/>
        </w:rPr>
        <w:t>concernant les véhicules</w:t>
      </w:r>
    </w:p>
    <w:p w14:paraId="7E9EF50A" w14:textId="77777777" w:rsidR="00540808" w:rsidRPr="007E4BBC" w:rsidRDefault="00540808" w:rsidP="00540808">
      <w:pPr>
        <w:spacing w:before="120" w:after="120"/>
        <w:rPr>
          <w:b/>
          <w:bCs/>
          <w:lang w:val="fr-FR"/>
        </w:rPr>
      </w:pPr>
      <w:r>
        <w:rPr>
          <w:b/>
          <w:bCs/>
          <w:lang w:val="fr-FR"/>
        </w:rPr>
        <w:t>Groupe de travail de l’éclairage et de la signalisation lumineuse</w:t>
      </w:r>
    </w:p>
    <w:p w14:paraId="332B8EC6" w14:textId="77777777" w:rsidR="00540808" w:rsidRPr="007E4BBC" w:rsidRDefault="00540808" w:rsidP="00540808">
      <w:pPr>
        <w:ind w:right="1134"/>
        <w:rPr>
          <w:b/>
          <w:lang w:val="fr-FR"/>
        </w:rPr>
      </w:pPr>
      <w:r>
        <w:rPr>
          <w:b/>
          <w:bCs/>
          <w:lang w:val="fr-FR"/>
        </w:rPr>
        <w:t>Quatre-vingt-huitième session</w:t>
      </w:r>
    </w:p>
    <w:p w14:paraId="29110B70" w14:textId="77777777" w:rsidR="00540808" w:rsidRPr="007E4BBC" w:rsidRDefault="00540808" w:rsidP="00540808">
      <w:pPr>
        <w:ind w:right="1134"/>
        <w:rPr>
          <w:lang w:val="fr-FR"/>
        </w:rPr>
      </w:pPr>
      <w:r>
        <w:rPr>
          <w:lang w:val="fr-FR"/>
        </w:rPr>
        <w:t>Genève, 25-28 avril 2023</w:t>
      </w:r>
    </w:p>
    <w:p w14:paraId="0DF0826F" w14:textId="77777777" w:rsidR="00540808" w:rsidRPr="007E4BBC" w:rsidRDefault="00540808" w:rsidP="00540808">
      <w:pPr>
        <w:ind w:right="1134"/>
        <w:rPr>
          <w:bCs/>
          <w:lang w:val="fr-FR"/>
        </w:rPr>
      </w:pPr>
      <w:r>
        <w:rPr>
          <w:lang w:val="fr-FR"/>
        </w:rPr>
        <w:t>Point 6 a) de l’ordre du jour provisoire</w:t>
      </w:r>
    </w:p>
    <w:p w14:paraId="5EC89F62" w14:textId="77777777" w:rsidR="00540808" w:rsidRPr="007E4BBC" w:rsidRDefault="00540808" w:rsidP="00540808">
      <w:pPr>
        <w:ind w:right="1467"/>
        <w:jc w:val="both"/>
        <w:rPr>
          <w:b/>
          <w:bCs/>
          <w:lang w:val="fr-FR"/>
        </w:rPr>
      </w:pPr>
      <w:r>
        <w:rPr>
          <w:b/>
          <w:bCs/>
          <w:lang w:val="fr-FR"/>
        </w:rPr>
        <w:t>Règlements ONU concernant l’installation :</w:t>
      </w:r>
    </w:p>
    <w:p w14:paraId="5197623E" w14:textId="34EF446B" w:rsidR="00540808" w:rsidRPr="007E4BBC" w:rsidRDefault="00540808" w:rsidP="00DE51B0">
      <w:pPr>
        <w:ind w:right="1467"/>
        <w:rPr>
          <w:b/>
          <w:bCs/>
          <w:lang w:val="fr-FR"/>
        </w:rPr>
      </w:pPr>
      <w:r>
        <w:rPr>
          <w:b/>
          <w:bCs/>
          <w:lang w:val="fr-FR"/>
        </w:rPr>
        <w:t>Règlement ONU n</w:t>
      </w:r>
      <w:r>
        <w:rPr>
          <w:b/>
          <w:bCs/>
          <w:vertAlign w:val="superscript"/>
          <w:lang w:val="fr-FR"/>
        </w:rPr>
        <w:t>o</w:t>
      </w:r>
      <w:r w:rsidR="00DE51B0">
        <w:rPr>
          <w:b/>
          <w:bCs/>
          <w:lang w:val="fr-FR"/>
        </w:rPr>
        <w:t> </w:t>
      </w:r>
      <w:r>
        <w:rPr>
          <w:b/>
          <w:bCs/>
          <w:lang w:val="fr-FR"/>
        </w:rPr>
        <w:t xml:space="preserve">48 (Installation des dispositifs d’éclairage </w:t>
      </w:r>
      <w:r w:rsidR="00DE51B0">
        <w:rPr>
          <w:b/>
          <w:bCs/>
          <w:lang w:val="fr-FR"/>
        </w:rPr>
        <w:br/>
      </w:r>
      <w:r>
        <w:rPr>
          <w:b/>
          <w:bCs/>
          <w:lang w:val="fr-FR"/>
        </w:rPr>
        <w:t>et de signalisation lumineuse)</w:t>
      </w:r>
    </w:p>
    <w:p w14:paraId="37A0D717" w14:textId="6A3A2B47" w:rsidR="00540808" w:rsidRPr="007E4BBC" w:rsidRDefault="00540808" w:rsidP="00DE51B0">
      <w:pPr>
        <w:pStyle w:val="HChG"/>
        <w:rPr>
          <w:lang w:val="fr-FR"/>
        </w:rPr>
      </w:pPr>
      <w:r>
        <w:rPr>
          <w:lang w:val="fr-FR"/>
        </w:rPr>
        <w:tab/>
      </w:r>
      <w:r>
        <w:rPr>
          <w:lang w:val="fr-FR"/>
        </w:rPr>
        <w:tab/>
        <w:t xml:space="preserve">Proposition de nouvelle série d’amendements </w:t>
      </w:r>
      <w:r>
        <w:rPr>
          <w:lang w:val="fr-FR"/>
        </w:rPr>
        <w:br/>
        <w:t>au Règlement ONU n</w:t>
      </w:r>
      <w:r>
        <w:rPr>
          <w:vertAlign w:val="superscript"/>
          <w:lang w:val="fr-FR"/>
        </w:rPr>
        <w:t>o</w:t>
      </w:r>
      <w:r w:rsidR="00DE51B0">
        <w:rPr>
          <w:lang w:val="fr-FR"/>
        </w:rPr>
        <w:t> </w:t>
      </w:r>
      <w:r>
        <w:rPr>
          <w:lang w:val="fr-FR"/>
        </w:rPr>
        <w:t xml:space="preserve">48 </w:t>
      </w:r>
    </w:p>
    <w:p w14:paraId="30685CC8" w14:textId="4E1365C3" w:rsidR="00540808" w:rsidRPr="007E4BBC" w:rsidRDefault="00DE51B0" w:rsidP="00DE51B0">
      <w:pPr>
        <w:pStyle w:val="H1G"/>
        <w:rPr>
          <w:szCs w:val="24"/>
          <w:lang w:val="fr-FR"/>
        </w:rPr>
      </w:pPr>
      <w:r>
        <w:rPr>
          <w:lang w:val="fr-FR"/>
        </w:rPr>
        <w:tab/>
      </w:r>
      <w:r>
        <w:rPr>
          <w:lang w:val="fr-FR"/>
        </w:rPr>
        <w:tab/>
      </w:r>
      <w:r w:rsidR="00540808">
        <w:rPr>
          <w:lang w:val="fr-FR"/>
        </w:rPr>
        <w:t xml:space="preserve">Communication de l’expert du groupe d’intérêt spécial concernant </w:t>
      </w:r>
      <w:r>
        <w:rPr>
          <w:lang w:val="fr-FR"/>
        </w:rPr>
        <w:br/>
      </w:r>
      <w:r w:rsidR="00540808">
        <w:rPr>
          <w:lang w:val="fr-FR"/>
        </w:rPr>
        <w:t>la série 09 d’amendements au Règlement ONU n</w:t>
      </w:r>
      <w:r w:rsidR="00540808">
        <w:rPr>
          <w:vertAlign w:val="superscript"/>
          <w:lang w:val="fr-FR"/>
        </w:rPr>
        <w:t>o</w:t>
      </w:r>
      <w:r>
        <w:rPr>
          <w:lang w:val="fr-FR"/>
        </w:rPr>
        <w:t> </w:t>
      </w:r>
      <w:r w:rsidR="00540808">
        <w:rPr>
          <w:lang w:val="fr-FR"/>
        </w:rPr>
        <w:t>48</w:t>
      </w:r>
      <w:r w:rsidR="00B205B0" w:rsidRPr="007A253C">
        <w:rPr>
          <w:rStyle w:val="Appelnotedebasdep"/>
          <w:b w:val="0"/>
          <w:bCs/>
          <w:sz w:val="20"/>
          <w:vertAlign w:val="baseline"/>
        </w:rPr>
        <w:footnoteReference w:customMarkFollows="1" w:id="2"/>
        <w:t>*</w:t>
      </w:r>
    </w:p>
    <w:p w14:paraId="2EBC2CD0" w14:textId="2B7CD351" w:rsidR="00540808" w:rsidRPr="007E4BBC" w:rsidRDefault="00602F00" w:rsidP="00B205B0">
      <w:pPr>
        <w:pStyle w:val="SingleTxtG"/>
        <w:ind w:firstLine="567"/>
        <w:rPr>
          <w:lang w:val="fr-FR"/>
        </w:rPr>
      </w:pPr>
      <w:bookmarkStart w:id="0" w:name="_Hlk110506482"/>
      <w:r>
        <w:rPr>
          <w:lang w:val="fr-FR"/>
        </w:rPr>
        <w:t xml:space="preserve">Le </w:t>
      </w:r>
      <w:r w:rsidR="00540808">
        <w:rPr>
          <w:lang w:val="fr-FR"/>
        </w:rPr>
        <w:t>texte ci-après, établi par l’expert du groupe d’intérêt spécial concernant la série</w:t>
      </w:r>
      <w:r w:rsidR="00DE51B0">
        <w:rPr>
          <w:lang w:val="fr-FR"/>
        </w:rPr>
        <w:t> </w:t>
      </w:r>
      <w:r w:rsidR="00540808">
        <w:rPr>
          <w:lang w:val="fr-FR"/>
        </w:rPr>
        <w:t>09 d’amendements au Règlement ONU n</w:t>
      </w:r>
      <w:r w:rsidR="00540808">
        <w:rPr>
          <w:vertAlign w:val="superscript"/>
          <w:lang w:val="fr-FR"/>
        </w:rPr>
        <w:t>o</w:t>
      </w:r>
      <w:r w:rsidR="007A253C">
        <w:rPr>
          <w:lang w:val="fr-FR"/>
        </w:rPr>
        <w:t> </w:t>
      </w:r>
      <w:r w:rsidR="00540808">
        <w:rPr>
          <w:lang w:val="fr-FR"/>
        </w:rPr>
        <w:t>48, vise à ajouter des prescriptions relatives aux véhicules en stationnement dans ledit Règlement afin de réduire au maximum les risques, tels que l’éblouissement et la distraction, pour les autres usagers de la route. Les</w:t>
      </w:r>
      <w:r w:rsidR="00E302CB">
        <w:rPr>
          <w:lang w:val="fr-FR"/>
        </w:rPr>
        <w:t> </w:t>
      </w:r>
      <w:r w:rsidR="00540808">
        <w:rPr>
          <w:lang w:val="fr-FR"/>
        </w:rPr>
        <w:t>modifications qu’il est proposé d’apporter au texte actuel du Règlement ONU figurent en caractères gras pour les ajouts et biffés pour les suppressions.</w:t>
      </w:r>
      <w:bookmarkEnd w:id="0"/>
    </w:p>
    <w:p w14:paraId="040FFE55" w14:textId="77777777" w:rsidR="00540808" w:rsidRPr="007E4BBC" w:rsidRDefault="00540808" w:rsidP="00540808">
      <w:pPr>
        <w:spacing w:line="240" w:lineRule="auto"/>
        <w:rPr>
          <w:lang w:val="fr-FR"/>
        </w:rPr>
      </w:pPr>
      <w:r w:rsidRPr="007E4BBC">
        <w:rPr>
          <w:lang w:val="fr-FR"/>
        </w:rPr>
        <w:br w:type="page"/>
      </w:r>
    </w:p>
    <w:p w14:paraId="749CC364" w14:textId="688006E7" w:rsidR="00540808" w:rsidRDefault="00A375A3" w:rsidP="00A375A3">
      <w:pPr>
        <w:pStyle w:val="HChG"/>
        <w:rPr>
          <w:lang w:val="fr-FR"/>
        </w:rPr>
      </w:pPr>
      <w:r>
        <w:rPr>
          <w:lang w:val="fr-FR"/>
        </w:rPr>
        <w:lastRenderedPageBreak/>
        <w:tab/>
      </w:r>
      <w:r w:rsidR="00540808">
        <w:rPr>
          <w:lang w:val="fr-FR"/>
        </w:rPr>
        <w:t>I.</w:t>
      </w:r>
      <w:r w:rsidR="00540808">
        <w:rPr>
          <w:lang w:val="fr-FR"/>
        </w:rPr>
        <w:tab/>
        <w:t>Proposition</w:t>
      </w:r>
    </w:p>
    <w:p w14:paraId="6041E24C" w14:textId="4B638D3D" w:rsidR="00540808" w:rsidRPr="001D3B54" w:rsidRDefault="00540808" w:rsidP="00D971BC">
      <w:pPr>
        <w:pStyle w:val="SingleTxtG"/>
        <w:keepNext/>
        <w:rPr>
          <w:rFonts w:asciiTheme="majorBidi" w:hAnsiTheme="majorBidi" w:cstheme="majorBidi"/>
          <w:lang w:val="fr-FR"/>
        </w:rPr>
      </w:pPr>
      <w:r w:rsidRPr="00D971BC">
        <w:rPr>
          <w:i/>
          <w:iCs/>
          <w:lang w:val="fr-FR"/>
        </w:rPr>
        <w:t>Paragraphe 2.5.18</w:t>
      </w:r>
      <w:r w:rsidRPr="001D3B54">
        <w:rPr>
          <w:lang w:val="fr-FR"/>
        </w:rPr>
        <w:t>, lire</w:t>
      </w:r>
      <w:r w:rsidR="00D971BC">
        <w:rPr>
          <w:lang w:val="fr-FR"/>
        </w:rPr>
        <w:t> :</w:t>
      </w:r>
    </w:p>
    <w:p w14:paraId="5A9366A8" w14:textId="77777777" w:rsidR="00540808" w:rsidRPr="00C767C3" w:rsidRDefault="00540808" w:rsidP="00D971BC">
      <w:pPr>
        <w:pStyle w:val="SingleTxtG"/>
        <w:ind w:left="2268" w:hanging="1134"/>
        <w:rPr>
          <w:rFonts w:asciiTheme="majorBidi" w:eastAsia="MS PMincho" w:hAnsiTheme="majorBidi" w:cstheme="majorBidi"/>
          <w:iCs/>
        </w:rPr>
      </w:pPr>
      <w:r w:rsidRPr="00485401">
        <w:t>« 2.5.18</w:t>
      </w:r>
      <w:r w:rsidRPr="00485401">
        <w:tab/>
        <w:t>“</w:t>
      </w:r>
      <w:r w:rsidRPr="00485401">
        <w:rPr>
          <w:i/>
          <w:iCs/>
        </w:rPr>
        <w:t>Feu de courtoisie extérieur</w:t>
      </w:r>
      <w:r w:rsidRPr="00485401">
        <w:t>”, un feu servant à fournir un éclairage supplémentaire pour</w:t>
      </w:r>
      <w:r w:rsidRPr="00D971BC">
        <w:rPr>
          <w:b/>
          <w:bCs/>
        </w:rPr>
        <w:t xml:space="preserve"> </w:t>
      </w:r>
      <w:r w:rsidRPr="00485401">
        <w:rPr>
          <w:strike/>
        </w:rPr>
        <w:t xml:space="preserve">aider le conducteur et les passagers à monter dans le véhicule ou à en descendre, ou encore faciliter les opérations de chargement </w:t>
      </w:r>
      <w:r w:rsidRPr="00485401">
        <w:rPr>
          <w:b/>
          <w:bCs/>
        </w:rPr>
        <w:t>guider l’utilisateur lorsqu’il s’approche ou s’éloigne du véhicule,</w:t>
      </w:r>
      <w:r w:rsidRPr="00D971BC">
        <w:rPr>
          <w:b/>
          <w:bCs/>
        </w:rPr>
        <w:t xml:space="preserve"> l’aider à monter à bord ou à en descendre, ou encore faciliter les opérations de chargement et de déchargement.</w:t>
      </w:r>
      <w:r w:rsidRPr="00C767C3">
        <w:t xml:space="preserve"> ». </w:t>
      </w:r>
    </w:p>
    <w:p w14:paraId="63D62E32" w14:textId="77777777" w:rsidR="00540808" w:rsidRPr="001D3B54" w:rsidRDefault="00540808" w:rsidP="00D971BC">
      <w:pPr>
        <w:pStyle w:val="SingleTxtG"/>
        <w:keepNext/>
        <w:rPr>
          <w:i/>
          <w:iCs/>
          <w:lang w:val="fr-FR"/>
        </w:rPr>
      </w:pPr>
      <w:r w:rsidRPr="001D3B54">
        <w:rPr>
          <w:i/>
          <w:iCs/>
          <w:lang w:val="fr-FR"/>
        </w:rPr>
        <w:t>Paragraphe 2.5.20</w:t>
      </w:r>
      <w:r w:rsidRPr="00D971BC">
        <w:rPr>
          <w:rFonts w:asciiTheme="majorBidi" w:hAnsiTheme="majorBidi" w:cstheme="majorBidi"/>
          <w:lang w:val="fr-FR"/>
        </w:rPr>
        <w:t>, lire :</w:t>
      </w:r>
    </w:p>
    <w:p w14:paraId="2AB714F9" w14:textId="77777777" w:rsidR="00540808" w:rsidRPr="007E4BBC" w:rsidRDefault="00540808" w:rsidP="00D971BC">
      <w:pPr>
        <w:pStyle w:val="SingleTxtG"/>
        <w:ind w:left="2268" w:hanging="1134"/>
        <w:rPr>
          <w:rFonts w:eastAsia="MS PMincho"/>
          <w:bCs/>
          <w:iCs/>
          <w:lang w:val="fr-FR"/>
        </w:rPr>
      </w:pPr>
      <w:r>
        <w:rPr>
          <w:lang w:val="fr-FR"/>
        </w:rPr>
        <w:t>« 2.5.20</w:t>
      </w:r>
      <w:r>
        <w:rPr>
          <w:lang w:val="fr-FR"/>
        </w:rPr>
        <w:tab/>
        <w:t>“</w:t>
      </w:r>
      <w:r>
        <w:rPr>
          <w:i/>
          <w:iCs/>
          <w:lang w:val="fr-FR"/>
        </w:rPr>
        <w:t>Témoin extérieur d’état</w:t>
      </w:r>
      <w:r>
        <w:rPr>
          <w:lang w:val="fr-FR"/>
        </w:rPr>
        <w:t>”, un signal optique monté à l’extérieur du véhicule pour indiquer l’état ou le changement d’état du système d’alarme pour véhicules (SAV), du système d’alarme (SA) et du dispositif d’immobilisation, au sens des Règlements ONU n</w:t>
      </w:r>
      <w:r>
        <w:rPr>
          <w:vertAlign w:val="superscript"/>
          <w:lang w:val="fr-FR"/>
        </w:rPr>
        <w:t>os</w:t>
      </w:r>
      <w:r>
        <w:rPr>
          <w:lang w:val="fr-FR"/>
        </w:rPr>
        <w:t xml:space="preserve"> 97</w:t>
      </w:r>
      <w:r>
        <w:rPr>
          <w:b/>
          <w:bCs/>
          <w:lang w:val="fr-FR"/>
        </w:rPr>
        <w:t>,</w:t>
      </w:r>
      <w:r>
        <w:rPr>
          <w:lang w:val="fr-FR"/>
        </w:rPr>
        <w:t xml:space="preserve"> </w:t>
      </w:r>
      <w:r>
        <w:rPr>
          <w:strike/>
          <w:lang w:val="fr-FR"/>
        </w:rPr>
        <w:t xml:space="preserve">et </w:t>
      </w:r>
      <w:r>
        <w:rPr>
          <w:lang w:val="fr-FR"/>
        </w:rPr>
        <w:t>116</w:t>
      </w:r>
      <w:r>
        <w:rPr>
          <w:b/>
          <w:bCs/>
          <w:lang w:val="fr-FR"/>
        </w:rPr>
        <w:t>, 162 et 163</w:t>
      </w:r>
      <w:r>
        <w:rPr>
          <w:lang w:val="fr-FR"/>
        </w:rPr>
        <w:t>, lorsque le véhicule est en stationnement. ».</w:t>
      </w:r>
    </w:p>
    <w:p w14:paraId="4CAC6202" w14:textId="77777777" w:rsidR="00540808" w:rsidRPr="00C82405" w:rsidRDefault="00540808" w:rsidP="00C82405">
      <w:pPr>
        <w:pStyle w:val="SingleTxtG"/>
        <w:keepNext/>
        <w:rPr>
          <w:lang w:val="fr-FR"/>
        </w:rPr>
      </w:pPr>
      <w:r w:rsidRPr="001D3B54">
        <w:rPr>
          <w:i/>
          <w:iCs/>
          <w:lang w:val="fr-FR"/>
        </w:rPr>
        <w:t>Ajouter le nouveau paragraphe 2.5.21</w:t>
      </w:r>
      <w:r w:rsidRPr="00C82405">
        <w:rPr>
          <w:lang w:val="fr-FR"/>
        </w:rPr>
        <w:t>, libellé comme suit :</w:t>
      </w:r>
    </w:p>
    <w:p w14:paraId="0C38C07F" w14:textId="77777777" w:rsidR="00540808" w:rsidRPr="007E4BBC" w:rsidRDefault="00540808" w:rsidP="00D971BC">
      <w:pPr>
        <w:pStyle w:val="SingleTxtG"/>
        <w:ind w:left="2268" w:hanging="1134"/>
        <w:rPr>
          <w:rFonts w:eastAsia="MS PMincho"/>
          <w:b/>
          <w:lang w:val="fr-FR"/>
        </w:rPr>
      </w:pPr>
      <w:r>
        <w:rPr>
          <w:lang w:val="fr-FR"/>
        </w:rPr>
        <w:t>« </w:t>
      </w:r>
      <w:r>
        <w:rPr>
          <w:b/>
          <w:bCs/>
          <w:lang w:val="fr-FR"/>
        </w:rPr>
        <w:t>2.5.21</w:t>
      </w:r>
      <w:r>
        <w:rPr>
          <w:lang w:val="fr-FR"/>
        </w:rPr>
        <w:tab/>
      </w:r>
      <w:r>
        <w:rPr>
          <w:b/>
          <w:bCs/>
          <w:lang w:val="fr-FR"/>
        </w:rPr>
        <w:t>“</w:t>
      </w:r>
      <w:r>
        <w:rPr>
          <w:b/>
          <w:bCs/>
          <w:i/>
          <w:iCs/>
          <w:lang w:val="fr-FR"/>
        </w:rPr>
        <w:t>Témoin du système d’énergie</w:t>
      </w:r>
      <w:r>
        <w:rPr>
          <w:b/>
          <w:bCs/>
          <w:lang w:val="fr-FR"/>
        </w:rPr>
        <w:t>”, un signal optique informant l’utilisateur du véhicule du niveau d’énergie ou de l’état du système de transfert d’énergie du véhicule, ou indiquant où en est le transfert d’énergie.</w:t>
      </w:r>
      <w:r>
        <w:rPr>
          <w:lang w:val="fr-FR"/>
        </w:rPr>
        <w:t> ».</w:t>
      </w:r>
      <w:bookmarkStart w:id="1" w:name="_Hlk119657160"/>
      <w:bookmarkEnd w:id="1"/>
    </w:p>
    <w:p w14:paraId="783D6C79" w14:textId="77777777" w:rsidR="00540808" w:rsidRPr="001D3B54" w:rsidRDefault="00540808" w:rsidP="00C82405">
      <w:pPr>
        <w:pStyle w:val="SingleTxtG"/>
        <w:keepNext/>
        <w:rPr>
          <w:i/>
          <w:iCs/>
          <w:lang w:val="fr-FR"/>
        </w:rPr>
      </w:pPr>
      <w:r w:rsidRPr="001D3B54">
        <w:rPr>
          <w:i/>
          <w:iCs/>
          <w:lang w:val="fr-FR"/>
        </w:rPr>
        <w:t>Ajouter le nouveau paragraphe 2.6.4</w:t>
      </w:r>
      <w:r w:rsidRPr="00C82405">
        <w:rPr>
          <w:lang w:val="fr-FR"/>
        </w:rPr>
        <w:t>, libellé comme suit :</w:t>
      </w:r>
    </w:p>
    <w:p w14:paraId="677761D4" w14:textId="77777777" w:rsidR="00540808" w:rsidRPr="007E4BBC" w:rsidRDefault="00540808" w:rsidP="00D971BC">
      <w:pPr>
        <w:pStyle w:val="SingleTxtG"/>
        <w:ind w:left="2268" w:hanging="1134"/>
        <w:rPr>
          <w:rFonts w:eastAsia="MS PMincho"/>
          <w:b/>
          <w:lang w:val="fr-FR"/>
        </w:rPr>
      </w:pPr>
      <w:r>
        <w:rPr>
          <w:lang w:val="fr-FR"/>
        </w:rPr>
        <w:t>« </w:t>
      </w:r>
      <w:r>
        <w:rPr>
          <w:b/>
          <w:bCs/>
          <w:lang w:val="fr-FR"/>
        </w:rPr>
        <w:t>2.6.4</w:t>
      </w:r>
      <w:r>
        <w:rPr>
          <w:lang w:val="fr-FR"/>
        </w:rPr>
        <w:t xml:space="preserve"> </w:t>
      </w:r>
      <w:r>
        <w:rPr>
          <w:lang w:val="fr-FR"/>
        </w:rPr>
        <w:tab/>
      </w:r>
      <w:r>
        <w:rPr>
          <w:b/>
          <w:bCs/>
          <w:lang w:val="fr-FR"/>
        </w:rPr>
        <w:t>“</w:t>
      </w:r>
      <w:r>
        <w:rPr>
          <w:b/>
          <w:bCs/>
          <w:i/>
          <w:iCs/>
          <w:lang w:val="fr-FR"/>
        </w:rPr>
        <w:t>Signal de réponse</w:t>
      </w:r>
      <w:r>
        <w:rPr>
          <w:b/>
          <w:bCs/>
          <w:lang w:val="fr-FR"/>
        </w:rPr>
        <w:t>”, un signal émis par un véhicule en stationnement pour aider l’utilisateur à repérer ce véhicule.</w:t>
      </w:r>
      <w:r>
        <w:rPr>
          <w:lang w:val="fr-FR"/>
        </w:rPr>
        <w:t> ».</w:t>
      </w:r>
    </w:p>
    <w:p w14:paraId="69F0F63A" w14:textId="77777777" w:rsidR="00540808" w:rsidRPr="00C82405" w:rsidRDefault="00540808" w:rsidP="00C82405">
      <w:pPr>
        <w:pStyle w:val="SingleTxtG"/>
        <w:keepNext/>
        <w:rPr>
          <w:lang w:val="fr-FR"/>
        </w:rPr>
      </w:pPr>
      <w:r w:rsidRPr="001D3B54">
        <w:rPr>
          <w:i/>
          <w:iCs/>
          <w:lang w:val="fr-FR"/>
        </w:rPr>
        <w:t>Ajouter le nouveau paragraphe 2.7.10</w:t>
      </w:r>
      <w:r w:rsidRPr="00C82405">
        <w:rPr>
          <w:lang w:val="fr-FR"/>
        </w:rPr>
        <w:t>, libellé comme suit :</w:t>
      </w:r>
    </w:p>
    <w:p w14:paraId="5C2304B5" w14:textId="77777777" w:rsidR="00540808" w:rsidRPr="007E4BBC" w:rsidRDefault="00540808" w:rsidP="00D971BC">
      <w:pPr>
        <w:pStyle w:val="SingleTxtG"/>
        <w:ind w:left="2268" w:hanging="1134"/>
        <w:rPr>
          <w:rFonts w:eastAsia="MS PMincho"/>
          <w:b/>
          <w:lang w:val="fr-FR"/>
        </w:rPr>
      </w:pPr>
      <w:r>
        <w:rPr>
          <w:lang w:val="fr-FR"/>
        </w:rPr>
        <w:t>« </w:t>
      </w:r>
      <w:r>
        <w:rPr>
          <w:b/>
          <w:bCs/>
          <w:lang w:val="fr-FR"/>
        </w:rPr>
        <w:t>2.7.10</w:t>
      </w:r>
      <w:r>
        <w:rPr>
          <w:lang w:val="fr-FR"/>
        </w:rPr>
        <w:tab/>
      </w:r>
      <w:r>
        <w:rPr>
          <w:b/>
          <w:bCs/>
          <w:lang w:val="fr-FR"/>
        </w:rPr>
        <w:t>“</w:t>
      </w:r>
      <w:r>
        <w:rPr>
          <w:b/>
          <w:bCs/>
          <w:i/>
          <w:iCs/>
          <w:lang w:val="fr-FR"/>
        </w:rPr>
        <w:t>Mode d’essai des dispositifs d’éclairage et de signalisation lumineuse</w:t>
      </w:r>
      <w:r>
        <w:rPr>
          <w:b/>
          <w:bCs/>
          <w:lang w:val="fr-FR"/>
        </w:rPr>
        <w:t>”, un système ou une fonction permettant à l’utilisateur du véhicule de contrôler [visuellement] le fonctionnement des dispositifs d’éclairage et de signalisation lumineuse et des systèmes associés.</w:t>
      </w:r>
      <w:r>
        <w:rPr>
          <w:lang w:val="fr-FR"/>
        </w:rPr>
        <w:t> ».</w:t>
      </w:r>
    </w:p>
    <w:p w14:paraId="46787456" w14:textId="77777777" w:rsidR="00540808" w:rsidRPr="001D3B54" w:rsidRDefault="00540808" w:rsidP="00C82405">
      <w:pPr>
        <w:pStyle w:val="SingleTxtG"/>
        <w:keepNext/>
        <w:rPr>
          <w:i/>
          <w:iCs/>
          <w:lang w:val="fr-FR"/>
        </w:rPr>
      </w:pPr>
      <w:r w:rsidRPr="001D3B54">
        <w:rPr>
          <w:i/>
          <w:iCs/>
          <w:lang w:val="fr-FR"/>
        </w:rPr>
        <w:t>Ajouter le nouveau paragraphe 2.11.5</w:t>
      </w:r>
      <w:r w:rsidRPr="00C82405">
        <w:rPr>
          <w:lang w:val="fr-FR"/>
        </w:rPr>
        <w:t>, libellé comme suit :</w:t>
      </w:r>
    </w:p>
    <w:p w14:paraId="1613E641" w14:textId="77777777" w:rsidR="00540808" w:rsidRPr="00C767C3" w:rsidRDefault="00540808" w:rsidP="005F3144">
      <w:pPr>
        <w:pStyle w:val="SingleTxtG"/>
        <w:keepNext/>
        <w:ind w:left="2268" w:hanging="1134"/>
        <w:jc w:val="left"/>
        <w:rPr>
          <w:b/>
          <w:bCs/>
        </w:rPr>
      </w:pPr>
      <w:r w:rsidRPr="005F3144">
        <w:t>« </w:t>
      </w:r>
      <w:r w:rsidRPr="00C767C3">
        <w:rPr>
          <w:b/>
          <w:bCs/>
        </w:rPr>
        <w:t>2.11.5</w:t>
      </w:r>
      <w:r w:rsidRPr="00C767C3">
        <w:rPr>
          <w:b/>
          <w:bCs/>
        </w:rPr>
        <w:tab/>
        <w:t xml:space="preserve"> Couleur de la lumière émise par autre chose qu’un dispositif</w:t>
      </w:r>
    </w:p>
    <w:p w14:paraId="14750B61" w14:textId="77777777" w:rsidR="00540808" w:rsidRPr="00C767C3" w:rsidRDefault="00540808" w:rsidP="00D971BC">
      <w:pPr>
        <w:pStyle w:val="SingleTxtG"/>
        <w:ind w:left="2268" w:hanging="1134"/>
        <w:rPr>
          <w:b/>
          <w:bCs/>
        </w:rPr>
      </w:pPr>
      <w:r w:rsidRPr="00C767C3">
        <w:rPr>
          <w:b/>
          <w:bCs/>
        </w:rPr>
        <w:t>2.11.5.1</w:t>
      </w:r>
      <w:r w:rsidRPr="00C767C3">
        <w:rPr>
          <w:b/>
          <w:bCs/>
        </w:rPr>
        <w:tab/>
        <w:t>Par “</w:t>
      </w:r>
      <w:r w:rsidRPr="00C767C3">
        <w:rPr>
          <w:b/>
          <w:bCs/>
          <w:i/>
          <w:iCs/>
        </w:rPr>
        <w:t>bleu indicateur</w:t>
      </w:r>
      <w:r w:rsidRPr="00C767C3">
        <w:rPr>
          <w:b/>
          <w:bCs/>
        </w:rPr>
        <w:t>”, on entend les coordonnées chromatiques (x, y)</w:t>
      </w:r>
      <w:r w:rsidRPr="00C767C3">
        <w:rPr>
          <w:b/>
          <w:bCs/>
          <w:vertAlign w:val="superscript"/>
        </w:rPr>
        <w:t>4</w:t>
      </w:r>
      <w:r w:rsidRPr="00C767C3">
        <w:rPr>
          <w:b/>
          <w:bCs/>
        </w:rPr>
        <w:t xml:space="preserve"> de la lumière émise comprises dans les zones de chromaticité définies par les limites suivantes :</w:t>
      </w:r>
    </w:p>
    <w:tbl>
      <w:tblPr>
        <w:tblW w:w="6237" w:type="dxa"/>
        <w:tblInd w:w="2268" w:type="dxa"/>
        <w:tblLayout w:type="fixed"/>
        <w:tblLook w:val="0000" w:firstRow="0" w:lastRow="0" w:firstColumn="0" w:lastColumn="0" w:noHBand="0" w:noVBand="0"/>
      </w:tblPr>
      <w:tblGrid>
        <w:gridCol w:w="1134"/>
        <w:gridCol w:w="2977"/>
        <w:gridCol w:w="2126"/>
      </w:tblGrid>
      <w:tr w:rsidR="00540808" w:rsidRPr="00841FD2" w14:paraId="3BE4C9FE" w14:textId="77777777" w:rsidTr="00EF5863">
        <w:tc>
          <w:tcPr>
            <w:tcW w:w="1134" w:type="dxa"/>
          </w:tcPr>
          <w:p w14:paraId="694251D1" w14:textId="77777777" w:rsidR="00540808" w:rsidRPr="00841FD2" w:rsidRDefault="00540808" w:rsidP="00EF5863">
            <w:pPr>
              <w:keepLines/>
              <w:suppressAutoHyphens w:val="0"/>
              <w:spacing w:line="240" w:lineRule="auto"/>
              <w:ind w:left="851" w:right="283" w:hanging="851"/>
              <w:rPr>
                <w:b/>
                <w:bCs/>
                <w:vertAlign w:val="subscript"/>
              </w:rPr>
            </w:pPr>
            <w:r>
              <w:rPr>
                <w:b/>
                <w:bCs/>
                <w:lang w:val="fr-FR"/>
              </w:rPr>
              <w:t>B</w:t>
            </w:r>
            <w:r>
              <w:rPr>
                <w:b/>
                <w:bCs/>
                <w:vertAlign w:val="subscript"/>
                <w:lang w:val="fr-FR"/>
              </w:rPr>
              <w:t>12</w:t>
            </w:r>
          </w:p>
        </w:tc>
        <w:tc>
          <w:tcPr>
            <w:tcW w:w="2977" w:type="dxa"/>
          </w:tcPr>
          <w:p w14:paraId="3049A701" w14:textId="5643CF9A" w:rsidR="00540808" w:rsidRPr="00841FD2" w:rsidRDefault="00540808" w:rsidP="00EF5863">
            <w:pPr>
              <w:keepLines/>
              <w:suppressAutoHyphens w:val="0"/>
              <w:spacing w:line="240" w:lineRule="auto"/>
              <w:ind w:left="851" w:right="283" w:hanging="851"/>
              <w:rPr>
                <w:b/>
                <w:bCs/>
              </w:rPr>
            </w:pPr>
            <w:r>
              <w:rPr>
                <w:b/>
                <w:bCs/>
                <w:lang w:val="fr-FR"/>
              </w:rPr>
              <w:t>limite vers le vert</w:t>
            </w:r>
          </w:p>
        </w:tc>
        <w:tc>
          <w:tcPr>
            <w:tcW w:w="2126" w:type="dxa"/>
          </w:tcPr>
          <w:p w14:paraId="1498904E" w14:textId="77777777" w:rsidR="00540808" w:rsidRPr="00841FD2" w:rsidRDefault="00540808" w:rsidP="00EF5863">
            <w:pPr>
              <w:keepLines/>
              <w:suppressAutoHyphens w:val="0"/>
              <w:spacing w:line="240" w:lineRule="auto"/>
              <w:ind w:left="851" w:right="283" w:hanging="851"/>
              <w:rPr>
                <w:b/>
                <w:bCs/>
              </w:rPr>
            </w:pPr>
            <w:r>
              <w:rPr>
                <w:b/>
                <w:bCs/>
                <w:lang w:val="fr-FR"/>
              </w:rPr>
              <w:t>y = 0,28</w:t>
            </w:r>
          </w:p>
        </w:tc>
      </w:tr>
      <w:tr w:rsidR="00540808" w:rsidRPr="00841FD2" w14:paraId="165CD0BC" w14:textId="77777777" w:rsidTr="00EF5863">
        <w:tc>
          <w:tcPr>
            <w:tcW w:w="1134" w:type="dxa"/>
            <w:shd w:val="clear" w:color="auto" w:fill="auto"/>
          </w:tcPr>
          <w:p w14:paraId="5325DDF4" w14:textId="77777777" w:rsidR="00540808" w:rsidRPr="00841FD2" w:rsidRDefault="00540808" w:rsidP="00EF5863">
            <w:pPr>
              <w:keepLines/>
              <w:suppressAutoHyphens w:val="0"/>
              <w:spacing w:line="240" w:lineRule="auto"/>
              <w:ind w:left="851" w:right="283" w:hanging="851"/>
              <w:rPr>
                <w:b/>
                <w:bCs/>
                <w:vertAlign w:val="subscript"/>
              </w:rPr>
            </w:pPr>
            <w:r>
              <w:rPr>
                <w:b/>
                <w:bCs/>
                <w:lang w:val="fr-FR"/>
              </w:rPr>
              <w:t>B</w:t>
            </w:r>
            <w:r>
              <w:rPr>
                <w:b/>
                <w:bCs/>
                <w:vertAlign w:val="subscript"/>
                <w:lang w:val="fr-FR"/>
              </w:rPr>
              <w:t>23</w:t>
            </w:r>
          </w:p>
        </w:tc>
        <w:tc>
          <w:tcPr>
            <w:tcW w:w="2977" w:type="dxa"/>
            <w:shd w:val="clear" w:color="auto" w:fill="auto"/>
          </w:tcPr>
          <w:p w14:paraId="6EC0BAD2" w14:textId="09AFE299" w:rsidR="00540808" w:rsidRPr="00841FD2" w:rsidRDefault="00540808" w:rsidP="00EF5863">
            <w:pPr>
              <w:keepLines/>
              <w:suppressAutoHyphens w:val="0"/>
              <w:spacing w:line="240" w:lineRule="auto"/>
              <w:ind w:left="851" w:right="283" w:hanging="851"/>
              <w:rPr>
                <w:b/>
                <w:bCs/>
              </w:rPr>
            </w:pPr>
            <w:r>
              <w:rPr>
                <w:b/>
                <w:bCs/>
                <w:lang w:val="fr-FR"/>
              </w:rPr>
              <w:t>limite vers le blanc</w:t>
            </w:r>
          </w:p>
        </w:tc>
        <w:tc>
          <w:tcPr>
            <w:tcW w:w="2126" w:type="dxa"/>
          </w:tcPr>
          <w:p w14:paraId="72CBFAAE" w14:textId="49A7E3D8" w:rsidR="00540808" w:rsidRPr="00841FD2" w:rsidRDefault="00540808" w:rsidP="00EF5863">
            <w:pPr>
              <w:keepLines/>
              <w:suppressAutoHyphens w:val="0"/>
              <w:spacing w:line="240" w:lineRule="auto"/>
              <w:ind w:left="851" w:right="283" w:hanging="851"/>
              <w:rPr>
                <w:b/>
                <w:bCs/>
              </w:rPr>
            </w:pPr>
            <w:r>
              <w:rPr>
                <w:b/>
                <w:bCs/>
                <w:lang w:val="fr-FR"/>
              </w:rPr>
              <w:t>y = -1,548 x -</w:t>
            </w:r>
            <w:r w:rsidR="005F3144">
              <w:rPr>
                <w:b/>
                <w:bCs/>
                <w:lang w:val="fr-FR"/>
              </w:rPr>
              <w:t xml:space="preserve"> </w:t>
            </w:r>
            <w:r>
              <w:rPr>
                <w:b/>
                <w:bCs/>
                <w:lang w:val="fr-FR"/>
              </w:rPr>
              <w:t>0,528</w:t>
            </w:r>
          </w:p>
        </w:tc>
      </w:tr>
      <w:tr w:rsidR="00540808" w:rsidRPr="00841FD2" w14:paraId="729D7599" w14:textId="77777777" w:rsidTr="00EF5863">
        <w:tc>
          <w:tcPr>
            <w:tcW w:w="1134" w:type="dxa"/>
            <w:shd w:val="clear" w:color="auto" w:fill="auto"/>
          </w:tcPr>
          <w:p w14:paraId="01C088F4" w14:textId="77777777" w:rsidR="00540808" w:rsidRPr="00841FD2" w:rsidRDefault="00540808" w:rsidP="00EF5863">
            <w:pPr>
              <w:keepLines/>
              <w:suppressAutoHyphens w:val="0"/>
              <w:spacing w:line="240" w:lineRule="auto"/>
              <w:ind w:left="851" w:right="283" w:hanging="851"/>
              <w:rPr>
                <w:b/>
                <w:bCs/>
                <w:vertAlign w:val="subscript"/>
              </w:rPr>
            </w:pPr>
            <w:r>
              <w:rPr>
                <w:b/>
                <w:bCs/>
                <w:lang w:val="fr-FR"/>
              </w:rPr>
              <w:t>B</w:t>
            </w:r>
            <w:r>
              <w:rPr>
                <w:b/>
                <w:bCs/>
                <w:vertAlign w:val="subscript"/>
                <w:lang w:val="fr-FR"/>
              </w:rPr>
              <w:t>34</w:t>
            </w:r>
          </w:p>
        </w:tc>
        <w:tc>
          <w:tcPr>
            <w:tcW w:w="2977" w:type="dxa"/>
            <w:shd w:val="clear" w:color="auto" w:fill="auto"/>
          </w:tcPr>
          <w:p w14:paraId="5252A526" w14:textId="5574249F" w:rsidR="00540808" w:rsidRPr="00841FD2" w:rsidRDefault="00540808" w:rsidP="00EF5863">
            <w:pPr>
              <w:keepLines/>
              <w:suppressAutoHyphens w:val="0"/>
              <w:spacing w:line="240" w:lineRule="auto"/>
              <w:ind w:left="851" w:right="283" w:hanging="851"/>
              <w:rPr>
                <w:b/>
                <w:bCs/>
              </w:rPr>
            </w:pPr>
            <w:r>
              <w:rPr>
                <w:b/>
                <w:bCs/>
                <w:lang w:val="fr-FR"/>
              </w:rPr>
              <w:t>limite vers le violet</w:t>
            </w:r>
          </w:p>
        </w:tc>
        <w:tc>
          <w:tcPr>
            <w:tcW w:w="2126" w:type="dxa"/>
          </w:tcPr>
          <w:p w14:paraId="4796789A" w14:textId="77777777" w:rsidR="00540808" w:rsidRPr="00841FD2" w:rsidRDefault="00540808" w:rsidP="00EF5863">
            <w:pPr>
              <w:keepLines/>
              <w:suppressAutoHyphens w:val="0"/>
              <w:spacing w:line="240" w:lineRule="auto"/>
              <w:ind w:left="851" w:right="283" w:hanging="851"/>
              <w:rPr>
                <w:b/>
                <w:bCs/>
              </w:rPr>
            </w:pPr>
            <w:r>
              <w:rPr>
                <w:b/>
                <w:bCs/>
                <w:lang w:val="fr-FR"/>
              </w:rPr>
              <w:t>x = 0,133 + 0,60y</w:t>
            </w:r>
          </w:p>
        </w:tc>
      </w:tr>
      <w:tr w:rsidR="00540808" w:rsidRPr="00841FD2" w14:paraId="4E3982E0" w14:textId="77777777" w:rsidTr="00EF5863">
        <w:tc>
          <w:tcPr>
            <w:tcW w:w="1134" w:type="dxa"/>
          </w:tcPr>
          <w:p w14:paraId="1DB55DA1" w14:textId="77777777" w:rsidR="00540808" w:rsidRPr="00841FD2" w:rsidRDefault="00540808" w:rsidP="00EF5863">
            <w:pPr>
              <w:suppressAutoHyphens w:val="0"/>
              <w:spacing w:line="240" w:lineRule="auto"/>
              <w:ind w:left="851" w:right="283" w:hanging="851"/>
              <w:rPr>
                <w:b/>
                <w:bCs/>
                <w:vertAlign w:val="subscript"/>
              </w:rPr>
            </w:pPr>
            <w:r>
              <w:rPr>
                <w:b/>
                <w:bCs/>
                <w:lang w:val="fr-FR"/>
              </w:rPr>
              <w:t>B</w:t>
            </w:r>
            <w:r>
              <w:rPr>
                <w:b/>
                <w:bCs/>
                <w:vertAlign w:val="subscript"/>
                <w:lang w:val="fr-FR"/>
              </w:rPr>
              <w:t>41</w:t>
            </w:r>
          </w:p>
        </w:tc>
        <w:tc>
          <w:tcPr>
            <w:tcW w:w="2977" w:type="dxa"/>
          </w:tcPr>
          <w:p w14:paraId="51D5A475" w14:textId="77777777" w:rsidR="00540808" w:rsidRPr="00841FD2" w:rsidRDefault="00540808" w:rsidP="00EF5863">
            <w:pPr>
              <w:suppressAutoHyphens w:val="0"/>
              <w:spacing w:line="240" w:lineRule="auto"/>
              <w:ind w:left="851" w:right="283" w:hanging="851"/>
              <w:rPr>
                <w:b/>
                <w:bCs/>
              </w:rPr>
            </w:pPr>
            <w:r>
              <w:rPr>
                <w:b/>
                <w:bCs/>
                <w:lang w:val="fr-FR"/>
              </w:rPr>
              <w:t>lieu spectral</w:t>
            </w:r>
          </w:p>
        </w:tc>
        <w:tc>
          <w:tcPr>
            <w:tcW w:w="2126" w:type="dxa"/>
          </w:tcPr>
          <w:p w14:paraId="0C12F479" w14:textId="77777777" w:rsidR="00540808" w:rsidRPr="00841FD2" w:rsidRDefault="00540808" w:rsidP="00EF5863">
            <w:pPr>
              <w:suppressAutoHyphens w:val="0"/>
              <w:spacing w:line="240" w:lineRule="auto"/>
              <w:ind w:left="851" w:right="283" w:hanging="851"/>
              <w:rPr>
                <w:b/>
                <w:bCs/>
              </w:rPr>
            </w:pPr>
          </w:p>
        </w:tc>
      </w:tr>
    </w:tbl>
    <w:p w14:paraId="0F5E98B4" w14:textId="77777777" w:rsidR="00540808" w:rsidRPr="00C767C3" w:rsidRDefault="00540808" w:rsidP="005F3144">
      <w:pPr>
        <w:pStyle w:val="SingleTxtG"/>
        <w:keepNext/>
        <w:spacing w:before="120"/>
        <w:ind w:left="2268"/>
        <w:rPr>
          <w:b/>
          <w:bCs/>
        </w:rPr>
      </w:pPr>
      <w:r w:rsidRPr="00C767C3">
        <w:rPr>
          <w:b/>
          <w:bCs/>
        </w:rPr>
        <w:t>Points d’intersection :</w:t>
      </w:r>
    </w:p>
    <w:tbl>
      <w:tblPr>
        <w:tblW w:w="6237" w:type="dxa"/>
        <w:tblInd w:w="2268" w:type="dxa"/>
        <w:tblLayout w:type="fixed"/>
        <w:tblLook w:val="0000" w:firstRow="0" w:lastRow="0" w:firstColumn="0" w:lastColumn="0" w:noHBand="0" w:noVBand="0"/>
      </w:tblPr>
      <w:tblGrid>
        <w:gridCol w:w="1134"/>
        <w:gridCol w:w="2977"/>
        <w:gridCol w:w="2126"/>
      </w:tblGrid>
      <w:tr w:rsidR="00540808" w:rsidRPr="00841FD2" w14:paraId="5885D2FA" w14:textId="77777777" w:rsidTr="00EF5863">
        <w:tc>
          <w:tcPr>
            <w:tcW w:w="1134" w:type="dxa"/>
          </w:tcPr>
          <w:p w14:paraId="3B14F640" w14:textId="77777777" w:rsidR="00540808" w:rsidRPr="00841FD2" w:rsidRDefault="00540808" w:rsidP="00C238FC">
            <w:pPr>
              <w:keepNext/>
              <w:keepLines/>
              <w:suppressAutoHyphens w:val="0"/>
              <w:spacing w:line="240" w:lineRule="auto"/>
              <w:ind w:left="851" w:right="283" w:hanging="851"/>
              <w:rPr>
                <w:b/>
                <w:bCs/>
              </w:rPr>
            </w:pPr>
          </w:p>
        </w:tc>
        <w:tc>
          <w:tcPr>
            <w:tcW w:w="2977" w:type="dxa"/>
          </w:tcPr>
          <w:p w14:paraId="2E37CC51" w14:textId="77777777" w:rsidR="00540808" w:rsidRPr="00841FD2" w:rsidRDefault="00540808" w:rsidP="00C238FC">
            <w:pPr>
              <w:keepNext/>
              <w:keepLines/>
              <w:tabs>
                <w:tab w:val="left" w:pos="851"/>
              </w:tabs>
              <w:suppressAutoHyphens w:val="0"/>
              <w:spacing w:line="240" w:lineRule="auto"/>
              <w:ind w:left="851" w:right="283" w:hanging="851"/>
              <w:textAlignment w:val="baseline"/>
              <w:rPr>
                <w:b/>
                <w:bCs/>
              </w:rPr>
            </w:pPr>
            <w:r>
              <w:rPr>
                <w:b/>
                <w:bCs/>
                <w:lang w:val="fr-FR"/>
              </w:rPr>
              <w:t>x</w:t>
            </w:r>
          </w:p>
        </w:tc>
        <w:tc>
          <w:tcPr>
            <w:tcW w:w="2126" w:type="dxa"/>
          </w:tcPr>
          <w:p w14:paraId="2DA61BD0" w14:textId="77777777" w:rsidR="00540808" w:rsidRPr="00841FD2" w:rsidRDefault="00540808" w:rsidP="00C238FC">
            <w:pPr>
              <w:keepNext/>
              <w:keepLines/>
              <w:tabs>
                <w:tab w:val="left" w:pos="851"/>
              </w:tabs>
              <w:suppressAutoHyphens w:val="0"/>
              <w:spacing w:line="240" w:lineRule="auto"/>
              <w:ind w:left="851" w:right="283" w:hanging="851"/>
              <w:textAlignment w:val="baseline"/>
              <w:rPr>
                <w:b/>
                <w:bCs/>
              </w:rPr>
            </w:pPr>
            <w:r>
              <w:rPr>
                <w:b/>
                <w:bCs/>
                <w:lang w:val="fr-FR"/>
              </w:rPr>
              <w:t>y</w:t>
            </w:r>
          </w:p>
        </w:tc>
      </w:tr>
      <w:tr w:rsidR="00540808" w:rsidRPr="00841FD2" w14:paraId="287C2BDA" w14:textId="77777777" w:rsidTr="00EF5863">
        <w:tc>
          <w:tcPr>
            <w:tcW w:w="1134" w:type="dxa"/>
          </w:tcPr>
          <w:p w14:paraId="20FBA78D" w14:textId="77777777" w:rsidR="00540808" w:rsidRPr="00841FD2" w:rsidRDefault="00540808" w:rsidP="00C238FC">
            <w:pPr>
              <w:keepNext/>
              <w:keepLines/>
              <w:suppressAutoHyphens w:val="0"/>
              <w:spacing w:line="240" w:lineRule="auto"/>
              <w:ind w:left="851" w:right="283" w:hanging="851"/>
              <w:rPr>
                <w:b/>
                <w:bCs/>
                <w:vertAlign w:val="subscript"/>
              </w:rPr>
            </w:pPr>
            <w:r>
              <w:rPr>
                <w:b/>
                <w:bCs/>
                <w:lang w:val="fr-FR"/>
              </w:rPr>
              <w:t>B</w:t>
            </w:r>
            <w:r>
              <w:rPr>
                <w:b/>
                <w:bCs/>
                <w:vertAlign w:val="subscript"/>
                <w:lang w:val="fr-FR"/>
              </w:rPr>
              <w:t>1</w:t>
            </w:r>
          </w:p>
        </w:tc>
        <w:tc>
          <w:tcPr>
            <w:tcW w:w="2977" w:type="dxa"/>
          </w:tcPr>
          <w:p w14:paraId="715780D2" w14:textId="77777777" w:rsidR="00540808" w:rsidRPr="00841FD2" w:rsidRDefault="00540808" w:rsidP="00C238FC">
            <w:pPr>
              <w:keepNext/>
              <w:keepLines/>
              <w:suppressAutoHyphens w:val="0"/>
              <w:spacing w:line="240" w:lineRule="auto"/>
              <w:ind w:left="851" w:right="283" w:hanging="851"/>
              <w:rPr>
                <w:b/>
                <w:bCs/>
              </w:rPr>
            </w:pPr>
            <w:r>
              <w:rPr>
                <w:b/>
                <w:bCs/>
                <w:lang w:val="fr-FR"/>
              </w:rPr>
              <w:t>0,049</w:t>
            </w:r>
          </w:p>
        </w:tc>
        <w:tc>
          <w:tcPr>
            <w:tcW w:w="2126" w:type="dxa"/>
          </w:tcPr>
          <w:p w14:paraId="44F5E5C2" w14:textId="77777777" w:rsidR="00540808" w:rsidRPr="00841FD2" w:rsidRDefault="00540808" w:rsidP="00C238FC">
            <w:pPr>
              <w:keepNext/>
              <w:keepLines/>
              <w:suppressAutoHyphens w:val="0"/>
              <w:spacing w:line="240" w:lineRule="auto"/>
              <w:ind w:left="851" w:right="283" w:hanging="851"/>
              <w:rPr>
                <w:b/>
                <w:bCs/>
              </w:rPr>
            </w:pPr>
            <w:r>
              <w:rPr>
                <w:b/>
                <w:bCs/>
                <w:lang w:val="fr-FR"/>
              </w:rPr>
              <w:t>0,28</w:t>
            </w:r>
          </w:p>
        </w:tc>
      </w:tr>
      <w:tr w:rsidR="00540808" w:rsidRPr="00841FD2" w14:paraId="0DF70A6A" w14:textId="77777777" w:rsidTr="00EF5863">
        <w:tc>
          <w:tcPr>
            <w:tcW w:w="1134" w:type="dxa"/>
          </w:tcPr>
          <w:p w14:paraId="3EAB2502" w14:textId="77777777" w:rsidR="00540808" w:rsidRPr="00841FD2" w:rsidRDefault="00540808" w:rsidP="00C238FC">
            <w:pPr>
              <w:keepNext/>
              <w:keepLines/>
              <w:suppressAutoHyphens w:val="0"/>
              <w:spacing w:line="240" w:lineRule="auto"/>
              <w:ind w:left="851" w:right="283" w:hanging="851"/>
              <w:rPr>
                <w:b/>
                <w:bCs/>
                <w:vertAlign w:val="subscript"/>
              </w:rPr>
            </w:pPr>
            <w:r>
              <w:rPr>
                <w:b/>
                <w:bCs/>
                <w:lang w:val="fr-FR"/>
              </w:rPr>
              <w:t>B</w:t>
            </w:r>
            <w:r>
              <w:rPr>
                <w:b/>
                <w:bCs/>
                <w:vertAlign w:val="subscript"/>
                <w:lang w:val="fr-FR"/>
              </w:rPr>
              <w:t>2</w:t>
            </w:r>
          </w:p>
        </w:tc>
        <w:tc>
          <w:tcPr>
            <w:tcW w:w="2977" w:type="dxa"/>
          </w:tcPr>
          <w:p w14:paraId="46B79D43" w14:textId="77777777" w:rsidR="00540808" w:rsidRPr="00841FD2" w:rsidRDefault="00540808" w:rsidP="00C238FC">
            <w:pPr>
              <w:keepNext/>
              <w:keepLines/>
              <w:suppressAutoHyphens w:val="0"/>
              <w:spacing w:line="240" w:lineRule="auto"/>
              <w:ind w:left="851" w:right="283" w:hanging="851"/>
              <w:rPr>
                <w:b/>
                <w:bCs/>
              </w:rPr>
            </w:pPr>
            <w:r>
              <w:rPr>
                <w:b/>
                <w:bCs/>
                <w:lang w:val="fr-FR"/>
              </w:rPr>
              <w:t>0,16</w:t>
            </w:r>
          </w:p>
        </w:tc>
        <w:tc>
          <w:tcPr>
            <w:tcW w:w="2126" w:type="dxa"/>
          </w:tcPr>
          <w:p w14:paraId="0D18DD86" w14:textId="77777777" w:rsidR="00540808" w:rsidRPr="00841FD2" w:rsidRDefault="00540808" w:rsidP="00C238FC">
            <w:pPr>
              <w:keepNext/>
              <w:keepLines/>
              <w:suppressAutoHyphens w:val="0"/>
              <w:spacing w:line="240" w:lineRule="auto"/>
              <w:ind w:left="851" w:right="283" w:hanging="851"/>
              <w:rPr>
                <w:b/>
                <w:bCs/>
              </w:rPr>
            </w:pPr>
            <w:r>
              <w:rPr>
                <w:b/>
                <w:bCs/>
                <w:lang w:val="fr-FR"/>
              </w:rPr>
              <w:t>0,2</w:t>
            </w:r>
          </w:p>
        </w:tc>
      </w:tr>
      <w:tr w:rsidR="00540808" w:rsidRPr="00841FD2" w14:paraId="1364B126" w14:textId="77777777" w:rsidTr="00EF5863">
        <w:tc>
          <w:tcPr>
            <w:tcW w:w="1134" w:type="dxa"/>
          </w:tcPr>
          <w:p w14:paraId="595748D7" w14:textId="77777777" w:rsidR="00540808" w:rsidRPr="00841FD2" w:rsidRDefault="00540808" w:rsidP="00C238FC">
            <w:pPr>
              <w:keepNext/>
              <w:keepLines/>
              <w:suppressAutoHyphens w:val="0"/>
              <w:spacing w:line="240" w:lineRule="auto"/>
              <w:ind w:left="851" w:right="283" w:hanging="851"/>
              <w:rPr>
                <w:b/>
                <w:bCs/>
                <w:vertAlign w:val="subscript"/>
              </w:rPr>
            </w:pPr>
            <w:r>
              <w:rPr>
                <w:b/>
                <w:bCs/>
                <w:lang w:val="fr-FR"/>
              </w:rPr>
              <w:t>B</w:t>
            </w:r>
            <w:r>
              <w:rPr>
                <w:b/>
                <w:bCs/>
                <w:vertAlign w:val="subscript"/>
                <w:lang w:val="fr-FR"/>
              </w:rPr>
              <w:t>3</w:t>
            </w:r>
          </w:p>
        </w:tc>
        <w:tc>
          <w:tcPr>
            <w:tcW w:w="2977" w:type="dxa"/>
          </w:tcPr>
          <w:p w14:paraId="04925320" w14:textId="77777777" w:rsidR="00540808" w:rsidRPr="00841FD2" w:rsidRDefault="00540808" w:rsidP="00C238FC">
            <w:pPr>
              <w:keepNext/>
              <w:keepLines/>
              <w:suppressAutoHyphens w:val="0"/>
              <w:spacing w:line="240" w:lineRule="auto"/>
              <w:ind w:left="851" w:right="283" w:hanging="851"/>
              <w:rPr>
                <w:b/>
                <w:bCs/>
              </w:rPr>
            </w:pPr>
            <w:r>
              <w:rPr>
                <w:b/>
                <w:bCs/>
                <w:lang w:val="fr-FR"/>
              </w:rPr>
              <w:t>0,233</w:t>
            </w:r>
          </w:p>
        </w:tc>
        <w:tc>
          <w:tcPr>
            <w:tcW w:w="2126" w:type="dxa"/>
          </w:tcPr>
          <w:p w14:paraId="7C8B9F21" w14:textId="77777777" w:rsidR="00540808" w:rsidRPr="00841FD2" w:rsidRDefault="00540808" w:rsidP="00C238FC">
            <w:pPr>
              <w:keepNext/>
              <w:keepLines/>
              <w:suppressAutoHyphens w:val="0"/>
              <w:spacing w:line="240" w:lineRule="auto"/>
              <w:ind w:left="851" w:right="283" w:hanging="851"/>
              <w:rPr>
                <w:b/>
                <w:bCs/>
              </w:rPr>
            </w:pPr>
            <w:r>
              <w:rPr>
                <w:b/>
                <w:bCs/>
                <w:lang w:val="fr-FR"/>
              </w:rPr>
              <w:t>0,167</w:t>
            </w:r>
          </w:p>
        </w:tc>
      </w:tr>
      <w:tr w:rsidR="00540808" w:rsidRPr="00841FD2" w14:paraId="6E71D4FA" w14:textId="77777777" w:rsidTr="00EF5863">
        <w:tc>
          <w:tcPr>
            <w:tcW w:w="1134" w:type="dxa"/>
          </w:tcPr>
          <w:p w14:paraId="18ECB189" w14:textId="77777777" w:rsidR="00540808" w:rsidRPr="00841FD2" w:rsidRDefault="00540808" w:rsidP="00C238FC">
            <w:pPr>
              <w:suppressAutoHyphens w:val="0"/>
              <w:spacing w:line="240" w:lineRule="auto"/>
              <w:ind w:left="851" w:right="283" w:hanging="851"/>
              <w:rPr>
                <w:b/>
                <w:bCs/>
                <w:vertAlign w:val="subscript"/>
              </w:rPr>
            </w:pPr>
            <w:r>
              <w:rPr>
                <w:b/>
                <w:bCs/>
                <w:lang w:val="fr-FR"/>
              </w:rPr>
              <w:t>B</w:t>
            </w:r>
            <w:r>
              <w:rPr>
                <w:b/>
                <w:bCs/>
                <w:vertAlign w:val="subscript"/>
                <w:lang w:val="fr-FR"/>
              </w:rPr>
              <w:t>4</w:t>
            </w:r>
          </w:p>
        </w:tc>
        <w:tc>
          <w:tcPr>
            <w:tcW w:w="2977" w:type="dxa"/>
          </w:tcPr>
          <w:p w14:paraId="4B63871F" w14:textId="77777777" w:rsidR="00540808" w:rsidRPr="00841FD2" w:rsidRDefault="00540808" w:rsidP="00C238FC">
            <w:pPr>
              <w:suppressAutoHyphens w:val="0"/>
              <w:spacing w:line="240" w:lineRule="auto"/>
              <w:ind w:left="851" w:right="283" w:hanging="851"/>
              <w:rPr>
                <w:b/>
                <w:bCs/>
              </w:rPr>
            </w:pPr>
            <w:r>
              <w:rPr>
                <w:b/>
                <w:bCs/>
                <w:lang w:val="fr-FR"/>
              </w:rPr>
              <w:t>0,148</w:t>
            </w:r>
          </w:p>
        </w:tc>
        <w:tc>
          <w:tcPr>
            <w:tcW w:w="2126" w:type="dxa"/>
          </w:tcPr>
          <w:p w14:paraId="44438C80" w14:textId="77777777" w:rsidR="00540808" w:rsidRPr="00841FD2" w:rsidRDefault="00540808" w:rsidP="00C238FC">
            <w:pPr>
              <w:suppressAutoHyphens w:val="0"/>
              <w:spacing w:line="240" w:lineRule="auto"/>
              <w:ind w:left="851" w:right="283" w:hanging="851"/>
              <w:rPr>
                <w:b/>
                <w:bCs/>
              </w:rPr>
            </w:pPr>
            <w:r>
              <w:rPr>
                <w:b/>
                <w:bCs/>
                <w:lang w:val="fr-FR"/>
              </w:rPr>
              <w:t>0,026</w:t>
            </w:r>
          </w:p>
        </w:tc>
      </w:tr>
    </w:tbl>
    <w:p w14:paraId="645B44AB" w14:textId="77777777" w:rsidR="00540808" w:rsidRPr="00C767C3" w:rsidRDefault="00540808" w:rsidP="005A1EC3">
      <w:pPr>
        <w:pStyle w:val="SingleTxtG"/>
        <w:spacing w:before="120"/>
        <w:ind w:left="2268" w:hanging="1134"/>
        <w:rPr>
          <w:b/>
          <w:bCs/>
        </w:rPr>
      </w:pPr>
      <w:r w:rsidRPr="00C767C3">
        <w:rPr>
          <w:b/>
          <w:bCs/>
        </w:rPr>
        <w:t>2.11.5.2</w:t>
      </w:r>
      <w:r w:rsidRPr="00C767C3">
        <w:rPr>
          <w:b/>
          <w:bCs/>
        </w:rPr>
        <w:tab/>
        <w:t>Par “</w:t>
      </w:r>
      <w:r w:rsidRPr="00C767C3">
        <w:rPr>
          <w:b/>
          <w:bCs/>
          <w:i/>
          <w:iCs/>
        </w:rPr>
        <w:t>vert indicateur</w:t>
      </w:r>
      <w:r w:rsidRPr="00C767C3">
        <w:rPr>
          <w:b/>
          <w:bCs/>
        </w:rPr>
        <w:t>”, on entend les coordonnées chromatiques (x, y)</w:t>
      </w:r>
      <w:r w:rsidRPr="00C767C3">
        <w:rPr>
          <w:b/>
          <w:bCs/>
          <w:vertAlign w:val="superscript"/>
        </w:rPr>
        <w:t>4</w:t>
      </w:r>
      <w:r w:rsidRPr="00C767C3">
        <w:rPr>
          <w:b/>
          <w:bCs/>
        </w:rPr>
        <w:t xml:space="preserve"> de la lumière émise comprises dans les zones de chromaticité définies par les limites suivantes :</w:t>
      </w:r>
    </w:p>
    <w:tbl>
      <w:tblPr>
        <w:tblW w:w="6237" w:type="dxa"/>
        <w:tblInd w:w="2268" w:type="dxa"/>
        <w:tblLayout w:type="fixed"/>
        <w:tblLook w:val="0000" w:firstRow="0" w:lastRow="0" w:firstColumn="0" w:lastColumn="0" w:noHBand="0" w:noVBand="0"/>
      </w:tblPr>
      <w:tblGrid>
        <w:gridCol w:w="1134"/>
        <w:gridCol w:w="2977"/>
        <w:gridCol w:w="2126"/>
      </w:tblGrid>
      <w:tr w:rsidR="00540808" w:rsidRPr="007259BB" w14:paraId="6AAEFC72" w14:textId="77777777" w:rsidTr="00510992">
        <w:tc>
          <w:tcPr>
            <w:tcW w:w="1134" w:type="dxa"/>
          </w:tcPr>
          <w:p w14:paraId="1C664F9B"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12</w:t>
            </w:r>
          </w:p>
        </w:tc>
        <w:tc>
          <w:tcPr>
            <w:tcW w:w="2977" w:type="dxa"/>
          </w:tcPr>
          <w:p w14:paraId="1C08ADF9" w14:textId="297EB554" w:rsidR="00540808" w:rsidRPr="001770D4" w:rsidRDefault="00540808" w:rsidP="00C238FC">
            <w:pPr>
              <w:keepNext/>
              <w:keepLines/>
              <w:suppressAutoHyphens w:val="0"/>
              <w:spacing w:line="240" w:lineRule="auto"/>
              <w:ind w:left="851" w:right="283" w:hanging="851"/>
              <w:rPr>
                <w:b/>
                <w:bCs/>
              </w:rPr>
            </w:pPr>
            <w:r>
              <w:rPr>
                <w:b/>
                <w:bCs/>
                <w:lang w:val="fr-FR"/>
              </w:rPr>
              <w:t>limite vers le bleu</w:t>
            </w:r>
          </w:p>
        </w:tc>
        <w:tc>
          <w:tcPr>
            <w:tcW w:w="2126" w:type="dxa"/>
          </w:tcPr>
          <w:p w14:paraId="1406F9EF" w14:textId="77777777" w:rsidR="00540808" w:rsidRPr="001770D4" w:rsidRDefault="00540808" w:rsidP="00C238FC">
            <w:pPr>
              <w:keepNext/>
              <w:keepLines/>
              <w:suppressAutoHyphens w:val="0"/>
              <w:spacing w:line="240" w:lineRule="auto"/>
              <w:ind w:left="851" w:right="283" w:hanging="851"/>
              <w:rPr>
                <w:b/>
                <w:bCs/>
              </w:rPr>
            </w:pPr>
            <w:r>
              <w:rPr>
                <w:b/>
                <w:bCs/>
                <w:lang w:val="fr-FR"/>
              </w:rPr>
              <w:t>y = 0,5 – 0,5x</w:t>
            </w:r>
          </w:p>
        </w:tc>
      </w:tr>
      <w:tr w:rsidR="00540808" w:rsidRPr="007259BB" w14:paraId="3DFF270F" w14:textId="77777777" w:rsidTr="00510992">
        <w:tc>
          <w:tcPr>
            <w:tcW w:w="1134" w:type="dxa"/>
          </w:tcPr>
          <w:p w14:paraId="56178B36"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23</w:t>
            </w:r>
          </w:p>
        </w:tc>
        <w:tc>
          <w:tcPr>
            <w:tcW w:w="2977" w:type="dxa"/>
          </w:tcPr>
          <w:p w14:paraId="604482BD" w14:textId="6086363C" w:rsidR="00540808" w:rsidRPr="001770D4" w:rsidRDefault="00540808" w:rsidP="00C238FC">
            <w:pPr>
              <w:keepNext/>
              <w:keepLines/>
              <w:suppressAutoHyphens w:val="0"/>
              <w:spacing w:line="240" w:lineRule="auto"/>
              <w:ind w:left="851" w:right="283" w:hanging="851"/>
              <w:rPr>
                <w:b/>
                <w:bCs/>
              </w:rPr>
            </w:pPr>
            <w:r>
              <w:rPr>
                <w:b/>
                <w:bCs/>
                <w:lang w:val="fr-FR"/>
              </w:rPr>
              <w:t>limite vers le blanc</w:t>
            </w:r>
          </w:p>
        </w:tc>
        <w:tc>
          <w:tcPr>
            <w:tcW w:w="2126" w:type="dxa"/>
          </w:tcPr>
          <w:p w14:paraId="3F586A9F" w14:textId="77777777" w:rsidR="00540808" w:rsidRPr="001770D4" w:rsidRDefault="00540808" w:rsidP="00C238FC">
            <w:pPr>
              <w:keepNext/>
              <w:keepLines/>
              <w:suppressAutoHyphens w:val="0"/>
              <w:spacing w:line="240" w:lineRule="auto"/>
              <w:ind w:left="851" w:right="283" w:hanging="851"/>
              <w:rPr>
                <w:b/>
                <w:bCs/>
              </w:rPr>
            </w:pPr>
            <w:r>
              <w:rPr>
                <w:b/>
                <w:bCs/>
                <w:lang w:val="fr-FR"/>
              </w:rPr>
              <w:t>y = 0,093 + 1,444x</w:t>
            </w:r>
          </w:p>
        </w:tc>
      </w:tr>
      <w:tr w:rsidR="00540808" w:rsidRPr="007259BB" w14:paraId="267144D3" w14:textId="77777777" w:rsidTr="00510992">
        <w:tc>
          <w:tcPr>
            <w:tcW w:w="1134" w:type="dxa"/>
          </w:tcPr>
          <w:p w14:paraId="008A475D"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34</w:t>
            </w:r>
          </w:p>
        </w:tc>
        <w:tc>
          <w:tcPr>
            <w:tcW w:w="2977" w:type="dxa"/>
          </w:tcPr>
          <w:p w14:paraId="53E07740" w14:textId="5CB2180E" w:rsidR="00540808" w:rsidRPr="001770D4" w:rsidRDefault="00540808" w:rsidP="00C238FC">
            <w:pPr>
              <w:keepNext/>
              <w:keepLines/>
              <w:suppressAutoHyphens w:val="0"/>
              <w:spacing w:line="240" w:lineRule="auto"/>
              <w:ind w:left="851" w:right="283" w:hanging="851"/>
              <w:rPr>
                <w:b/>
                <w:bCs/>
              </w:rPr>
            </w:pPr>
            <w:r>
              <w:rPr>
                <w:b/>
                <w:bCs/>
                <w:lang w:val="fr-FR"/>
              </w:rPr>
              <w:t>limite vers le jaune</w:t>
            </w:r>
          </w:p>
        </w:tc>
        <w:tc>
          <w:tcPr>
            <w:tcW w:w="2126" w:type="dxa"/>
          </w:tcPr>
          <w:p w14:paraId="654BC27E" w14:textId="77777777" w:rsidR="00540808" w:rsidRPr="001770D4" w:rsidRDefault="00540808" w:rsidP="00C238FC">
            <w:pPr>
              <w:keepNext/>
              <w:keepLines/>
              <w:suppressAutoHyphens w:val="0"/>
              <w:spacing w:line="240" w:lineRule="auto"/>
              <w:ind w:left="851" w:right="283" w:hanging="851"/>
              <w:rPr>
                <w:b/>
                <w:bCs/>
              </w:rPr>
            </w:pPr>
            <w:r>
              <w:rPr>
                <w:b/>
                <w:bCs/>
                <w:lang w:val="fr-FR"/>
              </w:rPr>
              <w:t>y = -2,235 + 8,5x</w:t>
            </w:r>
          </w:p>
        </w:tc>
      </w:tr>
      <w:tr w:rsidR="00540808" w:rsidRPr="007259BB" w14:paraId="0AFE06C9" w14:textId="77777777" w:rsidTr="00510992">
        <w:tc>
          <w:tcPr>
            <w:tcW w:w="1134" w:type="dxa"/>
          </w:tcPr>
          <w:p w14:paraId="626A1F74" w14:textId="77777777" w:rsidR="00540808" w:rsidRPr="001770D4" w:rsidRDefault="00540808" w:rsidP="00C238FC">
            <w:pPr>
              <w:suppressAutoHyphens w:val="0"/>
              <w:spacing w:line="240" w:lineRule="auto"/>
              <w:ind w:left="851" w:right="283" w:hanging="851"/>
              <w:rPr>
                <w:b/>
                <w:bCs/>
                <w:vertAlign w:val="subscript"/>
              </w:rPr>
            </w:pPr>
            <w:r>
              <w:rPr>
                <w:b/>
                <w:bCs/>
                <w:lang w:val="fr-FR"/>
              </w:rPr>
              <w:t>G</w:t>
            </w:r>
            <w:r>
              <w:rPr>
                <w:b/>
                <w:bCs/>
                <w:vertAlign w:val="subscript"/>
                <w:lang w:val="fr-FR"/>
              </w:rPr>
              <w:t>41</w:t>
            </w:r>
          </w:p>
        </w:tc>
        <w:tc>
          <w:tcPr>
            <w:tcW w:w="2977" w:type="dxa"/>
          </w:tcPr>
          <w:p w14:paraId="1C4585F3" w14:textId="77777777" w:rsidR="00540808" w:rsidRPr="001770D4" w:rsidRDefault="00540808" w:rsidP="00C238FC">
            <w:pPr>
              <w:suppressAutoHyphens w:val="0"/>
              <w:spacing w:line="240" w:lineRule="auto"/>
              <w:ind w:left="851" w:right="283" w:hanging="851"/>
              <w:rPr>
                <w:b/>
                <w:bCs/>
              </w:rPr>
            </w:pPr>
            <w:r>
              <w:rPr>
                <w:b/>
                <w:bCs/>
                <w:lang w:val="fr-FR"/>
              </w:rPr>
              <w:t>lieu spectral</w:t>
            </w:r>
          </w:p>
        </w:tc>
        <w:tc>
          <w:tcPr>
            <w:tcW w:w="2126" w:type="dxa"/>
          </w:tcPr>
          <w:p w14:paraId="323088D4" w14:textId="77777777" w:rsidR="00540808" w:rsidRPr="001770D4" w:rsidRDefault="00540808" w:rsidP="00C238FC">
            <w:pPr>
              <w:suppressAutoHyphens w:val="0"/>
              <w:spacing w:line="240" w:lineRule="auto"/>
              <w:ind w:left="851" w:right="283" w:hanging="851"/>
              <w:rPr>
                <w:b/>
                <w:bCs/>
              </w:rPr>
            </w:pPr>
          </w:p>
        </w:tc>
      </w:tr>
    </w:tbl>
    <w:p w14:paraId="4E56F15C" w14:textId="77777777" w:rsidR="00540808" w:rsidRPr="00C767C3" w:rsidRDefault="00540808" w:rsidP="005F3144">
      <w:pPr>
        <w:pStyle w:val="SingleTxtG"/>
        <w:keepNext/>
        <w:spacing w:before="120"/>
        <w:ind w:left="2268"/>
        <w:rPr>
          <w:b/>
          <w:bCs/>
        </w:rPr>
      </w:pPr>
      <w:r w:rsidRPr="00C767C3">
        <w:rPr>
          <w:b/>
          <w:bCs/>
        </w:rPr>
        <w:lastRenderedPageBreak/>
        <w:t>Points d’intersection :</w:t>
      </w:r>
    </w:p>
    <w:tbl>
      <w:tblPr>
        <w:tblW w:w="6237" w:type="dxa"/>
        <w:tblInd w:w="2268" w:type="dxa"/>
        <w:tblLayout w:type="fixed"/>
        <w:tblLook w:val="0000" w:firstRow="0" w:lastRow="0" w:firstColumn="0" w:lastColumn="0" w:noHBand="0" w:noVBand="0"/>
      </w:tblPr>
      <w:tblGrid>
        <w:gridCol w:w="1134"/>
        <w:gridCol w:w="2977"/>
        <w:gridCol w:w="2126"/>
      </w:tblGrid>
      <w:tr w:rsidR="00540808" w:rsidRPr="007259BB" w14:paraId="1307BEB8" w14:textId="77777777" w:rsidTr="00510992">
        <w:tc>
          <w:tcPr>
            <w:tcW w:w="1134" w:type="dxa"/>
          </w:tcPr>
          <w:p w14:paraId="787633EE" w14:textId="77777777" w:rsidR="00540808" w:rsidRPr="007259BB" w:rsidRDefault="00540808" w:rsidP="00C238FC">
            <w:pPr>
              <w:keepNext/>
              <w:keepLines/>
              <w:suppressAutoHyphens w:val="0"/>
              <w:spacing w:line="240" w:lineRule="auto"/>
              <w:ind w:left="851" w:right="283" w:hanging="851"/>
              <w:rPr>
                <w:b/>
                <w:bCs/>
              </w:rPr>
            </w:pPr>
          </w:p>
        </w:tc>
        <w:tc>
          <w:tcPr>
            <w:tcW w:w="2977" w:type="dxa"/>
          </w:tcPr>
          <w:p w14:paraId="69B325AC" w14:textId="77777777" w:rsidR="00540808" w:rsidRPr="007259BB" w:rsidRDefault="00540808" w:rsidP="00C238FC">
            <w:pPr>
              <w:keepNext/>
              <w:keepLines/>
              <w:tabs>
                <w:tab w:val="left" w:pos="851"/>
              </w:tabs>
              <w:suppressAutoHyphens w:val="0"/>
              <w:spacing w:line="240" w:lineRule="auto"/>
              <w:ind w:left="851" w:right="283" w:hanging="851"/>
              <w:textAlignment w:val="baseline"/>
              <w:rPr>
                <w:b/>
                <w:bCs/>
              </w:rPr>
            </w:pPr>
            <w:r>
              <w:rPr>
                <w:b/>
                <w:bCs/>
                <w:lang w:val="fr-FR"/>
              </w:rPr>
              <w:t>x</w:t>
            </w:r>
          </w:p>
        </w:tc>
        <w:tc>
          <w:tcPr>
            <w:tcW w:w="2126" w:type="dxa"/>
          </w:tcPr>
          <w:p w14:paraId="18B92D33" w14:textId="77777777" w:rsidR="00540808" w:rsidRPr="007259BB" w:rsidRDefault="00540808" w:rsidP="00C238FC">
            <w:pPr>
              <w:keepNext/>
              <w:keepLines/>
              <w:tabs>
                <w:tab w:val="left" w:pos="851"/>
              </w:tabs>
              <w:suppressAutoHyphens w:val="0"/>
              <w:spacing w:line="240" w:lineRule="auto"/>
              <w:ind w:left="851" w:right="283" w:hanging="851"/>
              <w:textAlignment w:val="baseline"/>
              <w:rPr>
                <w:b/>
                <w:bCs/>
              </w:rPr>
            </w:pPr>
            <w:r>
              <w:rPr>
                <w:b/>
                <w:bCs/>
                <w:lang w:val="fr-FR"/>
              </w:rPr>
              <w:t>y</w:t>
            </w:r>
          </w:p>
        </w:tc>
      </w:tr>
      <w:tr w:rsidR="00540808" w:rsidRPr="007259BB" w14:paraId="376D2C0B" w14:textId="77777777" w:rsidTr="00510992">
        <w:tc>
          <w:tcPr>
            <w:tcW w:w="1134" w:type="dxa"/>
          </w:tcPr>
          <w:p w14:paraId="2B2C4D5F"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1</w:t>
            </w:r>
          </w:p>
        </w:tc>
        <w:tc>
          <w:tcPr>
            <w:tcW w:w="2977" w:type="dxa"/>
          </w:tcPr>
          <w:p w14:paraId="5DA0F5A6" w14:textId="77777777" w:rsidR="00540808" w:rsidRPr="001770D4" w:rsidRDefault="00540808" w:rsidP="00C238FC">
            <w:pPr>
              <w:keepNext/>
              <w:keepLines/>
              <w:suppressAutoHyphens w:val="0"/>
              <w:spacing w:line="240" w:lineRule="auto"/>
              <w:ind w:left="851" w:right="283" w:hanging="851"/>
              <w:rPr>
                <w:b/>
                <w:bCs/>
              </w:rPr>
            </w:pPr>
            <w:r>
              <w:rPr>
                <w:b/>
                <w:bCs/>
                <w:lang w:val="fr-FR"/>
              </w:rPr>
              <w:t>0,013</w:t>
            </w:r>
          </w:p>
        </w:tc>
        <w:tc>
          <w:tcPr>
            <w:tcW w:w="2126" w:type="dxa"/>
          </w:tcPr>
          <w:p w14:paraId="02FCCDBB" w14:textId="5AC97853" w:rsidR="00540808" w:rsidRPr="001770D4" w:rsidRDefault="00540808" w:rsidP="00C238FC">
            <w:pPr>
              <w:keepNext/>
              <w:keepLines/>
              <w:suppressAutoHyphens w:val="0"/>
              <w:spacing w:line="240" w:lineRule="auto"/>
              <w:ind w:left="851" w:right="283" w:hanging="851"/>
              <w:rPr>
                <w:b/>
                <w:bCs/>
              </w:rPr>
            </w:pPr>
            <w:r>
              <w:rPr>
                <w:b/>
                <w:bCs/>
                <w:lang w:val="fr-FR"/>
              </w:rPr>
              <w:t>0,494</w:t>
            </w:r>
          </w:p>
        </w:tc>
      </w:tr>
      <w:tr w:rsidR="00540808" w:rsidRPr="007259BB" w14:paraId="346F0F5C" w14:textId="77777777" w:rsidTr="00510992">
        <w:tc>
          <w:tcPr>
            <w:tcW w:w="1134" w:type="dxa"/>
          </w:tcPr>
          <w:p w14:paraId="723F62CF"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2</w:t>
            </w:r>
          </w:p>
        </w:tc>
        <w:tc>
          <w:tcPr>
            <w:tcW w:w="2977" w:type="dxa"/>
          </w:tcPr>
          <w:p w14:paraId="04BE949E" w14:textId="77777777" w:rsidR="00540808" w:rsidRPr="001770D4" w:rsidRDefault="00540808" w:rsidP="00C238FC">
            <w:pPr>
              <w:keepNext/>
              <w:keepLines/>
              <w:suppressAutoHyphens w:val="0"/>
              <w:spacing w:line="240" w:lineRule="auto"/>
              <w:ind w:left="851" w:right="283" w:hanging="851"/>
              <w:rPr>
                <w:b/>
                <w:bCs/>
              </w:rPr>
            </w:pPr>
            <w:r>
              <w:rPr>
                <w:b/>
                <w:bCs/>
                <w:lang w:val="fr-FR"/>
              </w:rPr>
              <w:t>0,209</w:t>
            </w:r>
          </w:p>
        </w:tc>
        <w:tc>
          <w:tcPr>
            <w:tcW w:w="2126" w:type="dxa"/>
          </w:tcPr>
          <w:p w14:paraId="1E5816CA" w14:textId="7E19FA1D" w:rsidR="00540808" w:rsidRPr="001770D4" w:rsidRDefault="00540808" w:rsidP="00C238FC">
            <w:pPr>
              <w:keepNext/>
              <w:keepLines/>
              <w:suppressAutoHyphens w:val="0"/>
              <w:spacing w:line="240" w:lineRule="auto"/>
              <w:ind w:left="851" w:right="283" w:hanging="851"/>
              <w:rPr>
                <w:b/>
                <w:bCs/>
              </w:rPr>
            </w:pPr>
            <w:r>
              <w:rPr>
                <w:b/>
                <w:bCs/>
                <w:lang w:val="fr-FR"/>
              </w:rPr>
              <w:t>0,39</w:t>
            </w:r>
          </w:p>
        </w:tc>
      </w:tr>
      <w:tr w:rsidR="00540808" w:rsidRPr="007259BB" w14:paraId="753175F7" w14:textId="77777777" w:rsidTr="00510992">
        <w:tc>
          <w:tcPr>
            <w:tcW w:w="1134" w:type="dxa"/>
          </w:tcPr>
          <w:p w14:paraId="23AD1D4E" w14:textId="77777777" w:rsidR="00540808" w:rsidRPr="001770D4" w:rsidRDefault="00540808" w:rsidP="00C238FC">
            <w:pPr>
              <w:keepNext/>
              <w:keepLines/>
              <w:suppressAutoHyphens w:val="0"/>
              <w:spacing w:line="240" w:lineRule="auto"/>
              <w:ind w:left="851" w:right="283" w:hanging="851"/>
              <w:rPr>
                <w:b/>
                <w:bCs/>
                <w:vertAlign w:val="subscript"/>
              </w:rPr>
            </w:pPr>
            <w:r>
              <w:rPr>
                <w:b/>
                <w:bCs/>
                <w:lang w:val="fr-FR"/>
              </w:rPr>
              <w:t>G</w:t>
            </w:r>
            <w:r>
              <w:rPr>
                <w:b/>
                <w:bCs/>
                <w:vertAlign w:val="subscript"/>
                <w:lang w:val="fr-FR"/>
              </w:rPr>
              <w:t>3</w:t>
            </w:r>
          </w:p>
        </w:tc>
        <w:tc>
          <w:tcPr>
            <w:tcW w:w="2977" w:type="dxa"/>
          </w:tcPr>
          <w:p w14:paraId="434A0DDB" w14:textId="77777777" w:rsidR="00540808" w:rsidRPr="001770D4" w:rsidRDefault="00540808" w:rsidP="00C238FC">
            <w:pPr>
              <w:keepNext/>
              <w:keepLines/>
              <w:suppressAutoHyphens w:val="0"/>
              <w:spacing w:line="240" w:lineRule="auto"/>
              <w:ind w:left="851" w:right="283" w:hanging="851"/>
              <w:rPr>
                <w:b/>
                <w:bCs/>
              </w:rPr>
            </w:pPr>
            <w:r>
              <w:rPr>
                <w:b/>
                <w:bCs/>
                <w:lang w:val="fr-FR"/>
              </w:rPr>
              <w:t>0,330</w:t>
            </w:r>
          </w:p>
        </w:tc>
        <w:tc>
          <w:tcPr>
            <w:tcW w:w="2126" w:type="dxa"/>
          </w:tcPr>
          <w:p w14:paraId="0B026035" w14:textId="459D354D" w:rsidR="00540808" w:rsidRPr="001770D4" w:rsidRDefault="00540808" w:rsidP="00C238FC">
            <w:pPr>
              <w:keepNext/>
              <w:keepLines/>
              <w:suppressAutoHyphens w:val="0"/>
              <w:spacing w:line="240" w:lineRule="auto"/>
              <w:ind w:left="851" w:right="283" w:hanging="851"/>
              <w:rPr>
                <w:b/>
                <w:bCs/>
              </w:rPr>
            </w:pPr>
            <w:r>
              <w:rPr>
                <w:b/>
                <w:bCs/>
                <w:lang w:val="fr-FR"/>
              </w:rPr>
              <w:t>0,57</w:t>
            </w:r>
          </w:p>
        </w:tc>
      </w:tr>
      <w:tr w:rsidR="00540808" w:rsidRPr="00873D0E" w14:paraId="0B899691" w14:textId="77777777" w:rsidTr="00510992">
        <w:tc>
          <w:tcPr>
            <w:tcW w:w="1134" w:type="dxa"/>
          </w:tcPr>
          <w:p w14:paraId="05878516" w14:textId="77777777" w:rsidR="00540808" w:rsidRPr="001770D4" w:rsidRDefault="00540808" w:rsidP="00C238FC">
            <w:pPr>
              <w:suppressAutoHyphens w:val="0"/>
              <w:spacing w:line="240" w:lineRule="auto"/>
              <w:ind w:left="851" w:right="283" w:hanging="851"/>
              <w:rPr>
                <w:b/>
                <w:bCs/>
                <w:vertAlign w:val="subscript"/>
              </w:rPr>
            </w:pPr>
            <w:r>
              <w:rPr>
                <w:b/>
                <w:bCs/>
                <w:lang w:val="fr-FR"/>
              </w:rPr>
              <w:t>G</w:t>
            </w:r>
            <w:r>
              <w:rPr>
                <w:b/>
                <w:bCs/>
                <w:vertAlign w:val="subscript"/>
                <w:lang w:val="fr-FR"/>
              </w:rPr>
              <w:t>4</w:t>
            </w:r>
          </w:p>
        </w:tc>
        <w:tc>
          <w:tcPr>
            <w:tcW w:w="2977" w:type="dxa"/>
          </w:tcPr>
          <w:p w14:paraId="3B095650" w14:textId="77777777" w:rsidR="00540808" w:rsidRPr="001770D4" w:rsidRDefault="00540808" w:rsidP="00C238FC">
            <w:pPr>
              <w:suppressAutoHyphens w:val="0"/>
              <w:spacing w:line="240" w:lineRule="auto"/>
              <w:ind w:left="851" w:right="283" w:hanging="851"/>
              <w:rPr>
                <w:b/>
                <w:bCs/>
              </w:rPr>
            </w:pPr>
            <w:r>
              <w:rPr>
                <w:b/>
                <w:bCs/>
                <w:lang w:val="fr-FR"/>
              </w:rPr>
              <w:t>0,340</w:t>
            </w:r>
          </w:p>
        </w:tc>
        <w:tc>
          <w:tcPr>
            <w:tcW w:w="2126" w:type="dxa"/>
          </w:tcPr>
          <w:p w14:paraId="7041132D" w14:textId="3B12B419" w:rsidR="00540808" w:rsidRPr="001770D4" w:rsidRDefault="00540808" w:rsidP="00C238FC">
            <w:pPr>
              <w:suppressAutoHyphens w:val="0"/>
              <w:spacing w:line="240" w:lineRule="auto"/>
              <w:ind w:left="851" w:right="283" w:hanging="851"/>
              <w:rPr>
                <w:b/>
                <w:bCs/>
              </w:rPr>
            </w:pPr>
            <w:r>
              <w:rPr>
                <w:b/>
                <w:bCs/>
                <w:lang w:val="fr-FR"/>
              </w:rPr>
              <w:t>0,656</w:t>
            </w:r>
            <w:r>
              <w:rPr>
                <w:lang w:val="fr-FR"/>
              </w:rPr>
              <w:t> ».</w:t>
            </w:r>
          </w:p>
        </w:tc>
      </w:tr>
    </w:tbl>
    <w:p w14:paraId="3861FDD6" w14:textId="77777777" w:rsidR="00540808" w:rsidRPr="001D3B54" w:rsidRDefault="00540808" w:rsidP="003610BD">
      <w:pPr>
        <w:pStyle w:val="SingleTxtG"/>
        <w:keepNext/>
        <w:spacing w:before="120"/>
        <w:ind w:left="2268" w:hanging="1134"/>
        <w:rPr>
          <w:i/>
          <w:iCs/>
          <w:lang w:val="fr-FR"/>
        </w:rPr>
      </w:pPr>
      <w:r w:rsidRPr="001D3B54">
        <w:rPr>
          <w:i/>
          <w:iCs/>
          <w:lang w:val="fr-FR"/>
        </w:rPr>
        <w:t>Ajouter le nouveau paragraphe 3.2.10</w:t>
      </w:r>
      <w:r w:rsidRPr="003610BD">
        <w:rPr>
          <w:lang w:val="fr-FR"/>
        </w:rPr>
        <w:t>, libellé comme suit :</w:t>
      </w:r>
    </w:p>
    <w:p w14:paraId="2253C752" w14:textId="0B274012" w:rsidR="00540808" w:rsidRPr="007E4BBC" w:rsidRDefault="00540808" w:rsidP="005D4576">
      <w:pPr>
        <w:pStyle w:val="SingleTxtG"/>
        <w:ind w:left="2268" w:hanging="1134"/>
        <w:rPr>
          <w:rFonts w:eastAsia="MS PMincho"/>
          <w:bCs/>
          <w:lang w:val="fr-FR"/>
        </w:rPr>
      </w:pPr>
      <w:r>
        <w:rPr>
          <w:lang w:val="fr-FR"/>
        </w:rPr>
        <w:t>« </w:t>
      </w:r>
      <w:r>
        <w:rPr>
          <w:b/>
          <w:bCs/>
          <w:lang w:val="fr-FR"/>
        </w:rPr>
        <w:t>3.2.10</w:t>
      </w:r>
      <w:r>
        <w:rPr>
          <w:lang w:val="fr-FR"/>
        </w:rPr>
        <w:t xml:space="preserve"> </w:t>
      </w:r>
      <w:r>
        <w:rPr>
          <w:lang w:val="fr-FR"/>
        </w:rPr>
        <w:tab/>
      </w:r>
      <w:r>
        <w:rPr>
          <w:b/>
          <w:bCs/>
          <w:lang w:val="fr-FR"/>
        </w:rPr>
        <w:t>Si le véhicule est équipé de feux utilisés lorsqu’il se trouve en stationnement comme indiqué au 5.36, à l’exclusion de l’alinéa a)</w:t>
      </w:r>
      <w:r w:rsidR="008C2507">
        <w:rPr>
          <w:b/>
          <w:bCs/>
          <w:lang w:val="fr-FR"/>
        </w:rPr>
        <w:t> </w:t>
      </w:r>
      <w:r>
        <w:rPr>
          <w:b/>
          <w:bCs/>
          <w:lang w:val="fr-FR"/>
        </w:rPr>
        <w:t>:</w:t>
      </w:r>
    </w:p>
    <w:p w14:paraId="031260B2" w14:textId="77777777" w:rsidR="00540808" w:rsidRPr="007E4BBC" w:rsidRDefault="00540808" w:rsidP="005D4576">
      <w:pPr>
        <w:pStyle w:val="SingleTxtG"/>
        <w:ind w:left="2268" w:hanging="1134"/>
        <w:rPr>
          <w:b/>
          <w:bCs/>
          <w:lang w:val="fr-FR"/>
        </w:rPr>
      </w:pPr>
      <w:r>
        <w:rPr>
          <w:b/>
          <w:bCs/>
          <w:lang w:val="fr-FR"/>
        </w:rPr>
        <w:t>3.2.10.1</w:t>
      </w:r>
      <w:r>
        <w:rPr>
          <w:lang w:val="fr-FR"/>
        </w:rPr>
        <w:t xml:space="preserve"> </w:t>
      </w:r>
      <w:r>
        <w:rPr>
          <w:lang w:val="fr-FR"/>
        </w:rPr>
        <w:tab/>
      </w:r>
      <w:r>
        <w:rPr>
          <w:b/>
          <w:bCs/>
          <w:lang w:val="fr-FR"/>
        </w:rPr>
        <w:t>Une liste des feux utilisés.</w:t>
      </w:r>
      <w:r>
        <w:rPr>
          <w:lang w:val="fr-FR"/>
        </w:rPr>
        <w:tab/>
      </w:r>
    </w:p>
    <w:p w14:paraId="73144036" w14:textId="77777777" w:rsidR="00540808" w:rsidRPr="007E4BBC" w:rsidRDefault="00540808" w:rsidP="005D4576">
      <w:pPr>
        <w:pStyle w:val="SingleTxtG"/>
        <w:ind w:left="2268" w:hanging="1134"/>
        <w:rPr>
          <w:b/>
          <w:bCs/>
          <w:lang w:val="fr-FR"/>
        </w:rPr>
      </w:pPr>
      <w:r>
        <w:rPr>
          <w:b/>
          <w:bCs/>
          <w:lang w:val="fr-FR"/>
        </w:rPr>
        <w:t>3.2.10.2</w:t>
      </w:r>
      <w:r>
        <w:rPr>
          <w:lang w:val="fr-FR"/>
        </w:rPr>
        <w:t xml:space="preserve"> </w:t>
      </w:r>
      <w:r>
        <w:rPr>
          <w:lang w:val="fr-FR"/>
        </w:rPr>
        <w:tab/>
      </w:r>
      <w:r>
        <w:rPr>
          <w:b/>
          <w:bCs/>
          <w:lang w:val="fr-FR"/>
        </w:rPr>
        <w:t>Une description détaillée contenant les informations suivantes :</w:t>
      </w:r>
    </w:p>
    <w:p w14:paraId="6AF0569F" w14:textId="3080C977" w:rsidR="00540808" w:rsidRPr="00067A8B" w:rsidRDefault="00540808" w:rsidP="00067A8B">
      <w:pPr>
        <w:pStyle w:val="Bullet2G"/>
        <w:ind w:left="2438"/>
        <w:rPr>
          <w:b/>
          <w:bCs/>
          <w:lang w:val="fr-FR"/>
        </w:rPr>
      </w:pPr>
      <w:r w:rsidRPr="00067A8B">
        <w:rPr>
          <w:b/>
          <w:bCs/>
          <w:lang w:val="fr-FR"/>
        </w:rPr>
        <w:t>Les modalités de l’allumage ou de l’extinction des feux</w:t>
      </w:r>
      <w:r w:rsidR="0091066F">
        <w:rPr>
          <w:b/>
          <w:bCs/>
          <w:lang w:val="fr-FR"/>
        </w:rPr>
        <w:t> </w:t>
      </w:r>
      <w:r w:rsidRPr="00067A8B">
        <w:rPr>
          <w:b/>
          <w:bCs/>
          <w:lang w:val="fr-FR"/>
        </w:rPr>
        <w:t>;</w:t>
      </w:r>
    </w:p>
    <w:p w14:paraId="2137FE09" w14:textId="4476BE6C" w:rsidR="00540808" w:rsidRPr="007E4BBC" w:rsidRDefault="00540808" w:rsidP="00067A8B">
      <w:pPr>
        <w:pStyle w:val="Bullet2G"/>
        <w:ind w:left="2438"/>
        <w:rPr>
          <w:b/>
          <w:bCs/>
          <w:lang w:val="fr-FR"/>
        </w:rPr>
      </w:pPr>
      <w:r>
        <w:rPr>
          <w:b/>
          <w:bCs/>
          <w:lang w:val="fr-FR"/>
        </w:rPr>
        <w:t>Les modalités d’activation du témoin du système d’énergie et la ou les couleurs émises ;</w:t>
      </w:r>
    </w:p>
    <w:p w14:paraId="7C1964E0" w14:textId="196BA187" w:rsidR="00540808" w:rsidRPr="007E4BBC" w:rsidRDefault="00540808" w:rsidP="00067A8B">
      <w:pPr>
        <w:pStyle w:val="Bullet2G"/>
        <w:ind w:left="2438"/>
        <w:rPr>
          <w:b/>
          <w:bCs/>
          <w:lang w:val="fr-FR"/>
        </w:rPr>
      </w:pPr>
      <w:r>
        <w:rPr>
          <w:b/>
          <w:bCs/>
          <w:lang w:val="fr-FR"/>
        </w:rPr>
        <w:t>Si les feux clignotent</w:t>
      </w:r>
      <w:r w:rsidR="0091066F">
        <w:rPr>
          <w:b/>
          <w:bCs/>
          <w:lang w:val="fr-FR"/>
        </w:rPr>
        <w:t> </w:t>
      </w:r>
      <w:r>
        <w:rPr>
          <w:b/>
          <w:bCs/>
          <w:lang w:val="fr-FR"/>
        </w:rPr>
        <w:t>: la fréquence du clignotement</w:t>
      </w:r>
      <w:r w:rsidR="0091066F">
        <w:rPr>
          <w:b/>
          <w:bCs/>
          <w:lang w:val="fr-FR"/>
        </w:rPr>
        <w:t> </w:t>
      </w:r>
      <w:r>
        <w:rPr>
          <w:b/>
          <w:bCs/>
          <w:lang w:val="fr-FR"/>
        </w:rPr>
        <w:t>;</w:t>
      </w:r>
    </w:p>
    <w:p w14:paraId="753FDBC2" w14:textId="146E61B9" w:rsidR="00540808" w:rsidRPr="007E4BBC" w:rsidRDefault="00540808" w:rsidP="00067A8B">
      <w:pPr>
        <w:pStyle w:val="Bullet2G"/>
        <w:ind w:left="2438"/>
        <w:rPr>
          <w:b/>
          <w:bCs/>
          <w:lang w:val="fr-FR"/>
        </w:rPr>
      </w:pPr>
      <w:r>
        <w:rPr>
          <w:b/>
          <w:bCs/>
          <w:lang w:val="fr-FR"/>
        </w:rPr>
        <w:t>Si l’intensité ou la surface apparente des feux varie</w:t>
      </w:r>
      <w:r w:rsidR="0091066F">
        <w:rPr>
          <w:b/>
          <w:bCs/>
          <w:lang w:val="fr-FR"/>
        </w:rPr>
        <w:t> </w:t>
      </w:r>
      <w:r>
        <w:rPr>
          <w:b/>
          <w:bCs/>
          <w:lang w:val="fr-FR"/>
        </w:rPr>
        <w:t>: la gamme d’intensité lumineuse ou les variations possibles de la surface apparente.</w:t>
      </w:r>
      <w:r w:rsidRPr="00067A8B">
        <w:rPr>
          <w:b/>
          <w:bCs/>
          <w:lang w:val="fr-FR"/>
        </w:rPr>
        <w:t xml:space="preserve"> </w:t>
      </w:r>
    </w:p>
    <w:p w14:paraId="2DDEA161" w14:textId="77777777" w:rsidR="00540808" w:rsidRPr="007E4BBC" w:rsidRDefault="00540808" w:rsidP="0091066F">
      <w:pPr>
        <w:pStyle w:val="SingleTxtG"/>
        <w:ind w:left="2268"/>
        <w:rPr>
          <w:rFonts w:eastAsia="MS PMincho"/>
          <w:b/>
          <w:strike/>
          <w:lang w:val="fr-FR"/>
        </w:rPr>
      </w:pPr>
      <w:r>
        <w:rPr>
          <w:b/>
          <w:bCs/>
          <w:lang w:val="fr-FR"/>
        </w:rPr>
        <w:t>Ces informations peuvent être fournies par le demandeur à l’aide d’une documentation suffisante (contenant, par exemple, des diagrammes linéaires indiquant clairement la fréquence du clignotement ou la variation de l’intensité lumineuse ou de la surface apparente, selon la réglementation pertinente), ou de toute autre façon agréée par l’autorité d’homologation de type.</w:t>
      </w:r>
      <w:r>
        <w:rPr>
          <w:lang w:val="fr-FR"/>
        </w:rPr>
        <w:t> ».</w:t>
      </w:r>
    </w:p>
    <w:p w14:paraId="50E1E279" w14:textId="77777777" w:rsidR="00540808" w:rsidRPr="007E4BBC" w:rsidRDefault="00540808" w:rsidP="000B7B9C">
      <w:pPr>
        <w:keepNext/>
        <w:spacing w:after="120"/>
        <w:ind w:left="2257" w:right="1134" w:hanging="1123"/>
        <w:jc w:val="both"/>
        <w:rPr>
          <w:bCs/>
          <w:lang w:val="fr-FR"/>
        </w:rPr>
      </w:pPr>
      <w:r>
        <w:rPr>
          <w:i/>
          <w:iCs/>
          <w:lang w:val="fr-FR"/>
        </w:rPr>
        <w:t>Ajouter le nouveau paragraphe 5.9.4</w:t>
      </w:r>
      <w:r>
        <w:rPr>
          <w:lang w:val="fr-FR"/>
        </w:rPr>
        <w:t>, libellé comme suit :</w:t>
      </w:r>
    </w:p>
    <w:p w14:paraId="04BA2CCE" w14:textId="4E6EA90E" w:rsidR="00540808" w:rsidRPr="007E4BBC" w:rsidRDefault="00540808" w:rsidP="005D4576">
      <w:pPr>
        <w:pStyle w:val="SingleTxtG"/>
        <w:ind w:left="2268" w:hanging="1134"/>
        <w:rPr>
          <w:rFonts w:eastAsia="MS PMincho"/>
          <w:b/>
          <w:lang w:val="fr-FR"/>
        </w:rPr>
      </w:pPr>
      <w:r>
        <w:rPr>
          <w:lang w:val="fr-FR"/>
        </w:rPr>
        <w:t>« </w:t>
      </w:r>
      <w:r>
        <w:rPr>
          <w:b/>
          <w:bCs/>
          <w:lang w:val="fr-FR"/>
        </w:rPr>
        <w:t>5.9.4</w:t>
      </w:r>
      <w:r>
        <w:rPr>
          <w:lang w:val="fr-FR"/>
        </w:rPr>
        <w:tab/>
      </w:r>
      <w:r>
        <w:rPr>
          <w:b/>
          <w:bCs/>
          <w:lang w:val="fr-FR"/>
        </w:rPr>
        <w:t>Lorsqu’un véhicule</w:t>
      </w:r>
      <w:r w:rsidR="000B7B9C">
        <w:rPr>
          <w:b/>
          <w:bCs/>
          <w:lang w:val="fr-FR"/>
        </w:rPr>
        <w:t xml:space="preserve"> </w:t>
      </w:r>
      <w:r>
        <w:rPr>
          <w:b/>
          <w:bCs/>
          <w:lang w:val="fr-FR"/>
        </w:rPr>
        <w:t>est en stationnement, le témoin du système d’énergie et les feux servant aux fonctions de signal de réponse et de mode d’essai des dispositifs d’éclairage et de signalisation lumineuse peuvent clignoter ou leur intensité lumineuse ou leur surface apparente peuvent varier.</w:t>
      </w:r>
    </w:p>
    <w:p w14:paraId="75557D13" w14:textId="39609C1F" w:rsidR="00540808" w:rsidRPr="007E4BBC" w:rsidRDefault="00540808" w:rsidP="000B7B9C">
      <w:pPr>
        <w:pStyle w:val="SingleTxtG"/>
        <w:ind w:left="2268"/>
        <w:rPr>
          <w:rFonts w:eastAsia="MS PMincho"/>
          <w:b/>
          <w:strike/>
          <w:lang w:val="fr-FR"/>
        </w:rPr>
      </w:pPr>
      <w:r>
        <w:rPr>
          <w:lang w:val="fr-FR"/>
        </w:rPr>
        <w:tab/>
      </w:r>
      <w:r w:rsidR="000B7B9C" w:rsidRPr="000B7B9C">
        <w:rPr>
          <w:b/>
          <w:bCs/>
          <w:lang w:val="fr-FR"/>
        </w:rPr>
        <w:t>C</w:t>
      </w:r>
      <w:r>
        <w:rPr>
          <w:b/>
          <w:bCs/>
          <w:lang w:val="fr-FR"/>
        </w:rPr>
        <w:t>es feux doivent fonctionner conformément aux conditions énoncées dans les spécifications générales ou dans les paragraphes 6.27, 6.28 et 6.29 s’y rapportant.</w:t>
      </w:r>
      <w:r>
        <w:rPr>
          <w:lang w:val="fr-FR"/>
        </w:rPr>
        <w:t xml:space="preserve"> ». </w:t>
      </w:r>
    </w:p>
    <w:p w14:paraId="6BAC427A" w14:textId="77777777" w:rsidR="00540808" w:rsidRPr="007E4BBC" w:rsidRDefault="00540808" w:rsidP="00FB2ACF">
      <w:pPr>
        <w:keepNext/>
        <w:spacing w:after="120"/>
        <w:ind w:left="2257" w:right="1134" w:hanging="1123"/>
        <w:jc w:val="both"/>
        <w:rPr>
          <w:bCs/>
          <w:lang w:val="fr-FR"/>
        </w:rPr>
      </w:pPr>
      <w:r>
        <w:rPr>
          <w:i/>
          <w:iCs/>
          <w:lang w:val="fr-FR"/>
        </w:rPr>
        <w:t>Paragraphe 5.11.1</w:t>
      </w:r>
      <w:r>
        <w:rPr>
          <w:lang w:val="fr-FR"/>
        </w:rPr>
        <w:t>, lire :</w:t>
      </w:r>
    </w:p>
    <w:p w14:paraId="4A7F36D5" w14:textId="77777777" w:rsidR="00540808" w:rsidRPr="00FB2ACF" w:rsidRDefault="00540808" w:rsidP="00FB2ACF">
      <w:pPr>
        <w:pStyle w:val="SingleTxtG"/>
        <w:keepNext/>
        <w:ind w:left="2268" w:hanging="1134"/>
      </w:pPr>
      <w:r w:rsidRPr="00FB2ACF">
        <w:t>« 5.11.1</w:t>
      </w:r>
      <w:r w:rsidRPr="00FB2ACF">
        <w:tab/>
        <w:t>Cette prescription ne s’applique pas dans les cas suivants :</w:t>
      </w:r>
    </w:p>
    <w:p w14:paraId="0D67749B" w14:textId="58A328F6" w:rsidR="00540808" w:rsidRPr="007E4BBC" w:rsidRDefault="00540808" w:rsidP="00FB2ACF">
      <w:pPr>
        <w:pStyle w:val="SingleTxtG"/>
        <w:ind w:left="2835" w:hanging="567"/>
        <w:rPr>
          <w:lang w:val="fr-FR"/>
        </w:rPr>
      </w:pPr>
      <w:r>
        <w:rPr>
          <w:lang w:val="fr-FR"/>
        </w:rPr>
        <w:t>a)</w:t>
      </w:r>
      <w:r>
        <w:rPr>
          <w:lang w:val="fr-FR"/>
        </w:rPr>
        <w:tab/>
        <w:t>Lorsque les feux de position avant et arrière, ainsi que les feux de position latéraux s’ils sont combinés ou incorporés mutuellement avec les premiers, sont allumés comme feux de stationnement ;</w:t>
      </w:r>
    </w:p>
    <w:p w14:paraId="54F10F03" w14:textId="06674F52" w:rsidR="00540808" w:rsidRPr="007E4BBC" w:rsidRDefault="00540808" w:rsidP="00FB2ACF">
      <w:pPr>
        <w:pStyle w:val="SingleTxtG"/>
        <w:ind w:left="2835" w:hanging="567"/>
        <w:rPr>
          <w:lang w:val="fr-FR"/>
        </w:rPr>
      </w:pPr>
      <w:r>
        <w:rPr>
          <w:lang w:val="fr-FR"/>
        </w:rPr>
        <w:t>b)</w:t>
      </w:r>
      <w:r>
        <w:rPr>
          <w:lang w:val="fr-FR"/>
        </w:rPr>
        <w:tab/>
        <w:t>Lorsque les feux de position peuvent clignoter en même temps que les indicateurs de direction ;</w:t>
      </w:r>
    </w:p>
    <w:p w14:paraId="3ED9C27A" w14:textId="3D5C8E80" w:rsidR="00540808" w:rsidRPr="00FB2ACF" w:rsidRDefault="00540808" w:rsidP="00FB2ACF">
      <w:pPr>
        <w:pStyle w:val="SingleTxtG"/>
        <w:ind w:left="2835" w:hanging="567"/>
        <w:rPr>
          <w:lang w:val="fr-FR"/>
        </w:rPr>
      </w:pPr>
      <w:r w:rsidRPr="00FB2ACF">
        <w:rPr>
          <w:lang w:val="fr-FR"/>
        </w:rPr>
        <w:t>c)</w:t>
      </w:r>
      <w:r w:rsidRPr="00FB2ACF">
        <w:rPr>
          <w:lang w:val="fr-FR"/>
        </w:rPr>
        <w:tab/>
        <w:t>Lorsque les feux de circulation diurne sont allumés</w:t>
      </w:r>
      <w:r w:rsidR="00FB2ACF">
        <w:rPr>
          <w:lang w:val="fr-FR"/>
        </w:rPr>
        <w:t> </w:t>
      </w:r>
      <w:r w:rsidRPr="00FB2ACF">
        <w:rPr>
          <w:lang w:val="fr-FR"/>
        </w:rPr>
        <w:t>;</w:t>
      </w:r>
    </w:p>
    <w:p w14:paraId="43069ABC" w14:textId="22D3A6BC" w:rsidR="00540808" w:rsidRPr="00FB2ACF" w:rsidRDefault="00540808" w:rsidP="00FB2ACF">
      <w:pPr>
        <w:pStyle w:val="SingleTxtG"/>
        <w:ind w:left="2835" w:hanging="567"/>
        <w:rPr>
          <w:lang w:val="fr-FR"/>
        </w:rPr>
      </w:pPr>
      <w:r w:rsidRPr="00FB2ACF">
        <w:rPr>
          <w:lang w:val="fr-FR"/>
        </w:rPr>
        <w:t>d)</w:t>
      </w:r>
      <w:r w:rsidRPr="00FB2ACF">
        <w:rPr>
          <w:lang w:val="fr-FR"/>
        </w:rPr>
        <w:tab/>
        <w:t>Lorsque la fonction des feux de position avant est remplie par d’autres feux conformément aux dispositions du paragraphe 5.12.1 ci-après ;</w:t>
      </w:r>
    </w:p>
    <w:p w14:paraId="6F6B0505" w14:textId="77777777" w:rsidR="00540808" w:rsidRPr="00FB2ACF" w:rsidRDefault="00540808" w:rsidP="00FB2ACF">
      <w:pPr>
        <w:pStyle w:val="SingleTxtG"/>
        <w:ind w:left="2835" w:hanging="567"/>
      </w:pPr>
      <w:r w:rsidRPr="00C767C3">
        <w:rPr>
          <w:b/>
          <w:bCs/>
        </w:rPr>
        <w:t>e)</w:t>
      </w:r>
      <w:r w:rsidRPr="00C767C3">
        <w:rPr>
          <w:b/>
          <w:bCs/>
        </w:rPr>
        <w:tab/>
        <w:t>Lorsque les feux sont utilisés conformément aux dispositions des paragraphes 6.24, 6.27, 6.28 et 6.29. </w:t>
      </w:r>
      <w:r w:rsidRPr="00FB2ACF">
        <w:t xml:space="preserve">». </w:t>
      </w:r>
    </w:p>
    <w:p w14:paraId="77AC9224" w14:textId="77777777" w:rsidR="00540808" w:rsidRPr="007E4BBC" w:rsidRDefault="00540808" w:rsidP="000604C8">
      <w:pPr>
        <w:pStyle w:val="SingleTxtG"/>
        <w:keepNext/>
        <w:ind w:left="2268" w:hanging="1134"/>
        <w:rPr>
          <w:bCs/>
          <w:lang w:val="fr-FR"/>
        </w:rPr>
      </w:pPr>
      <w:r>
        <w:rPr>
          <w:i/>
          <w:iCs/>
          <w:lang w:val="fr-FR"/>
        </w:rPr>
        <w:t>Paragraphe 5.15</w:t>
      </w:r>
      <w:r>
        <w:rPr>
          <w:lang w:val="fr-FR"/>
        </w:rPr>
        <w:t>, lire :</w:t>
      </w:r>
    </w:p>
    <w:p w14:paraId="326F5CB3" w14:textId="77777777" w:rsidR="00540808" w:rsidRPr="007E4BBC" w:rsidRDefault="00540808" w:rsidP="005D4576">
      <w:pPr>
        <w:pStyle w:val="SingleTxtG"/>
        <w:ind w:left="2268" w:hanging="1134"/>
        <w:rPr>
          <w:lang w:val="fr-FR"/>
        </w:rPr>
      </w:pPr>
      <w:r>
        <w:rPr>
          <w:lang w:val="fr-FR"/>
        </w:rPr>
        <w:t>« 5.15</w:t>
      </w:r>
      <w:r>
        <w:rPr>
          <w:lang w:val="fr-FR"/>
        </w:rPr>
        <w:tab/>
        <w:t>Les couleurs de la lumière émise par les feux</w:t>
      </w:r>
      <w:r>
        <w:rPr>
          <w:vertAlign w:val="superscript"/>
          <w:lang w:val="fr-FR"/>
        </w:rPr>
        <w:t>10</w:t>
      </w:r>
      <w:r>
        <w:rPr>
          <w:lang w:val="fr-FR"/>
        </w:rPr>
        <w:t xml:space="preserve"> sont les suivantes :</w:t>
      </w:r>
    </w:p>
    <w:p w14:paraId="75440EF9" w14:textId="7E5AB0AD" w:rsidR="00540808" w:rsidRDefault="00540808" w:rsidP="00540808">
      <w:pPr>
        <w:tabs>
          <w:tab w:val="left" w:pos="709"/>
          <w:tab w:val="left" w:pos="3969"/>
        </w:tabs>
        <w:spacing w:after="120"/>
        <w:ind w:left="4962" w:right="1134" w:hanging="2694"/>
        <w:jc w:val="both"/>
        <w:rPr>
          <w:lang w:val="fr-FR"/>
        </w:rPr>
      </w:pPr>
      <w:r>
        <w:rPr>
          <w:lang w:val="fr-FR"/>
        </w:rPr>
        <w:t>…</w:t>
      </w:r>
    </w:p>
    <w:p w14:paraId="7838D03C" w14:textId="42AE10E0" w:rsidR="000604C8" w:rsidRDefault="000604C8" w:rsidP="000604C8">
      <w:pPr>
        <w:tabs>
          <w:tab w:val="left" w:pos="709"/>
          <w:tab w:val="left" w:pos="5103"/>
        </w:tabs>
        <w:spacing w:after="120"/>
        <w:ind w:left="2268" w:right="1134"/>
        <w:jc w:val="both"/>
        <w:rPr>
          <w:lang w:val="fr-FR"/>
        </w:rPr>
      </w:pPr>
      <w:r>
        <w:rPr>
          <w:lang w:val="fr-FR"/>
        </w:rPr>
        <w:t>Feu de manœuvre</w:t>
      </w:r>
      <w:r>
        <w:rPr>
          <w:lang w:val="fr-FR"/>
        </w:rPr>
        <w:tab/>
        <w:t>Blanc</w:t>
      </w:r>
    </w:p>
    <w:p w14:paraId="2ACA3AEA" w14:textId="623B3BAE" w:rsidR="00374FE8" w:rsidRDefault="00374FE8" w:rsidP="009A3BEE">
      <w:pPr>
        <w:keepNext/>
        <w:tabs>
          <w:tab w:val="left" w:pos="709"/>
          <w:tab w:val="left" w:pos="5103"/>
        </w:tabs>
        <w:spacing w:after="120"/>
        <w:ind w:left="5103" w:right="1134" w:hanging="2835"/>
        <w:jc w:val="both"/>
        <w:rPr>
          <w:b/>
          <w:bCs/>
          <w:lang w:val="fr-FR"/>
        </w:rPr>
      </w:pPr>
      <w:r w:rsidRPr="00374FE8">
        <w:rPr>
          <w:b/>
          <w:bCs/>
          <w:lang w:val="fr-FR"/>
        </w:rPr>
        <w:t>Témoin du système d’énergie</w:t>
      </w:r>
      <w:r>
        <w:rPr>
          <w:lang w:val="fr-FR"/>
        </w:rPr>
        <w:tab/>
      </w:r>
      <w:r>
        <w:rPr>
          <w:b/>
          <w:bCs/>
          <w:lang w:val="fr-FR"/>
        </w:rPr>
        <w:t xml:space="preserve">Blanc, jaune sélectif, jaune-auto, rouge, </w:t>
      </w:r>
      <w:r>
        <w:rPr>
          <w:b/>
          <w:bCs/>
          <w:lang w:val="fr-FR"/>
        </w:rPr>
        <w:br/>
      </w:r>
      <w:r>
        <w:rPr>
          <w:b/>
          <w:bCs/>
          <w:lang w:val="fr-FR"/>
        </w:rPr>
        <w:t>bleu indicateur ou vert indicateur</w:t>
      </w:r>
    </w:p>
    <w:p w14:paraId="156D6DF6" w14:textId="05249221" w:rsidR="00374FE8" w:rsidRDefault="00374FE8" w:rsidP="00374FE8">
      <w:pPr>
        <w:tabs>
          <w:tab w:val="left" w:pos="709"/>
          <w:tab w:val="left" w:pos="5103"/>
        </w:tabs>
        <w:spacing w:after="120"/>
        <w:ind w:left="5103" w:right="1134"/>
        <w:jc w:val="both"/>
        <w:rPr>
          <w:b/>
          <w:bCs/>
          <w:lang w:val="fr-FR"/>
        </w:rPr>
      </w:pPr>
      <w:r>
        <w:rPr>
          <w:b/>
          <w:bCs/>
          <w:lang w:val="fr-FR"/>
        </w:rPr>
        <w:t>La couleur du témoin du système d’énergie peut varier en fonction des conditions.</w:t>
      </w:r>
      <w:r>
        <w:rPr>
          <w:lang w:val="fr-FR"/>
        </w:rPr>
        <w:t> ».</w:t>
      </w:r>
    </w:p>
    <w:p w14:paraId="104ABB0A" w14:textId="77777777" w:rsidR="00540808" w:rsidRPr="007E4BBC" w:rsidRDefault="00540808" w:rsidP="009A3BEE">
      <w:pPr>
        <w:pStyle w:val="SingleTxtG"/>
        <w:keepNext/>
        <w:ind w:left="2268" w:hanging="1134"/>
        <w:rPr>
          <w:rFonts w:asciiTheme="majorBidi" w:eastAsia="MS PMincho" w:hAnsiTheme="majorBidi" w:cstheme="majorBidi"/>
          <w:bCs/>
          <w:lang w:val="fr-FR"/>
        </w:rPr>
      </w:pPr>
      <w:r>
        <w:rPr>
          <w:i/>
          <w:iCs/>
          <w:lang w:val="fr-FR"/>
        </w:rPr>
        <w:t>Ajouter le nouveau paragraphe 5.36</w:t>
      </w:r>
      <w:r>
        <w:rPr>
          <w:lang w:val="fr-FR"/>
        </w:rPr>
        <w:t>, libellé comme suit :</w:t>
      </w:r>
    </w:p>
    <w:p w14:paraId="1DF6342B" w14:textId="138F5352" w:rsidR="00540808" w:rsidRPr="007E4BBC" w:rsidRDefault="00540808" w:rsidP="009A3BEE">
      <w:pPr>
        <w:pStyle w:val="SingleTxtG"/>
        <w:keepNext/>
        <w:ind w:left="2268" w:hanging="1134"/>
        <w:rPr>
          <w:rFonts w:asciiTheme="majorBidi" w:hAnsiTheme="majorBidi" w:cstheme="majorBidi"/>
          <w:b/>
          <w:lang w:val="fr-FR"/>
        </w:rPr>
      </w:pPr>
      <w:r>
        <w:rPr>
          <w:lang w:val="fr-FR"/>
        </w:rPr>
        <w:t>« </w:t>
      </w:r>
      <w:r>
        <w:rPr>
          <w:b/>
          <w:bCs/>
          <w:lang w:val="fr-FR"/>
        </w:rPr>
        <w:t>5.36</w:t>
      </w:r>
      <w:r>
        <w:rPr>
          <w:lang w:val="fr-FR"/>
        </w:rPr>
        <w:tab/>
      </w:r>
      <w:r>
        <w:rPr>
          <w:b/>
          <w:bCs/>
          <w:lang w:val="fr-FR"/>
        </w:rPr>
        <w:t>Les dispositifs d’éclairage et de signalisation lumineuse qui peuvent être allumés lorsque le véhicule est en stationnement sont</w:t>
      </w:r>
      <w:r w:rsidR="009A3BEE">
        <w:rPr>
          <w:b/>
          <w:bCs/>
          <w:lang w:val="fr-FR"/>
        </w:rPr>
        <w:t> :</w:t>
      </w:r>
    </w:p>
    <w:p w14:paraId="093C1EAE" w14:textId="44C9B0DF" w:rsidR="00540808" w:rsidRPr="007E4BBC" w:rsidRDefault="00540808" w:rsidP="009A3BEE">
      <w:pPr>
        <w:pStyle w:val="SingleTxtG"/>
        <w:ind w:left="2835" w:hanging="567"/>
        <w:rPr>
          <w:rFonts w:asciiTheme="majorBidi" w:eastAsia="MS PMincho" w:hAnsiTheme="majorBidi" w:cstheme="majorBidi"/>
          <w:b/>
          <w:lang w:val="fr-FR"/>
        </w:rPr>
      </w:pPr>
      <w:r>
        <w:rPr>
          <w:b/>
          <w:bCs/>
          <w:lang w:val="fr-FR"/>
        </w:rPr>
        <w:t>a)</w:t>
      </w:r>
      <w:r>
        <w:rPr>
          <w:lang w:val="fr-FR"/>
        </w:rPr>
        <w:t xml:space="preserve"> </w:t>
      </w:r>
      <w:r>
        <w:rPr>
          <w:lang w:val="fr-FR"/>
        </w:rPr>
        <w:tab/>
      </w:r>
      <w:r>
        <w:rPr>
          <w:b/>
          <w:bCs/>
          <w:lang w:val="fr-FR"/>
        </w:rPr>
        <w:t>Les feux visés dans le présent Règlement ONU, à condition qu’ils soient activés comme dans les conditions normales d’utilisation du véhicule</w:t>
      </w:r>
      <w:r w:rsidR="009A3BEE">
        <w:rPr>
          <w:b/>
          <w:bCs/>
          <w:lang w:val="fr-FR"/>
        </w:rPr>
        <w:t> </w:t>
      </w:r>
      <w:r>
        <w:rPr>
          <w:b/>
          <w:bCs/>
          <w:lang w:val="fr-FR"/>
        </w:rPr>
        <w:t>;</w:t>
      </w:r>
    </w:p>
    <w:p w14:paraId="6271B082" w14:textId="77777777" w:rsidR="00540808" w:rsidRPr="007E4BBC" w:rsidRDefault="00540808" w:rsidP="009A3BEE">
      <w:pPr>
        <w:pStyle w:val="SingleTxtG"/>
        <w:ind w:left="2835" w:hanging="567"/>
        <w:rPr>
          <w:rFonts w:asciiTheme="majorBidi" w:eastAsia="MS PMincho" w:hAnsiTheme="majorBidi" w:cstheme="majorBidi"/>
          <w:b/>
          <w:lang w:val="fr-FR"/>
        </w:rPr>
      </w:pPr>
      <w:r>
        <w:rPr>
          <w:b/>
          <w:bCs/>
          <w:lang w:val="fr-FR"/>
        </w:rPr>
        <w:t>b)</w:t>
      </w:r>
      <w:r>
        <w:rPr>
          <w:lang w:val="fr-FR"/>
        </w:rPr>
        <w:t xml:space="preserve"> </w:t>
      </w:r>
      <w:r>
        <w:rPr>
          <w:lang w:val="fr-FR"/>
        </w:rPr>
        <w:tab/>
      </w:r>
      <w:r>
        <w:rPr>
          <w:b/>
          <w:bCs/>
          <w:lang w:val="fr-FR"/>
        </w:rPr>
        <w:t>Les feux de stationnement ;</w:t>
      </w:r>
      <w:r>
        <w:rPr>
          <w:lang w:val="fr-FR"/>
        </w:rPr>
        <w:t xml:space="preserve"> </w:t>
      </w:r>
    </w:p>
    <w:p w14:paraId="3E8D4704" w14:textId="77777777" w:rsidR="00540808" w:rsidRPr="007E4BBC" w:rsidRDefault="00540808" w:rsidP="009A3BEE">
      <w:pPr>
        <w:pStyle w:val="SingleTxtG"/>
        <w:ind w:left="2835" w:hanging="567"/>
        <w:rPr>
          <w:rFonts w:asciiTheme="majorBidi" w:eastAsia="MS PMincho" w:hAnsiTheme="majorBidi" w:cstheme="majorBidi"/>
          <w:b/>
          <w:lang w:val="fr-FR"/>
        </w:rPr>
      </w:pPr>
      <w:r>
        <w:rPr>
          <w:b/>
          <w:bCs/>
          <w:lang w:val="fr-FR"/>
        </w:rPr>
        <w:t>c)</w:t>
      </w:r>
      <w:r>
        <w:rPr>
          <w:lang w:val="fr-FR"/>
        </w:rPr>
        <w:t xml:space="preserve"> </w:t>
      </w:r>
      <w:r>
        <w:rPr>
          <w:lang w:val="fr-FR"/>
        </w:rPr>
        <w:tab/>
      </w:r>
      <w:r>
        <w:rPr>
          <w:b/>
          <w:bCs/>
          <w:lang w:val="fr-FR"/>
        </w:rPr>
        <w:t>Les feux de courtoisie extérieurs ;</w:t>
      </w:r>
      <w:r>
        <w:rPr>
          <w:lang w:val="fr-FR"/>
        </w:rPr>
        <w:t xml:space="preserve"> </w:t>
      </w:r>
    </w:p>
    <w:p w14:paraId="4CEA2B7C" w14:textId="77777777" w:rsidR="00540808" w:rsidRPr="007E4BBC" w:rsidRDefault="00540808" w:rsidP="009A3BEE">
      <w:pPr>
        <w:pStyle w:val="SingleTxtG"/>
        <w:ind w:left="2835" w:hanging="567"/>
        <w:rPr>
          <w:rFonts w:asciiTheme="majorBidi" w:eastAsia="MS PMincho" w:hAnsiTheme="majorBidi" w:cstheme="majorBidi"/>
          <w:b/>
          <w:lang w:val="fr-FR"/>
        </w:rPr>
      </w:pPr>
      <w:r>
        <w:rPr>
          <w:b/>
          <w:bCs/>
          <w:lang w:val="fr-FR"/>
        </w:rPr>
        <w:t>d)</w:t>
      </w:r>
      <w:r>
        <w:rPr>
          <w:lang w:val="fr-FR"/>
        </w:rPr>
        <w:t xml:space="preserve"> </w:t>
      </w:r>
      <w:r>
        <w:rPr>
          <w:lang w:val="fr-FR"/>
        </w:rPr>
        <w:tab/>
      </w:r>
      <w:r>
        <w:rPr>
          <w:b/>
          <w:bCs/>
          <w:lang w:val="fr-FR"/>
        </w:rPr>
        <w:t>Le témoin extérieur d’état ;</w:t>
      </w:r>
    </w:p>
    <w:p w14:paraId="4E931561" w14:textId="77777777" w:rsidR="00540808" w:rsidRPr="007E4BBC" w:rsidRDefault="00540808" w:rsidP="009A3BEE">
      <w:pPr>
        <w:pStyle w:val="SingleTxtG"/>
        <w:ind w:left="2835" w:hanging="567"/>
        <w:rPr>
          <w:rFonts w:asciiTheme="majorBidi" w:eastAsia="MS PMincho" w:hAnsiTheme="majorBidi" w:cstheme="majorBidi"/>
          <w:bCs/>
          <w:lang w:val="fr-FR"/>
        </w:rPr>
      </w:pPr>
      <w:r>
        <w:rPr>
          <w:b/>
          <w:bCs/>
          <w:lang w:val="fr-FR"/>
        </w:rPr>
        <w:t>e)</w:t>
      </w:r>
      <w:r>
        <w:rPr>
          <w:lang w:val="fr-FR"/>
        </w:rPr>
        <w:t xml:space="preserve"> </w:t>
      </w:r>
      <w:r>
        <w:rPr>
          <w:lang w:val="fr-FR"/>
        </w:rPr>
        <w:tab/>
      </w:r>
      <w:r>
        <w:rPr>
          <w:b/>
          <w:bCs/>
          <w:lang w:val="fr-FR"/>
        </w:rPr>
        <w:t>Le témoin du système d’énergie ;</w:t>
      </w:r>
    </w:p>
    <w:p w14:paraId="7BA80233" w14:textId="77777777" w:rsidR="00540808" w:rsidRPr="007E4BBC" w:rsidRDefault="00540808" w:rsidP="009A3BEE">
      <w:pPr>
        <w:pStyle w:val="SingleTxtG"/>
        <w:ind w:left="2835" w:hanging="567"/>
        <w:rPr>
          <w:rFonts w:asciiTheme="majorBidi" w:eastAsia="MS PMincho" w:hAnsiTheme="majorBidi" w:cstheme="majorBidi"/>
          <w:bCs/>
          <w:lang w:val="fr-FR"/>
        </w:rPr>
      </w:pPr>
      <w:r>
        <w:rPr>
          <w:b/>
          <w:bCs/>
          <w:lang w:val="fr-FR"/>
        </w:rPr>
        <w:t>f)</w:t>
      </w:r>
      <w:r>
        <w:rPr>
          <w:lang w:val="fr-FR"/>
        </w:rPr>
        <w:t xml:space="preserve"> </w:t>
      </w:r>
      <w:r>
        <w:rPr>
          <w:lang w:val="fr-FR"/>
        </w:rPr>
        <w:tab/>
      </w:r>
      <w:r>
        <w:rPr>
          <w:b/>
          <w:bCs/>
          <w:lang w:val="fr-FR"/>
        </w:rPr>
        <w:t>Les feux servant à la fonction de signal de réponse ;</w:t>
      </w:r>
      <w:r>
        <w:rPr>
          <w:lang w:val="fr-FR"/>
        </w:rPr>
        <w:t xml:space="preserve"> </w:t>
      </w:r>
    </w:p>
    <w:p w14:paraId="7769682B" w14:textId="77777777" w:rsidR="00540808" w:rsidRPr="007E4BBC" w:rsidRDefault="00540808" w:rsidP="009A3BEE">
      <w:pPr>
        <w:pStyle w:val="SingleTxtG"/>
        <w:ind w:left="2835" w:hanging="567"/>
        <w:rPr>
          <w:rFonts w:asciiTheme="majorBidi" w:eastAsia="MS PMincho" w:hAnsiTheme="majorBidi" w:cstheme="majorBidi"/>
          <w:b/>
          <w:lang w:val="fr-FR"/>
        </w:rPr>
      </w:pPr>
      <w:r>
        <w:rPr>
          <w:b/>
          <w:bCs/>
          <w:lang w:val="fr-FR"/>
        </w:rPr>
        <w:t>g)</w:t>
      </w:r>
      <w:r>
        <w:rPr>
          <w:lang w:val="fr-FR"/>
        </w:rPr>
        <w:t xml:space="preserve"> </w:t>
      </w:r>
      <w:r>
        <w:rPr>
          <w:lang w:val="fr-FR"/>
        </w:rPr>
        <w:tab/>
      </w:r>
      <w:r>
        <w:rPr>
          <w:b/>
          <w:bCs/>
          <w:lang w:val="fr-FR"/>
        </w:rPr>
        <w:t>Les feux allumés dans le cadre du mode d’essai des dispositifs d’éclairage et de signalisation lumineuse.</w:t>
      </w:r>
      <w:r>
        <w:rPr>
          <w:lang w:val="fr-FR"/>
        </w:rPr>
        <w:t> ».</w:t>
      </w:r>
    </w:p>
    <w:p w14:paraId="21CE2D63" w14:textId="77777777" w:rsidR="00540808" w:rsidRPr="007E4BBC" w:rsidRDefault="00540808" w:rsidP="0004050C">
      <w:pPr>
        <w:pStyle w:val="SingleTxtG"/>
        <w:keepNext/>
        <w:ind w:left="2268" w:hanging="1134"/>
        <w:rPr>
          <w:rFonts w:asciiTheme="majorBidi" w:hAnsiTheme="majorBidi" w:cstheme="majorBidi"/>
          <w:bCs/>
          <w:lang w:val="fr-FR"/>
        </w:rPr>
      </w:pPr>
      <w:r>
        <w:rPr>
          <w:i/>
          <w:iCs/>
          <w:lang w:val="fr-FR"/>
        </w:rPr>
        <w:t>Paragraphes 6.24 à 6.24.3</w:t>
      </w:r>
      <w:r>
        <w:rPr>
          <w:lang w:val="fr-FR"/>
        </w:rPr>
        <w:t>, lire :</w:t>
      </w:r>
    </w:p>
    <w:p w14:paraId="7DAFFADD" w14:textId="77777777" w:rsidR="00540808" w:rsidRPr="007E4BBC" w:rsidRDefault="00540808" w:rsidP="0004050C">
      <w:pPr>
        <w:pStyle w:val="SingleTxtG"/>
        <w:keepNext/>
        <w:ind w:left="2268" w:hanging="1134"/>
        <w:jc w:val="left"/>
        <w:rPr>
          <w:rFonts w:asciiTheme="majorBidi" w:hAnsiTheme="majorBidi" w:cstheme="majorBidi"/>
          <w:lang w:val="fr-FR"/>
        </w:rPr>
      </w:pPr>
      <w:r>
        <w:rPr>
          <w:lang w:val="fr-FR"/>
        </w:rPr>
        <w:t>« 6.24</w:t>
      </w:r>
      <w:r>
        <w:rPr>
          <w:lang w:val="fr-FR"/>
        </w:rPr>
        <w:tab/>
        <w:t>Feu de courtoisie extérieur</w:t>
      </w:r>
    </w:p>
    <w:p w14:paraId="6337F090" w14:textId="77777777" w:rsidR="00540808" w:rsidRPr="007E4BBC" w:rsidRDefault="00540808" w:rsidP="0004050C">
      <w:pPr>
        <w:pStyle w:val="SingleTxtG"/>
        <w:keepNext/>
        <w:ind w:left="2268" w:hanging="1134"/>
        <w:jc w:val="left"/>
        <w:rPr>
          <w:rFonts w:asciiTheme="majorBidi" w:hAnsiTheme="majorBidi" w:cstheme="majorBidi"/>
          <w:lang w:val="fr-FR"/>
        </w:rPr>
      </w:pPr>
      <w:r>
        <w:rPr>
          <w:lang w:val="fr-FR"/>
        </w:rPr>
        <w:t>6.24.1</w:t>
      </w:r>
      <w:r>
        <w:rPr>
          <w:lang w:val="fr-FR"/>
        </w:rPr>
        <w:tab/>
        <w:t>Présence</w:t>
      </w:r>
    </w:p>
    <w:p w14:paraId="74149CF3" w14:textId="77777777" w:rsidR="00540808" w:rsidRPr="007E4BBC" w:rsidRDefault="00540808" w:rsidP="0004050C">
      <w:pPr>
        <w:pStyle w:val="SingleTxtG"/>
        <w:ind w:left="2268"/>
        <w:rPr>
          <w:rFonts w:asciiTheme="majorBidi" w:hAnsiTheme="majorBidi" w:cstheme="majorBidi"/>
          <w:iCs/>
          <w:lang w:val="fr-FR"/>
        </w:rPr>
      </w:pPr>
      <w:r>
        <w:rPr>
          <w:lang w:val="fr-FR"/>
        </w:rPr>
        <w:t>Facultative sur les véhicules automobiles.</w:t>
      </w:r>
    </w:p>
    <w:p w14:paraId="55D611E8" w14:textId="77777777" w:rsidR="00540808" w:rsidRPr="007E4BBC" w:rsidRDefault="00540808" w:rsidP="00B92520">
      <w:pPr>
        <w:pStyle w:val="SingleTxtG"/>
        <w:keepNext/>
        <w:ind w:left="2268" w:hanging="1134"/>
        <w:jc w:val="left"/>
        <w:rPr>
          <w:rFonts w:asciiTheme="majorBidi" w:hAnsiTheme="majorBidi" w:cstheme="majorBidi"/>
          <w:lang w:val="fr-FR"/>
        </w:rPr>
      </w:pPr>
      <w:r>
        <w:rPr>
          <w:lang w:val="fr-FR"/>
        </w:rPr>
        <w:t>6.24.2</w:t>
      </w:r>
      <w:r>
        <w:rPr>
          <w:lang w:val="fr-FR"/>
        </w:rPr>
        <w:tab/>
        <w:t>Nombre</w:t>
      </w:r>
    </w:p>
    <w:p w14:paraId="1079E666" w14:textId="77777777" w:rsidR="00540808" w:rsidRPr="007E4BBC" w:rsidRDefault="00540808" w:rsidP="00B92520">
      <w:pPr>
        <w:pStyle w:val="SingleTxtG"/>
        <w:ind w:left="2268"/>
        <w:rPr>
          <w:rFonts w:asciiTheme="majorBidi" w:hAnsiTheme="majorBidi" w:cstheme="majorBidi"/>
          <w:lang w:val="fr-FR"/>
        </w:rPr>
      </w:pPr>
      <w:r>
        <w:rPr>
          <w:b/>
          <w:bCs/>
          <w:lang w:val="fr-FR"/>
        </w:rPr>
        <w:t xml:space="preserve">Un ou </w:t>
      </w:r>
      <w:proofErr w:type="spellStart"/>
      <w:r>
        <w:rPr>
          <w:b/>
          <w:bCs/>
          <w:lang w:val="fr-FR"/>
        </w:rPr>
        <w:t>deux</w:t>
      </w:r>
      <w:r>
        <w:rPr>
          <w:strike/>
          <w:lang w:val="fr-FR"/>
        </w:rPr>
        <w:t>Deux</w:t>
      </w:r>
      <w:proofErr w:type="spellEnd"/>
      <w:r>
        <w:rPr>
          <w:lang w:val="fr-FR"/>
        </w:rPr>
        <w:t xml:space="preserve"> ; toutefois, des feux de courtoisie supplémentaires servant à éclairer les marchepieds, les poignées de porte </w:t>
      </w:r>
      <w:r>
        <w:rPr>
          <w:b/>
          <w:bCs/>
          <w:lang w:val="fr-FR"/>
        </w:rPr>
        <w:t>ou les abords du véhicule</w:t>
      </w:r>
      <w:r>
        <w:rPr>
          <w:lang w:val="fr-FR"/>
        </w:rPr>
        <w:t xml:space="preserve"> sont autorisés. Chaque poignée de porte ou marchepied ne doit être éclairé que par un seul feu.</w:t>
      </w:r>
    </w:p>
    <w:p w14:paraId="2F8886DC" w14:textId="77777777" w:rsidR="00540808" w:rsidRPr="007E4BBC" w:rsidRDefault="00540808" w:rsidP="00B92520">
      <w:pPr>
        <w:pStyle w:val="SingleTxtG"/>
        <w:keepNext/>
        <w:ind w:left="2268" w:hanging="1134"/>
        <w:jc w:val="left"/>
        <w:rPr>
          <w:rFonts w:asciiTheme="majorBidi" w:hAnsiTheme="majorBidi" w:cstheme="majorBidi"/>
          <w:lang w:val="fr-FR"/>
        </w:rPr>
      </w:pPr>
      <w:r>
        <w:rPr>
          <w:lang w:val="fr-FR"/>
        </w:rPr>
        <w:t>6.24.3</w:t>
      </w:r>
      <w:r>
        <w:rPr>
          <w:lang w:val="fr-FR"/>
        </w:rPr>
        <w:tab/>
        <w:t>Schéma de montage</w:t>
      </w:r>
    </w:p>
    <w:p w14:paraId="23AA7B6B" w14:textId="2E5CCF39" w:rsidR="00540808" w:rsidRPr="007E4BBC" w:rsidRDefault="00540808" w:rsidP="009151A6">
      <w:pPr>
        <w:pStyle w:val="SingleTxtG"/>
        <w:ind w:left="2268"/>
        <w:rPr>
          <w:rFonts w:asciiTheme="majorBidi" w:eastAsia="MS PMincho" w:hAnsiTheme="majorBidi" w:cstheme="majorBidi"/>
          <w:b/>
          <w:lang w:val="fr-FR"/>
        </w:rPr>
      </w:pPr>
      <w:r w:rsidRPr="009151A6">
        <w:rPr>
          <w:spacing w:val="-2"/>
          <w:lang w:val="fr-FR"/>
        </w:rPr>
        <w:t>Pas de prescription particulière ; toutefois les prescriptions du paragraphe</w:t>
      </w:r>
      <w:r w:rsidR="009151A6">
        <w:rPr>
          <w:spacing w:val="-2"/>
          <w:lang w:val="fr-FR"/>
        </w:rPr>
        <w:t> </w:t>
      </w:r>
      <w:r w:rsidRPr="009151A6">
        <w:rPr>
          <w:spacing w:val="-2"/>
          <w:lang w:val="fr-FR"/>
        </w:rPr>
        <w:t>6.24.9.3 s’appliquent</w:t>
      </w:r>
      <w:r>
        <w:rPr>
          <w:lang w:val="fr-FR"/>
        </w:rPr>
        <w:t>. ».</w:t>
      </w:r>
    </w:p>
    <w:p w14:paraId="5E4D7503" w14:textId="77777777" w:rsidR="00540808" w:rsidRPr="007E4BBC" w:rsidRDefault="00540808" w:rsidP="009151A6">
      <w:pPr>
        <w:pStyle w:val="SingleTxtG"/>
        <w:keepNext/>
        <w:ind w:left="2268" w:hanging="1134"/>
        <w:rPr>
          <w:rFonts w:asciiTheme="majorBidi" w:hAnsiTheme="majorBidi" w:cstheme="majorBidi"/>
          <w:bCs/>
          <w:lang w:val="fr-FR"/>
        </w:rPr>
      </w:pPr>
      <w:r>
        <w:rPr>
          <w:i/>
          <w:iCs/>
          <w:lang w:val="fr-FR"/>
        </w:rPr>
        <w:t>Paragraphe 6.24.9</w:t>
      </w:r>
      <w:r>
        <w:rPr>
          <w:lang w:val="fr-FR"/>
        </w:rPr>
        <w:t>, lire :</w:t>
      </w:r>
    </w:p>
    <w:p w14:paraId="5C8ED652" w14:textId="77777777" w:rsidR="00540808" w:rsidRPr="00977CC1" w:rsidRDefault="00540808" w:rsidP="009151A6">
      <w:pPr>
        <w:pStyle w:val="SingleTxtG"/>
        <w:keepNext/>
        <w:ind w:left="2268" w:hanging="1134"/>
        <w:jc w:val="left"/>
        <w:rPr>
          <w:rFonts w:asciiTheme="majorBidi" w:hAnsiTheme="majorBidi" w:cstheme="majorBidi"/>
        </w:rPr>
      </w:pPr>
      <w:r w:rsidRPr="00FB0562">
        <w:t>« </w:t>
      </w:r>
      <w:r w:rsidRPr="00977CC1">
        <w:t>6.24.9</w:t>
      </w:r>
      <w:r w:rsidRPr="00977CC1">
        <w:tab/>
        <w:t xml:space="preserve">Autres prescriptions </w:t>
      </w:r>
    </w:p>
    <w:p w14:paraId="6EC0E6A5" w14:textId="2F359D3F" w:rsidR="00540808" w:rsidRPr="00977CC1" w:rsidRDefault="00540808" w:rsidP="005D4576">
      <w:pPr>
        <w:pStyle w:val="SingleTxtG"/>
        <w:ind w:left="2268" w:hanging="1134"/>
        <w:rPr>
          <w:rFonts w:asciiTheme="majorBidi" w:hAnsiTheme="majorBidi" w:cstheme="majorBidi"/>
        </w:rPr>
      </w:pPr>
      <w:bookmarkStart w:id="2" w:name="_Hlk107407141"/>
      <w:r w:rsidRPr="00977CC1">
        <w:t>6.24.9.1</w:t>
      </w:r>
      <w:r w:rsidRPr="00977CC1">
        <w:tab/>
        <w:t xml:space="preserve">Le </w:t>
      </w:r>
      <w:r w:rsidRPr="00977CC1">
        <w:rPr>
          <w:b/>
          <w:bCs/>
        </w:rPr>
        <w:t>ou les</w:t>
      </w:r>
      <w:r w:rsidRPr="00977CC1">
        <w:t xml:space="preserve"> feux de courtoisie extérieurs ne </w:t>
      </w:r>
      <w:proofErr w:type="spellStart"/>
      <w:r w:rsidRPr="00977CC1">
        <w:rPr>
          <w:strike/>
        </w:rPr>
        <w:t>peut</w:t>
      </w:r>
      <w:r w:rsidRPr="00977CC1">
        <w:rPr>
          <w:b/>
          <w:bCs/>
        </w:rPr>
        <w:t>peuven</w:t>
      </w:r>
      <w:r w:rsidRPr="00977CC1">
        <w:t>t</w:t>
      </w:r>
      <w:proofErr w:type="spellEnd"/>
      <w:r w:rsidRPr="00977CC1">
        <w:t xml:space="preserve"> être allumé</w:t>
      </w:r>
      <w:r w:rsidRPr="00977CC1">
        <w:rPr>
          <w:b/>
          <w:bCs/>
        </w:rPr>
        <w:t>s</w:t>
      </w:r>
      <w:r w:rsidRPr="00977CC1">
        <w:t xml:space="preserve"> que si le véhicule est à l’arrêt et que l’une au moins des conditions suivantes est remplie :</w:t>
      </w:r>
      <w:bookmarkEnd w:id="2"/>
    </w:p>
    <w:p w14:paraId="795D467E" w14:textId="77777777" w:rsidR="00540808" w:rsidRPr="007E4BBC" w:rsidRDefault="00540808" w:rsidP="00977CC1">
      <w:pPr>
        <w:pStyle w:val="SingleTxtG"/>
        <w:ind w:left="2835" w:hanging="567"/>
        <w:rPr>
          <w:rFonts w:asciiTheme="majorBidi" w:hAnsiTheme="majorBidi" w:cstheme="majorBidi"/>
          <w:lang w:val="fr-FR"/>
        </w:rPr>
      </w:pPr>
      <w:r>
        <w:rPr>
          <w:lang w:val="fr-FR"/>
        </w:rPr>
        <w:t>a)</w:t>
      </w:r>
      <w:r>
        <w:rPr>
          <w:lang w:val="fr-FR"/>
        </w:rPr>
        <w:tab/>
        <w:t xml:space="preserve">Le système de propulsion est arrêté ; </w:t>
      </w:r>
    </w:p>
    <w:p w14:paraId="0A664809" w14:textId="77777777" w:rsidR="00540808" w:rsidRPr="007E4BBC" w:rsidRDefault="00540808" w:rsidP="00977CC1">
      <w:pPr>
        <w:pStyle w:val="SingleTxtG"/>
        <w:ind w:left="2835" w:hanging="567"/>
        <w:rPr>
          <w:rFonts w:asciiTheme="majorBidi" w:hAnsiTheme="majorBidi" w:cstheme="majorBidi"/>
          <w:lang w:val="fr-FR"/>
        </w:rPr>
      </w:pPr>
      <w:r>
        <w:rPr>
          <w:lang w:val="fr-FR"/>
        </w:rPr>
        <w:t>b)</w:t>
      </w:r>
      <w:r>
        <w:rPr>
          <w:lang w:val="fr-FR"/>
        </w:rPr>
        <w:tab/>
        <w:t xml:space="preserve">La porte du conducteur ou l’une des portes des passagers est ouverte </w:t>
      </w:r>
      <w:r>
        <w:rPr>
          <w:b/>
          <w:bCs/>
          <w:lang w:val="fr-FR"/>
        </w:rPr>
        <w:t>ou vient d’être fermée</w:t>
      </w:r>
      <w:r>
        <w:rPr>
          <w:lang w:val="fr-FR"/>
        </w:rPr>
        <w:t xml:space="preserve"> ; </w:t>
      </w:r>
    </w:p>
    <w:p w14:paraId="10E64947" w14:textId="77777777" w:rsidR="00540808" w:rsidRPr="007E4BBC" w:rsidRDefault="00540808" w:rsidP="00977CC1">
      <w:pPr>
        <w:pStyle w:val="SingleTxtG"/>
        <w:ind w:left="2835" w:hanging="567"/>
        <w:rPr>
          <w:rFonts w:asciiTheme="majorBidi" w:hAnsiTheme="majorBidi" w:cstheme="majorBidi"/>
          <w:lang w:val="fr-FR"/>
        </w:rPr>
      </w:pPr>
      <w:r>
        <w:rPr>
          <w:lang w:val="fr-FR"/>
        </w:rPr>
        <w:t>c)</w:t>
      </w:r>
      <w:r>
        <w:rPr>
          <w:lang w:val="fr-FR"/>
        </w:rPr>
        <w:tab/>
        <w:t>Une porte du compartiment de chargement est ouverte</w:t>
      </w:r>
      <w:r>
        <w:rPr>
          <w:b/>
          <w:bCs/>
          <w:lang w:val="fr-FR"/>
        </w:rPr>
        <w:t xml:space="preserve"> ou vient d’être fermée</w:t>
      </w:r>
      <w:r>
        <w:rPr>
          <w:lang w:val="fr-FR"/>
        </w:rPr>
        <w:t>.</w:t>
      </w:r>
    </w:p>
    <w:p w14:paraId="6D95F19F" w14:textId="77777777" w:rsidR="00540808" w:rsidRPr="00320809" w:rsidRDefault="00540808" w:rsidP="00320809">
      <w:pPr>
        <w:pStyle w:val="SingleTxtG"/>
        <w:ind w:left="2268"/>
        <w:rPr>
          <w:rFonts w:asciiTheme="majorBidi" w:hAnsiTheme="majorBidi" w:cstheme="majorBidi"/>
          <w:strike/>
        </w:rPr>
      </w:pPr>
      <w:r w:rsidRPr="00320809">
        <w:rPr>
          <w:strike/>
        </w:rPr>
        <w:t>Les dispositions du paragraphe 5.10 doivent être respectées dans toutes les positions d’utilisation fixes.</w:t>
      </w:r>
    </w:p>
    <w:p w14:paraId="2C634FE2" w14:textId="77777777" w:rsidR="00540808" w:rsidRPr="00C767C3" w:rsidRDefault="00540808" w:rsidP="005D4576">
      <w:pPr>
        <w:pStyle w:val="SingleTxtG"/>
        <w:ind w:left="2268" w:hanging="1134"/>
        <w:rPr>
          <w:rFonts w:asciiTheme="majorBidi" w:hAnsiTheme="majorBidi" w:cstheme="majorBidi"/>
          <w:b/>
          <w:bCs/>
        </w:rPr>
      </w:pPr>
      <w:r w:rsidRPr="00C767C3">
        <w:rPr>
          <w:b/>
          <w:bCs/>
        </w:rPr>
        <w:t xml:space="preserve">6.24.9.1.1 </w:t>
      </w:r>
      <w:r w:rsidRPr="00C767C3">
        <w:rPr>
          <w:b/>
          <w:bCs/>
        </w:rPr>
        <w:tab/>
      </w:r>
      <w:r w:rsidRPr="00C767C3">
        <w:rPr>
          <w:b/>
          <w:bCs/>
        </w:rPr>
        <w:tab/>
        <w:t>Le ou les feux de courtoisie extérieurs peuvent être allumés ou éteints manuellement ou automatiquement.</w:t>
      </w:r>
    </w:p>
    <w:p w14:paraId="78FC52F6" w14:textId="77777777" w:rsidR="00540808" w:rsidRPr="00C767C3" w:rsidRDefault="00540808" w:rsidP="001F5A94">
      <w:pPr>
        <w:pStyle w:val="SingleTxtG"/>
        <w:keepLines/>
        <w:ind w:left="2268" w:hanging="1134"/>
        <w:rPr>
          <w:rFonts w:asciiTheme="majorBidi" w:hAnsiTheme="majorBidi" w:cstheme="majorBidi"/>
          <w:b/>
          <w:bCs/>
        </w:rPr>
      </w:pPr>
      <w:r w:rsidRPr="00C767C3">
        <w:rPr>
          <w:b/>
          <w:bCs/>
        </w:rPr>
        <w:t xml:space="preserve">6.24.9.1.2 </w:t>
      </w:r>
      <w:r w:rsidRPr="00C767C3">
        <w:rPr>
          <w:b/>
          <w:bCs/>
        </w:rPr>
        <w:tab/>
        <w:t xml:space="preserve">L’intensité lumineuse ou la surface apparente du ou des feux de courtoisie extérieurs peuvent varier. Les caractéristiques photométriques du ou des feux de courtoisie extérieurs peuvent varier en fonction de la position des </w:t>
      </w:r>
      <w:r w:rsidRPr="00C767C3">
        <w:rPr>
          <w:b/>
          <w:bCs/>
        </w:rPr>
        <w:lastRenderedPageBreak/>
        <w:t>utilisateurs du véhicule. Les variations d’intensité au cours de ces transitions doivent se faire progressivement, sans à-coups.</w:t>
      </w:r>
    </w:p>
    <w:p w14:paraId="03079A9C" w14:textId="77777777" w:rsidR="00540808" w:rsidRPr="007E4BBC" w:rsidRDefault="00540808" w:rsidP="005D4576">
      <w:pPr>
        <w:pStyle w:val="SingleTxtG"/>
        <w:ind w:left="2268" w:hanging="1134"/>
        <w:rPr>
          <w:rFonts w:eastAsia="MS PMincho"/>
          <w:b/>
          <w:snapToGrid w:val="0"/>
          <w:lang w:val="fr-FR"/>
        </w:rPr>
      </w:pPr>
      <w:bookmarkStart w:id="3" w:name="_Hlk119657583"/>
      <w:r>
        <w:rPr>
          <w:b/>
          <w:bCs/>
          <w:lang w:val="fr-FR"/>
        </w:rPr>
        <w:t>6.24.9.1.3</w:t>
      </w:r>
      <w:r>
        <w:rPr>
          <w:lang w:val="fr-FR"/>
        </w:rPr>
        <w:tab/>
      </w:r>
      <w:r>
        <w:rPr>
          <w:b/>
          <w:bCs/>
          <w:lang w:val="fr-FR"/>
        </w:rPr>
        <w:t>Le ou les feux de courtoisie extérieurs ne peuvent pas clignoter.</w:t>
      </w:r>
      <w:r>
        <w:rPr>
          <w:lang w:val="fr-FR"/>
        </w:rPr>
        <w:t xml:space="preserve"> </w:t>
      </w:r>
      <w:bookmarkStart w:id="4" w:name="_Hlk119655839"/>
      <w:bookmarkEnd w:id="3"/>
      <w:bookmarkEnd w:id="4"/>
    </w:p>
    <w:p w14:paraId="55C3143C" w14:textId="77777777" w:rsidR="00540808" w:rsidRPr="007E4BBC" w:rsidRDefault="00540808" w:rsidP="005D4576">
      <w:pPr>
        <w:pStyle w:val="SingleTxtG"/>
        <w:ind w:left="2268" w:hanging="1134"/>
        <w:rPr>
          <w:rFonts w:asciiTheme="majorBidi" w:hAnsiTheme="majorBidi" w:cstheme="majorBidi"/>
          <w:b/>
          <w:bCs/>
          <w:lang w:val="fr-FR"/>
        </w:rPr>
      </w:pPr>
      <w:r>
        <w:rPr>
          <w:b/>
          <w:bCs/>
          <w:lang w:val="fr-FR"/>
        </w:rPr>
        <w:t>6.24.9.1.4</w:t>
      </w:r>
      <w:r>
        <w:rPr>
          <w:lang w:val="fr-FR"/>
        </w:rPr>
        <w:tab/>
      </w:r>
      <w:r>
        <w:rPr>
          <w:b/>
          <w:bCs/>
          <w:lang w:val="fr-FR"/>
        </w:rPr>
        <w:t>Au choix du constructeur, le ou les feux de courtoisie extérieurs peuvent être allumés selon différentes combinaisons.</w:t>
      </w:r>
    </w:p>
    <w:p w14:paraId="37EC192B" w14:textId="6DB5CB66" w:rsidR="00540808" w:rsidRPr="007E4BBC" w:rsidRDefault="00540808" w:rsidP="005D4576">
      <w:pPr>
        <w:pStyle w:val="SingleTxtG"/>
        <w:ind w:left="2268" w:hanging="1134"/>
        <w:rPr>
          <w:rFonts w:asciiTheme="majorBidi" w:hAnsiTheme="majorBidi" w:cstheme="majorBidi"/>
          <w:b/>
          <w:bCs/>
          <w:color w:val="7030A0"/>
          <w:lang w:val="fr-FR"/>
        </w:rPr>
      </w:pPr>
      <w:r>
        <w:rPr>
          <w:lang w:val="fr-FR"/>
        </w:rPr>
        <w:t>6.24.9.2</w:t>
      </w:r>
      <w:r>
        <w:rPr>
          <w:lang w:val="fr-FR"/>
        </w:rPr>
        <w:tab/>
        <w:t xml:space="preserve">Les feux homologués émettant une lumière blanche, à l’exception des feux de route, feux de circulation diurne et feux de marche arrière, peuvent être allumés </w:t>
      </w:r>
      <w:r>
        <w:rPr>
          <w:strike/>
          <w:lang w:val="fr-FR"/>
        </w:rPr>
        <w:t>pour assurer la fonction de feux d’</w:t>
      </w:r>
      <w:proofErr w:type="spellStart"/>
      <w:r>
        <w:rPr>
          <w:strike/>
          <w:lang w:val="fr-FR"/>
        </w:rPr>
        <w:t>accès</w:t>
      </w:r>
      <w:r>
        <w:rPr>
          <w:b/>
          <w:bCs/>
          <w:lang w:val="fr-FR"/>
        </w:rPr>
        <w:t>en</w:t>
      </w:r>
      <w:proofErr w:type="spellEnd"/>
      <w:r>
        <w:rPr>
          <w:b/>
          <w:bCs/>
          <w:lang w:val="fr-FR"/>
        </w:rPr>
        <w:t xml:space="preserve"> tant que feux de courtoisie extérieurs,</w:t>
      </w:r>
      <w:r>
        <w:rPr>
          <w:lang w:val="fr-FR"/>
        </w:rPr>
        <w:t xml:space="preserve"> </w:t>
      </w:r>
      <w:r>
        <w:rPr>
          <w:b/>
          <w:bCs/>
          <w:lang w:val="fr-FR"/>
        </w:rPr>
        <w:t>de même que les feux de position arrière, les feux de stationnement, les feux de position latéraux et les feux d’encombrement,</w:t>
      </w:r>
      <w:r>
        <w:rPr>
          <w:lang w:val="fr-FR"/>
        </w:rPr>
        <w:t xml:space="preserve"> </w:t>
      </w:r>
      <w:r>
        <w:rPr>
          <w:strike/>
          <w:lang w:val="fr-FR"/>
        </w:rPr>
        <w:t>Ils peuvent aussi être allumés simultanément avec les feux d’accès ; dans ce cas,</w:t>
      </w:r>
      <w:r>
        <w:rPr>
          <w:lang w:val="fr-FR"/>
        </w:rPr>
        <w:t xml:space="preserve"> </w:t>
      </w:r>
      <w:r>
        <w:rPr>
          <w:b/>
          <w:bCs/>
          <w:lang w:val="fr-FR"/>
        </w:rPr>
        <w:t xml:space="preserve">auquel cas </w:t>
      </w:r>
      <w:r>
        <w:rPr>
          <w:lang w:val="fr-FR"/>
        </w:rPr>
        <w:t xml:space="preserve">les conditions des paragraphes 5.11 et 5.12 ci-dessus ne s’appliquent pas. </w:t>
      </w:r>
      <w:bookmarkStart w:id="5" w:name="_Hlk106894391"/>
      <w:bookmarkEnd w:id="5"/>
    </w:p>
    <w:p w14:paraId="778E4928" w14:textId="77777777" w:rsidR="00540808" w:rsidRPr="00511E2D" w:rsidRDefault="00540808" w:rsidP="005D4576">
      <w:pPr>
        <w:pStyle w:val="SingleTxtG"/>
        <w:ind w:left="2268" w:hanging="1134"/>
        <w:rPr>
          <w:rFonts w:asciiTheme="majorBidi" w:hAnsiTheme="majorBidi" w:cstheme="majorBidi"/>
          <w:iCs/>
        </w:rPr>
      </w:pPr>
      <w:r w:rsidRPr="00511E2D">
        <w:t>6.24.9.3</w:t>
      </w:r>
      <w:r w:rsidRPr="00511E2D">
        <w:tab/>
        <w:t xml:space="preserve">Le service technique doit effectuer, à la satisfaction de l’autorité d’homologation de type, un essai visuel  permettant de vérifier que la surface apparente des feux </w:t>
      </w:r>
      <w:r w:rsidRPr="00511E2D">
        <w:rPr>
          <w:strike/>
        </w:rPr>
        <w:t>d’accès</w:t>
      </w:r>
      <w:r w:rsidRPr="00511E2D">
        <w:t xml:space="preserve"> de courtoisie extérieurs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à 3 m au-dessus du sol perpendiculairement à celui-ci conformément au schéma de l’annexe 14. </w:t>
      </w:r>
      <w:bookmarkStart w:id="6" w:name="_Hlk109304876"/>
      <w:bookmarkEnd w:id="6"/>
    </w:p>
    <w:p w14:paraId="289968C3" w14:textId="77777777" w:rsidR="00540808" w:rsidRPr="00C767C3" w:rsidRDefault="00540808" w:rsidP="005D4576">
      <w:pPr>
        <w:pStyle w:val="SingleTxtG"/>
        <w:ind w:left="2268" w:hanging="1134"/>
        <w:rPr>
          <w:rFonts w:asciiTheme="majorBidi" w:hAnsiTheme="majorBidi" w:cstheme="majorBidi"/>
          <w:b/>
          <w:bCs/>
        </w:rPr>
      </w:pPr>
      <w:bookmarkStart w:id="7" w:name="_Hlk124755749"/>
      <w:r w:rsidRPr="00D3588A">
        <w:rPr>
          <w:b/>
          <w:bCs/>
        </w:rPr>
        <w:t>6.24.9.4</w:t>
      </w:r>
      <w:r w:rsidRPr="00D3588A">
        <w:rPr>
          <w:b/>
          <w:bCs/>
        </w:rPr>
        <w:tab/>
        <w:t>À la demande du demandeur de l’homologation et avec l’accord du service technique, le respect des prescriptions du paragraphe 6.24.9.3 peut être vérifié sur schéma ou par simulation, ou jugé réalisé si le demandeur peut prouver que l’intensité lumineuse visible lors de l’essai d’observation décrit dans l’annexe 14 est inférieure à [0,5] cd par feu, sans tenir compte de l’influence de la carrosserie du véhicule. </w:t>
      </w:r>
      <w:r w:rsidRPr="00D3588A">
        <w:t>».</w:t>
      </w:r>
      <w:r w:rsidRPr="00C767C3">
        <w:rPr>
          <w:b/>
          <w:bCs/>
        </w:rPr>
        <w:t xml:space="preserve"> </w:t>
      </w:r>
      <w:bookmarkEnd w:id="7"/>
    </w:p>
    <w:p w14:paraId="2054C39A" w14:textId="16615016" w:rsidR="00540808" w:rsidRPr="001D3B54" w:rsidRDefault="00540808" w:rsidP="005D4576">
      <w:pPr>
        <w:pStyle w:val="SingleTxtG"/>
        <w:ind w:left="2268" w:hanging="1134"/>
        <w:rPr>
          <w:rFonts w:asciiTheme="majorBidi" w:hAnsiTheme="majorBidi" w:cstheme="majorBidi"/>
          <w:i/>
          <w:iCs/>
          <w:lang w:val="fr-FR"/>
        </w:rPr>
      </w:pPr>
      <w:r w:rsidRPr="001D3B54">
        <w:rPr>
          <w:i/>
          <w:iCs/>
          <w:lang w:val="fr-FR"/>
        </w:rPr>
        <w:t>Ajouter le nouveau paragraphe 6.27</w:t>
      </w:r>
      <w:r w:rsidRPr="004725ED">
        <w:rPr>
          <w:lang w:val="fr-FR"/>
        </w:rPr>
        <w:t>, libellé comme suit :</w:t>
      </w:r>
    </w:p>
    <w:p w14:paraId="6EE0BEB6" w14:textId="077206C7" w:rsidR="00540808" w:rsidRPr="004725ED" w:rsidRDefault="00540808" w:rsidP="004725ED">
      <w:pPr>
        <w:pStyle w:val="SingleTxtG"/>
        <w:keepNext/>
        <w:ind w:left="2268" w:hanging="1134"/>
        <w:jc w:val="left"/>
        <w:rPr>
          <w:b/>
          <w:bCs/>
        </w:rPr>
      </w:pPr>
      <w:r w:rsidRPr="004725ED">
        <w:t>« </w:t>
      </w:r>
      <w:r w:rsidRPr="004725ED">
        <w:rPr>
          <w:b/>
          <w:bCs/>
        </w:rPr>
        <w:t>6.27</w:t>
      </w:r>
      <w:r w:rsidRPr="004725ED">
        <w:rPr>
          <w:b/>
          <w:bCs/>
        </w:rPr>
        <w:tab/>
        <w:t>Signal de réponse</w:t>
      </w:r>
    </w:p>
    <w:p w14:paraId="3F014F2B" w14:textId="5FC8892C" w:rsidR="00540808" w:rsidRPr="004725ED" w:rsidRDefault="00540808" w:rsidP="004725ED">
      <w:pPr>
        <w:pStyle w:val="SingleTxtG"/>
        <w:keepNext/>
        <w:ind w:left="2268" w:hanging="1134"/>
        <w:jc w:val="left"/>
        <w:rPr>
          <w:b/>
          <w:bCs/>
        </w:rPr>
      </w:pPr>
      <w:r w:rsidRPr="004725ED">
        <w:rPr>
          <w:b/>
          <w:bCs/>
        </w:rPr>
        <w:t>6.27.1</w:t>
      </w:r>
      <w:r w:rsidR="004725ED">
        <w:rPr>
          <w:rFonts w:ascii="MS Gothic" w:eastAsia="MS Gothic" w:hAnsi="MS Gothic" w:cs="MS Gothic"/>
          <w:b/>
          <w:bCs/>
        </w:rPr>
        <w:tab/>
      </w:r>
      <w:r w:rsidRPr="004725ED">
        <w:rPr>
          <w:b/>
          <w:bCs/>
        </w:rPr>
        <w:t>Présence</w:t>
      </w:r>
    </w:p>
    <w:p w14:paraId="3046F29F" w14:textId="77777777" w:rsidR="00540808" w:rsidRPr="004725ED" w:rsidRDefault="00540808" w:rsidP="004725ED">
      <w:pPr>
        <w:pStyle w:val="SingleTxtG"/>
        <w:ind w:left="2268"/>
        <w:rPr>
          <w:b/>
          <w:bCs/>
        </w:rPr>
      </w:pPr>
      <w:r w:rsidRPr="004725ED">
        <w:rPr>
          <w:b/>
          <w:bCs/>
        </w:rPr>
        <w:t>Facultative.</w:t>
      </w:r>
    </w:p>
    <w:p w14:paraId="2CD69AF9" w14:textId="77777777" w:rsidR="00540808" w:rsidRPr="00FB0562" w:rsidRDefault="00540808" w:rsidP="00FB0562">
      <w:pPr>
        <w:pStyle w:val="SingleTxtG"/>
        <w:keepNext/>
        <w:ind w:left="2268" w:hanging="1134"/>
        <w:jc w:val="left"/>
        <w:rPr>
          <w:rFonts w:asciiTheme="majorBidi" w:hAnsiTheme="majorBidi" w:cstheme="majorBidi"/>
          <w:b/>
          <w:bCs/>
          <w:lang w:val="fr-FR"/>
        </w:rPr>
      </w:pPr>
      <w:r w:rsidRPr="00FB0562">
        <w:rPr>
          <w:b/>
          <w:bCs/>
          <w:lang w:val="fr-FR"/>
        </w:rPr>
        <w:t>6.27.2</w:t>
      </w:r>
      <w:r w:rsidRPr="00FB0562">
        <w:rPr>
          <w:b/>
          <w:bCs/>
          <w:lang w:val="fr-FR"/>
        </w:rPr>
        <w:tab/>
        <w:t>Nombre</w:t>
      </w:r>
    </w:p>
    <w:p w14:paraId="40041ACC" w14:textId="77777777" w:rsidR="00540808" w:rsidRPr="00B3307D" w:rsidRDefault="00540808" w:rsidP="00B3307D">
      <w:pPr>
        <w:pStyle w:val="SingleTxtG"/>
        <w:ind w:left="2268"/>
        <w:rPr>
          <w:b/>
          <w:bCs/>
        </w:rPr>
      </w:pPr>
      <w:r w:rsidRPr="00B3307D">
        <w:rPr>
          <w:b/>
          <w:bCs/>
        </w:rPr>
        <w:t>Conforme aux spécifications applicables au dispositif d’éclairage ou de signalisation lumineuse utilisé pour le signal de réponse. Toutefois, il peut être inférieur ou égal à ce qui est spécifié pour le dispositif visé.</w:t>
      </w:r>
    </w:p>
    <w:p w14:paraId="7884E3DD" w14:textId="77777777" w:rsidR="00540808" w:rsidRPr="00B3307D" w:rsidRDefault="00540808" w:rsidP="00B3307D">
      <w:pPr>
        <w:pStyle w:val="SingleTxtG"/>
        <w:keepNext/>
        <w:ind w:left="2268" w:hanging="1134"/>
        <w:rPr>
          <w:b/>
        </w:rPr>
      </w:pPr>
      <w:r w:rsidRPr="00B3307D">
        <w:rPr>
          <w:b/>
        </w:rPr>
        <w:t>6.27.3</w:t>
      </w:r>
      <w:r w:rsidRPr="00B3307D">
        <w:rPr>
          <w:b/>
        </w:rPr>
        <w:tab/>
        <w:t>Schéma de montage</w:t>
      </w:r>
    </w:p>
    <w:p w14:paraId="1D269ABC" w14:textId="6C364E0F" w:rsidR="00540808" w:rsidRPr="00B3307D" w:rsidRDefault="00540808" w:rsidP="00B3307D">
      <w:pPr>
        <w:pStyle w:val="SingleTxtG"/>
        <w:ind w:left="2268"/>
        <w:rPr>
          <w:rFonts w:asciiTheme="majorBidi" w:hAnsiTheme="majorBidi" w:cstheme="majorBidi"/>
          <w:b/>
          <w:lang w:val="fr-FR"/>
        </w:rPr>
      </w:pPr>
      <w:r w:rsidRPr="00B3307D">
        <w:rPr>
          <w:b/>
          <w:lang w:val="fr-FR"/>
        </w:rPr>
        <w:t>Conforme aux spécifications applicables au dispositif d’éclairage ou de signalisation lumineuse utilisé pour le signal de réponse. Toutefois, les valeurs peuvent être inférieures ou égales à ce qui est spécifié pour le dispositif visé.</w:t>
      </w:r>
    </w:p>
    <w:p w14:paraId="6D0AE51A" w14:textId="77777777" w:rsidR="00540808" w:rsidRPr="00B3307D" w:rsidRDefault="00540808" w:rsidP="00B3307D">
      <w:pPr>
        <w:pStyle w:val="SingleTxtG"/>
        <w:keepNext/>
        <w:ind w:left="2268" w:hanging="1134"/>
        <w:jc w:val="left"/>
        <w:rPr>
          <w:b/>
          <w:bCs/>
          <w:lang w:val="fr-FR"/>
        </w:rPr>
      </w:pPr>
      <w:r w:rsidRPr="00B3307D">
        <w:rPr>
          <w:b/>
          <w:bCs/>
          <w:lang w:val="fr-FR"/>
        </w:rPr>
        <w:t>6.27.4</w:t>
      </w:r>
      <w:r w:rsidRPr="00B3307D">
        <w:rPr>
          <w:b/>
          <w:bCs/>
          <w:lang w:val="fr-FR"/>
        </w:rPr>
        <w:tab/>
        <w:t>Emplacement</w:t>
      </w:r>
    </w:p>
    <w:p w14:paraId="5604093C" w14:textId="77777777" w:rsidR="00540808" w:rsidRPr="00B3307D" w:rsidRDefault="00540808" w:rsidP="00607BD3">
      <w:pPr>
        <w:pStyle w:val="SingleTxtG"/>
        <w:ind w:left="2268" w:hanging="1134"/>
        <w:rPr>
          <w:b/>
          <w:bCs/>
          <w:lang w:val="fr-FR"/>
        </w:rPr>
      </w:pPr>
      <w:r w:rsidRPr="00B3307D">
        <w:rPr>
          <w:b/>
          <w:bCs/>
          <w:lang w:val="fr-FR"/>
        </w:rPr>
        <w:t>6.27.4.1</w:t>
      </w:r>
      <w:r w:rsidRPr="00B3307D">
        <w:rPr>
          <w:b/>
          <w:bCs/>
          <w:lang w:val="fr-FR"/>
        </w:rPr>
        <w:tab/>
        <w:t xml:space="preserve">En largeur : conforme aux spécifications applicables au dispositif d’éclairage ou de signalisation lumineuse utilisé pour le signal de </w:t>
      </w:r>
      <w:r w:rsidRPr="00B3307D">
        <w:rPr>
          <w:b/>
          <w:bCs/>
          <w:lang w:val="fr-FR"/>
        </w:rPr>
        <w:lastRenderedPageBreak/>
        <w:t>réponse. Toutefois, la valeur peut être inférieure ou égale à ce qui est spécifié pour le dispositif visé.</w:t>
      </w:r>
    </w:p>
    <w:p w14:paraId="73E3271F" w14:textId="77777777" w:rsidR="00540808" w:rsidRPr="00B3307D" w:rsidRDefault="00540808" w:rsidP="00150402">
      <w:pPr>
        <w:pStyle w:val="SingleTxtG"/>
        <w:ind w:left="2268" w:hanging="1134"/>
        <w:rPr>
          <w:b/>
          <w:bCs/>
          <w:lang w:val="fr-FR"/>
        </w:rPr>
      </w:pPr>
      <w:r w:rsidRPr="00B3307D">
        <w:rPr>
          <w:b/>
          <w:bCs/>
          <w:lang w:val="fr-FR"/>
        </w:rPr>
        <w:t>6.27.4.2</w:t>
      </w:r>
      <w:r w:rsidRPr="00B3307D">
        <w:rPr>
          <w:b/>
          <w:bCs/>
          <w:lang w:val="fr-FR"/>
        </w:rPr>
        <w:tab/>
        <w:t>En hauteur : conforme aux spécifications applicables au dispositif d’éclairage ou de signalisation lumineuse utilisé pour le signal de réponse.</w:t>
      </w:r>
    </w:p>
    <w:p w14:paraId="6C60D8C7" w14:textId="77777777" w:rsidR="00540808" w:rsidRPr="00B3307D" w:rsidRDefault="00540808" w:rsidP="00150402">
      <w:pPr>
        <w:pStyle w:val="SingleTxtG"/>
        <w:ind w:left="2268"/>
        <w:rPr>
          <w:b/>
          <w:bCs/>
          <w:lang w:val="fr-FR"/>
        </w:rPr>
      </w:pPr>
      <w:r w:rsidRPr="00B3307D">
        <w:rPr>
          <w:b/>
          <w:bCs/>
          <w:lang w:val="fr-FR"/>
        </w:rPr>
        <w:tab/>
        <w:t>Toutefois, si la hauteur varie selon les conditions de fonctionnement du système de propulsion, elle doit être inférieure ou égale à ce qui est spécifié pour le dispositif visé.</w:t>
      </w:r>
    </w:p>
    <w:p w14:paraId="5A6948B2" w14:textId="77777777" w:rsidR="00540808" w:rsidRPr="00B3307D" w:rsidRDefault="00540808" w:rsidP="00F333B3">
      <w:pPr>
        <w:pStyle w:val="SingleTxtG"/>
        <w:keepNext/>
        <w:ind w:left="2268" w:hanging="1134"/>
        <w:rPr>
          <w:b/>
          <w:bCs/>
          <w:lang w:val="fr-FR"/>
        </w:rPr>
      </w:pPr>
      <w:r w:rsidRPr="00B3307D">
        <w:rPr>
          <w:b/>
          <w:bCs/>
          <w:lang w:val="fr-FR"/>
        </w:rPr>
        <w:t>6.27.4.3</w:t>
      </w:r>
      <w:r w:rsidRPr="00B3307D">
        <w:rPr>
          <w:b/>
          <w:bCs/>
          <w:lang w:val="fr-FR"/>
        </w:rPr>
        <w:tab/>
        <w:t>En longueur : conforme aux spécifications applicables au dispositif d’éclairage ou de signalisation lumineuse utilisé pour le signal de réponse. Toutefois, la valeur peut être inférieure ou égale à ce qui est spécifié pour le dispositif visé.</w:t>
      </w:r>
    </w:p>
    <w:p w14:paraId="1416BEFE" w14:textId="77777777" w:rsidR="00540808" w:rsidRPr="00B3307D" w:rsidRDefault="00540808" w:rsidP="00B3307D">
      <w:pPr>
        <w:pStyle w:val="SingleTxtG"/>
        <w:keepNext/>
        <w:ind w:left="2268" w:hanging="1134"/>
        <w:jc w:val="left"/>
        <w:rPr>
          <w:b/>
          <w:bCs/>
          <w:lang w:val="fr-FR"/>
        </w:rPr>
      </w:pPr>
      <w:r w:rsidRPr="00B3307D">
        <w:rPr>
          <w:b/>
          <w:bCs/>
          <w:lang w:val="fr-FR"/>
        </w:rPr>
        <w:t>6.27.5</w:t>
      </w:r>
      <w:r w:rsidRPr="00B3307D">
        <w:rPr>
          <w:b/>
          <w:bCs/>
          <w:lang w:val="fr-FR"/>
        </w:rPr>
        <w:tab/>
        <w:t>Visibilité géométrique</w:t>
      </w:r>
    </w:p>
    <w:p w14:paraId="47A9C015" w14:textId="77777777" w:rsidR="00540808" w:rsidRPr="00B3307D" w:rsidRDefault="00540808" w:rsidP="00150402">
      <w:pPr>
        <w:pStyle w:val="SingleTxtG"/>
        <w:ind w:left="2268"/>
        <w:rPr>
          <w:b/>
          <w:bCs/>
          <w:lang w:val="fr-FR"/>
        </w:rPr>
      </w:pPr>
      <w:r w:rsidRPr="00B3307D">
        <w:rPr>
          <w:b/>
          <w:bCs/>
          <w:lang w:val="fr-FR"/>
        </w:rPr>
        <w:t>Conforme aux spécifications applicables au dispositif d’éclairage ou de signalisation lumineuse utilisé pour le signal de réponse. Toutefois, la valeur peut être inférieure ou égale à ce qui est spécifié pour le dispositif visé.</w:t>
      </w:r>
    </w:p>
    <w:p w14:paraId="563ACD1B" w14:textId="77777777" w:rsidR="00540808" w:rsidRPr="00B3307D" w:rsidRDefault="00540808" w:rsidP="00B3307D">
      <w:pPr>
        <w:pStyle w:val="SingleTxtG"/>
        <w:keepNext/>
        <w:ind w:left="2268" w:hanging="1134"/>
        <w:jc w:val="left"/>
        <w:rPr>
          <w:b/>
          <w:bCs/>
          <w:lang w:val="fr-FR"/>
        </w:rPr>
      </w:pPr>
      <w:r w:rsidRPr="00B3307D">
        <w:rPr>
          <w:b/>
          <w:bCs/>
          <w:lang w:val="fr-FR"/>
        </w:rPr>
        <w:t>6.27.6</w:t>
      </w:r>
      <w:r w:rsidRPr="00B3307D">
        <w:rPr>
          <w:b/>
          <w:bCs/>
          <w:lang w:val="fr-FR"/>
        </w:rPr>
        <w:tab/>
        <w:t>Orientation</w:t>
      </w:r>
    </w:p>
    <w:p w14:paraId="28DB58BB" w14:textId="77777777" w:rsidR="00540808" w:rsidRPr="00B3307D" w:rsidRDefault="00540808" w:rsidP="00150402">
      <w:pPr>
        <w:pStyle w:val="SingleTxtG"/>
        <w:ind w:left="2268"/>
        <w:rPr>
          <w:b/>
          <w:bCs/>
          <w:lang w:val="fr-FR"/>
        </w:rPr>
      </w:pPr>
      <w:r w:rsidRPr="00B3307D">
        <w:rPr>
          <w:b/>
          <w:bCs/>
          <w:lang w:val="fr-FR"/>
        </w:rPr>
        <w:t>Conforme aux spécifications applicables au dispositif d’éclairage ou de signalisation lumineuse utilisé pour le signal de réponse.</w:t>
      </w:r>
    </w:p>
    <w:p w14:paraId="01E7C233" w14:textId="77777777" w:rsidR="00540808" w:rsidRPr="00B3307D" w:rsidRDefault="00540808" w:rsidP="00F333B3">
      <w:pPr>
        <w:pStyle w:val="SingleTxtG"/>
        <w:keepNext/>
        <w:ind w:left="2268" w:hanging="1134"/>
        <w:jc w:val="left"/>
        <w:rPr>
          <w:b/>
          <w:bCs/>
          <w:lang w:val="fr-FR"/>
        </w:rPr>
      </w:pPr>
      <w:r w:rsidRPr="00B3307D">
        <w:rPr>
          <w:b/>
          <w:bCs/>
          <w:lang w:val="fr-FR"/>
        </w:rPr>
        <w:t>6.27.7</w:t>
      </w:r>
      <w:r w:rsidRPr="00B3307D">
        <w:rPr>
          <w:b/>
          <w:bCs/>
          <w:lang w:val="fr-FR"/>
        </w:rPr>
        <w:tab/>
        <w:t>Branchements électriques</w:t>
      </w:r>
    </w:p>
    <w:p w14:paraId="3311BDD9" w14:textId="77777777" w:rsidR="00540808" w:rsidRPr="00B3307D" w:rsidRDefault="00540808" w:rsidP="00F333B3">
      <w:pPr>
        <w:pStyle w:val="SingleTxtG"/>
        <w:ind w:left="2268" w:hanging="1134"/>
        <w:rPr>
          <w:b/>
          <w:bCs/>
          <w:lang w:val="fr-FR"/>
        </w:rPr>
      </w:pPr>
      <w:r w:rsidRPr="00B3307D">
        <w:rPr>
          <w:b/>
          <w:bCs/>
          <w:lang w:val="fr-FR"/>
        </w:rPr>
        <w:t>6.27.7.1</w:t>
      </w:r>
      <w:r w:rsidRPr="00B3307D">
        <w:rPr>
          <w:b/>
          <w:bCs/>
          <w:lang w:val="fr-FR"/>
        </w:rPr>
        <w:tab/>
        <w:t>Le signal de réponse ne peut être émis que lorsque le véhicule est en stationnement.</w:t>
      </w:r>
    </w:p>
    <w:p w14:paraId="4AAD04D3" w14:textId="77777777" w:rsidR="00540808" w:rsidRPr="00B3307D" w:rsidRDefault="00540808" w:rsidP="009D214D">
      <w:pPr>
        <w:pStyle w:val="SingleTxtG"/>
        <w:ind w:left="2268" w:hanging="1134"/>
        <w:jc w:val="left"/>
        <w:rPr>
          <w:b/>
          <w:bCs/>
          <w:lang w:val="fr-FR"/>
        </w:rPr>
      </w:pPr>
      <w:r w:rsidRPr="00B3307D">
        <w:rPr>
          <w:b/>
          <w:bCs/>
          <w:lang w:val="fr-FR"/>
        </w:rPr>
        <w:t>6.27.7.2</w:t>
      </w:r>
      <w:r w:rsidRPr="00B3307D">
        <w:rPr>
          <w:b/>
          <w:bCs/>
          <w:lang w:val="fr-FR"/>
        </w:rPr>
        <w:tab/>
        <w:t>Si le signal de réponse clignote, la fréquence du clignotement ne doit pas dépasser [2,0] Hz.</w:t>
      </w:r>
    </w:p>
    <w:p w14:paraId="6A9EFF12" w14:textId="77777777" w:rsidR="00540808" w:rsidRPr="00B3307D" w:rsidRDefault="00540808" w:rsidP="00F333B3">
      <w:pPr>
        <w:pStyle w:val="SingleTxtG"/>
        <w:ind w:left="2268" w:hanging="1134"/>
        <w:rPr>
          <w:b/>
          <w:bCs/>
          <w:lang w:val="fr-FR"/>
        </w:rPr>
      </w:pPr>
      <w:r w:rsidRPr="00B3307D">
        <w:rPr>
          <w:b/>
          <w:bCs/>
          <w:lang w:val="fr-FR"/>
        </w:rPr>
        <w:t>6.27.7.3</w:t>
      </w:r>
      <w:r w:rsidRPr="00B3307D">
        <w:rPr>
          <w:b/>
          <w:bCs/>
          <w:lang w:val="fr-FR"/>
        </w:rPr>
        <w:tab/>
        <w:t xml:space="preserve">Les feux peuvent être combinés. </w:t>
      </w:r>
    </w:p>
    <w:p w14:paraId="70AC4F5F" w14:textId="77777777" w:rsidR="00540808" w:rsidRPr="00B3307D" w:rsidRDefault="00540808" w:rsidP="00F333B3">
      <w:pPr>
        <w:pStyle w:val="SingleTxtG"/>
        <w:ind w:left="2268" w:hanging="1134"/>
        <w:rPr>
          <w:b/>
          <w:bCs/>
          <w:lang w:val="fr-FR"/>
        </w:rPr>
      </w:pPr>
      <w:r w:rsidRPr="00B3307D">
        <w:rPr>
          <w:b/>
          <w:bCs/>
          <w:lang w:val="fr-FR"/>
        </w:rPr>
        <w:t>6.27.7.4</w:t>
      </w:r>
      <w:r w:rsidRPr="00B3307D">
        <w:rPr>
          <w:b/>
          <w:bCs/>
          <w:lang w:val="fr-FR"/>
        </w:rPr>
        <w:tab/>
        <w:t>Les spécifications particulières relatives aux branchements électriques et les conditions énoncées aux paragraphes 5.11 et 5.12 peuvent ne pas s’appliquer aux dispositifs utilisés pour le signal de réponse.</w:t>
      </w:r>
    </w:p>
    <w:p w14:paraId="1D6DD6B1" w14:textId="77777777" w:rsidR="00540808" w:rsidRPr="00B3307D" w:rsidRDefault="00540808" w:rsidP="00F333B3">
      <w:pPr>
        <w:pStyle w:val="SingleTxtG"/>
        <w:keepNext/>
        <w:ind w:left="2268" w:hanging="1134"/>
        <w:jc w:val="left"/>
        <w:rPr>
          <w:b/>
          <w:bCs/>
          <w:lang w:val="fr-FR"/>
        </w:rPr>
      </w:pPr>
      <w:r w:rsidRPr="00B3307D">
        <w:rPr>
          <w:b/>
          <w:bCs/>
          <w:lang w:val="fr-FR"/>
        </w:rPr>
        <w:t>6.27.8</w:t>
      </w:r>
      <w:r w:rsidRPr="00B3307D">
        <w:rPr>
          <w:b/>
          <w:bCs/>
          <w:lang w:val="fr-FR"/>
        </w:rPr>
        <w:tab/>
        <w:t>Témoin</w:t>
      </w:r>
    </w:p>
    <w:p w14:paraId="19D1FC6D" w14:textId="77777777" w:rsidR="00540808" w:rsidRPr="00B3307D" w:rsidRDefault="00540808" w:rsidP="00150402">
      <w:pPr>
        <w:pStyle w:val="SingleTxtG"/>
        <w:ind w:left="2268"/>
        <w:rPr>
          <w:b/>
          <w:bCs/>
          <w:lang w:val="fr-FR"/>
        </w:rPr>
      </w:pPr>
      <w:r w:rsidRPr="00B3307D">
        <w:rPr>
          <w:b/>
          <w:bCs/>
          <w:lang w:val="fr-FR"/>
        </w:rPr>
        <w:t xml:space="preserve">Pas de prescription particulière. </w:t>
      </w:r>
    </w:p>
    <w:p w14:paraId="27CD96F3" w14:textId="77777777" w:rsidR="00540808" w:rsidRPr="00B3307D" w:rsidRDefault="00540808" w:rsidP="00F333B3">
      <w:pPr>
        <w:pStyle w:val="SingleTxtG"/>
        <w:keepNext/>
        <w:ind w:left="2268" w:hanging="1134"/>
        <w:jc w:val="left"/>
        <w:rPr>
          <w:b/>
          <w:bCs/>
          <w:lang w:val="fr-FR"/>
        </w:rPr>
      </w:pPr>
      <w:r w:rsidRPr="00B3307D">
        <w:rPr>
          <w:b/>
          <w:bCs/>
          <w:lang w:val="fr-FR"/>
        </w:rPr>
        <w:t>6.27.9</w:t>
      </w:r>
      <w:r w:rsidRPr="00B3307D">
        <w:rPr>
          <w:b/>
          <w:bCs/>
          <w:lang w:val="fr-FR"/>
        </w:rPr>
        <w:tab/>
        <w:t>Autres prescriptions</w:t>
      </w:r>
    </w:p>
    <w:p w14:paraId="1524A858" w14:textId="77777777" w:rsidR="00540808" w:rsidRPr="00B3307D" w:rsidRDefault="00540808" w:rsidP="00F333B3">
      <w:pPr>
        <w:pStyle w:val="SingleTxtG"/>
        <w:ind w:left="2268" w:hanging="1134"/>
        <w:rPr>
          <w:b/>
          <w:bCs/>
          <w:lang w:val="fr-FR"/>
        </w:rPr>
      </w:pPr>
      <w:bookmarkStart w:id="8" w:name="_Hlk119657814"/>
      <w:bookmarkStart w:id="9" w:name="_Hlk69981752"/>
      <w:r w:rsidRPr="00B3307D">
        <w:rPr>
          <w:b/>
          <w:bCs/>
          <w:lang w:val="fr-FR"/>
        </w:rPr>
        <w:t>6.27.9.1</w:t>
      </w:r>
      <w:r w:rsidRPr="00B3307D">
        <w:rPr>
          <w:b/>
          <w:bCs/>
          <w:lang w:val="fr-FR"/>
        </w:rPr>
        <w:tab/>
        <w:t xml:space="preserve">Le signal de réponse doit être émis par des dispositifs d’éclairage et de signalisation lumineuse et des feux de courtoisie extérieurs homologués dont l’intensité lumineuse maximale par dispositif ne dépasse pas 700 cd au niveau de la ligne HH ou au-dessus de celle-ci. Toutefois, les feux de brouillard avant et arrière et les feux-stop ne peuvent pas être utilisés pour le signal de réponse. </w:t>
      </w:r>
      <w:bookmarkStart w:id="10" w:name="_Hlk108192108"/>
      <w:bookmarkEnd w:id="10"/>
    </w:p>
    <w:bookmarkEnd w:id="8"/>
    <w:p w14:paraId="3A5AF70F" w14:textId="77777777" w:rsidR="00540808" w:rsidRPr="00B3307D" w:rsidRDefault="00540808" w:rsidP="007E7287">
      <w:pPr>
        <w:pStyle w:val="SingleTxtG"/>
        <w:ind w:left="2268" w:hanging="1134"/>
        <w:rPr>
          <w:b/>
          <w:bCs/>
          <w:lang w:val="fr-FR"/>
        </w:rPr>
      </w:pPr>
      <w:r w:rsidRPr="00B3307D">
        <w:rPr>
          <w:b/>
          <w:bCs/>
          <w:lang w:val="fr-FR"/>
        </w:rPr>
        <w:t>6.27.9.2</w:t>
      </w:r>
      <w:r w:rsidRPr="00B3307D">
        <w:rPr>
          <w:b/>
          <w:bCs/>
          <w:lang w:val="fr-FR"/>
        </w:rPr>
        <w:tab/>
        <w:t>Le signal de réponse ne peut être activé automatiquement qu’au moment du verrouillage ou du déverrouillage de la ou des portes ou de la détection d’un utilisateur s’approchant du véhicule.</w:t>
      </w:r>
    </w:p>
    <w:p w14:paraId="4EC4D20A" w14:textId="77777777" w:rsidR="00540808" w:rsidRPr="00B3307D" w:rsidRDefault="00540808" w:rsidP="007E7287">
      <w:pPr>
        <w:pStyle w:val="SingleTxtG"/>
        <w:ind w:left="2268" w:hanging="1134"/>
        <w:rPr>
          <w:b/>
          <w:bCs/>
          <w:lang w:val="fr-FR"/>
        </w:rPr>
      </w:pPr>
      <w:bookmarkStart w:id="11" w:name="_Hlk119657737"/>
      <w:r w:rsidRPr="00B3307D">
        <w:rPr>
          <w:b/>
          <w:bCs/>
          <w:lang w:val="fr-FR"/>
        </w:rPr>
        <w:t>6.27.9.3</w:t>
      </w:r>
      <w:r w:rsidRPr="00B3307D">
        <w:rPr>
          <w:b/>
          <w:bCs/>
          <w:lang w:val="fr-FR"/>
        </w:rPr>
        <w:tab/>
        <w:t>Les feux émettant le signal de réponse peuvent clignoter, ou leur intensité lumineuse ou leur surface apparente peuvent varier.</w:t>
      </w:r>
    </w:p>
    <w:bookmarkEnd w:id="11"/>
    <w:p w14:paraId="6FBAB06F" w14:textId="77777777" w:rsidR="00540808" w:rsidRPr="00B3307D" w:rsidRDefault="00540808" w:rsidP="007E7287">
      <w:pPr>
        <w:pStyle w:val="SingleTxtG"/>
        <w:ind w:left="2268" w:hanging="1134"/>
        <w:rPr>
          <w:b/>
          <w:bCs/>
          <w:lang w:val="fr-FR"/>
        </w:rPr>
      </w:pPr>
      <w:r w:rsidRPr="00B3307D">
        <w:rPr>
          <w:b/>
          <w:bCs/>
          <w:lang w:val="fr-FR"/>
        </w:rPr>
        <w:t>6.27.9.4</w:t>
      </w:r>
      <w:r w:rsidRPr="00B3307D">
        <w:rPr>
          <w:b/>
          <w:bCs/>
          <w:lang w:val="fr-FR"/>
        </w:rPr>
        <w:tab/>
        <w:t>La durée de l’indication visuelle d’un signal de réponse ne doit pas dépasser 3 secondes.</w:t>
      </w:r>
    </w:p>
    <w:p w14:paraId="680F7441" w14:textId="77777777" w:rsidR="00540808" w:rsidRPr="00B3307D" w:rsidRDefault="00540808" w:rsidP="007E7287">
      <w:pPr>
        <w:pStyle w:val="SingleTxtG"/>
        <w:ind w:left="2268" w:hanging="1134"/>
        <w:rPr>
          <w:b/>
          <w:bCs/>
          <w:lang w:val="fr-FR"/>
        </w:rPr>
      </w:pPr>
      <w:r w:rsidRPr="00B3307D">
        <w:rPr>
          <w:b/>
          <w:bCs/>
          <w:lang w:val="fr-FR"/>
        </w:rPr>
        <w:t>6.27.9.5</w:t>
      </w:r>
      <w:r w:rsidRPr="00B3307D">
        <w:rPr>
          <w:b/>
          <w:bCs/>
          <w:lang w:val="fr-FR"/>
        </w:rPr>
        <w:tab/>
        <w:t>Le respect des prescriptions des paragraphes 6.27.9.1 à 6.27.9.4 doit être prouvé par le demandeur au moyen de procès-verbaux d’essai ou par tout autre moyen de vérification agréé par l’autorité d’homologation de type. Ces informations doivent être consignées sur la fiche de communication. </w:t>
      </w:r>
      <w:r w:rsidRPr="009D214D">
        <w:rPr>
          <w:lang w:val="fr-FR"/>
        </w:rPr>
        <w:t>».</w:t>
      </w:r>
      <w:bookmarkEnd w:id="9"/>
    </w:p>
    <w:p w14:paraId="33EBCB0A" w14:textId="77777777" w:rsidR="00540808" w:rsidRPr="009D214D" w:rsidRDefault="00540808" w:rsidP="009D214D">
      <w:pPr>
        <w:pStyle w:val="SingleTxtG"/>
        <w:keepNext/>
        <w:rPr>
          <w:rFonts w:asciiTheme="majorBidi" w:hAnsiTheme="majorBidi" w:cstheme="majorBidi"/>
          <w:lang w:val="fr-FR"/>
        </w:rPr>
      </w:pPr>
      <w:r w:rsidRPr="001D3B54">
        <w:rPr>
          <w:i/>
          <w:iCs/>
          <w:lang w:val="fr-FR"/>
        </w:rPr>
        <w:lastRenderedPageBreak/>
        <w:t>Ajouter le nouveau paragraphe 6.28</w:t>
      </w:r>
      <w:r w:rsidRPr="009D214D">
        <w:rPr>
          <w:lang w:val="fr-FR"/>
        </w:rPr>
        <w:t>, libellé comme suit :</w:t>
      </w:r>
    </w:p>
    <w:p w14:paraId="77D907E9" w14:textId="77777777" w:rsidR="00540808" w:rsidRPr="00DC6FD8" w:rsidRDefault="00540808" w:rsidP="0011147B">
      <w:pPr>
        <w:pStyle w:val="SingleTxtG"/>
        <w:keepNext/>
        <w:ind w:left="2268" w:hanging="1134"/>
        <w:jc w:val="left"/>
        <w:rPr>
          <w:b/>
          <w:bCs/>
          <w:lang w:val="fr-FR"/>
        </w:rPr>
      </w:pPr>
      <w:r w:rsidRPr="00DC6FD8">
        <w:rPr>
          <w:b/>
          <w:bCs/>
          <w:lang w:val="fr-FR"/>
        </w:rPr>
        <w:t>« 6.28</w:t>
      </w:r>
      <w:r w:rsidRPr="00DC6FD8">
        <w:rPr>
          <w:b/>
          <w:bCs/>
          <w:lang w:val="fr-FR"/>
        </w:rPr>
        <w:tab/>
        <w:t>Témoin du système d’énergie</w:t>
      </w:r>
    </w:p>
    <w:p w14:paraId="5C116835" w14:textId="77777777" w:rsidR="00540808" w:rsidRPr="00DC6FD8" w:rsidRDefault="00540808" w:rsidP="0011147B">
      <w:pPr>
        <w:pStyle w:val="SingleTxtG"/>
        <w:keepNext/>
        <w:ind w:left="2268" w:hanging="1134"/>
        <w:jc w:val="left"/>
        <w:rPr>
          <w:b/>
          <w:bCs/>
          <w:lang w:val="fr-FR"/>
        </w:rPr>
      </w:pPr>
      <w:r w:rsidRPr="00DC6FD8">
        <w:rPr>
          <w:b/>
          <w:bCs/>
          <w:lang w:val="fr-FR"/>
        </w:rPr>
        <w:t>6.28.1</w:t>
      </w:r>
      <w:r w:rsidRPr="00DC6FD8">
        <w:rPr>
          <w:b/>
          <w:bCs/>
          <w:lang w:val="fr-FR"/>
        </w:rPr>
        <w:tab/>
        <w:t>Présence</w:t>
      </w:r>
    </w:p>
    <w:p w14:paraId="22D7AF1E" w14:textId="31B2B031" w:rsidR="00540808" w:rsidRPr="00DC6FD8" w:rsidRDefault="00540808" w:rsidP="0011147B">
      <w:pPr>
        <w:pStyle w:val="SingleTxtG"/>
        <w:ind w:left="2268"/>
        <w:rPr>
          <w:b/>
          <w:bCs/>
          <w:lang w:val="fr-FR"/>
        </w:rPr>
      </w:pPr>
      <w:r w:rsidRPr="00DC6FD8">
        <w:rPr>
          <w:b/>
          <w:bCs/>
          <w:lang w:val="fr-FR"/>
        </w:rPr>
        <w:t>Facultative.</w:t>
      </w:r>
    </w:p>
    <w:p w14:paraId="4765E106" w14:textId="77777777" w:rsidR="00540808" w:rsidRPr="00DC6FD8" w:rsidRDefault="00540808" w:rsidP="004C5CC7">
      <w:pPr>
        <w:pStyle w:val="SingleTxtG"/>
        <w:keepNext/>
        <w:ind w:left="2268" w:hanging="1134"/>
        <w:jc w:val="left"/>
        <w:rPr>
          <w:b/>
          <w:bCs/>
          <w:lang w:val="fr-FR"/>
        </w:rPr>
      </w:pPr>
      <w:r w:rsidRPr="00DC6FD8">
        <w:rPr>
          <w:b/>
          <w:bCs/>
          <w:lang w:val="fr-FR"/>
        </w:rPr>
        <w:t>6.28.2</w:t>
      </w:r>
      <w:r w:rsidRPr="00DC6FD8">
        <w:rPr>
          <w:b/>
          <w:bCs/>
          <w:lang w:val="fr-FR"/>
        </w:rPr>
        <w:tab/>
        <w:t>Nombre</w:t>
      </w:r>
    </w:p>
    <w:p w14:paraId="2A7675D4" w14:textId="3CD10FD8" w:rsidR="00540808" w:rsidRPr="00DC6FD8" w:rsidRDefault="00540808" w:rsidP="0011147B">
      <w:pPr>
        <w:pStyle w:val="SingleTxtG"/>
        <w:ind w:left="2268"/>
        <w:rPr>
          <w:b/>
          <w:bCs/>
          <w:lang w:val="fr-FR"/>
        </w:rPr>
      </w:pPr>
      <w:r w:rsidRPr="00DC6FD8">
        <w:rPr>
          <w:b/>
          <w:bCs/>
          <w:lang w:val="fr-FR"/>
        </w:rPr>
        <w:tab/>
        <w:t>[Un ou deux]</w:t>
      </w:r>
    </w:p>
    <w:p w14:paraId="1D9306E8" w14:textId="77777777" w:rsidR="00540808" w:rsidRPr="00DC6FD8" w:rsidRDefault="00540808" w:rsidP="004C5CC7">
      <w:pPr>
        <w:pStyle w:val="SingleTxtG"/>
        <w:keepNext/>
        <w:ind w:left="2268" w:hanging="1134"/>
        <w:jc w:val="left"/>
        <w:rPr>
          <w:b/>
          <w:bCs/>
          <w:lang w:val="fr-FR"/>
        </w:rPr>
      </w:pPr>
      <w:r w:rsidRPr="00DC6FD8">
        <w:rPr>
          <w:b/>
          <w:bCs/>
          <w:lang w:val="fr-FR"/>
        </w:rPr>
        <w:t>6.28.3</w:t>
      </w:r>
      <w:r w:rsidRPr="00DC6FD8">
        <w:rPr>
          <w:b/>
          <w:bCs/>
          <w:lang w:val="fr-FR"/>
        </w:rPr>
        <w:tab/>
        <w:t>Schéma de montage</w:t>
      </w:r>
    </w:p>
    <w:p w14:paraId="2C7CB14C" w14:textId="77777777" w:rsidR="00540808" w:rsidRPr="00DC6FD8" w:rsidRDefault="00540808" w:rsidP="0011147B">
      <w:pPr>
        <w:pStyle w:val="SingleTxtG"/>
        <w:ind w:left="2268"/>
        <w:rPr>
          <w:b/>
          <w:bCs/>
          <w:lang w:val="fr-FR"/>
        </w:rPr>
      </w:pPr>
      <w:r w:rsidRPr="00DC6FD8">
        <w:rPr>
          <w:b/>
          <w:bCs/>
          <w:lang w:val="fr-FR"/>
        </w:rPr>
        <w:tab/>
        <w:t>Pas de prescription particulière.</w:t>
      </w:r>
    </w:p>
    <w:p w14:paraId="46AA813B" w14:textId="77777777" w:rsidR="00540808" w:rsidRPr="00DC6FD8" w:rsidRDefault="00540808" w:rsidP="004C5CC7">
      <w:pPr>
        <w:pStyle w:val="SingleTxtG"/>
        <w:keepNext/>
        <w:ind w:left="2268" w:hanging="1134"/>
        <w:jc w:val="left"/>
        <w:rPr>
          <w:b/>
          <w:bCs/>
          <w:lang w:val="fr-FR"/>
        </w:rPr>
      </w:pPr>
      <w:r w:rsidRPr="00DC6FD8">
        <w:rPr>
          <w:b/>
          <w:bCs/>
          <w:lang w:val="fr-FR"/>
        </w:rPr>
        <w:t>6.28.4</w:t>
      </w:r>
      <w:r w:rsidRPr="00DC6FD8">
        <w:rPr>
          <w:b/>
          <w:bCs/>
          <w:lang w:val="fr-FR"/>
        </w:rPr>
        <w:tab/>
      </w:r>
      <w:r w:rsidRPr="00DC6FD8">
        <w:rPr>
          <w:b/>
          <w:bCs/>
          <w:lang w:val="fr-FR"/>
        </w:rPr>
        <w:tab/>
        <w:t>Emplacement</w:t>
      </w:r>
    </w:p>
    <w:p w14:paraId="162C9F5C" w14:textId="77777777" w:rsidR="00540808" w:rsidRPr="00DC6FD8" w:rsidRDefault="00540808" w:rsidP="0011147B">
      <w:pPr>
        <w:pStyle w:val="SingleTxtG"/>
        <w:ind w:left="2268"/>
        <w:rPr>
          <w:b/>
          <w:bCs/>
          <w:lang w:val="fr-FR"/>
        </w:rPr>
      </w:pPr>
      <w:r w:rsidRPr="00DC6FD8">
        <w:rPr>
          <w:b/>
          <w:bCs/>
          <w:lang w:val="fr-FR"/>
        </w:rPr>
        <w:t>[Hauteur maximale de 1 500 mm, mais toujours au moins 100 mm en dessous du point le plus haut (toit) du véhicule.]</w:t>
      </w:r>
    </w:p>
    <w:p w14:paraId="48EA479D" w14:textId="77777777" w:rsidR="00540808" w:rsidRPr="00DC6FD8" w:rsidRDefault="00540808" w:rsidP="004C5CC7">
      <w:pPr>
        <w:pStyle w:val="SingleTxtG"/>
        <w:keepNext/>
        <w:ind w:left="2268" w:hanging="1134"/>
        <w:jc w:val="left"/>
        <w:rPr>
          <w:b/>
          <w:bCs/>
          <w:lang w:val="fr-FR"/>
        </w:rPr>
      </w:pPr>
      <w:r w:rsidRPr="00DC6FD8">
        <w:rPr>
          <w:b/>
          <w:bCs/>
          <w:lang w:val="fr-FR"/>
        </w:rPr>
        <w:t>6.28.5</w:t>
      </w:r>
      <w:r w:rsidRPr="00DC6FD8">
        <w:rPr>
          <w:b/>
          <w:bCs/>
          <w:lang w:val="fr-FR"/>
        </w:rPr>
        <w:tab/>
        <w:t>Visibilité géométrique</w:t>
      </w:r>
    </w:p>
    <w:p w14:paraId="5ECA3EE8" w14:textId="77777777" w:rsidR="00540808" w:rsidRPr="00DC6FD8" w:rsidRDefault="00540808" w:rsidP="0011147B">
      <w:pPr>
        <w:pStyle w:val="SingleTxtG"/>
        <w:ind w:left="2268"/>
        <w:rPr>
          <w:b/>
          <w:bCs/>
          <w:lang w:val="fr-FR"/>
        </w:rPr>
      </w:pPr>
      <w:r w:rsidRPr="00DC6FD8">
        <w:rPr>
          <w:b/>
          <w:bCs/>
          <w:lang w:val="fr-FR"/>
        </w:rPr>
        <w:tab/>
        <w:t>Pas de prescription particulière.</w:t>
      </w:r>
    </w:p>
    <w:p w14:paraId="0FDC2134" w14:textId="77777777" w:rsidR="00540808" w:rsidRPr="00DC6FD8" w:rsidRDefault="00540808" w:rsidP="004C5CC7">
      <w:pPr>
        <w:pStyle w:val="SingleTxtG"/>
        <w:keepNext/>
        <w:ind w:left="2268" w:hanging="1134"/>
        <w:jc w:val="left"/>
        <w:rPr>
          <w:b/>
          <w:bCs/>
          <w:lang w:val="fr-FR"/>
        </w:rPr>
      </w:pPr>
      <w:r w:rsidRPr="00DC6FD8">
        <w:rPr>
          <w:b/>
          <w:bCs/>
          <w:lang w:val="fr-FR"/>
        </w:rPr>
        <w:t>6.28.6</w:t>
      </w:r>
      <w:r w:rsidRPr="00DC6FD8">
        <w:rPr>
          <w:b/>
          <w:bCs/>
          <w:lang w:val="fr-FR"/>
        </w:rPr>
        <w:tab/>
      </w:r>
      <w:r w:rsidRPr="00DC6FD8">
        <w:rPr>
          <w:b/>
          <w:bCs/>
          <w:lang w:val="fr-FR"/>
        </w:rPr>
        <w:tab/>
        <w:t>Orientation</w:t>
      </w:r>
    </w:p>
    <w:p w14:paraId="0AF26FFB" w14:textId="77777777" w:rsidR="00540808" w:rsidRPr="00DC6FD8" w:rsidRDefault="00540808" w:rsidP="0011147B">
      <w:pPr>
        <w:pStyle w:val="SingleTxtG"/>
        <w:ind w:left="2268"/>
        <w:rPr>
          <w:b/>
          <w:bCs/>
          <w:lang w:val="fr-FR"/>
        </w:rPr>
      </w:pPr>
      <w:r w:rsidRPr="00DC6FD8">
        <w:rPr>
          <w:b/>
          <w:bCs/>
          <w:lang w:val="fr-FR"/>
        </w:rPr>
        <w:tab/>
        <w:t>Pas de prescription particulière.</w:t>
      </w:r>
    </w:p>
    <w:p w14:paraId="11BEAA7B" w14:textId="77777777" w:rsidR="00540808" w:rsidRPr="00DC6FD8" w:rsidRDefault="00540808" w:rsidP="004C5CC7">
      <w:pPr>
        <w:pStyle w:val="SingleTxtG"/>
        <w:keepNext/>
        <w:ind w:left="2268" w:hanging="1134"/>
        <w:jc w:val="left"/>
        <w:rPr>
          <w:b/>
          <w:bCs/>
          <w:lang w:val="fr-FR"/>
        </w:rPr>
      </w:pPr>
      <w:r w:rsidRPr="00DC6FD8">
        <w:rPr>
          <w:b/>
          <w:bCs/>
          <w:lang w:val="fr-FR"/>
        </w:rPr>
        <w:t>6.28.7</w:t>
      </w:r>
      <w:r w:rsidRPr="00DC6FD8">
        <w:rPr>
          <w:b/>
          <w:bCs/>
          <w:lang w:val="fr-FR"/>
        </w:rPr>
        <w:tab/>
        <w:t>Branchements électriques</w:t>
      </w:r>
    </w:p>
    <w:p w14:paraId="5A9EF04C" w14:textId="77777777" w:rsidR="00540808" w:rsidRPr="00C313CB" w:rsidRDefault="00540808" w:rsidP="0011147B">
      <w:pPr>
        <w:pStyle w:val="SingleTxtG"/>
        <w:ind w:left="2268"/>
        <w:rPr>
          <w:b/>
          <w:bCs/>
          <w:lang w:val="fr-FR"/>
        </w:rPr>
      </w:pPr>
      <w:r w:rsidRPr="00C313CB">
        <w:rPr>
          <w:b/>
          <w:bCs/>
          <w:lang w:val="fr-FR"/>
        </w:rPr>
        <w:t>Pas de prescription particulière.</w:t>
      </w:r>
    </w:p>
    <w:p w14:paraId="1E75759E" w14:textId="77777777" w:rsidR="00540808" w:rsidRPr="00DC6FD8" w:rsidRDefault="00540808" w:rsidP="004C5CC7">
      <w:pPr>
        <w:pStyle w:val="SingleTxtG"/>
        <w:keepNext/>
        <w:ind w:left="2268" w:hanging="1134"/>
        <w:jc w:val="left"/>
        <w:rPr>
          <w:b/>
          <w:bCs/>
          <w:lang w:val="fr-FR"/>
        </w:rPr>
      </w:pPr>
      <w:r w:rsidRPr="00DC6FD8">
        <w:rPr>
          <w:b/>
          <w:bCs/>
          <w:lang w:val="fr-FR"/>
        </w:rPr>
        <w:t>6.28.8</w:t>
      </w:r>
      <w:r w:rsidRPr="00DC6FD8">
        <w:rPr>
          <w:b/>
          <w:bCs/>
          <w:lang w:val="fr-FR"/>
        </w:rPr>
        <w:tab/>
        <w:t>Témoin</w:t>
      </w:r>
    </w:p>
    <w:p w14:paraId="1B2DF85B" w14:textId="77777777" w:rsidR="00540808" w:rsidRPr="00C313CB" w:rsidRDefault="00540808" w:rsidP="0011147B">
      <w:pPr>
        <w:pStyle w:val="SingleTxtG"/>
        <w:ind w:left="2268"/>
        <w:rPr>
          <w:b/>
          <w:bCs/>
          <w:lang w:val="fr-FR"/>
        </w:rPr>
      </w:pPr>
      <w:r w:rsidRPr="00C313CB">
        <w:rPr>
          <w:b/>
          <w:bCs/>
          <w:lang w:val="fr-FR"/>
        </w:rPr>
        <w:t>Pas de prescription particulière.</w:t>
      </w:r>
    </w:p>
    <w:p w14:paraId="4D9D7940" w14:textId="77777777" w:rsidR="00540808" w:rsidRPr="00DC6FD8" w:rsidRDefault="00540808" w:rsidP="004C5CC7">
      <w:pPr>
        <w:pStyle w:val="SingleTxtG"/>
        <w:keepNext/>
        <w:ind w:left="2268" w:hanging="1134"/>
        <w:jc w:val="left"/>
        <w:rPr>
          <w:b/>
          <w:bCs/>
          <w:lang w:val="fr-FR"/>
        </w:rPr>
      </w:pPr>
      <w:r w:rsidRPr="00DC6FD8">
        <w:rPr>
          <w:b/>
          <w:bCs/>
          <w:lang w:val="fr-FR"/>
        </w:rPr>
        <w:t>6.28.9</w:t>
      </w:r>
      <w:r w:rsidRPr="00DC6FD8">
        <w:rPr>
          <w:b/>
          <w:bCs/>
          <w:lang w:val="fr-FR"/>
        </w:rPr>
        <w:tab/>
        <w:t>Autres prescriptions</w:t>
      </w:r>
    </w:p>
    <w:p w14:paraId="2D415CF3" w14:textId="77777777" w:rsidR="00540808" w:rsidRPr="00DC6FD8" w:rsidRDefault="00540808" w:rsidP="00DC6FD8">
      <w:pPr>
        <w:pStyle w:val="SingleTxtG"/>
        <w:ind w:left="2268" w:hanging="1134"/>
        <w:rPr>
          <w:b/>
          <w:bCs/>
          <w:lang w:val="fr-FR"/>
        </w:rPr>
      </w:pPr>
      <w:r w:rsidRPr="00DC6FD8">
        <w:rPr>
          <w:b/>
          <w:bCs/>
          <w:lang w:val="fr-FR"/>
        </w:rPr>
        <w:t>6.28.9.1</w:t>
      </w:r>
      <w:r w:rsidRPr="00DC6FD8">
        <w:rPr>
          <w:b/>
          <w:bCs/>
          <w:lang w:val="fr-FR"/>
        </w:rPr>
        <w:tab/>
        <w:t>Le témoin du système d’énergie ne peut être activé que si le véhicule est à l’arrêt et l’une au moins des conditions suivantes est remplie :</w:t>
      </w:r>
    </w:p>
    <w:p w14:paraId="3F97A1CE" w14:textId="52E13B2C" w:rsidR="00540808" w:rsidRPr="00DC6FD8" w:rsidRDefault="00540808" w:rsidP="00073500">
      <w:pPr>
        <w:pStyle w:val="SingleTxtG"/>
        <w:ind w:left="2835" w:hanging="567"/>
        <w:rPr>
          <w:b/>
          <w:bCs/>
          <w:lang w:val="fr-FR"/>
        </w:rPr>
      </w:pPr>
      <w:r w:rsidRPr="00DC6FD8">
        <w:rPr>
          <w:b/>
          <w:bCs/>
          <w:lang w:val="fr-FR"/>
        </w:rPr>
        <w:t xml:space="preserve">a) </w:t>
      </w:r>
      <w:r w:rsidRPr="00DC6FD8">
        <w:rPr>
          <w:b/>
          <w:bCs/>
          <w:lang w:val="fr-FR"/>
        </w:rPr>
        <w:tab/>
      </w:r>
      <w:r w:rsidRPr="00DC6FD8">
        <w:rPr>
          <w:b/>
          <w:bCs/>
          <w:lang w:val="fr-FR"/>
        </w:rPr>
        <w:tab/>
        <w:t>Le véhicule est branché au réseau énergétique</w:t>
      </w:r>
      <w:r w:rsidR="00073500">
        <w:rPr>
          <w:b/>
          <w:bCs/>
          <w:lang w:val="fr-FR"/>
        </w:rPr>
        <w:t> </w:t>
      </w:r>
      <w:r w:rsidRPr="00DC6FD8">
        <w:rPr>
          <w:b/>
          <w:bCs/>
          <w:lang w:val="fr-FR"/>
        </w:rPr>
        <w:t xml:space="preserve">; </w:t>
      </w:r>
    </w:p>
    <w:p w14:paraId="37273946" w14:textId="77777777" w:rsidR="00540808" w:rsidRPr="00DC6FD8" w:rsidRDefault="00540808" w:rsidP="00073500">
      <w:pPr>
        <w:pStyle w:val="SingleTxtG"/>
        <w:ind w:left="2835" w:hanging="567"/>
        <w:rPr>
          <w:b/>
          <w:bCs/>
          <w:lang w:val="fr-FR"/>
        </w:rPr>
      </w:pPr>
      <w:r w:rsidRPr="00DC6FD8">
        <w:rPr>
          <w:b/>
          <w:bCs/>
          <w:lang w:val="fr-FR"/>
        </w:rPr>
        <w:t xml:space="preserve">b) </w:t>
      </w:r>
      <w:r w:rsidRPr="00DC6FD8">
        <w:rPr>
          <w:b/>
          <w:bCs/>
          <w:lang w:val="fr-FR"/>
        </w:rPr>
        <w:tab/>
        <w:t xml:space="preserve">Le témoin du système d’énergie est activé manuellement par l’utilisateur du véhicule ; </w:t>
      </w:r>
      <w:r w:rsidRPr="00DC6FD8">
        <w:rPr>
          <w:b/>
          <w:bCs/>
          <w:lang w:val="fr-FR"/>
        </w:rPr>
        <w:tab/>
      </w:r>
    </w:p>
    <w:p w14:paraId="76CCF94F" w14:textId="77777777" w:rsidR="00540808" w:rsidRPr="00DC6FD8" w:rsidRDefault="00540808" w:rsidP="00073500">
      <w:pPr>
        <w:pStyle w:val="SingleTxtG"/>
        <w:ind w:left="2835" w:hanging="567"/>
        <w:rPr>
          <w:b/>
          <w:bCs/>
          <w:lang w:val="fr-FR"/>
        </w:rPr>
      </w:pPr>
      <w:r w:rsidRPr="00DC6FD8">
        <w:rPr>
          <w:b/>
          <w:bCs/>
          <w:lang w:val="fr-FR"/>
        </w:rPr>
        <w:t>c)</w:t>
      </w:r>
      <w:r w:rsidRPr="00DC6FD8">
        <w:rPr>
          <w:b/>
          <w:bCs/>
          <w:lang w:val="fr-FR"/>
        </w:rPr>
        <w:tab/>
      </w:r>
      <w:r w:rsidRPr="00DC6FD8">
        <w:rPr>
          <w:b/>
          <w:bCs/>
          <w:lang w:val="fr-FR"/>
        </w:rPr>
        <w:tab/>
        <w:t xml:space="preserve">Une partie mobile permettant d’accéder au branchement au réseau électrique est en position ouverte ; </w:t>
      </w:r>
    </w:p>
    <w:p w14:paraId="30854575" w14:textId="25A7DA88" w:rsidR="00540808" w:rsidRPr="00DC6FD8" w:rsidRDefault="00540808" w:rsidP="00073500">
      <w:pPr>
        <w:pStyle w:val="SingleTxtG"/>
        <w:ind w:left="2835" w:hanging="567"/>
        <w:rPr>
          <w:b/>
          <w:bCs/>
          <w:lang w:val="fr-FR"/>
        </w:rPr>
      </w:pPr>
      <w:r w:rsidRPr="00DC6FD8">
        <w:rPr>
          <w:b/>
          <w:bCs/>
          <w:lang w:val="fr-FR"/>
        </w:rPr>
        <w:t>d)</w:t>
      </w:r>
      <w:r w:rsidRPr="00DC6FD8">
        <w:rPr>
          <w:b/>
          <w:bCs/>
          <w:lang w:val="fr-FR"/>
        </w:rPr>
        <w:tab/>
        <w:t>L’utilisateur s’approchant du véhicule est détecté.</w:t>
      </w:r>
    </w:p>
    <w:p w14:paraId="03C679CA" w14:textId="77777777" w:rsidR="00540808" w:rsidRPr="00DC6FD8" w:rsidRDefault="00540808" w:rsidP="00DC6FD8">
      <w:pPr>
        <w:pStyle w:val="SingleTxtG"/>
        <w:ind w:left="2268" w:hanging="1134"/>
        <w:rPr>
          <w:b/>
          <w:bCs/>
          <w:lang w:val="fr-FR"/>
        </w:rPr>
      </w:pPr>
      <w:r w:rsidRPr="00DC6FD8">
        <w:rPr>
          <w:b/>
          <w:bCs/>
          <w:lang w:val="fr-FR"/>
        </w:rPr>
        <w:t>6.28.9.2</w:t>
      </w:r>
      <w:r w:rsidRPr="00DC6FD8">
        <w:rPr>
          <w:b/>
          <w:bCs/>
          <w:lang w:val="fr-FR"/>
        </w:rPr>
        <w:tab/>
        <w:t>L’intensité lumineuse du témoin du système d’énergie ne doit pas dépasser [3 cd].</w:t>
      </w:r>
    </w:p>
    <w:p w14:paraId="703AFD84" w14:textId="77777777" w:rsidR="00540808" w:rsidRPr="00DC6FD8" w:rsidRDefault="00540808" w:rsidP="00F708F1">
      <w:pPr>
        <w:pStyle w:val="SingleTxtG"/>
        <w:ind w:left="2268"/>
        <w:rPr>
          <w:b/>
          <w:bCs/>
          <w:lang w:val="fr-FR"/>
        </w:rPr>
      </w:pPr>
      <w:r w:rsidRPr="00DC6FD8">
        <w:rPr>
          <w:b/>
          <w:bCs/>
          <w:lang w:val="fr-FR"/>
        </w:rPr>
        <w:t>Le respect de cette prescription doit être prouvé par le demandeur au moyen d’un procès-verbal d’essai ou par tout autre moyen de vérification agréé par l’autorité d’homologation de type. Ces informations doivent être consignées sur la fiche de communication.</w:t>
      </w:r>
    </w:p>
    <w:p w14:paraId="221CA791" w14:textId="77777777" w:rsidR="00540808" w:rsidRPr="00DC6FD8" w:rsidRDefault="00540808" w:rsidP="00DC6FD8">
      <w:pPr>
        <w:pStyle w:val="SingleTxtG"/>
        <w:ind w:left="2268" w:hanging="1134"/>
        <w:rPr>
          <w:b/>
          <w:bCs/>
          <w:lang w:val="fr-FR"/>
        </w:rPr>
      </w:pPr>
      <w:r w:rsidRPr="00DC6FD8">
        <w:rPr>
          <w:b/>
          <w:bCs/>
          <w:lang w:val="fr-FR"/>
        </w:rPr>
        <w:t>6.28.9.3</w:t>
      </w:r>
      <w:r w:rsidRPr="00DC6FD8">
        <w:rPr>
          <w:b/>
          <w:bCs/>
          <w:lang w:val="fr-FR"/>
        </w:rPr>
        <w:tab/>
        <w:t>La ou les couleurs émises, le clignotement ou la variation de l’intensité lumineuse ou de la surface apparente et les conditions associées doivent être expliqués dans le manuel de l’utilisateur.</w:t>
      </w:r>
    </w:p>
    <w:p w14:paraId="40552DD5" w14:textId="77777777" w:rsidR="00540808" w:rsidRPr="00DC6FD8" w:rsidRDefault="00540808" w:rsidP="00DC6FD8">
      <w:pPr>
        <w:pStyle w:val="SingleTxtG"/>
        <w:ind w:left="2268" w:hanging="1134"/>
        <w:rPr>
          <w:b/>
          <w:bCs/>
          <w:lang w:val="fr-FR"/>
        </w:rPr>
      </w:pPr>
      <w:r w:rsidRPr="00DC6FD8">
        <w:rPr>
          <w:b/>
          <w:bCs/>
          <w:lang w:val="fr-FR"/>
        </w:rPr>
        <w:t>[6.28.9.4</w:t>
      </w:r>
      <w:r w:rsidRPr="00DC6FD8">
        <w:rPr>
          <w:b/>
          <w:bCs/>
          <w:lang w:val="fr-FR"/>
        </w:rPr>
        <w:tab/>
        <w:t>Le témoin du système d’énergie peut clignoter en rouge lorsqu’une défaillance concernant le transfert d’énergie est détectée. Toutefois, la durée de clignotement en rouge ne doit pas dépasser 10 secondes.] </w:t>
      </w:r>
      <w:r w:rsidRPr="00F708F1">
        <w:rPr>
          <w:lang w:val="fr-FR"/>
        </w:rPr>
        <w:t>».</w:t>
      </w:r>
    </w:p>
    <w:p w14:paraId="1ECC1B26" w14:textId="7D334FC9" w:rsidR="00540808" w:rsidRPr="006E38FF" w:rsidRDefault="00540808" w:rsidP="00DC6FD8">
      <w:pPr>
        <w:pStyle w:val="SingleTxtG"/>
        <w:keepNext/>
        <w:rPr>
          <w:rFonts w:asciiTheme="majorBidi" w:hAnsiTheme="majorBidi" w:cstheme="majorBidi"/>
          <w:lang w:val="fr-FR"/>
        </w:rPr>
      </w:pPr>
      <w:r w:rsidRPr="00DC6FD8">
        <w:rPr>
          <w:i/>
          <w:iCs/>
          <w:lang w:val="fr-FR"/>
        </w:rPr>
        <w:t>Ajouter le nouveau paragraphe 6.29</w:t>
      </w:r>
      <w:r w:rsidRPr="006E38FF">
        <w:rPr>
          <w:lang w:val="fr-FR"/>
        </w:rPr>
        <w:t>, libellé comme suit :</w:t>
      </w:r>
    </w:p>
    <w:p w14:paraId="173A4152" w14:textId="77777777" w:rsidR="00540808" w:rsidRPr="006E38FF" w:rsidRDefault="00540808" w:rsidP="00F708F1">
      <w:pPr>
        <w:pStyle w:val="SingleTxtG"/>
        <w:keepNext/>
        <w:ind w:left="2268" w:hanging="1134"/>
        <w:jc w:val="left"/>
        <w:rPr>
          <w:rFonts w:asciiTheme="majorBidi" w:hAnsiTheme="majorBidi" w:cstheme="majorBidi"/>
          <w:lang w:val="fr-FR"/>
        </w:rPr>
      </w:pPr>
      <w:r w:rsidRPr="000E0880">
        <w:rPr>
          <w:bCs/>
          <w:lang w:val="fr-FR"/>
        </w:rPr>
        <w:t>« </w:t>
      </w:r>
      <w:r w:rsidRPr="00DC6FD8">
        <w:rPr>
          <w:b/>
          <w:bCs/>
          <w:lang w:val="fr-FR"/>
        </w:rPr>
        <w:t>6.29</w:t>
      </w:r>
      <w:r w:rsidRPr="00DC6FD8">
        <w:rPr>
          <w:b/>
          <w:bCs/>
          <w:lang w:val="fr-FR"/>
        </w:rPr>
        <w:tab/>
        <w:t>Mode d’essai des dispositifs d’éclairage et de signalisation lumineuse</w:t>
      </w:r>
    </w:p>
    <w:p w14:paraId="30E8A954" w14:textId="77777777" w:rsidR="00540808" w:rsidRPr="00DC6FD8" w:rsidRDefault="00540808" w:rsidP="00F708F1">
      <w:pPr>
        <w:pStyle w:val="SingleTxtG"/>
        <w:ind w:left="2268"/>
        <w:rPr>
          <w:b/>
          <w:bCs/>
          <w:lang w:val="fr-FR"/>
        </w:rPr>
      </w:pPr>
      <w:r w:rsidRPr="006E38FF">
        <w:rPr>
          <w:b/>
          <w:bCs/>
          <w:lang w:val="fr-FR"/>
        </w:rPr>
        <w:t>Sauf indication contraire dans le présent paragraphe et ses sous-paragraphes, les prescriptions relatives aux dispositifs d</w:t>
      </w:r>
      <w:r>
        <w:rPr>
          <w:b/>
          <w:bCs/>
          <w:lang w:val="fr-FR"/>
        </w:rPr>
        <w:t>’</w:t>
      </w:r>
      <w:r w:rsidRPr="006E38FF">
        <w:rPr>
          <w:b/>
          <w:bCs/>
          <w:lang w:val="fr-FR"/>
        </w:rPr>
        <w:t xml:space="preserve">éclairage et de signalisation </w:t>
      </w:r>
      <w:r w:rsidRPr="006E38FF">
        <w:rPr>
          <w:b/>
          <w:bCs/>
          <w:lang w:val="fr-FR"/>
        </w:rPr>
        <w:lastRenderedPageBreak/>
        <w:t>lumineuse ne s</w:t>
      </w:r>
      <w:r>
        <w:rPr>
          <w:b/>
          <w:bCs/>
          <w:lang w:val="fr-FR"/>
        </w:rPr>
        <w:t>’</w:t>
      </w:r>
      <w:r w:rsidRPr="006E38FF">
        <w:rPr>
          <w:b/>
          <w:bCs/>
          <w:lang w:val="fr-FR"/>
        </w:rPr>
        <w:t xml:space="preserve">appliquent pas </w:t>
      </w:r>
      <w:r>
        <w:rPr>
          <w:b/>
          <w:bCs/>
          <w:lang w:val="fr-FR"/>
        </w:rPr>
        <w:t xml:space="preserve">lorsque ceux-ci sont </w:t>
      </w:r>
      <w:r w:rsidRPr="006E38FF">
        <w:rPr>
          <w:b/>
          <w:bCs/>
          <w:lang w:val="fr-FR"/>
        </w:rPr>
        <w:t>utilisés pour le mode d</w:t>
      </w:r>
      <w:r>
        <w:rPr>
          <w:b/>
          <w:bCs/>
          <w:lang w:val="fr-FR"/>
        </w:rPr>
        <w:t>’</w:t>
      </w:r>
      <w:r w:rsidRPr="006E38FF">
        <w:rPr>
          <w:b/>
          <w:bCs/>
          <w:lang w:val="fr-FR"/>
        </w:rPr>
        <w:t>essai.</w:t>
      </w:r>
    </w:p>
    <w:p w14:paraId="68B4BA61" w14:textId="77777777" w:rsidR="00540808" w:rsidRPr="00DC6FD8" w:rsidRDefault="00540808" w:rsidP="00DC6FD8">
      <w:pPr>
        <w:pStyle w:val="SingleTxtG"/>
        <w:ind w:left="2268" w:hanging="1134"/>
        <w:rPr>
          <w:b/>
          <w:bCs/>
          <w:lang w:val="fr-FR"/>
        </w:rPr>
      </w:pPr>
      <w:r w:rsidRPr="00DC6FD8">
        <w:rPr>
          <w:b/>
          <w:bCs/>
          <w:lang w:val="fr-FR"/>
        </w:rPr>
        <w:t>6.29.1</w:t>
      </w:r>
      <w:r w:rsidRPr="00DC6FD8">
        <w:rPr>
          <w:b/>
          <w:bCs/>
          <w:lang w:val="fr-FR"/>
        </w:rPr>
        <w:tab/>
        <w:t xml:space="preserve">Présence </w:t>
      </w:r>
    </w:p>
    <w:p w14:paraId="785F0449" w14:textId="3BF1AD80" w:rsidR="00540808" w:rsidRPr="00DC6FD8" w:rsidRDefault="00540808" w:rsidP="00F708F1">
      <w:pPr>
        <w:pStyle w:val="SingleTxtG"/>
        <w:ind w:left="2268"/>
        <w:rPr>
          <w:b/>
          <w:bCs/>
          <w:lang w:val="fr-FR"/>
        </w:rPr>
      </w:pPr>
      <w:r w:rsidRPr="00DC6FD8">
        <w:rPr>
          <w:b/>
          <w:bCs/>
          <w:lang w:val="fr-FR"/>
        </w:rPr>
        <w:t>Facultative.</w:t>
      </w:r>
    </w:p>
    <w:p w14:paraId="703457AF" w14:textId="77777777" w:rsidR="00540808" w:rsidRPr="00DC6FD8" w:rsidRDefault="00540808" w:rsidP="00F708F1">
      <w:pPr>
        <w:pStyle w:val="SingleTxtG"/>
        <w:keepNext/>
        <w:ind w:left="2268" w:hanging="1134"/>
        <w:jc w:val="left"/>
        <w:rPr>
          <w:b/>
          <w:bCs/>
          <w:lang w:val="fr-FR"/>
        </w:rPr>
      </w:pPr>
      <w:r w:rsidRPr="00DC6FD8">
        <w:rPr>
          <w:b/>
          <w:bCs/>
          <w:lang w:val="fr-FR"/>
        </w:rPr>
        <w:t>6.29.2</w:t>
      </w:r>
      <w:r w:rsidRPr="00DC6FD8">
        <w:rPr>
          <w:b/>
          <w:bCs/>
          <w:lang w:val="fr-FR"/>
        </w:rPr>
        <w:tab/>
        <w:t>Nombre</w:t>
      </w:r>
    </w:p>
    <w:p w14:paraId="2314B575" w14:textId="77777777" w:rsidR="00540808" w:rsidRPr="00DC6FD8" w:rsidRDefault="00540808" w:rsidP="00123534">
      <w:pPr>
        <w:pStyle w:val="SingleTxtG"/>
        <w:ind w:left="2268"/>
        <w:rPr>
          <w:b/>
          <w:bCs/>
          <w:lang w:val="fr-FR"/>
        </w:rPr>
      </w:pPr>
      <w:r w:rsidRPr="00DC6FD8">
        <w:rPr>
          <w:b/>
          <w:bCs/>
          <w:lang w:val="fr-FR"/>
        </w:rPr>
        <w:t xml:space="preserve">Pas de prescription particulière. </w:t>
      </w:r>
    </w:p>
    <w:p w14:paraId="6C821E18" w14:textId="77777777" w:rsidR="00540808" w:rsidRPr="00DC6FD8" w:rsidRDefault="00540808" w:rsidP="00123534">
      <w:pPr>
        <w:pStyle w:val="SingleTxtG"/>
        <w:ind w:left="2268"/>
        <w:rPr>
          <w:b/>
          <w:bCs/>
          <w:lang w:val="fr-FR"/>
        </w:rPr>
      </w:pPr>
      <w:r w:rsidRPr="00DC6FD8">
        <w:rPr>
          <w:b/>
          <w:bCs/>
          <w:lang w:val="fr-FR"/>
        </w:rPr>
        <w:t>Toutefois, si des feux homologués sont utilisés, leur nombre doit être inférieur ou égal au nombre spécifié pour les feux visés.</w:t>
      </w:r>
    </w:p>
    <w:p w14:paraId="56C981B1" w14:textId="77777777" w:rsidR="00540808" w:rsidRPr="00DC6FD8" w:rsidRDefault="00540808" w:rsidP="00A918D8">
      <w:pPr>
        <w:pStyle w:val="SingleTxtG"/>
        <w:keepNext/>
        <w:ind w:left="2268" w:hanging="1134"/>
        <w:jc w:val="left"/>
        <w:rPr>
          <w:b/>
          <w:bCs/>
          <w:lang w:val="fr-FR"/>
        </w:rPr>
      </w:pPr>
      <w:r w:rsidRPr="00DC6FD8">
        <w:rPr>
          <w:b/>
          <w:bCs/>
          <w:lang w:val="fr-FR"/>
        </w:rPr>
        <w:t>6.29.3</w:t>
      </w:r>
      <w:r w:rsidRPr="00DC6FD8">
        <w:rPr>
          <w:b/>
          <w:bCs/>
          <w:lang w:val="fr-FR"/>
        </w:rPr>
        <w:tab/>
        <w:t>Schéma de montage</w:t>
      </w:r>
    </w:p>
    <w:p w14:paraId="0B8150A0" w14:textId="77777777" w:rsidR="00540808" w:rsidRPr="00DC6FD8" w:rsidRDefault="00540808" w:rsidP="007F245B">
      <w:pPr>
        <w:pStyle w:val="SingleTxtG"/>
        <w:ind w:left="2268"/>
        <w:rPr>
          <w:b/>
          <w:bCs/>
          <w:lang w:val="fr-FR"/>
        </w:rPr>
      </w:pPr>
      <w:r w:rsidRPr="00DC6FD8">
        <w:rPr>
          <w:b/>
          <w:bCs/>
          <w:lang w:val="fr-FR"/>
        </w:rPr>
        <w:t>Pas de prescription particulière.</w:t>
      </w:r>
    </w:p>
    <w:p w14:paraId="7AFEBE1F" w14:textId="77777777" w:rsidR="00540808" w:rsidRPr="00DC6FD8" w:rsidRDefault="00540808" w:rsidP="00123534">
      <w:pPr>
        <w:pStyle w:val="SingleTxtG"/>
        <w:ind w:left="2268"/>
        <w:rPr>
          <w:b/>
          <w:bCs/>
          <w:lang w:val="fr-FR"/>
        </w:rPr>
      </w:pPr>
      <w:r w:rsidRPr="00DC6FD8">
        <w:rPr>
          <w:b/>
          <w:bCs/>
          <w:lang w:val="fr-FR"/>
        </w:rPr>
        <w:t>Toutefois, si des feux homologués sont utilisés, le schéma de montage doit être tout au plus conforme aux spécifications applicables aux feux visés.</w:t>
      </w:r>
    </w:p>
    <w:p w14:paraId="19D0ADB7" w14:textId="77777777" w:rsidR="00540808" w:rsidRPr="00DC6FD8" w:rsidRDefault="00540808" w:rsidP="00A918D8">
      <w:pPr>
        <w:pStyle w:val="SingleTxtG"/>
        <w:keepNext/>
        <w:ind w:left="2268" w:hanging="1134"/>
        <w:jc w:val="left"/>
        <w:rPr>
          <w:b/>
          <w:bCs/>
          <w:lang w:val="fr-FR"/>
        </w:rPr>
      </w:pPr>
      <w:r w:rsidRPr="00DC6FD8">
        <w:rPr>
          <w:b/>
          <w:bCs/>
          <w:lang w:val="fr-FR"/>
        </w:rPr>
        <w:t>6.29.4</w:t>
      </w:r>
      <w:r w:rsidRPr="00DC6FD8">
        <w:rPr>
          <w:b/>
          <w:bCs/>
          <w:lang w:val="fr-FR"/>
        </w:rPr>
        <w:tab/>
        <w:t>Emplacement</w:t>
      </w:r>
    </w:p>
    <w:p w14:paraId="75A50218" w14:textId="77777777" w:rsidR="00540808" w:rsidRPr="00DC6FD8" w:rsidRDefault="00540808" w:rsidP="00123534">
      <w:pPr>
        <w:pStyle w:val="SingleTxtG"/>
        <w:ind w:left="2268"/>
        <w:rPr>
          <w:b/>
          <w:bCs/>
          <w:lang w:val="fr-FR"/>
        </w:rPr>
      </w:pPr>
      <w:r w:rsidRPr="00DC6FD8">
        <w:rPr>
          <w:b/>
          <w:bCs/>
          <w:lang w:val="fr-FR"/>
        </w:rPr>
        <w:t>Pas de prescription particulière.</w:t>
      </w:r>
    </w:p>
    <w:p w14:paraId="564E50E6" w14:textId="77777777" w:rsidR="00540808" w:rsidRPr="00DC6FD8" w:rsidRDefault="00540808" w:rsidP="00123534">
      <w:pPr>
        <w:pStyle w:val="SingleTxtG"/>
        <w:ind w:left="2268"/>
        <w:rPr>
          <w:b/>
          <w:bCs/>
          <w:lang w:val="fr-FR"/>
        </w:rPr>
      </w:pPr>
      <w:r w:rsidRPr="00DC6FD8">
        <w:rPr>
          <w:b/>
          <w:bCs/>
          <w:lang w:val="fr-FR"/>
        </w:rPr>
        <w:t xml:space="preserve">Toutefois, si des feux homologués sont utilisés, l’emplacement doit être conforme aux spécifications applicables aux feux visés. </w:t>
      </w:r>
    </w:p>
    <w:p w14:paraId="15825CE7" w14:textId="77777777" w:rsidR="00540808" w:rsidRPr="00DC6FD8" w:rsidRDefault="00540808" w:rsidP="00123534">
      <w:pPr>
        <w:pStyle w:val="SingleTxtG"/>
        <w:ind w:left="2268"/>
        <w:rPr>
          <w:b/>
          <w:bCs/>
          <w:lang w:val="fr-FR"/>
        </w:rPr>
      </w:pPr>
      <w:r w:rsidRPr="00DC6FD8">
        <w:rPr>
          <w:b/>
          <w:bCs/>
          <w:lang w:val="fr-FR"/>
        </w:rPr>
        <w:t>Cependant, si la hauteur varie selon les conditions de fonctionnement du système de propulsion, elle doit être inférieure ou égale à ce qui est spécifié pour les feux visés.</w:t>
      </w:r>
    </w:p>
    <w:p w14:paraId="4532B91F" w14:textId="77777777" w:rsidR="00540808" w:rsidRPr="00DC6FD8" w:rsidRDefault="00540808" w:rsidP="00A918D8">
      <w:pPr>
        <w:pStyle w:val="SingleTxtG"/>
        <w:keepNext/>
        <w:ind w:left="2268" w:hanging="1134"/>
        <w:jc w:val="left"/>
        <w:rPr>
          <w:b/>
          <w:bCs/>
          <w:lang w:val="fr-FR"/>
        </w:rPr>
      </w:pPr>
      <w:r w:rsidRPr="00DC6FD8">
        <w:rPr>
          <w:b/>
          <w:bCs/>
          <w:lang w:val="fr-FR"/>
        </w:rPr>
        <w:t>6.29.5</w:t>
      </w:r>
      <w:r w:rsidRPr="00DC6FD8">
        <w:rPr>
          <w:b/>
          <w:bCs/>
          <w:lang w:val="fr-FR"/>
        </w:rPr>
        <w:tab/>
        <w:t>Visibilité géométrique</w:t>
      </w:r>
    </w:p>
    <w:p w14:paraId="45F4C4BC" w14:textId="77777777" w:rsidR="00540808" w:rsidRPr="00DC6FD8" w:rsidRDefault="00540808" w:rsidP="00123534">
      <w:pPr>
        <w:pStyle w:val="SingleTxtG"/>
        <w:ind w:left="2268"/>
        <w:rPr>
          <w:b/>
          <w:bCs/>
          <w:lang w:val="fr-FR"/>
        </w:rPr>
      </w:pPr>
      <w:r w:rsidRPr="00DC6FD8">
        <w:rPr>
          <w:b/>
          <w:bCs/>
          <w:lang w:val="fr-FR"/>
        </w:rPr>
        <w:t>Pas de prescription particulière.</w:t>
      </w:r>
    </w:p>
    <w:p w14:paraId="5A2C3E68" w14:textId="77777777" w:rsidR="00540808" w:rsidRPr="00DC6FD8" w:rsidRDefault="00540808" w:rsidP="00123534">
      <w:pPr>
        <w:pStyle w:val="SingleTxtG"/>
        <w:ind w:left="2268"/>
        <w:rPr>
          <w:b/>
          <w:bCs/>
          <w:lang w:val="fr-FR"/>
        </w:rPr>
      </w:pPr>
      <w:r w:rsidRPr="00DC6FD8">
        <w:rPr>
          <w:b/>
          <w:bCs/>
          <w:lang w:val="fr-FR"/>
        </w:rPr>
        <w:t>Toutefois, si des feux homologués sont utilisés, la visibilité géométrique doit être tout au plus conforme aux spécifications applicables aux feux visés.</w:t>
      </w:r>
    </w:p>
    <w:p w14:paraId="6E62FB03" w14:textId="77777777" w:rsidR="00540808" w:rsidRPr="00DC6FD8" w:rsidRDefault="00540808" w:rsidP="00A918D8">
      <w:pPr>
        <w:pStyle w:val="SingleTxtG"/>
        <w:keepNext/>
        <w:ind w:left="2268" w:hanging="1134"/>
        <w:jc w:val="left"/>
        <w:rPr>
          <w:b/>
          <w:bCs/>
          <w:lang w:val="fr-FR"/>
        </w:rPr>
      </w:pPr>
      <w:r w:rsidRPr="00DC6FD8">
        <w:rPr>
          <w:b/>
          <w:bCs/>
          <w:lang w:val="fr-FR"/>
        </w:rPr>
        <w:t>6.29.6</w:t>
      </w:r>
      <w:r w:rsidRPr="00DC6FD8">
        <w:rPr>
          <w:b/>
          <w:bCs/>
          <w:lang w:val="fr-FR"/>
        </w:rPr>
        <w:tab/>
        <w:t>Orientation</w:t>
      </w:r>
    </w:p>
    <w:p w14:paraId="66449D1F" w14:textId="77777777" w:rsidR="00540808" w:rsidRPr="00DC6FD8" w:rsidRDefault="00540808" w:rsidP="00123534">
      <w:pPr>
        <w:pStyle w:val="SingleTxtG"/>
        <w:ind w:left="2268"/>
        <w:rPr>
          <w:b/>
          <w:bCs/>
          <w:lang w:val="fr-FR"/>
        </w:rPr>
      </w:pPr>
      <w:r w:rsidRPr="00DC6FD8">
        <w:rPr>
          <w:b/>
          <w:bCs/>
          <w:lang w:val="fr-FR"/>
        </w:rPr>
        <w:t>Pas de prescription particulière.</w:t>
      </w:r>
    </w:p>
    <w:p w14:paraId="714C91FD" w14:textId="77777777" w:rsidR="00540808" w:rsidRPr="00DC6FD8" w:rsidRDefault="00540808" w:rsidP="00123534">
      <w:pPr>
        <w:pStyle w:val="SingleTxtG"/>
        <w:ind w:left="2268"/>
        <w:rPr>
          <w:b/>
          <w:bCs/>
          <w:lang w:val="fr-FR"/>
        </w:rPr>
      </w:pPr>
      <w:r w:rsidRPr="00DC6FD8">
        <w:rPr>
          <w:b/>
          <w:bCs/>
          <w:lang w:val="fr-FR"/>
        </w:rPr>
        <w:t>Toutefois, si des feux homologués sont utilisés, l’orientation doit être conforme aux spécifications applicables aux feux visés.</w:t>
      </w:r>
    </w:p>
    <w:p w14:paraId="21898E0C" w14:textId="77777777" w:rsidR="00540808" w:rsidRPr="00DC6FD8" w:rsidRDefault="00540808" w:rsidP="00A918D8">
      <w:pPr>
        <w:pStyle w:val="SingleTxtG"/>
        <w:keepNext/>
        <w:ind w:left="2268" w:hanging="1134"/>
        <w:jc w:val="left"/>
        <w:rPr>
          <w:b/>
          <w:bCs/>
          <w:lang w:val="fr-FR"/>
        </w:rPr>
      </w:pPr>
      <w:r w:rsidRPr="00DC6FD8">
        <w:rPr>
          <w:b/>
          <w:bCs/>
          <w:lang w:val="fr-FR"/>
        </w:rPr>
        <w:t>6.29.7</w:t>
      </w:r>
      <w:r w:rsidRPr="00DC6FD8">
        <w:rPr>
          <w:b/>
          <w:bCs/>
          <w:lang w:val="fr-FR"/>
        </w:rPr>
        <w:tab/>
        <w:t>Branchements électriques</w:t>
      </w:r>
    </w:p>
    <w:p w14:paraId="351B3502" w14:textId="77777777" w:rsidR="00540808" w:rsidRPr="00DC6FD8" w:rsidRDefault="00540808" w:rsidP="00123534">
      <w:pPr>
        <w:pStyle w:val="SingleTxtG"/>
        <w:ind w:left="2268"/>
        <w:rPr>
          <w:b/>
          <w:bCs/>
          <w:lang w:val="fr-FR"/>
        </w:rPr>
      </w:pPr>
      <w:r w:rsidRPr="00DC6FD8">
        <w:rPr>
          <w:b/>
          <w:bCs/>
          <w:lang w:val="fr-FR"/>
        </w:rPr>
        <w:t>Les fonctions doivent être activées une par une.  Toutefois, les feux homologués pouvant fonctionner simultanément dans les conditions normales d’utilisation d’un véhicule peuvent être allumés en même temps.</w:t>
      </w:r>
    </w:p>
    <w:p w14:paraId="6FCD4E9D" w14:textId="77777777" w:rsidR="00540808" w:rsidRPr="00DC6FD8" w:rsidRDefault="00540808" w:rsidP="00123534">
      <w:pPr>
        <w:pStyle w:val="SingleTxtG"/>
        <w:ind w:left="2268"/>
        <w:rPr>
          <w:b/>
          <w:bCs/>
          <w:lang w:val="fr-FR"/>
        </w:rPr>
      </w:pPr>
      <w:r w:rsidRPr="00DC6FD8">
        <w:rPr>
          <w:b/>
          <w:bCs/>
          <w:lang w:val="fr-FR"/>
        </w:rPr>
        <w:t>Les spécifications particulières relatives aux branchements électriques et les conditions énoncées aux paragraphes 5.11 et 5.12 peuvent ne pas s’appliquer aux dispositifs utilisés pour le mode d’essai des dispositifs d’éclairage et de signalisation lumineuse.</w:t>
      </w:r>
    </w:p>
    <w:p w14:paraId="324DC26A" w14:textId="77777777" w:rsidR="00540808" w:rsidRPr="00DC6FD8" w:rsidRDefault="00540808" w:rsidP="00A918D8">
      <w:pPr>
        <w:pStyle w:val="SingleTxtG"/>
        <w:keepNext/>
        <w:ind w:left="2268" w:hanging="1134"/>
        <w:jc w:val="left"/>
        <w:rPr>
          <w:b/>
          <w:bCs/>
          <w:lang w:val="fr-FR"/>
        </w:rPr>
      </w:pPr>
      <w:r w:rsidRPr="00DC6FD8">
        <w:rPr>
          <w:b/>
          <w:bCs/>
          <w:lang w:val="fr-FR"/>
        </w:rPr>
        <w:t>6.29.8</w:t>
      </w:r>
      <w:r w:rsidRPr="00DC6FD8">
        <w:rPr>
          <w:b/>
          <w:bCs/>
          <w:lang w:val="fr-FR"/>
        </w:rPr>
        <w:tab/>
        <w:t>Témoin</w:t>
      </w:r>
    </w:p>
    <w:p w14:paraId="6C282D34" w14:textId="77777777" w:rsidR="00540808" w:rsidRPr="00DC6FD8" w:rsidRDefault="00540808" w:rsidP="00123534">
      <w:pPr>
        <w:pStyle w:val="SingleTxtG"/>
        <w:ind w:left="2268"/>
        <w:rPr>
          <w:b/>
          <w:bCs/>
          <w:lang w:val="fr-FR"/>
        </w:rPr>
      </w:pPr>
      <w:r w:rsidRPr="00DC6FD8">
        <w:rPr>
          <w:b/>
          <w:bCs/>
          <w:lang w:val="fr-FR"/>
        </w:rPr>
        <w:t>Pas de prescription particulière.</w:t>
      </w:r>
    </w:p>
    <w:p w14:paraId="5C5B15C8" w14:textId="77777777" w:rsidR="00540808" w:rsidRPr="00DC6FD8" w:rsidRDefault="00540808" w:rsidP="00A918D8">
      <w:pPr>
        <w:pStyle w:val="SingleTxtG"/>
        <w:keepNext/>
        <w:ind w:left="2268" w:hanging="1134"/>
        <w:jc w:val="left"/>
        <w:rPr>
          <w:b/>
          <w:bCs/>
          <w:lang w:val="fr-FR"/>
        </w:rPr>
      </w:pPr>
      <w:r w:rsidRPr="00DC6FD8">
        <w:rPr>
          <w:b/>
          <w:bCs/>
          <w:lang w:val="fr-FR"/>
        </w:rPr>
        <w:t>6.29.9</w:t>
      </w:r>
      <w:r w:rsidRPr="00DC6FD8">
        <w:rPr>
          <w:b/>
          <w:bCs/>
          <w:lang w:val="fr-FR"/>
        </w:rPr>
        <w:tab/>
        <w:t xml:space="preserve">Autres prescriptions </w:t>
      </w:r>
    </w:p>
    <w:p w14:paraId="2D5F7718" w14:textId="77777777" w:rsidR="00540808" w:rsidRPr="00DC6FD8" w:rsidRDefault="00540808" w:rsidP="00DC6FD8">
      <w:pPr>
        <w:pStyle w:val="SingleTxtG"/>
        <w:ind w:left="2268" w:hanging="1134"/>
        <w:rPr>
          <w:b/>
          <w:bCs/>
          <w:lang w:val="fr-FR"/>
        </w:rPr>
      </w:pPr>
      <w:r w:rsidRPr="00DC6FD8">
        <w:rPr>
          <w:b/>
          <w:bCs/>
          <w:lang w:val="fr-FR"/>
        </w:rPr>
        <w:t>6.29.9.1</w:t>
      </w:r>
      <w:r w:rsidRPr="00DC6FD8">
        <w:rPr>
          <w:b/>
          <w:bCs/>
          <w:lang w:val="fr-FR"/>
        </w:rPr>
        <w:tab/>
        <w:t>Le mode d’essai des dispositifs d’éclairage et de signalisation lumineuse peut être activé [lorsque le véhicule est à l’arrêt] :</w:t>
      </w:r>
    </w:p>
    <w:p w14:paraId="42689A9A" w14:textId="7C0EED0D" w:rsidR="00540808" w:rsidRPr="00DC6FD8" w:rsidRDefault="00540808" w:rsidP="004B43CB">
      <w:pPr>
        <w:pStyle w:val="SingleTxtG"/>
        <w:ind w:left="2835" w:hanging="567"/>
        <w:rPr>
          <w:b/>
          <w:bCs/>
          <w:lang w:val="fr-FR"/>
        </w:rPr>
      </w:pPr>
      <w:r w:rsidRPr="00DC6FD8">
        <w:rPr>
          <w:b/>
          <w:bCs/>
          <w:lang w:val="fr-FR"/>
        </w:rPr>
        <w:t xml:space="preserve">a) </w:t>
      </w:r>
      <w:r w:rsidRPr="00DC6FD8">
        <w:rPr>
          <w:b/>
          <w:bCs/>
          <w:lang w:val="fr-FR"/>
        </w:rPr>
        <w:tab/>
      </w:r>
      <w:r w:rsidR="004B43CB">
        <w:rPr>
          <w:b/>
          <w:bCs/>
          <w:lang w:val="fr-FR"/>
        </w:rPr>
        <w:t>M</w:t>
      </w:r>
      <w:r w:rsidRPr="00DC6FD8">
        <w:rPr>
          <w:b/>
          <w:bCs/>
          <w:lang w:val="fr-FR"/>
        </w:rPr>
        <w:t>anuellement par l’utilisateur du véhicule, ou</w:t>
      </w:r>
    </w:p>
    <w:p w14:paraId="41FFD957" w14:textId="669A5C16" w:rsidR="00540808" w:rsidRPr="00DC6FD8" w:rsidRDefault="00540808" w:rsidP="004B43CB">
      <w:pPr>
        <w:pStyle w:val="SingleTxtG"/>
        <w:ind w:left="2835" w:hanging="567"/>
        <w:rPr>
          <w:b/>
          <w:bCs/>
          <w:lang w:val="fr-FR"/>
        </w:rPr>
      </w:pPr>
      <w:r w:rsidRPr="00DC6FD8">
        <w:rPr>
          <w:b/>
          <w:bCs/>
          <w:lang w:val="fr-FR"/>
        </w:rPr>
        <w:t xml:space="preserve">b) </w:t>
      </w:r>
      <w:r w:rsidRPr="00DC6FD8">
        <w:rPr>
          <w:b/>
          <w:bCs/>
          <w:lang w:val="fr-FR"/>
        </w:rPr>
        <w:tab/>
      </w:r>
      <w:r w:rsidR="004B43CB">
        <w:rPr>
          <w:b/>
          <w:bCs/>
          <w:lang w:val="fr-FR"/>
        </w:rPr>
        <w:t>A</w:t>
      </w:r>
      <w:r w:rsidRPr="00DC6FD8">
        <w:rPr>
          <w:b/>
          <w:bCs/>
          <w:lang w:val="fr-FR"/>
        </w:rPr>
        <w:t>utomatiquement.</w:t>
      </w:r>
    </w:p>
    <w:p w14:paraId="0F41BED1" w14:textId="77777777" w:rsidR="00540808" w:rsidRPr="00DC6FD8" w:rsidRDefault="00540808" w:rsidP="004B43CB">
      <w:pPr>
        <w:pStyle w:val="SingleTxtG"/>
        <w:ind w:left="2268"/>
        <w:rPr>
          <w:b/>
          <w:bCs/>
          <w:lang w:val="fr-FR"/>
        </w:rPr>
      </w:pPr>
      <w:r w:rsidRPr="00DC6FD8">
        <w:rPr>
          <w:b/>
          <w:bCs/>
          <w:lang w:val="fr-FR"/>
        </w:rPr>
        <w:t>Si elle est automatique, l’activation ne doit être possible que si une clef est détectée.</w:t>
      </w:r>
    </w:p>
    <w:p w14:paraId="68421417" w14:textId="77777777" w:rsidR="00540808" w:rsidRPr="00DC6FD8" w:rsidRDefault="00540808" w:rsidP="00DC6FD8">
      <w:pPr>
        <w:pStyle w:val="SingleTxtG"/>
        <w:ind w:left="2268" w:hanging="1134"/>
        <w:rPr>
          <w:b/>
          <w:bCs/>
          <w:lang w:val="fr-FR"/>
        </w:rPr>
      </w:pPr>
      <w:r w:rsidRPr="00DC6FD8">
        <w:rPr>
          <w:b/>
          <w:bCs/>
          <w:lang w:val="fr-FR"/>
        </w:rPr>
        <w:t>6.29.9.2</w:t>
      </w:r>
      <w:r w:rsidRPr="00DC6FD8">
        <w:rPr>
          <w:b/>
          <w:bCs/>
          <w:lang w:val="fr-FR"/>
        </w:rPr>
        <w:tab/>
        <w:t xml:space="preserve">Chaque fonction ou dispositif d’éclairage ou de signalisation lumineuse soumis à l’essai doit être activé et le rester pendant au moins 0,5 seconde. </w:t>
      </w:r>
    </w:p>
    <w:p w14:paraId="4A09B116" w14:textId="650E82AF" w:rsidR="00540808" w:rsidRPr="00DC6FD8" w:rsidRDefault="00540808" w:rsidP="007E7AFA">
      <w:pPr>
        <w:pStyle w:val="SingleTxtG"/>
        <w:keepLines/>
        <w:ind w:left="2268" w:hanging="1134"/>
        <w:rPr>
          <w:b/>
          <w:bCs/>
          <w:lang w:val="fr-FR"/>
        </w:rPr>
      </w:pPr>
      <w:r w:rsidRPr="00DC6FD8">
        <w:rPr>
          <w:b/>
          <w:bCs/>
          <w:lang w:val="fr-FR"/>
        </w:rPr>
        <w:lastRenderedPageBreak/>
        <w:t>6.29.9.3</w:t>
      </w:r>
      <w:r w:rsidRPr="00DC6FD8">
        <w:rPr>
          <w:b/>
          <w:bCs/>
          <w:lang w:val="fr-FR"/>
        </w:rPr>
        <w:tab/>
        <w:t>La durée d’activation du mode d’essai des dispositifs d’éclairage ou de signalisation lumineuse ne doit pas dépasser [180] secondes. Le mode d’essai peut être relancé manuellement par l’utilisateur du véhicule. Toutefois, il doit toujours se désactiver automatiquement lorsque le véhicule fonctionne dans les conditions normales d’utilisation.</w:t>
      </w:r>
    </w:p>
    <w:p w14:paraId="70DB870F" w14:textId="78B85C2C" w:rsidR="00540808" w:rsidRPr="00DC6FD8" w:rsidRDefault="00540808" w:rsidP="00DC6FD8">
      <w:pPr>
        <w:pStyle w:val="SingleTxtG"/>
        <w:ind w:left="2268" w:hanging="1134"/>
        <w:rPr>
          <w:b/>
          <w:bCs/>
          <w:lang w:val="fr-FR"/>
        </w:rPr>
      </w:pPr>
      <w:r w:rsidRPr="00DC6FD8">
        <w:rPr>
          <w:b/>
          <w:bCs/>
          <w:lang w:val="fr-FR"/>
        </w:rPr>
        <w:t>6.29.9.4</w:t>
      </w:r>
      <w:r w:rsidRPr="00DC6FD8">
        <w:rPr>
          <w:b/>
          <w:bCs/>
          <w:lang w:val="fr-FR"/>
        </w:rPr>
        <w:tab/>
        <w:t>Le mode d’essai s’applique avec des dispositifs d’éclairage et de signalisation lumineuse et des feux de courtoisie extérieurs homologués, le cas échéant. </w:t>
      </w:r>
      <w:r w:rsidRPr="007E7AFA">
        <w:rPr>
          <w:lang w:val="fr-FR"/>
        </w:rPr>
        <w:t>».</w:t>
      </w:r>
    </w:p>
    <w:p w14:paraId="30D94422" w14:textId="77777777" w:rsidR="00540808" w:rsidRPr="008D599A" w:rsidRDefault="00540808" w:rsidP="00DC6FD8">
      <w:pPr>
        <w:pStyle w:val="SingleTxtG"/>
        <w:keepNext/>
        <w:rPr>
          <w:rFonts w:asciiTheme="majorBidi" w:hAnsiTheme="majorBidi" w:cstheme="majorBidi"/>
          <w:b/>
          <w:lang w:val="fr-FR"/>
        </w:rPr>
      </w:pPr>
      <w:r w:rsidRPr="00DC6FD8">
        <w:rPr>
          <w:i/>
          <w:iCs/>
          <w:lang w:val="fr-FR"/>
        </w:rPr>
        <w:t>Annexe 1, ajouter les nouveaux points 9.31 et 9.32</w:t>
      </w:r>
      <w:r w:rsidRPr="008D599A">
        <w:rPr>
          <w:lang w:val="fr-FR"/>
        </w:rPr>
        <w:t xml:space="preserve">, libellés comme suit : </w:t>
      </w:r>
    </w:p>
    <w:p w14:paraId="1A17A598" w14:textId="58FCCA9E" w:rsidR="00540808" w:rsidRPr="006F6F4E" w:rsidRDefault="00540808" w:rsidP="005B303C">
      <w:pPr>
        <w:pStyle w:val="SingleTxtG"/>
        <w:keepNext/>
        <w:ind w:left="2268" w:hanging="1134"/>
        <w:jc w:val="left"/>
        <w:rPr>
          <w:b/>
          <w:bCs/>
          <w:lang w:val="fr-FR"/>
        </w:rPr>
      </w:pPr>
      <w:r w:rsidRPr="006E38FF">
        <w:rPr>
          <w:lang w:val="fr-FR"/>
        </w:rPr>
        <w:t>« </w:t>
      </w:r>
      <w:r w:rsidRPr="006E38FF">
        <w:rPr>
          <w:b/>
          <w:bCs/>
          <w:lang w:val="fr-FR"/>
        </w:rPr>
        <w:t>9.31</w:t>
      </w:r>
      <w:r w:rsidRPr="006F6F4E">
        <w:rPr>
          <w:b/>
          <w:bCs/>
          <w:lang w:val="fr-FR"/>
        </w:rPr>
        <w:tab/>
      </w:r>
      <w:r w:rsidRPr="006F6F4E">
        <w:rPr>
          <w:b/>
          <w:bCs/>
          <w:lang w:val="fr-FR"/>
        </w:rPr>
        <w:tab/>
      </w:r>
      <w:r w:rsidRPr="006E38FF">
        <w:rPr>
          <w:b/>
          <w:bCs/>
          <w:lang w:val="fr-FR"/>
        </w:rPr>
        <w:t>Dispositifs d</w:t>
      </w:r>
      <w:r>
        <w:rPr>
          <w:b/>
          <w:bCs/>
          <w:lang w:val="fr-FR"/>
        </w:rPr>
        <w:t>’</w:t>
      </w:r>
      <w:r w:rsidRPr="006E38FF">
        <w:rPr>
          <w:b/>
          <w:bCs/>
          <w:lang w:val="fr-FR"/>
        </w:rPr>
        <w:t xml:space="preserve">éclairage ou de signalisation lumineuse pouvant être utilisés </w:t>
      </w:r>
      <w:r w:rsidR="005B303C">
        <w:rPr>
          <w:b/>
          <w:bCs/>
          <w:lang w:val="fr-FR"/>
        </w:rPr>
        <w:br/>
      </w:r>
      <w:r w:rsidRPr="006E38FF">
        <w:rPr>
          <w:b/>
          <w:bCs/>
          <w:lang w:val="fr-FR"/>
        </w:rPr>
        <w:t>lorsque le véhicule est en stationnement</w:t>
      </w:r>
    </w:p>
    <w:p w14:paraId="18387883" w14:textId="71851CCD" w:rsidR="00540808" w:rsidRPr="006F6F4E" w:rsidRDefault="00540808" w:rsidP="005B303C">
      <w:pPr>
        <w:pStyle w:val="SingleTxtG"/>
        <w:tabs>
          <w:tab w:val="right" w:pos="8505"/>
        </w:tabs>
        <w:ind w:left="2268" w:hanging="1134"/>
        <w:rPr>
          <w:b/>
          <w:bCs/>
          <w:lang w:val="fr-FR"/>
        </w:rPr>
      </w:pPr>
      <w:r w:rsidRPr="006E38FF">
        <w:rPr>
          <w:b/>
          <w:bCs/>
          <w:lang w:val="fr-FR"/>
        </w:rPr>
        <w:t>9.31.1</w:t>
      </w:r>
      <w:r w:rsidRPr="006F6F4E">
        <w:rPr>
          <w:b/>
          <w:bCs/>
          <w:lang w:val="fr-FR"/>
        </w:rPr>
        <w:tab/>
      </w:r>
      <w:r w:rsidRPr="006E38FF">
        <w:rPr>
          <w:b/>
          <w:bCs/>
          <w:lang w:val="fr-FR"/>
        </w:rPr>
        <w:t>Signal de réponse :</w:t>
      </w:r>
      <w:r w:rsidR="005B303C">
        <w:rPr>
          <w:b/>
          <w:bCs/>
          <w:lang w:val="fr-FR"/>
        </w:rPr>
        <w:tab/>
      </w:r>
      <w:r w:rsidRPr="006E38FF">
        <w:rPr>
          <w:b/>
          <w:bCs/>
          <w:lang w:val="fr-FR"/>
        </w:rPr>
        <w:t>oui/non</w:t>
      </w:r>
      <w:r w:rsidRPr="005B303C">
        <w:rPr>
          <w:b/>
          <w:bCs/>
          <w:vertAlign w:val="superscript"/>
          <w:lang w:val="fr-FR"/>
        </w:rPr>
        <w:t>2</w:t>
      </w:r>
      <w:r w:rsidRPr="006E38FF">
        <w:rPr>
          <w:b/>
          <w:bCs/>
          <w:lang w:val="fr-FR"/>
        </w:rPr>
        <w:t>……………………</w:t>
      </w:r>
    </w:p>
    <w:p w14:paraId="4973E739" w14:textId="02E4295F" w:rsidR="00540808" w:rsidRPr="006F6F4E" w:rsidRDefault="00540808" w:rsidP="00E03719">
      <w:pPr>
        <w:pStyle w:val="SingleTxtG"/>
        <w:tabs>
          <w:tab w:val="right" w:pos="8505"/>
        </w:tabs>
        <w:ind w:left="2268" w:hanging="1134"/>
        <w:rPr>
          <w:b/>
          <w:bCs/>
          <w:lang w:val="fr-FR"/>
        </w:rPr>
      </w:pPr>
      <w:r w:rsidRPr="006E38FF">
        <w:rPr>
          <w:b/>
          <w:bCs/>
          <w:lang w:val="fr-FR"/>
        </w:rPr>
        <w:t>9.31.1.1</w:t>
      </w:r>
      <w:r w:rsidRPr="006F6F4E">
        <w:rPr>
          <w:b/>
          <w:bCs/>
          <w:lang w:val="fr-FR"/>
        </w:rPr>
        <w:tab/>
      </w:r>
      <w:r w:rsidRPr="006E38FF">
        <w:rPr>
          <w:b/>
          <w:bCs/>
          <w:lang w:val="fr-FR"/>
        </w:rPr>
        <w:t>Intensité lumineuse maximale au niveau de la ligne HH ou au-dessus de celle-ci</w:t>
      </w:r>
      <w:r>
        <w:rPr>
          <w:b/>
          <w:bCs/>
          <w:lang w:val="fr-FR"/>
        </w:rPr>
        <w:t> :</w:t>
      </w:r>
      <w:r w:rsidRPr="006F6F4E">
        <w:rPr>
          <w:b/>
          <w:bCs/>
          <w:lang w:val="fr-FR"/>
        </w:rPr>
        <w:tab/>
      </w:r>
      <w:r w:rsidRPr="006E38FF">
        <w:rPr>
          <w:b/>
          <w:bCs/>
          <w:lang w:val="fr-FR"/>
        </w:rPr>
        <w:t>……………………………</w:t>
      </w:r>
    </w:p>
    <w:p w14:paraId="7E7A40EE" w14:textId="6D41E445" w:rsidR="00540808" w:rsidRPr="006F6F4E" w:rsidRDefault="00540808" w:rsidP="00E03719">
      <w:pPr>
        <w:pStyle w:val="SingleTxtG"/>
        <w:tabs>
          <w:tab w:val="right" w:pos="8505"/>
        </w:tabs>
        <w:ind w:left="2268" w:hanging="1134"/>
        <w:rPr>
          <w:b/>
          <w:bCs/>
          <w:lang w:val="fr-FR"/>
        </w:rPr>
      </w:pPr>
      <w:r w:rsidRPr="006E38FF">
        <w:rPr>
          <w:b/>
          <w:bCs/>
          <w:lang w:val="fr-FR"/>
        </w:rPr>
        <w:t>9.31.2</w:t>
      </w:r>
      <w:r w:rsidRPr="006F6F4E">
        <w:rPr>
          <w:b/>
          <w:bCs/>
          <w:lang w:val="fr-FR"/>
        </w:rPr>
        <w:tab/>
      </w:r>
      <w:r w:rsidRPr="006E38FF">
        <w:rPr>
          <w:b/>
          <w:bCs/>
          <w:lang w:val="fr-FR"/>
        </w:rPr>
        <w:t>Mode d</w:t>
      </w:r>
      <w:r>
        <w:rPr>
          <w:b/>
          <w:bCs/>
          <w:lang w:val="fr-FR"/>
        </w:rPr>
        <w:t>’</w:t>
      </w:r>
      <w:r w:rsidRPr="006E38FF">
        <w:rPr>
          <w:b/>
          <w:bCs/>
          <w:lang w:val="fr-FR"/>
        </w:rPr>
        <w:t>essai des dispositifs d</w:t>
      </w:r>
      <w:r>
        <w:rPr>
          <w:b/>
          <w:bCs/>
          <w:lang w:val="fr-FR"/>
        </w:rPr>
        <w:t>’</w:t>
      </w:r>
      <w:r w:rsidRPr="006E38FF">
        <w:rPr>
          <w:b/>
          <w:bCs/>
          <w:lang w:val="fr-FR"/>
        </w:rPr>
        <w:t>éclairage et de signalisation lumineuse :</w:t>
      </w:r>
      <w:r w:rsidRPr="006F6F4E">
        <w:rPr>
          <w:b/>
          <w:bCs/>
          <w:lang w:val="fr-FR"/>
        </w:rPr>
        <w:tab/>
      </w:r>
      <w:r w:rsidRPr="006E38FF">
        <w:rPr>
          <w:b/>
          <w:bCs/>
          <w:lang w:val="fr-FR"/>
        </w:rPr>
        <w:t>oui/non</w:t>
      </w:r>
      <w:r w:rsidRPr="004E7BD4">
        <w:rPr>
          <w:b/>
          <w:bCs/>
          <w:vertAlign w:val="superscript"/>
          <w:lang w:val="fr-FR"/>
        </w:rPr>
        <w:t>2</w:t>
      </w:r>
      <w:r w:rsidRPr="006E38FF">
        <w:rPr>
          <w:b/>
          <w:bCs/>
          <w:lang w:val="fr-FR"/>
        </w:rPr>
        <w:t>……………………</w:t>
      </w:r>
    </w:p>
    <w:p w14:paraId="3319F8C0" w14:textId="76BC127A" w:rsidR="00540808" w:rsidRPr="006F6F4E" w:rsidRDefault="00540808" w:rsidP="004E7BD4">
      <w:pPr>
        <w:pStyle w:val="SingleTxtG"/>
        <w:tabs>
          <w:tab w:val="right" w:pos="8505"/>
        </w:tabs>
        <w:ind w:left="2268" w:hanging="1134"/>
        <w:rPr>
          <w:b/>
          <w:bCs/>
          <w:lang w:val="fr-FR"/>
        </w:rPr>
      </w:pPr>
      <w:r w:rsidRPr="006E38FF">
        <w:rPr>
          <w:b/>
          <w:bCs/>
          <w:lang w:val="fr-FR"/>
        </w:rPr>
        <w:t>9.31.3</w:t>
      </w:r>
      <w:r w:rsidRPr="006F6F4E">
        <w:rPr>
          <w:b/>
          <w:bCs/>
          <w:lang w:val="fr-FR"/>
        </w:rPr>
        <w:tab/>
      </w:r>
      <w:r w:rsidRPr="006E38FF">
        <w:rPr>
          <w:b/>
          <w:bCs/>
          <w:lang w:val="fr-FR"/>
        </w:rPr>
        <w:t>Témoin du système d</w:t>
      </w:r>
      <w:r>
        <w:rPr>
          <w:b/>
          <w:bCs/>
          <w:lang w:val="fr-FR"/>
        </w:rPr>
        <w:t>’</w:t>
      </w:r>
      <w:r w:rsidRPr="006E38FF">
        <w:rPr>
          <w:b/>
          <w:bCs/>
          <w:lang w:val="fr-FR"/>
        </w:rPr>
        <w:t>énergie :</w:t>
      </w:r>
      <w:r w:rsidRPr="006F6F4E">
        <w:rPr>
          <w:b/>
          <w:bCs/>
          <w:lang w:val="fr-FR"/>
        </w:rPr>
        <w:tab/>
      </w:r>
      <w:r w:rsidRPr="006E38FF">
        <w:rPr>
          <w:b/>
          <w:bCs/>
          <w:lang w:val="fr-FR"/>
        </w:rPr>
        <w:t>oui/non</w:t>
      </w:r>
      <w:r w:rsidRPr="004E7BD4">
        <w:rPr>
          <w:b/>
          <w:bCs/>
          <w:vertAlign w:val="superscript"/>
          <w:lang w:val="fr-FR"/>
        </w:rPr>
        <w:t>2</w:t>
      </w:r>
      <w:r w:rsidRPr="006E38FF">
        <w:rPr>
          <w:b/>
          <w:bCs/>
          <w:lang w:val="fr-FR"/>
        </w:rPr>
        <w:t>……………………</w:t>
      </w:r>
    </w:p>
    <w:p w14:paraId="0668B532" w14:textId="2A48B9D8" w:rsidR="00540808" w:rsidRPr="006F6F4E" w:rsidRDefault="00540808" w:rsidP="004E7BD4">
      <w:pPr>
        <w:pStyle w:val="SingleTxtG"/>
        <w:tabs>
          <w:tab w:val="right" w:pos="8505"/>
        </w:tabs>
        <w:ind w:left="2268" w:hanging="1134"/>
        <w:rPr>
          <w:b/>
          <w:bCs/>
          <w:lang w:val="fr-FR"/>
        </w:rPr>
      </w:pPr>
      <w:r w:rsidRPr="006E38FF">
        <w:rPr>
          <w:b/>
          <w:bCs/>
          <w:lang w:val="fr-FR"/>
        </w:rPr>
        <w:t>[9.31.3.1</w:t>
      </w:r>
      <w:r w:rsidRPr="006F6F4E">
        <w:rPr>
          <w:b/>
          <w:bCs/>
          <w:lang w:val="fr-FR"/>
        </w:rPr>
        <w:tab/>
      </w:r>
      <w:r w:rsidRPr="006E38FF">
        <w:rPr>
          <w:b/>
          <w:bCs/>
          <w:lang w:val="fr-FR"/>
        </w:rPr>
        <w:t xml:space="preserve">Couleur </w:t>
      </w:r>
      <w:r w:rsidR="004E7BD4" w:rsidRPr="004E7BD4">
        <w:rPr>
          <w:rFonts w:eastAsia="MS Mincho"/>
          <w:b/>
          <w:bCs/>
          <w:lang w:val="fr-FR"/>
        </w:rPr>
        <w:t>n</w:t>
      </w:r>
      <w:r w:rsidR="004E7BD4" w:rsidRPr="004E7BD4">
        <w:rPr>
          <w:rFonts w:eastAsia="MS Mincho"/>
          <w:b/>
          <w:bCs/>
          <w:vertAlign w:val="superscript"/>
          <w:lang w:val="fr-FR"/>
        </w:rPr>
        <w:t>o</w:t>
      </w:r>
      <w:r w:rsidRPr="006E38FF">
        <w:rPr>
          <w:b/>
          <w:bCs/>
          <w:lang w:val="fr-FR"/>
        </w:rPr>
        <w:t>…</w:t>
      </w:r>
      <w:r w:rsidRPr="006F6F4E">
        <w:rPr>
          <w:b/>
          <w:bCs/>
          <w:lang w:val="fr-FR"/>
        </w:rPr>
        <w:tab/>
      </w:r>
      <w:r w:rsidRPr="006E38FF">
        <w:rPr>
          <w:b/>
          <w:bCs/>
          <w:lang w:val="fr-FR"/>
        </w:rPr>
        <w:t>oui/non</w:t>
      </w:r>
      <w:r w:rsidRPr="00602BB0">
        <w:rPr>
          <w:b/>
          <w:bCs/>
          <w:vertAlign w:val="superscript"/>
          <w:lang w:val="fr-FR"/>
        </w:rPr>
        <w:t>2</w:t>
      </w:r>
      <w:r w:rsidRPr="006E38FF">
        <w:rPr>
          <w:b/>
          <w:bCs/>
          <w:lang w:val="fr-FR"/>
        </w:rPr>
        <w:t>……………………</w:t>
      </w:r>
    </w:p>
    <w:p w14:paraId="79FBF1AA" w14:textId="155CCA88" w:rsidR="00540808" w:rsidRPr="006E38FF" w:rsidRDefault="00540808" w:rsidP="00602BB0">
      <w:pPr>
        <w:pStyle w:val="SingleTxtG"/>
        <w:tabs>
          <w:tab w:val="right" w:pos="8505"/>
        </w:tabs>
        <w:ind w:left="2268" w:hanging="1134"/>
      </w:pPr>
      <w:r w:rsidRPr="006E38FF">
        <w:rPr>
          <w:b/>
          <w:bCs/>
          <w:lang w:val="fr-FR"/>
        </w:rPr>
        <w:t>9.31.3.2</w:t>
      </w:r>
      <w:r w:rsidRPr="006F6F4E">
        <w:rPr>
          <w:b/>
          <w:bCs/>
          <w:lang w:val="fr-FR"/>
        </w:rPr>
        <w:tab/>
      </w:r>
      <w:r w:rsidRPr="006E38FF">
        <w:rPr>
          <w:b/>
          <w:bCs/>
          <w:lang w:val="fr-FR"/>
        </w:rPr>
        <w:t>Intensité lumineuse :</w:t>
      </w:r>
      <w:r w:rsidRPr="006F6F4E">
        <w:rPr>
          <w:b/>
          <w:bCs/>
          <w:lang w:val="fr-FR"/>
        </w:rPr>
        <w:tab/>
      </w:r>
      <w:r w:rsidR="00602BB0">
        <w:rPr>
          <w:b/>
          <w:bCs/>
          <w:lang w:val="fr-FR"/>
        </w:rPr>
        <w:t>.</w:t>
      </w:r>
      <w:r w:rsidRPr="006E38FF">
        <w:rPr>
          <w:b/>
          <w:bCs/>
          <w:lang w:val="fr-FR"/>
        </w:rPr>
        <w:t>…………………………</w:t>
      </w:r>
      <w:r w:rsidRPr="00602BB0">
        <w:rPr>
          <w:b/>
          <w:bCs/>
          <w:lang w:val="fr-FR"/>
        </w:rPr>
        <w:t>]</w:t>
      </w:r>
      <w:r w:rsidRPr="006E38FF">
        <w:rPr>
          <w:lang w:val="fr-FR"/>
        </w:rPr>
        <w:t> ».</w:t>
      </w:r>
    </w:p>
    <w:p w14:paraId="5172F0EE" w14:textId="77777777" w:rsidR="00540808" w:rsidRPr="006E38FF" w:rsidRDefault="00540808" w:rsidP="00602BB0">
      <w:pPr>
        <w:pStyle w:val="HChG"/>
      </w:pPr>
      <w:r w:rsidRPr="006E38FF">
        <w:rPr>
          <w:lang w:val="fr-FR"/>
        </w:rPr>
        <w:tab/>
        <w:t xml:space="preserve">II. </w:t>
      </w:r>
      <w:r w:rsidRPr="006E38FF">
        <w:rPr>
          <w:lang w:val="fr-FR"/>
        </w:rPr>
        <w:tab/>
        <w:t>Justification</w:t>
      </w:r>
    </w:p>
    <w:p w14:paraId="4191C323" w14:textId="77777777" w:rsidR="00540808" w:rsidRPr="006E38FF" w:rsidRDefault="00540808" w:rsidP="006F6F4E">
      <w:pPr>
        <w:pStyle w:val="SingleTxtG"/>
        <w:rPr>
          <w:lang w:val="fr-FR"/>
        </w:rPr>
      </w:pPr>
      <w:bookmarkStart w:id="12" w:name="_Hlk124536684"/>
      <w:r w:rsidRPr="006E38FF">
        <w:rPr>
          <w:lang w:val="fr-FR"/>
        </w:rPr>
        <w:t>1.</w:t>
      </w:r>
      <w:r w:rsidRPr="006E38FF">
        <w:rPr>
          <w:lang w:val="fr-FR"/>
        </w:rPr>
        <w:tab/>
        <w:t>La présente proposition a pour but d</w:t>
      </w:r>
      <w:r>
        <w:rPr>
          <w:lang w:val="fr-FR"/>
        </w:rPr>
        <w:t>’</w:t>
      </w:r>
      <w:r w:rsidRPr="006E38FF">
        <w:rPr>
          <w:lang w:val="fr-FR"/>
        </w:rPr>
        <w:t>ajouter dans le Règlement ONU n</w:t>
      </w:r>
      <w:r w:rsidRPr="006E38FF">
        <w:rPr>
          <w:vertAlign w:val="superscript"/>
          <w:lang w:val="fr-FR"/>
        </w:rPr>
        <w:t>o</w:t>
      </w:r>
      <w:r w:rsidRPr="006E38FF">
        <w:rPr>
          <w:lang w:val="fr-FR"/>
        </w:rPr>
        <w:t> 48 des prescriptions relatives aux dispositifs d</w:t>
      </w:r>
      <w:r>
        <w:rPr>
          <w:lang w:val="fr-FR"/>
        </w:rPr>
        <w:t>’</w:t>
      </w:r>
      <w:r w:rsidRPr="006E38FF">
        <w:rPr>
          <w:lang w:val="fr-FR"/>
        </w:rPr>
        <w:t>éclairage et de signalisation lumineuse pouvant être activés lorsqu</w:t>
      </w:r>
      <w:r>
        <w:rPr>
          <w:lang w:val="fr-FR"/>
        </w:rPr>
        <w:t>’</w:t>
      </w:r>
      <w:r w:rsidRPr="006E38FF">
        <w:rPr>
          <w:lang w:val="fr-FR"/>
        </w:rPr>
        <w:t>un véhicule est en stationnement, en plus de celles applicables dans les conditions normales d</w:t>
      </w:r>
      <w:r>
        <w:rPr>
          <w:lang w:val="fr-FR"/>
        </w:rPr>
        <w:t>’</w:t>
      </w:r>
      <w:r w:rsidRPr="006E38FF">
        <w:rPr>
          <w:lang w:val="fr-FR"/>
        </w:rPr>
        <w:t>utilisation du véhicule.</w:t>
      </w:r>
    </w:p>
    <w:p w14:paraId="0FF7E60B" w14:textId="19CC9A28" w:rsidR="00540808" w:rsidRPr="006E38FF" w:rsidRDefault="00540808" w:rsidP="006F6F4E">
      <w:pPr>
        <w:pStyle w:val="SingleTxtG"/>
        <w:rPr>
          <w:lang w:val="fr-FR"/>
        </w:rPr>
      </w:pPr>
      <w:r w:rsidRPr="006E38FF">
        <w:rPr>
          <w:lang w:val="fr-FR"/>
        </w:rPr>
        <w:t>2.</w:t>
      </w:r>
      <w:r w:rsidRPr="006E38FF">
        <w:rPr>
          <w:lang w:val="fr-FR"/>
        </w:rPr>
        <w:tab/>
        <w:t>À la quatre-vingt-quatrième session du Groupe de travail de l</w:t>
      </w:r>
      <w:r>
        <w:rPr>
          <w:lang w:val="fr-FR"/>
        </w:rPr>
        <w:t>’</w:t>
      </w:r>
      <w:r w:rsidRPr="006E38FF">
        <w:rPr>
          <w:lang w:val="fr-FR"/>
        </w:rPr>
        <w:t>éclairage et de la signalisation lumineuse (GRE), le Japon a présenté des propositions d</w:t>
      </w:r>
      <w:r>
        <w:rPr>
          <w:lang w:val="fr-FR"/>
        </w:rPr>
        <w:t>’</w:t>
      </w:r>
      <w:r w:rsidRPr="006E38FF">
        <w:rPr>
          <w:lang w:val="fr-FR"/>
        </w:rPr>
        <w:t>amendements (ECE/TRANS/WP.29/GRE/2021/2, GRE-84-29 et GRE-84-30) et insisté sur la nécessité d</w:t>
      </w:r>
      <w:r>
        <w:rPr>
          <w:lang w:val="fr-FR"/>
        </w:rPr>
        <w:t>’</w:t>
      </w:r>
      <w:r w:rsidRPr="006E38FF">
        <w:rPr>
          <w:lang w:val="fr-FR"/>
        </w:rPr>
        <w:t>établir des prescriptions relatives aux dispositifs d</w:t>
      </w:r>
      <w:r>
        <w:rPr>
          <w:lang w:val="fr-FR"/>
        </w:rPr>
        <w:t>’</w:t>
      </w:r>
      <w:r w:rsidRPr="006E38FF">
        <w:rPr>
          <w:lang w:val="fr-FR"/>
        </w:rPr>
        <w:t>éclairage et de signalisation lumineuse applicables lorsqu</w:t>
      </w:r>
      <w:r>
        <w:rPr>
          <w:lang w:val="fr-FR"/>
        </w:rPr>
        <w:t>’</w:t>
      </w:r>
      <w:r w:rsidRPr="006E38FF">
        <w:rPr>
          <w:lang w:val="fr-FR"/>
        </w:rPr>
        <w:t>un véhicule est en stationnement. Un groupe d</w:t>
      </w:r>
      <w:r>
        <w:rPr>
          <w:lang w:val="fr-FR"/>
        </w:rPr>
        <w:t>’</w:t>
      </w:r>
      <w:r w:rsidRPr="006E38FF">
        <w:rPr>
          <w:lang w:val="fr-FR"/>
        </w:rPr>
        <w:t>intérêt spécial concernant la série 09 d</w:t>
      </w:r>
      <w:r>
        <w:rPr>
          <w:lang w:val="fr-FR"/>
        </w:rPr>
        <w:t>’</w:t>
      </w:r>
      <w:r w:rsidRPr="006E38FF">
        <w:rPr>
          <w:lang w:val="fr-FR"/>
        </w:rPr>
        <w:t>amendements au Règlement ONU n</w:t>
      </w:r>
      <w:r w:rsidRPr="006E38FF">
        <w:rPr>
          <w:vertAlign w:val="superscript"/>
          <w:lang w:val="fr-FR"/>
        </w:rPr>
        <w:t>o</w:t>
      </w:r>
      <w:r w:rsidR="009F2258">
        <w:rPr>
          <w:lang w:val="fr-FR"/>
        </w:rPr>
        <w:t> </w:t>
      </w:r>
      <w:r w:rsidRPr="006E38FF">
        <w:rPr>
          <w:lang w:val="fr-FR"/>
        </w:rPr>
        <w:t>48, relevant du GRE, a donc été créé. La</w:t>
      </w:r>
      <w:r w:rsidR="009F2258">
        <w:rPr>
          <w:lang w:val="fr-FR"/>
        </w:rPr>
        <w:t> </w:t>
      </w:r>
      <w:r w:rsidRPr="006E38FF">
        <w:rPr>
          <w:lang w:val="fr-FR"/>
        </w:rPr>
        <w:t>présente proposition est le fruit des délibérations qui ont eu lieu au sein de ce groupe depuis juillet</w:t>
      </w:r>
      <w:r w:rsidR="009F2258">
        <w:rPr>
          <w:lang w:val="fr-FR"/>
        </w:rPr>
        <w:t xml:space="preserve"> </w:t>
      </w:r>
      <w:r w:rsidRPr="006E38FF">
        <w:rPr>
          <w:lang w:val="fr-FR"/>
        </w:rPr>
        <w:t>2021. À sa quatre-vingt-sixième session, le GRE a approuvé une approche en deux phases consistant, dans un premier temps, à établir le cadre réglementaire applicable aux dispositifs d</w:t>
      </w:r>
      <w:r>
        <w:rPr>
          <w:lang w:val="fr-FR"/>
        </w:rPr>
        <w:t>’</w:t>
      </w:r>
      <w:r w:rsidRPr="006E38FF">
        <w:rPr>
          <w:lang w:val="fr-FR"/>
        </w:rPr>
        <w:t>éclairage et de signalisation lumineuse existants lorsqu</w:t>
      </w:r>
      <w:r>
        <w:rPr>
          <w:lang w:val="fr-FR"/>
        </w:rPr>
        <w:t>’</w:t>
      </w:r>
      <w:r w:rsidRPr="006E38FF">
        <w:rPr>
          <w:lang w:val="fr-FR"/>
        </w:rPr>
        <w:t>un véhicule est en stationnement</w:t>
      </w:r>
      <w:r>
        <w:rPr>
          <w:lang w:val="fr-FR"/>
        </w:rPr>
        <w:t>,</w:t>
      </w:r>
      <w:r w:rsidRPr="006E38FF">
        <w:rPr>
          <w:lang w:val="fr-FR"/>
        </w:rPr>
        <w:t xml:space="preserve"> au moyen d</w:t>
      </w:r>
      <w:r>
        <w:rPr>
          <w:lang w:val="fr-FR"/>
        </w:rPr>
        <w:t>’</w:t>
      </w:r>
      <w:r w:rsidRPr="006E38FF">
        <w:rPr>
          <w:lang w:val="fr-FR"/>
        </w:rPr>
        <w:t>une nouvelle série d</w:t>
      </w:r>
      <w:r>
        <w:rPr>
          <w:lang w:val="fr-FR"/>
        </w:rPr>
        <w:t>’</w:t>
      </w:r>
      <w:r w:rsidRPr="006E38FF">
        <w:rPr>
          <w:lang w:val="fr-FR"/>
        </w:rPr>
        <w:t>amendements</w:t>
      </w:r>
      <w:r>
        <w:rPr>
          <w:lang w:val="fr-FR"/>
        </w:rPr>
        <w:t>,</w:t>
      </w:r>
      <w:r w:rsidRPr="006E38FF">
        <w:rPr>
          <w:lang w:val="fr-FR"/>
        </w:rPr>
        <w:t xml:space="preserve"> et, dans un second temps, à ajouter des prescriptions relatives aux nouveaux dispositifs</w:t>
      </w:r>
      <w:r>
        <w:rPr>
          <w:lang w:val="fr-FR"/>
        </w:rPr>
        <w:t>,</w:t>
      </w:r>
      <w:r w:rsidRPr="006E38FF">
        <w:rPr>
          <w:lang w:val="fr-FR"/>
        </w:rPr>
        <w:t xml:space="preserve"> au moyen de compléments à ladite série d</w:t>
      </w:r>
      <w:r>
        <w:rPr>
          <w:lang w:val="fr-FR"/>
        </w:rPr>
        <w:t>’</w:t>
      </w:r>
      <w:r w:rsidRPr="006E38FF">
        <w:rPr>
          <w:lang w:val="fr-FR"/>
        </w:rPr>
        <w:t>amendements. La présente proposition contient le texte juridique correspondant à la première phase, selon l</w:t>
      </w:r>
      <w:r>
        <w:rPr>
          <w:lang w:val="fr-FR"/>
        </w:rPr>
        <w:t>’</w:t>
      </w:r>
      <w:r w:rsidRPr="006E38FF">
        <w:rPr>
          <w:lang w:val="fr-FR"/>
        </w:rPr>
        <w:t>approche décidée par le groupe d</w:t>
      </w:r>
      <w:r>
        <w:rPr>
          <w:lang w:val="fr-FR"/>
        </w:rPr>
        <w:t>’</w:t>
      </w:r>
      <w:r w:rsidRPr="006E38FF">
        <w:rPr>
          <w:lang w:val="fr-FR"/>
        </w:rPr>
        <w:t>intérêt spécial.</w:t>
      </w:r>
    </w:p>
    <w:p w14:paraId="3440DCAF" w14:textId="77777777" w:rsidR="00540808" w:rsidRPr="006E38FF" w:rsidRDefault="00540808" w:rsidP="006F6F4E">
      <w:pPr>
        <w:pStyle w:val="SingleTxtG"/>
        <w:rPr>
          <w:lang w:val="fr-FR"/>
        </w:rPr>
      </w:pPr>
      <w:r w:rsidRPr="006E38FF">
        <w:rPr>
          <w:lang w:val="fr-FR"/>
        </w:rPr>
        <w:t>3.</w:t>
      </w:r>
      <w:r w:rsidRPr="006E38FF">
        <w:rPr>
          <w:lang w:val="fr-FR"/>
        </w:rPr>
        <w:tab/>
        <w:t xml:space="preserve">Plusieurs </w:t>
      </w:r>
      <w:r>
        <w:rPr>
          <w:lang w:val="fr-FR"/>
        </w:rPr>
        <w:t>P</w:t>
      </w:r>
      <w:r w:rsidRPr="006E38FF">
        <w:rPr>
          <w:lang w:val="fr-FR"/>
        </w:rPr>
        <w:t>arties contractantes jugeaient problématique que des dispositifs d</w:t>
      </w:r>
      <w:r>
        <w:rPr>
          <w:lang w:val="fr-FR"/>
        </w:rPr>
        <w:t>’</w:t>
      </w:r>
      <w:r w:rsidRPr="006E38FF">
        <w:rPr>
          <w:lang w:val="fr-FR"/>
        </w:rPr>
        <w:t>éclairage et de signalisation lumineuse aient été commercialisés sans être soumis aux prescriptions actuelles du Règlement ONU n</w:t>
      </w:r>
      <w:r w:rsidRPr="006E38FF">
        <w:rPr>
          <w:vertAlign w:val="superscript"/>
          <w:lang w:val="fr-FR"/>
        </w:rPr>
        <w:t>o</w:t>
      </w:r>
      <w:r w:rsidRPr="006E38FF">
        <w:rPr>
          <w:lang w:val="fr-FR"/>
        </w:rPr>
        <w:t> 48 lorsqu</w:t>
      </w:r>
      <w:r>
        <w:rPr>
          <w:lang w:val="fr-FR"/>
        </w:rPr>
        <w:t>’</w:t>
      </w:r>
      <w:r w:rsidRPr="006E38FF">
        <w:rPr>
          <w:lang w:val="fr-FR"/>
        </w:rPr>
        <w:t>un véhicule est en stationnement et estimaient que, pour les autorités d</w:t>
      </w:r>
      <w:r>
        <w:rPr>
          <w:lang w:val="fr-FR"/>
        </w:rPr>
        <w:t>’</w:t>
      </w:r>
      <w:r w:rsidRPr="006E38FF">
        <w:rPr>
          <w:lang w:val="fr-FR"/>
        </w:rPr>
        <w:t>homologation de type, il serait difficile d</w:t>
      </w:r>
      <w:r>
        <w:rPr>
          <w:lang w:val="fr-FR"/>
        </w:rPr>
        <w:t>’</w:t>
      </w:r>
      <w:r w:rsidRPr="006E38FF">
        <w:rPr>
          <w:lang w:val="fr-FR"/>
        </w:rPr>
        <w:t>en restreindre l</w:t>
      </w:r>
      <w:r>
        <w:rPr>
          <w:lang w:val="fr-FR"/>
        </w:rPr>
        <w:t>’</w:t>
      </w:r>
      <w:r w:rsidRPr="006E38FF">
        <w:rPr>
          <w:lang w:val="fr-FR"/>
        </w:rPr>
        <w:t>homologation de façon à ce que ces dispositifs soient utilisés de façon sûre lorsqu</w:t>
      </w:r>
      <w:r>
        <w:rPr>
          <w:lang w:val="fr-FR"/>
        </w:rPr>
        <w:t>’</w:t>
      </w:r>
      <w:r w:rsidRPr="006E38FF">
        <w:rPr>
          <w:lang w:val="fr-FR"/>
        </w:rPr>
        <w:t>un véhicule est en stationnement, conformément aux dispositions actuelles dudit Règlement. La présente proposition a pour objet de regrouper l</w:t>
      </w:r>
      <w:r>
        <w:rPr>
          <w:lang w:val="fr-FR"/>
        </w:rPr>
        <w:t>’</w:t>
      </w:r>
      <w:r w:rsidRPr="006E38FF">
        <w:rPr>
          <w:lang w:val="fr-FR"/>
        </w:rPr>
        <w:t>ensemble des prescriptions applicables aux dispositifs d</w:t>
      </w:r>
      <w:r>
        <w:rPr>
          <w:lang w:val="fr-FR"/>
        </w:rPr>
        <w:t>’</w:t>
      </w:r>
      <w:r w:rsidRPr="006E38FF">
        <w:rPr>
          <w:lang w:val="fr-FR"/>
        </w:rPr>
        <w:t>éclairage et de signalisation lumineuse lorsqu</w:t>
      </w:r>
      <w:r>
        <w:rPr>
          <w:lang w:val="fr-FR"/>
        </w:rPr>
        <w:t>’</w:t>
      </w:r>
      <w:r w:rsidRPr="006E38FF">
        <w:rPr>
          <w:lang w:val="fr-FR"/>
        </w:rPr>
        <w:t>un véhicule est en stationnement et de promouvoir l</w:t>
      </w:r>
      <w:r>
        <w:rPr>
          <w:lang w:val="fr-FR"/>
        </w:rPr>
        <w:t>’</w:t>
      </w:r>
      <w:r w:rsidRPr="006E38FF">
        <w:rPr>
          <w:lang w:val="fr-FR"/>
        </w:rPr>
        <w:t>application uniforme du Règlement ONU n</w:t>
      </w:r>
      <w:r w:rsidRPr="006E38FF">
        <w:rPr>
          <w:vertAlign w:val="superscript"/>
          <w:lang w:val="fr-FR"/>
        </w:rPr>
        <w:t>o</w:t>
      </w:r>
      <w:r w:rsidRPr="006E38FF">
        <w:rPr>
          <w:lang w:val="fr-FR"/>
        </w:rPr>
        <w:t> 48 et l</w:t>
      </w:r>
      <w:r>
        <w:rPr>
          <w:lang w:val="fr-FR"/>
        </w:rPr>
        <w:t>’</w:t>
      </w:r>
      <w:r w:rsidRPr="006E38FF">
        <w:rPr>
          <w:lang w:val="fr-FR"/>
        </w:rPr>
        <w:t>harmonisation des normes internationales.</w:t>
      </w:r>
    </w:p>
    <w:p w14:paraId="375EF141" w14:textId="77777777" w:rsidR="00540808" w:rsidRPr="006E38FF" w:rsidRDefault="00540808" w:rsidP="009F2258">
      <w:pPr>
        <w:pStyle w:val="SingleTxtG"/>
        <w:keepLines/>
        <w:rPr>
          <w:lang w:val="fr-FR"/>
        </w:rPr>
      </w:pPr>
      <w:r w:rsidRPr="006E38FF">
        <w:rPr>
          <w:lang w:val="fr-FR"/>
        </w:rPr>
        <w:lastRenderedPageBreak/>
        <w:t>4.</w:t>
      </w:r>
      <w:r w:rsidRPr="006E38FF">
        <w:rPr>
          <w:lang w:val="fr-FR"/>
        </w:rPr>
        <w:tab/>
      </w:r>
      <w:r>
        <w:rPr>
          <w:lang w:val="fr-FR"/>
        </w:rPr>
        <w:t>P</w:t>
      </w:r>
      <w:r w:rsidRPr="006E38FF">
        <w:rPr>
          <w:lang w:val="fr-FR"/>
        </w:rPr>
        <w:t xml:space="preserve">our la commodité des utilisateurs, </w:t>
      </w:r>
      <w:r>
        <w:rPr>
          <w:lang w:val="fr-FR"/>
        </w:rPr>
        <w:t>c</w:t>
      </w:r>
      <w:r w:rsidRPr="006E38FF">
        <w:rPr>
          <w:lang w:val="fr-FR"/>
        </w:rPr>
        <w:t>ertains constructeurs ont</w:t>
      </w:r>
      <w:r>
        <w:rPr>
          <w:lang w:val="fr-FR"/>
        </w:rPr>
        <w:t xml:space="preserve"> </w:t>
      </w:r>
      <w:r w:rsidRPr="006E38FF">
        <w:rPr>
          <w:lang w:val="fr-FR"/>
        </w:rPr>
        <w:t>produit des véhicules équipés d</w:t>
      </w:r>
      <w:r>
        <w:rPr>
          <w:lang w:val="fr-FR"/>
        </w:rPr>
        <w:t>’</w:t>
      </w:r>
      <w:r w:rsidRPr="006E38FF">
        <w:rPr>
          <w:lang w:val="fr-FR"/>
        </w:rPr>
        <w:t>une fonction qui fait clignoter des feux ou des témoins lorsque le véhicule est en stationnement, par exemple au verrouillage et au déverrouillage des portes</w:t>
      </w:r>
      <w:r>
        <w:rPr>
          <w:lang w:val="fr-FR"/>
        </w:rPr>
        <w:t>,</w:t>
      </w:r>
      <w:r w:rsidRPr="006E38FF">
        <w:rPr>
          <w:lang w:val="fr-FR"/>
        </w:rPr>
        <w:t xml:space="preserve"> ou pendant le chargement des véhicules électriques. Ce type de fonction devrait être autorisé à condition qu</w:t>
      </w:r>
      <w:r>
        <w:rPr>
          <w:lang w:val="fr-FR"/>
        </w:rPr>
        <w:t>’</w:t>
      </w:r>
      <w:r w:rsidRPr="006E38FF">
        <w:rPr>
          <w:lang w:val="fr-FR"/>
        </w:rPr>
        <w:t xml:space="preserve">il ne nuise pas à la sécurité routière. </w:t>
      </w:r>
    </w:p>
    <w:p w14:paraId="505A0F9F" w14:textId="37D7C3E8" w:rsidR="00540808" w:rsidRPr="006E38FF" w:rsidRDefault="00540808" w:rsidP="006F6F4E">
      <w:pPr>
        <w:pStyle w:val="SingleTxtG"/>
        <w:rPr>
          <w:lang w:val="fr-FR"/>
        </w:rPr>
      </w:pPr>
      <w:r w:rsidRPr="006E38FF">
        <w:rPr>
          <w:lang w:val="fr-FR"/>
        </w:rPr>
        <w:t>5.</w:t>
      </w:r>
      <w:r w:rsidRPr="006E38FF">
        <w:rPr>
          <w:lang w:val="fr-FR"/>
        </w:rPr>
        <w:tab/>
        <w:t>En conséquence, il est proposé</w:t>
      </w:r>
      <w:r>
        <w:rPr>
          <w:lang w:val="fr-FR"/>
        </w:rPr>
        <w:t> :</w:t>
      </w:r>
      <w:r w:rsidRPr="006E38FF">
        <w:rPr>
          <w:lang w:val="fr-FR"/>
        </w:rPr>
        <w:t xml:space="preserve"> 1) d</w:t>
      </w:r>
      <w:r>
        <w:rPr>
          <w:lang w:val="fr-FR"/>
        </w:rPr>
        <w:t>’</w:t>
      </w:r>
      <w:r w:rsidRPr="006E38FF">
        <w:rPr>
          <w:lang w:val="fr-FR"/>
        </w:rPr>
        <w:t>établir des prescriptions générales en vue de préciser quels dispositifs d</w:t>
      </w:r>
      <w:r>
        <w:rPr>
          <w:lang w:val="fr-FR"/>
        </w:rPr>
        <w:t>’</w:t>
      </w:r>
      <w:r w:rsidRPr="006E38FF">
        <w:rPr>
          <w:lang w:val="fr-FR"/>
        </w:rPr>
        <w:t>éclairage et de signalisation lumineuse peuvent être utilisés lorsqu</w:t>
      </w:r>
      <w:r>
        <w:rPr>
          <w:lang w:val="fr-FR"/>
        </w:rPr>
        <w:t>’</w:t>
      </w:r>
      <w:r w:rsidRPr="006E38FF">
        <w:rPr>
          <w:lang w:val="fr-FR"/>
        </w:rPr>
        <w:t>un véhicule est en stationnement</w:t>
      </w:r>
      <w:r>
        <w:rPr>
          <w:lang w:val="fr-FR"/>
        </w:rPr>
        <w:t> ;</w:t>
      </w:r>
      <w:r w:rsidRPr="006E38FF">
        <w:rPr>
          <w:lang w:val="fr-FR"/>
        </w:rPr>
        <w:t xml:space="preserve"> 2) de définir le signal de réponse, à savoir les dispositifs d</w:t>
      </w:r>
      <w:r>
        <w:rPr>
          <w:lang w:val="fr-FR"/>
        </w:rPr>
        <w:t>’</w:t>
      </w:r>
      <w:r w:rsidRPr="006E38FF">
        <w:rPr>
          <w:lang w:val="fr-FR"/>
        </w:rPr>
        <w:t>éclairage et de signalisation lumineuse qui s</w:t>
      </w:r>
      <w:r>
        <w:rPr>
          <w:lang w:val="fr-FR"/>
        </w:rPr>
        <w:t>’</w:t>
      </w:r>
      <w:r w:rsidRPr="006E38FF">
        <w:rPr>
          <w:lang w:val="fr-FR"/>
        </w:rPr>
        <w:t>allument lors du verrouillage ou du déverrouillage des portes</w:t>
      </w:r>
      <w:r>
        <w:rPr>
          <w:lang w:val="fr-FR"/>
        </w:rPr>
        <w:t>,</w:t>
      </w:r>
      <w:r w:rsidRPr="006E38FF">
        <w:rPr>
          <w:lang w:val="fr-FR"/>
        </w:rPr>
        <w:t xml:space="preserve"> ou de la détection d</w:t>
      </w:r>
      <w:r>
        <w:rPr>
          <w:lang w:val="fr-FR"/>
        </w:rPr>
        <w:t>’</w:t>
      </w:r>
      <w:r w:rsidRPr="006E38FF">
        <w:rPr>
          <w:lang w:val="fr-FR"/>
        </w:rPr>
        <w:t>un utilisateur muni d</w:t>
      </w:r>
      <w:r>
        <w:rPr>
          <w:lang w:val="fr-FR"/>
        </w:rPr>
        <w:t>’</w:t>
      </w:r>
      <w:r w:rsidRPr="006E38FF">
        <w:rPr>
          <w:lang w:val="fr-FR"/>
        </w:rPr>
        <w:t>une clef s</w:t>
      </w:r>
      <w:r>
        <w:rPr>
          <w:lang w:val="fr-FR"/>
        </w:rPr>
        <w:t>’</w:t>
      </w:r>
      <w:r w:rsidRPr="006E38FF">
        <w:rPr>
          <w:lang w:val="fr-FR"/>
        </w:rPr>
        <w:t>approchant du véhicule, pour aider celui-ci à repérer le véhicule en stationnement</w:t>
      </w:r>
      <w:r>
        <w:rPr>
          <w:lang w:val="fr-FR"/>
        </w:rPr>
        <w:t> ;</w:t>
      </w:r>
      <w:r w:rsidRPr="006E38FF">
        <w:rPr>
          <w:lang w:val="fr-FR"/>
        </w:rPr>
        <w:t xml:space="preserve"> 3) de définir le témoin du système d</w:t>
      </w:r>
      <w:r>
        <w:rPr>
          <w:lang w:val="fr-FR"/>
        </w:rPr>
        <w:t>’</w:t>
      </w:r>
      <w:r w:rsidRPr="006E38FF">
        <w:rPr>
          <w:lang w:val="fr-FR"/>
        </w:rPr>
        <w:t>énergie, qui indique l</w:t>
      </w:r>
      <w:r>
        <w:rPr>
          <w:lang w:val="fr-FR"/>
        </w:rPr>
        <w:t>’</w:t>
      </w:r>
      <w:r w:rsidRPr="006E38FF">
        <w:rPr>
          <w:lang w:val="fr-FR"/>
        </w:rPr>
        <w:t>état ou le niveau de charge d</w:t>
      </w:r>
      <w:r>
        <w:rPr>
          <w:lang w:val="fr-FR"/>
        </w:rPr>
        <w:t>’</w:t>
      </w:r>
      <w:r w:rsidRPr="006E38FF">
        <w:rPr>
          <w:lang w:val="fr-FR"/>
        </w:rPr>
        <w:t>un véhicule électrique</w:t>
      </w:r>
      <w:r>
        <w:rPr>
          <w:lang w:val="fr-FR"/>
        </w:rPr>
        <w:t> ;</w:t>
      </w:r>
      <w:r w:rsidRPr="006E38FF">
        <w:rPr>
          <w:lang w:val="fr-FR"/>
        </w:rPr>
        <w:t xml:space="preserve"> et 4)</w:t>
      </w:r>
      <w:r w:rsidR="00C554F3">
        <w:rPr>
          <w:lang w:val="fr-FR"/>
        </w:rPr>
        <w:t> </w:t>
      </w:r>
      <w:r w:rsidRPr="006E38FF">
        <w:rPr>
          <w:lang w:val="fr-FR"/>
        </w:rPr>
        <w:t>de définir le mode d</w:t>
      </w:r>
      <w:r>
        <w:rPr>
          <w:lang w:val="fr-FR"/>
        </w:rPr>
        <w:t>’</w:t>
      </w:r>
      <w:r w:rsidRPr="006E38FF">
        <w:rPr>
          <w:lang w:val="fr-FR"/>
        </w:rPr>
        <w:t>essai des dispositifs d</w:t>
      </w:r>
      <w:r>
        <w:rPr>
          <w:lang w:val="fr-FR"/>
        </w:rPr>
        <w:t>’</w:t>
      </w:r>
      <w:r w:rsidRPr="006E38FF">
        <w:rPr>
          <w:lang w:val="fr-FR"/>
        </w:rPr>
        <w:t>éclairage et de signalisation lumineuse, qui permet de contrôler le fonctionnement de chaque type de feu avant d</w:t>
      </w:r>
      <w:r>
        <w:rPr>
          <w:lang w:val="fr-FR"/>
        </w:rPr>
        <w:t>’</w:t>
      </w:r>
      <w:r w:rsidRPr="006E38FF">
        <w:rPr>
          <w:lang w:val="fr-FR"/>
        </w:rPr>
        <w:t xml:space="preserve">utiliser le véhicule. </w:t>
      </w:r>
    </w:p>
    <w:p w14:paraId="2A162BC4" w14:textId="1E16CC54" w:rsidR="00540808" w:rsidRPr="006E38FF" w:rsidRDefault="006F6F4E" w:rsidP="006F6F4E">
      <w:pPr>
        <w:pStyle w:val="H4G"/>
        <w:rPr>
          <w:lang w:val="fr-FR"/>
        </w:rPr>
      </w:pPr>
      <w:r>
        <w:rPr>
          <w:lang w:val="fr-FR"/>
        </w:rPr>
        <w:tab/>
      </w:r>
      <w:r>
        <w:rPr>
          <w:lang w:val="fr-FR"/>
        </w:rPr>
        <w:tab/>
      </w:r>
      <w:r w:rsidR="00540808" w:rsidRPr="006E38FF">
        <w:rPr>
          <w:lang w:val="fr-FR"/>
        </w:rPr>
        <w:t>Paragraphes 2.11.5.1 et 2.11.5.2</w:t>
      </w:r>
      <w:r>
        <w:rPr>
          <w:b/>
          <w:bCs/>
          <w:lang w:val="fr-FR"/>
        </w:rPr>
        <w:t xml:space="preserve"> −</w:t>
      </w:r>
      <w:r w:rsidR="00540808" w:rsidRPr="006E38FF">
        <w:rPr>
          <w:lang w:val="fr-FR"/>
        </w:rPr>
        <w:t xml:space="preserve"> Définition de nouvelles couleurs </w:t>
      </w:r>
    </w:p>
    <w:p w14:paraId="2F99D259" w14:textId="067D3C5A" w:rsidR="00540808" w:rsidRPr="006E38FF" w:rsidRDefault="00540808" w:rsidP="00C767C3">
      <w:pPr>
        <w:pStyle w:val="SingleTxtG"/>
        <w:rPr>
          <w:lang w:val="fr-FR"/>
        </w:rPr>
      </w:pPr>
      <w:r w:rsidRPr="006E38FF">
        <w:rPr>
          <w:lang w:val="fr-FR"/>
        </w:rPr>
        <w:t>6.</w:t>
      </w:r>
      <w:r w:rsidRPr="006E38FF">
        <w:rPr>
          <w:lang w:val="fr-FR"/>
        </w:rPr>
        <w:tab/>
      </w:r>
      <w:r w:rsidRPr="000F33A0">
        <w:rPr>
          <w:lang w:val="fr-FR"/>
        </w:rPr>
        <w:t>Les</w:t>
      </w:r>
      <w:r w:rsidRPr="006E38FF">
        <w:rPr>
          <w:lang w:val="fr-FR"/>
        </w:rPr>
        <w:t xml:space="preserve"> couleurs bleu indicateur et vert indicateur sont définies pour le témoin du système d</w:t>
      </w:r>
      <w:r>
        <w:rPr>
          <w:lang w:val="fr-FR"/>
        </w:rPr>
        <w:t>’</w:t>
      </w:r>
      <w:r w:rsidRPr="006E38FF">
        <w:rPr>
          <w:lang w:val="fr-FR"/>
        </w:rPr>
        <w:t>énergie, car elles sont déjà utilisées sur bon nombre de véhicules électriques actuels. Leurs coordonnées chromatiques respectives sont précisées dans le Règlement ONU n</w:t>
      </w:r>
      <w:r w:rsidRPr="006E38FF">
        <w:rPr>
          <w:vertAlign w:val="superscript"/>
          <w:lang w:val="fr-FR"/>
        </w:rPr>
        <w:t>o</w:t>
      </w:r>
      <w:r w:rsidRPr="006E38FF">
        <w:rPr>
          <w:lang w:val="fr-FR"/>
        </w:rPr>
        <w:t> 48 car, à l</w:t>
      </w:r>
      <w:r>
        <w:rPr>
          <w:lang w:val="fr-FR"/>
        </w:rPr>
        <w:t>’</w:t>
      </w:r>
      <w:r w:rsidRPr="006E38FF">
        <w:rPr>
          <w:lang w:val="fr-FR"/>
        </w:rPr>
        <w:t>heure actuelle, elles n</w:t>
      </w:r>
      <w:r>
        <w:rPr>
          <w:lang w:val="fr-FR"/>
        </w:rPr>
        <w:t>’</w:t>
      </w:r>
      <w:r w:rsidRPr="006E38FF">
        <w:rPr>
          <w:lang w:val="fr-FR"/>
        </w:rPr>
        <w:t>existent dans aucun autre Règlement ONU. La couleur bleue dont les coordonnées chromatiques sont spécifiées dans le Règlement ONU n</w:t>
      </w:r>
      <w:r w:rsidRPr="006E38FF">
        <w:rPr>
          <w:vertAlign w:val="superscript"/>
          <w:lang w:val="fr-FR"/>
        </w:rPr>
        <w:t>o</w:t>
      </w:r>
      <w:r w:rsidRPr="006E38FF">
        <w:rPr>
          <w:lang w:val="fr-FR"/>
        </w:rPr>
        <w:t> 65, relatif aux feux spéciaux d</w:t>
      </w:r>
      <w:r>
        <w:rPr>
          <w:lang w:val="fr-FR"/>
        </w:rPr>
        <w:t>’</w:t>
      </w:r>
      <w:r w:rsidRPr="006E38FF">
        <w:rPr>
          <w:lang w:val="fr-FR"/>
        </w:rPr>
        <w:t>avertissement, est réservée à cette application et différente du bleu indicateur défini dans le présent document. Le Règlement ONU n</w:t>
      </w:r>
      <w:r w:rsidRPr="006E38FF">
        <w:rPr>
          <w:vertAlign w:val="superscript"/>
          <w:lang w:val="fr-FR"/>
        </w:rPr>
        <w:t>o</w:t>
      </w:r>
      <w:r w:rsidRPr="006E38FF">
        <w:rPr>
          <w:lang w:val="fr-FR"/>
        </w:rPr>
        <w:t> 48 contient déjà les spécifications du blanc, du jaune sélectif, du jaune-auto et du rouge (par</w:t>
      </w:r>
      <w:r w:rsidR="006F6F4E">
        <w:rPr>
          <w:lang w:val="fr-FR"/>
        </w:rPr>
        <w:t>. </w:t>
      </w:r>
      <w:r w:rsidRPr="006E38FF">
        <w:rPr>
          <w:lang w:val="fr-FR"/>
        </w:rPr>
        <w:t>2.11.1.1 à 2.11.1.4), qui sont des couleurs déjà utilisées pour le témoin du système d</w:t>
      </w:r>
      <w:r>
        <w:rPr>
          <w:lang w:val="fr-FR"/>
        </w:rPr>
        <w:t>’</w:t>
      </w:r>
      <w:r w:rsidRPr="006E38FF">
        <w:rPr>
          <w:lang w:val="fr-FR"/>
        </w:rPr>
        <w:t>énergie sur les véhicules actuels.</w:t>
      </w:r>
    </w:p>
    <w:p w14:paraId="3B27797F" w14:textId="6EFED195" w:rsidR="00540808" w:rsidRPr="006E38FF" w:rsidRDefault="006F6F4E" w:rsidP="006F6F4E">
      <w:pPr>
        <w:pStyle w:val="H4G"/>
      </w:pPr>
      <w:r>
        <w:rPr>
          <w:lang w:val="fr-FR"/>
        </w:rPr>
        <w:tab/>
      </w:r>
      <w:r>
        <w:rPr>
          <w:lang w:val="fr-FR"/>
        </w:rPr>
        <w:tab/>
      </w:r>
      <w:r w:rsidR="00540808" w:rsidRPr="006E38FF">
        <w:rPr>
          <w:lang w:val="fr-FR"/>
        </w:rPr>
        <w:t xml:space="preserve">Paragraphe 2.5.18 </w:t>
      </w:r>
      <w:r w:rsidR="00D552BB">
        <w:rPr>
          <w:lang w:val="fr-FR"/>
        </w:rPr>
        <w:t>−</w:t>
      </w:r>
      <w:r w:rsidR="00540808" w:rsidRPr="006E38FF">
        <w:rPr>
          <w:lang w:val="fr-FR"/>
        </w:rPr>
        <w:t xml:space="preserve"> Feu de courtoisie extérieur </w:t>
      </w:r>
    </w:p>
    <w:p w14:paraId="746CDCD1" w14:textId="77777777" w:rsidR="00540808" w:rsidRPr="006E38FF" w:rsidRDefault="00540808" w:rsidP="00C767C3">
      <w:pPr>
        <w:pStyle w:val="SingleTxtG"/>
        <w:rPr>
          <w:lang w:val="fr-FR"/>
        </w:rPr>
      </w:pPr>
      <w:r w:rsidRPr="006E38FF">
        <w:rPr>
          <w:rFonts w:hint="eastAsia"/>
          <w:lang w:val="fr-FR"/>
        </w:rPr>
        <w:t>7.</w:t>
      </w:r>
      <w:r w:rsidRPr="006E38FF">
        <w:rPr>
          <w:rFonts w:hint="eastAsia"/>
          <w:lang w:val="fr-FR"/>
        </w:rPr>
        <w:tab/>
      </w:r>
      <w:r w:rsidRPr="006E38FF">
        <w:rPr>
          <w:lang w:val="fr-FR"/>
        </w:rPr>
        <w:t>La définition du feu de courtoisie extérieur est modifiée de façon à inclure l</w:t>
      </w:r>
      <w:r>
        <w:rPr>
          <w:lang w:val="fr-FR"/>
        </w:rPr>
        <w:t>’</w:t>
      </w:r>
      <w:r w:rsidRPr="006E38FF">
        <w:rPr>
          <w:lang w:val="fr-FR"/>
        </w:rPr>
        <w:t>éclairage d</w:t>
      </w:r>
      <w:r>
        <w:rPr>
          <w:lang w:val="fr-FR"/>
        </w:rPr>
        <w:t>’</w:t>
      </w:r>
      <w:r w:rsidRPr="006E38FF">
        <w:rPr>
          <w:lang w:val="fr-FR"/>
        </w:rPr>
        <w:t>accompagnement et d</w:t>
      </w:r>
      <w:r>
        <w:rPr>
          <w:lang w:val="fr-FR"/>
        </w:rPr>
        <w:t>’</w:t>
      </w:r>
      <w:r w:rsidRPr="006E38FF">
        <w:rPr>
          <w:lang w:val="fr-FR"/>
        </w:rPr>
        <w:t>autres fonctions présentes sur les véhicules immatriculés de nos jours. La nouvelle définition inclut l</w:t>
      </w:r>
      <w:r>
        <w:rPr>
          <w:lang w:val="fr-FR"/>
        </w:rPr>
        <w:t>’</w:t>
      </w:r>
      <w:r w:rsidRPr="006E38FF">
        <w:rPr>
          <w:lang w:val="fr-FR"/>
        </w:rPr>
        <w:t>éclairage des abords du véhicule lorsque l</w:t>
      </w:r>
      <w:r>
        <w:rPr>
          <w:lang w:val="fr-FR"/>
        </w:rPr>
        <w:t>’</w:t>
      </w:r>
      <w:r w:rsidRPr="006E38FF">
        <w:rPr>
          <w:lang w:val="fr-FR"/>
        </w:rPr>
        <w:t>utilisateur s</w:t>
      </w:r>
      <w:r>
        <w:rPr>
          <w:lang w:val="fr-FR"/>
        </w:rPr>
        <w:t>’</w:t>
      </w:r>
      <w:r w:rsidRPr="006E38FF">
        <w:rPr>
          <w:lang w:val="fr-FR"/>
        </w:rPr>
        <w:t>en approche ou s</w:t>
      </w:r>
      <w:r>
        <w:rPr>
          <w:lang w:val="fr-FR"/>
        </w:rPr>
        <w:t>’</w:t>
      </w:r>
      <w:r w:rsidRPr="006E38FF">
        <w:rPr>
          <w:lang w:val="fr-FR"/>
        </w:rPr>
        <w:t>en éloigne, en plus de l</w:t>
      </w:r>
      <w:r>
        <w:rPr>
          <w:lang w:val="fr-FR"/>
        </w:rPr>
        <w:t>’</w:t>
      </w:r>
      <w:r w:rsidRPr="006E38FF">
        <w:rPr>
          <w:lang w:val="fr-FR"/>
        </w:rPr>
        <w:t>éclairage des marchepieds ou des poignées de portes</w:t>
      </w:r>
      <w:r>
        <w:rPr>
          <w:lang w:val="fr-FR"/>
        </w:rPr>
        <w:t>,</w:t>
      </w:r>
      <w:r w:rsidRPr="006E38FF">
        <w:rPr>
          <w:lang w:val="fr-FR"/>
        </w:rPr>
        <w:t xml:space="preserve"> qui était déjà visé. </w:t>
      </w:r>
    </w:p>
    <w:p w14:paraId="0F603C68" w14:textId="1888AFCB" w:rsidR="00540808" w:rsidRPr="006E38FF" w:rsidRDefault="00185CA4" w:rsidP="00185CA4">
      <w:pPr>
        <w:pStyle w:val="H4G"/>
      </w:pPr>
      <w:r>
        <w:rPr>
          <w:lang w:val="fr-FR"/>
        </w:rPr>
        <w:tab/>
      </w:r>
      <w:r>
        <w:rPr>
          <w:lang w:val="fr-FR"/>
        </w:rPr>
        <w:tab/>
      </w:r>
      <w:r w:rsidR="00540808" w:rsidRPr="006E38FF">
        <w:rPr>
          <w:lang w:val="fr-FR"/>
        </w:rPr>
        <w:t>Paragraphe 2.5.20</w:t>
      </w:r>
    </w:p>
    <w:p w14:paraId="79FA2CA2" w14:textId="77777777" w:rsidR="00540808" w:rsidRPr="006E38FF" w:rsidRDefault="00540808" w:rsidP="00C767C3">
      <w:pPr>
        <w:pStyle w:val="SingleTxtG"/>
        <w:rPr>
          <w:lang w:val="fr-FR"/>
        </w:rPr>
      </w:pPr>
      <w:r w:rsidRPr="006E38FF">
        <w:rPr>
          <w:rFonts w:hint="eastAsia"/>
          <w:lang w:val="fr-FR"/>
        </w:rPr>
        <w:t>8.</w:t>
      </w:r>
      <w:r w:rsidRPr="006E38FF">
        <w:rPr>
          <w:rFonts w:hint="eastAsia"/>
          <w:lang w:val="fr-FR"/>
        </w:rPr>
        <w:tab/>
      </w:r>
      <w:r w:rsidRPr="006E38FF">
        <w:rPr>
          <w:lang w:val="fr-FR"/>
        </w:rPr>
        <w:t>Une modification d</w:t>
      </w:r>
      <w:r>
        <w:rPr>
          <w:lang w:val="fr-FR"/>
        </w:rPr>
        <w:t>’</w:t>
      </w:r>
      <w:r w:rsidRPr="006E38FF">
        <w:rPr>
          <w:lang w:val="fr-FR"/>
        </w:rPr>
        <w:t>ordre rédactionnel est apportée, consistant à ajouter le numéro des derniers Règlements ONU relatifs au système d</w:t>
      </w:r>
      <w:r>
        <w:rPr>
          <w:lang w:val="fr-FR"/>
        </w:rPr>
        <w:t>’</w:t>
      </w:r>
      <w:r w:rsidRPr="006E38FF">
        <w:rPr>
          <w:lang w:val="fr-FR"/>
        </w:rPr>
        <w:t>alarme pour véhicules, au système d</w:t>
      </w:r>
      <w:r>
        <w:rPr>
          <w:lang w:val="fr-FR"/>
        </w:rPr>
        <w:t>’</w:t>
      </w:r>
      <w:r w:rsidRPr="006E38FF">
        <w:rPr>
          <w:lang w:val="fr-FR"/>
        </w:rPr>
        <w:t>alarme et au dispositif d</w:t>
      </w:r>
      <w:r>
        <w:rPr>
          <w:lang w:val="fr-FR"/>
        </w:rPr>
        <w:t>’</w:t>
      </w:r>
      <w:r w:rsidRPr="006E38FF">
        <w:rPr>
          <w:lang w:val="fr-FR"/>
        </w:rPr>
        <w:t>immobilisation.</w:t>
      </w:r>
    </w:p>
    <w:p w14:paraId="0D8F2E4D" w14:textId="6A9B0D7D" w:rsidR="00540808" w:rsidRPr="006E38FF" w:rsidRDefault="00185CA4" w:rsidP="00185CA4">
      <w:pPr>
        <w:pStyle w:val="H4G"/>
        <w:rPr>
          <w:lang w:val="fr-FR"/>
        </w:rPr>
      </w:pPr>
      <w:r>
        <w:rPr>
          <w:lang w:val="fr-FR"/>
        </w:rPr>
        <w:tab/>
      </w:r>
      <w:r>
        <w:rPr>
          <w:lang w:val="fr-FR"/>
        </w:rPr>
        <w:tab/>
      </w:r>
      <w:r w:rsidR="00540808" w:rsidRPr="006E38FF">
        <w:rPr>
          <w:lang w:val="fr-FR"/>
        </w:rPr>
        <w:t xml:space="preserve">Paragraphe 2.5.21 </w:t>
      </w:r>
      <w:r w:rsidR="00D552BB">
        <w:rPr>
          <w:lang w:val="fr-FR"/>
        </w:rPr>
        <w:t>−</w:t>
      </w:r>
      <w:r w:rsidR="00540808" w:rsidRPr="006E38FF">
        <w:rPr>
          <w:lang w:val="fr-FR"/>
        </w:rPr>
        <w:t xml:space="preserve"> Témoin lumineux du système d</w:t>
      </w:r>
      <w:r w:rsidR="00540808">
        <w:rPr>
          <w:lang w:val="fr-FR"/>
        </w:rPr>
        <w:t>’</w:t>
      </w:r>
      <w:r w:rsidR="00540808" w:rsidRPr="006E38FF">
        <w:rPr>
          <w:lang w:val="fr-FR"/>
        </w:rPr>
        <w:t xml:space="preserve">énergie </w:t>
      </w:r>
    </w:p>
    <w:p w14:paraId="48F005BB" w14:textId="77777777" w:rsidR="00540808" w:rsidRPr="006E38FF" w:rsidRDefault="00540808" w:rsidP="00C767C3">
      <w:pPr>
        <w:pStyle w:val="SingleTxtG"/>
        <w:rPr>
          <w:lang w:val="fr-FR"/>
        </w:rPr>
      </w:pPr>
      <w:r w:rsidRPr="006E38FF">
        <w:rPr>
          <w:lang w:val="fr-FR"/>
        </w:rPr>
        <w:t>9.</w:t>
      </w:r>
      <w:r w:rsidRPr="006E38FF">
        <w:rPr>
          <w:lang w:val="fr-FR"/>
        </w:rPr>
        <w:tab/>
        <w:t>Une nouvelle définition est ajoutée pour le témoin du système d</w:t>
      </w:r>
      <w:r>
        <w:rPr>
          <w:lang w:val="fr-FR"/>
        </w:rPr>
        <w:t>’</w:t>
      </w:r>
      <w:r w:rsidRPr="006E38FF">
        <w:rPr>
          <w:lang w:val="fr-FR"/>
        </w:rPr>
        <w:t>énergie, qui sert à informer l</w:t>
      </w:r>
      <w:r>
        <w:rPr>
          <w:lang w:val="fr-FR"/>
        </w:rPr>
        <w:t>’</w:t>
      </w:r>
      <w:r w:rsidRPr="006E38FF">
        <w:rPr>
          <w:lang w:val="fr-FR"/>
        </w:rPr>
        <w:t>utilisateur du véhicule du niveau d</w:t>
      </w:r>
      <w:r>
        <w:rPr>
          <w:lang w:val="fr-FR"/>
        </w:rPr>
        <w:t>’</w:t>
      </w:r>
      <w:r w:rsidRPr="006E38FF">
        <w:rPr>
          <w:lang w:val="fr-FR"/>
        </w:rPr>
        <w:t>énergie ou de l</w:t>
      </w:r>
      <w:r>
        <w:rPr>
          <w:lang w:val="fr-FR"/>
        </w:rPr>
        <w:t>’</w:t>
      </w:r>
      <w:r w:rsidRPr="006E38FF">
        <w:rPr>
          <w:lang w:val="fr-FR"/>
        </w:rPr>
        <w:t>état du système de transfert d</w:t>
      </w:r>
      <w:r>
        <w:rPr>
          <w:lang w:val="fr-FR"/>
        </w:rPr>
        <w:t>’</w:t>
      </w:r>
      <w:r w:rsidRPr="006E38FF">
        <w:rPr>
          <w:lang w:val="fr-FR"/>
        </w:rPr>
        <w:t>énergie du véhicule, ou à indiquer où en est le transfert d</w:t>
      </w:r>
      <w:r>
        <w:rPr>
          <w:lang w:val="fr-FR"/>
        </w:rPr>
        <w:t>’</w:t>
      </w:r>
      <w:r w:rsidRPr="006E38FF">
        <w:rPr>
          <w:lang w:val="fr-FR"/>
        </w:rPr>
        <w:t>énergie. Ce type de témoin existe déjà sur des véhicules de série actuellement disponibles. L</w:t>
      </w:r>
      <w:r>
        <w:rPr>
          <w:lang w:val="fr-FR"/>
        </w:rPr>
        <w:t>’</w:t>
      </w:r>
      <w:r w:rsidRPr="006E38FF">
        <w:rPr>
          <w:lang w:val="fr-FR"/>
        </w:rPr>
        <w:t>idée est d</w:t>
      </w:r>
      <w:r>
        <w:rPr>
          <w:lang w:val="fr-FR"/>
        </w:rPr>
        <w:t>’</w:t>
      </w:r>
      <w:r w:rsidRPr="006E38FF">
        <w:rPr>
          <w:lang w:val="fr-FR"/>
        </w:rPr>
        <w:t>introduire un témoin à faible intensité indépendant des autres dispositifs définis, ne nécessitant pas d</w:t>
      </w:r>
      <w:r>
        <w:rPr>
          <w:lang w:val="fr-FR"/>
        </w:rPr>
        <w:t>’</w:t>
      </w:r>
      <w:r w:rsidRPr="006E38FF">
        <w:rPr>
          <w:lang w:val="fr-FR"/>
        </w:rPr>
        <w:t>homologation distincte. Si le constructeur choisit d</w:t>
      </w:r>
      <w:r>
        <w:rPr>
          <w:lang w:val="fr-FR"/>
        </w:rPr>
        <w:t>’</w:t>
      </w:r>
      <w:r w:rsidRPr="006E38FF">
        <w:rPr>
          <w:lang w:val="fr-FR"/>
        </w:rPr>
        <w:t>indiquer le niveau d</w:t>
      </w:r>
      <w:r>
        <w:rPr>
          <w:lang w:val="fr-FR"/>
        </w:rPr>
        <w:t>’</w:t>
      </w:r>
      <w:r w:rsidRPr="006E38FF">
        <w:rPr>
          <w:lang w:val="fr-FR"/>
        </w:rPr>
        <w:t>énergie ou l</w:t>
      </w:r>
      <w:r>
        <w:rPr>
          <w:lang w:val="fr-FR"/>
        </w:rPr>
        <w:t>’</w:t>
      </w:r>
      <w:r w:rsidRPr="006E38FF">
        <w:rPr>
          <w:lang w:val="fr-FR"/>
        </w:rPr>
        <w:t>état du transfert d</w:t>
      </w:r>
      <w:r>
        <w:rPr>
          <w:lang w:val="fr-FR"/>
        </w:rPr>
        <w:t>’</w:t>
      </w:r>
      <w:r w:rsidRPr="006E38FF">
        <w:rPr>
          <w:lang w:val="fr-FR"/>
        </w:rPr>
        <w:t>énergie au moyen d</w:t>
      </w:r>
      <w:r>
        <w:rPr>
          <w:lang w:val="fr-FR"/>
        </w:rPr>
        <w:t>’</w:t>
      </w:r>
      <w:r w:rsidRPr="006E38FF">
        <w:rPr>
          <w:lang w:val="fr-FR"/>
        </w:rPr>
        <w:t>un code couleur, les couleurs utilisées doivent être conformes aux spécifications établies dans le Règlement.</w:t>
      </w:r>
    </w:p>
    <w:p w14:paraId="3B18B4E5" w14:textId="63E5F278" w:rsidR="00540808" w:rsidRPr="006E38FF" w:rsidRDefault="00185CA4" w:rsidP="00185CA4">
      <w:pPr>
        <w:pStyle w:val="H4G"/>
      </w:pPr>
      <w:r>
        <w:rPr>
          <w:lang w:val="fr-FR"/>
        </w:rPr>
        <w:tab/>
      </w:r>
      <w:r>
        <w:rPr>
          <w:lang w:val="fr-FR"/>
        </w:rPr>
        <w:tab/>
      </w:r>
      <w:r w:rsidR="00540808" w:rsidRPr="006E38FF">
        <w:rPr>
          <w:lang w:val="fr-FR"/>
        </w:rPr>
        <w:t>Paragraphe 2.6.4</w:t>
      </w:r>
    </w:p>
    <w:p w14:paraId="3DE0867D" w14:textId="77777777" w:rsidR="00540808" w:rsidRPr="006E38FF" w:rsidRDefault="00540808" w:rsidP="00C767C3">
      <w:pPr>
        <w:pStyle w:val="SingleTxtG"/>
        <w:rPr>
          <w:lang w:val="fr-FR"/>
        </w:rPr>
      </w:pPr>
      <w:r w:rsidRPr="006E38FF">
        <w:rPr>
          <w:lang w:val="fr-FR"/>
        </w:rPr>
        <w:t>10.</w:t>
      </w:r>
      <w:r w:rsidRPr="006E38FF">
        <w:rPr>
          <w:lang w:val="fr-FR"/>
        </w:rPr>
        <w:tab/>
        <w:t>Le signal de réponse est défini au paragraphe 2.6.4. Ce type de signal existe déjà sur des véhicules de série actuellement disponibles.</w:t>
      </w:r>
    </w:p>
    <w:p w14:paraId="69944652" w14:textId="540AA288" w:rsidR="00540808" w:rsidRPr="006E38FF" w:rsidRDefault="00185CA4" w:rsidP="00185CA4">
      <w:pPr>
        <w:pStyle w:val="H4G"/>
        <w:rPr>
          <w:lang w:val="fr-FR"/>
        </w:rPr>
      </w:pPr>
      <w:r>
        <w:rPr>
          <w:lang w:val="fr-FR"/>
        </w:rPr>
        <w:tab/>
      </w:r>
      <w:r>
        <w:rPr>
          <w:lang w:val="fr-FR"/>
        </w:rPr>
        <w:tab/>
      </w:r>
      <w:r w:rsidR="00540808" w:rsidRPr="006E38FF">
        <w:rPr>
          <w:lang w:val="fr-FR"/>
        </w:rPr>
        <w:t xml:space="preserve">Paragraphe 2.7.10 </w:t>
      </w:r>
      <w:r w:rsidR="00300D79">
        <w:rPr>
          <w:lang w:val="fr-FR"/>
        </w:rPr>
        <w:t>−</w:t>
      </w:r>
      <w:r w:rsidR="00540808" w:rsidRPr="006E38FF">
        <w:rPr>
          <w:lang w:val="fr-FR"/>
        </w:rPr>
        <w:t xml:space="preserve"> Mode d</w:t>
      </w:r>
      <w:r w:rsidR="00540808">
        <w:rPr>
          <w:lang w:val="fr-FR"/>
        </w:rPr>
        <w:t>’</w:t>
      </w:r>
      <w:r w:rsidR="00540808" w:rsidRPr="006E38FF">
        <w:rPr>
          <w:lang w:val="fr-FR"/>
        </w:rPr>
        <w:t>essai des dispositifs d</w:t>
      </w:r>
      <w:r w:rsidR="00540808">
        <w:rPr>
          <w:lang w:val="fr-FR"/>
        </w:rPr>
        <w:t>’</w:t>
      </w:r>
      <w:r w:rsidR="00540808" w:rsidRPr="006E38FF">
        <w:rPr>
          <w:lang w:val="fr-FR"/>
        </w:rPr>
        <w:t xml:space="preserve">éclairage et de signalisation lumineuse </w:t>
      </w:r>
    </w:p>
    <w:p w14:paraId="785A9A9E" w14:textId="77777777" w:rsidR="00540808" w:rsidRPr="006E38FF" w:rsidRDefault="00540808" w:rsidP="00C767C3">
      <w:pPr>
        <w:pStyle w:val="SingleTxtG"/>
        <w:rPr>
          <w:lang w:val="fr-FR"/>
        </w:rPr>
      </w:pPr>
      <w:r w:rsidRPr="006E38FF">
        <w:rPr>
          <w:lang w:val="fr-FR"/>
        </w:rPr>
        <w:t>11.</w:t>
      </w:r>
      <w:r w:rsidRPr="006E38FF">
        <w:rPr>
          <w:lang w:val="fr-FR"/>
        </w:rPr>
        <w:tab/>
        <w:t>Une nouvelle définition est ajoutée concernant le mode d</w:t>
      </w:r>
      <w:r>
        <w:rPr>
          <w:lang w:val="fr-FR"/>
        </w:rPr>
        <w:t>’</w:t>
      </w:r>
      <w:r w:rsidRPr="006E38FF">
        <w:rPr>
          <w:lang w:val="fr-FR"/>
        </w:rPr>
        <w:t>essai des dispositifs d</w:t>
      </w:r>
      <w:r>
        <w:rPr>
          <w:lang w:val="fr-FR"/>
        </w:rPr>
        <w:t>’</w:t>
      </w:r>
      <w:r w:rsidRPr="006E38FF">
        <w:rPr>
          <w:lang w:val="fr-FR"/>
        </w:rPr>
        <w:t>éclairage et de signalisation lumineuse, qui permet à l</w:t>
      </w:r>
      <w:r>
        <w:rPr>
          <w:lang w:val="fr-FR"/>
        </w:rPr>
        <w:t>’</w:t>
      </w:r>
      <w:r w:rsidRPr="006E38FF">
        <w:rPr>
          <w:lang w:val="fr-FR"/>
        </w:rPr>
        <w:t>utilisateur du véhicule de contrôler visuellement le fonctionnement des dispositifs d</w:t>
      </w:r>
      <w:r>
        <w:rPr>
          <w:lang w:val="fr-FR"/>
        </w:rPr>
        <w:t>’</w:t>
      </w:r>
      <w:r w:rsidRPr="006E38FF">
        <w:rPr>
          <w:lang w:val="fr-FR"/>
        </w:rPr>
        <w:t xml:space="preserve">éclairage et de signalisation lumineuse et </w:t>
      </w:r>
      <w:r w:rsidRPr="006E38FF">
        <w:rPr>
          <w:lang w:val="fr-FR"/>
        </w:rPr>
        <w:lastRenderedPageBreak/>
        <w:t>des systèmes associés. Ce mode d</w:t>
      </w:r>
      <w:r>
        <w:rPr>
          <w:lang w:val="fr-FR"/>
        </w:rPr>
        <w:t>’</w:t>
      </w:r>
      <w:r w:rsidRPr="006E38FF">
        <w:rPr>
          <w:lang w:val="fr-FR"/>
        </w:rPr>
        <w:t>essai existe déjà sur des véhicules de série actuellement disponibles. Cette fonction est particulièrement utile sur les camions et autres gros véhicules utilitaires. Dans ce mode, les dispositifs d</w:t>
      </w:r>
      <w:r>
        <w:rPr>
          <w:lang w:val="fr-FR"/>
        </w:rPr>
        <w:t>’</w:t>
      </w:r>
      <w:r w:rsidRPr="006E38FF">
        <w:rPr>
          <w:lang w:val="fr-FR"/>
        </w:rPr>
        <w:t>éclairage et de signalisation lumineuse installés s</w:t>
      </w:r>
      <w:r>
        <w:rPr>
          <w:lang w:val="fr-FR"/>
        </w:rPr>
        <w:t>’</w:t>
      </w:r>
      <w:r w:rsidRPr="006E38FF">
        <w:rPr>
          <w:lang w:val="fr-FR"/>
        </w:rPr>
        <w:t>allument dans un ordre prédéfini pendant une durée déterminée</w:t>
      </w:r>
      <w:r>
        <w:rPr>
          <w:lang w:val="fr-FR"/>
        </w:rPr>
        <w:t>,</w:t>
      </w:r>
      <w:r w:rsidRPr="006E38FF">
        <w:rPr>
          <w:lang w:val="fr-FR"/>
        </w:rPr>
        <w:t xml:space="preserve"> pour permettre à l</w:t>
      </w:r>
      <w:r>
        <w:rPr>
          <w:lang w:val="fr-FR"/>
        </w:rPr>
        <w:t>’</w:t>
      </w:r>
      <w:r w:rsidRPr="006E38FF">
        <w:rPr>
          <w:lang w:val="fr-FR"/>
        </w:rPr>
        <w:t>utilisateur de faire le tour du véhicule en inspectant chaque feu sans l</w:t>
      </w:r>
      <w:r>
        <w:rPr>
          <w:lang w:val="fr-FR"/>
        </w:rPr>
        <w:t>’</w:t>
      </w:r>
      <w:r w:rsidRPr="006E38FF">
        <w:rPr>
          <w:lang w:val="fr-FR"/>
        </w:rPr>
        <w:t>aide d</w:t>
      </w:r>
      <w:r>
        <w:rPr>
          <w:lang w:val="fr-FR"/>
        </w:rPr>
        <w:t>’</w:t>
      </w:r>
      <w:r w:rsidRPr="006E38FF">
        <w:rPr>
          <w:lang w:val="fr-FR"/>
        </w:rPr>
        <w:t>une autre personne. Si elle n</w:t>
      </w:r>
      <w:r>
        <w:rPr>
          <w:lang w:val="fr-FR"/>
        </w:rPr>
        <w:t>’</w:t>
      </w:r>
      <w:r w:rsidRPr="006E38FF">
        <w:rPr>
          <w:lang w:val="fr-FR"/>
        </w:rPr>
        <w:t>était pas ajoutée dans la première phase d</w:t>
      </w:r>
      <w:r>
        <w:rPr>
          <w:lang w:val="fr-FR"/>
        </w:rPr>
        <w:t>’</w:t>
      </w:r>
      <w:r w:rsidRPr="006E38FF">
        <w:rPr>
          <w:lang w:val="fr-FR"/>
        </w:rPr>
        <w:t>amendements au Règlement ONU n</w:t>
      </w:r>
      <w:r w:rsidRPr="006E38FF">
        <w:rPr>
          <w:vertAlign w:val="superscript"/>
          <w:lang w:val="fr-FR"/>
        </w:rPr>
        <w:t>o</w:t>
      </w:r>
      <w:r w:rsidRPr="006E38FF">
        <w:rPr>
          <w:lang w:val="fr-FR"/>
        </w:rPr>
        <w:t> 48, cette fonction de sécurité importante devrait être supprimée sur des véhicules en circulation, au détriment de la sécurité routière.</w:t>
      </w:r>
    </w:p>
    <w:p w14:paraId="46EA8FA4" w14:textId="2FB6B7A5" w:rsidR="00540808" w:rsidRPr="006E38FF" w:rsidRDefault="00185CA4" w:rsidP="00185CA4">
      <w:pPr>
        <w:pStyle w:val="H4G"/>
      </w:pPr>
      <w:r>
        <w:rPr>
          <w:lang w:val="fr-FR"/>
        </w:rPr>
        <w:tab/>
      </w:r>
      <w:r>
        <w:rPr>
          <w:lang w:val="fr-FR"/>
        </w:rPr>
        <w:tab/>
      </w:r>
      <w:r w:rsidR="00540808" w:rsidRPr="006E38FF">
        <w:rPr>
          <w:lang w:val="fr-FR"/>
        </w:rPr>
        <w:t>Paragraphes 3.2.10 et 5.36</w:t>
      </w:r>
    </w:p>
    <w:p w14:paraId="2F956451" w14:textId="37D5B588" w:rsidR="00540808" w:rsidRPr="006E38FF" w:rsidRDefault="00540808" w:rsidP="00185CA4">
      <w:pPr>
        <w:pStyle w:val="SingleTxtG"/>
        <w:rPr>
          <w:lang w:val="fr-FR"/>
        </w:rPr>
      </w:pPr>
      <w:r w:rsidRPr="006E38FF">
        <w:rPr>
          <w:lang w:val="fr-FR"/>
        </w:rPr>
        <w:t>12.</w:t>
      </w:r>
      <w:r w:rsidRPr="006E38FF">
        <w:rPr>
          <w:lang w:val="fr-FR"/>
        </w:rPr>
        <w:tab/>
        <w:t>Le paragraphe 5.36 prescrit ce qui suit : « Les feux qui peuvent être allumés lorsque le véhicule est en stationnement sont</w:t>
      </w:r>
      <w:r w:rsidR="00D21442">
        <w:rPr>
          <w:lang w:val="fr-FR"/>
        </w:rPr>
        <w:t> </w:t>
      </w:r>
      <w:r w:rsidRPr="006E38FF">
        <w:rPr>
          <w:lang w:val="fr-FR"/>
        </w:rPr>
        <w:t>: a) les feux visés dans le présent Règlement ONU à condition qu</w:t>
      </w:r>
      <w:r>
        <w:rPr>
          <w:lang w:val="fr-FR"/>
        </w:rPr>
        <w:t>’</w:t>
      </w:r>
      <w:r w:rsidRPr="006E38FF">
        <w:rPr>
          <w:lang w:val="fr-FR"/>
        </w:rPr>
        <w:t>ils soient activés comme dans les conditions normales d</w:t>
      </w:r>
      <w:r>
        <w:rPr>
          <w:lang w:val="fr-FR"/>
        </w:rPr>
        <w:t>’</w:t>
      </w:r>
      <w:r w:rsidRPr="006E38FF">
        <w:rPr>
          <w:lang w:val="fr-FR"/>
        </w:rPr>
        <w:t>utilisation du véhicule ; b)</w:t>
      </w:r>
      <w:r w:rsidR="00D21442">
        <w:rPr>
          <w:lang w:val="fr-FR"/>
        </w:rPr>
        <w:t> </w:t>
      </w:r>
      <w:r w:rsidRPr="006E38FF">
        <w:rPr>
          <w:lang w:val="fr-FR"/>
        </w:rPr>
        <w:t>les feux de stationnement</w:t>
      </w:r>
      <w:r w:rsidR="00185CA4">
        <w:rPr>
          <w:lang w:val="fr-FR"/>
        </w:rPr>
        <w:t> </w:t>
      </w:r>
      <w:r w:rsidRPr="006E38FF">
        <w:rPr>
          <w:lang w:val="fr-FR"/>
        </w:rPr>
        <w:t>; c) les feux de courtoisie extérieurs</w:t>
      </w:r>
      <w:r w:rsidR="00185CA4">
        <w:rPr>
          <w:lang w:val="fr-FR"/>
        </w:rPr>
        <w:t> </w:t>
      </w:r>
      <w:r w:rsidRPr="006E38FF">
        <w:rPr>
          <w:lang w:val="fr-FR"/>
        </w:rPr>
        <w:t>; d) les témoins extérieurs d</w:t>
      </w:r>
      <w:r>
        <w:rPr>
          <w:lang w:val="fr-FR"/>
        </w:rPr>
        <w:t>’</w:t>
      </w:r>
      <w:r w:rsidRPr="006E38FF">
        <w:rPr>
          <w:lang w:val="fr-FR"/>
        </w:rPr>
        <w:t>état des systèmes d</w:t>
      </w:r>
      <w:r>
        <w:rPr>
          <w:lang w:val="fr-FR"/>
        </w:rPr>
        <w:t>’</w:t>
      </w:r>
      <w:r w:rsidRPr="006E38FF">
        <w:rPr>
          <w:lang w:val="fr-FR"/>
        </w:rPr>
        <w:t>alarme antivol ; e) le témoin du système d</w:t>
      </w:r>
      <w:r>
        <w:rPr>
          <w:lang w:val="fr-FR"/>
        </w:rPr>
        <w:t>’</w:t>
      </w:r>
      <w:r w:rsidRPr="006E38FF">
        <w:rPr>
          <w:lang w:val="fr-FR"/>
        </w:rPr>
        <w:t>énergie</w:t>
      </w:r>
      <w:r w:rsidR="00185CA4">
        <w:rPr>
          <w:lang w:val="fr-FR"/>
        </w:rPr>
        <w:t> </w:t>
      </w:r>
      <w:r w:rsidRPr="006E38FF">
        <w:rPr>
          <w:lang w:val="fr-FR"/>
        </w:rPr>
        <w:t>; f) les feux servant à la fonction de signal de réponse ; g) les feux allumés dans le cadre du mode d</w:t>
      </w:r>
      <w:r>
        <w:rPr>
          <w:lang w:val="fr-FR"/>
        </w:rPr>
        <w:t>’</w:t>
      </w:r>
      <w:r w:rsidRPr="006E38FF">
        <w:rPr>
          <w:lang w:val="fr-FR"/>
        </w:rPr>
        <w:t>essai des dispositifs d</w:t>
      </w:r>
      <w:r>
        <w:rPr>
          <w:lang w:val="fr-FR"/>
        </w:rPr>
        <w:t>’</w:t>
      </w:r>
      <w:r w:rsidRPr="006E38FF">
        <w:rPr>
          <w:lang w:val="fr-FR"/>
        </w:rPr>
        <w:t>éclairage et de signalisation lumineuse. ». L</w:t>
      </w:r>
      <w:r>
        <w:rPr>
          <w:lang w:val="fr-FR"/>
        </w:rPr>
        <w:t>’</w:t>
      </w:r>
      <w:r w:rsidRPr="006E38FF">
        <w:rPr>
          <w:lang w:val="fr-FR"/>
        </w:rPr>
        <w:t>alinéa a) s</w:t>
      </w:r>
      <w:r>
        <w:rPr>
          <w:lang w:val="fr-FR"/>
        </w:rPr>
        <w:t>’</w:t>
      </w:r>
      <w:r w:rsidRPr="006E38FF">
        <w:rPr>
          <w:lang w:val="fr-FR"/>
        </w:rPr>
        <w:t>applique aux feux dont l</w:t>
      </w:r>
      <w:r>
        <w:rPr>
          <w:lang w:val="fr-FR"/>
        </w:rPr>
        <w:t>’</w:t>
      </w:r>
      <w:r w:rsidRPr="006E38FF">
        <w:rPr>
          <w:lang w:val="fr-FR"/>
        </w:rPr>
        <w:t xml:space="preserve">utilisation est déjà permise lorsque le véhicule </w:t>
      </w:r>
      <w:r>
        <w:rPr>
          <w:lang w:val="fr-FR"/>
        </w:rPr>
        <w:t xml:space="preserve">est </w:t>
      </w:r>
      <w:r w:rsidRPr="006E38FF">
        <w:rPr>
          <w:lang w:val="fr-FR"/>
        </w:rPr>
        <w:t>en stationnement (par exemple les feux de détresse) et à ceux qui doivent être allumés dans ces conditions, à la discrétion de l</w:t>
      </w:r>
      <w:r>
        <w:rPr>
          <w:lang w:val="fr-FR"/>
        </w:rPr>
        <w:t>’</w:t>
      </w:r>
      <w:r w:rsidRPr="006E38FF">
        <w:rPr>
          <w:lang w:val="fr-FR"/>
        </w:rPr>
        <w:t>utilisateur du véhicule, par exemple en cas d</w:t>
      </w:r>
      <w:r>
        <w:rPr>
          <w:lang w:val="fr-FR"/>
        </w:rPr>
        <w:t>’</w:t>
      </w:r>
      <w:r w:rsidRPr="006E38FF">
        <w:rPr>
          <w:lang w:val="fr-FR"/>
        </w:rPr>
        <w:t>urgence de nuit ou pendant des essais.</w:t>
      </w:r>
    </w:p>
    <w:p w14:paraId="113633D2" w14:textId="1A8FA664" w:rsidR="00540808" w:rsidRPr="006E38FF" w:rsidRDefault="00540808" w:rsidP="00185CA4">
      <w:pPr>
        <w:pStyle w:val="SingleTxtG"/>
        <w:rPr>
          <w:lang w:val="fr-FR"/>
        </w:rPr>
      </w:pPr>
      <w:r w:rsidRPr="006E38FF">
        <w:rPr>
          <w:lang w:val="fr-FR"/>
        </w:rPr>
        <w:t>13.</w:t>
      </w:r>
      <w:r w:rsidRPr="006E38FF">
        <w:rPr>
          <w:lang w:val="fr-FR"/>
        </w:rPr>
        <w:tab/>
        <w:t>En outre, en application du paragraphe 3.2.10, le constructeur du véhicule doit fournir un document décrivant les types de dispositifs d</w:t>
      </w:r>
      <w:r>
        <w:rPr>
          <w:lang w:val="fr-FR"/>
        </w:rPr>
        <w:t>’</w:t>
      </w:r>
      <w:r w:rsidRPr="006E38FF">
        <w:rPr>
          <w:lang w:val="fr-FR"/>
        </w:rPr>
        <w:t>éclairage et de signalisation lumineuse pouvant être allumés lorsque le véhicule est en stationnement, à l</w:t>
      </w:r>
      <w:r>
        <w:rPr>
          <w:lang w:val="fr-FR"/>
        </w:rPr>
        <w:t>’</w:t>
      </w:r>
      <w:r w:rsidRPr="006E38FF">
        <w:rPr>
          <w:lang w:val="fr-FR"/>
        </w:rPr>
        <w:t>exception de ceux visés à l</w:t>
      </w:r>
      <w:r>
        <w:rPr>
          <w:lang w:val="fr-FR"/>
        </w:rPr>
        <w:t>’</w:t>
      </w:r>
      <w:r w:rsidRPr="006E38FF">
        <w:rPr>
          <w:lang w:val="fr-FR"/>
        </w:rPr>
        <w:t>alinéa</w:t>
      </w:r>
      <w:r w:rsidR="00A43479">
        <w:rPr>
          <w:lang w:val="fr-FR"/>
        </w:rPr>
        <w:t> </w:t>
      </w:r>
      <w:r w:rsidRPr="006E38FF">
        <w:rPr>
          <w:lang w:val="fr-FR"/>
        </w:rPr>
        <w:t>a) du paragraphe 5.36, et précisant dans quelles conditions ils se déclenchent, à quel moment ils s</w:t>
      </w:r>
      <w:r>
        <w:rPr>
          <w:lang w:val="fr-FR"/>
        </w:rPr>
        <w:t>’</w:t>
      </w:r>
      <w:r w:rsidRPr="006E38FF">
        <w:rPr>
          <w:lang w:val="fr-FR"/>
        </w:rPr>
        <w:t>allument et, s</w:t>
      </w:r>
      <w:r>
        <w:rPr>
          <w:lang w:val="fr-FR"/>
        </w:rPr>
        <w:t>’</w:t>
      </w:r>
      <w:r w:rsidRPr="006E38FF">
        <w:rPr>
          <w:lang w:val="fr-FR"/>
        </w:rPr>
        <w:t>agissant en particulier du témoin du système d</w:t>
      </w:r>
      <w:r>
        <w:rPr>
          <w:lang w:val="fr-FR"/>
        </w:rPr>
        <w:t>’</w:t>
      </w:r>
      <w:r w:rsidRPr="006E38FF">
        <w:rPr>
          <w:lang w:val="fr-FR"/>
        </w:rPr>
        <w:t>énergie, ce qu</w:t>
      </w:r>
      <w:r>
        <w:rPr>
          <w:lang w:val="fr-FR"/>
        </w:rPr>
        <w:t>’</w:t>
      </w:r>
      <w:r w:rsidRPr="006E38FF">
        <w:rPr>
          <w:lang w:val="fr-FR"/>
        </w:rPr>
        <w:t>indiquent les couleurs utilisées et les séquences d</w:t>
      </w:r>
      <w:r>
        <w:rPr>
          <w:lang w:val="fr-FR"/>
        </w:rPr>
        <w:t>’</w:t>
      </w:r>
      <w:r w:rsidRPr="006E38FF">
        <w:rPr>
          <w:lang w:val="fr-FR"/>
        </w:rPr>
        <w:t>allumage du témoin.</w:t>
      </w:r>
    </w:p>
    <w:p w14:paraId="676EC233" w14:textId="77777777" w:rsidR="00540808" w:rsidRPr="006E38FF" w:rsidRDefault="00540808" w:rsidP="00185CA4">
      <w:pPr>
        <w:pStyle w:val="SingleTxtG"/>
        <w:rPr>
          <w:lang w:val="fr-FR"/>
        </w:rPr>
      </w:pPr>
      <w:r w:rsidRPr="006E38FF">
        <w:rPr>
          <w:lang w:val="fr-FR"/>
        </w:rPr>
        <w:t>14.</w:t>
      </w:r>
      <w:r w:rsidRPr="006E38FF">
        <w:rPr>
          <w:lang w:val="fr-FR"/>
        </w:rPr>
        <w:tab/>
        <w:t>Les nouveaux paragraphes 3.2.10 et 5.36 autorisent l</w:t>
      </w:r>
      <w:r>
        <w:rPr>
          <w:lang w:val="fr-FR"/>
        </w:rPr>
        <w:t>’</w:t>
      </w:r>
      <w:r w:rsidRPr="006E38FF">
        <w:rPr>
          <w:lang w:val="fr-FR"/>
        </w:rPr>
        <w:t>utilisation, au titre du Règlement ONU n</w:t>
      </w:r>
      <w:r w:rsidRPr="006E38FF">
        <w:rPr>
          <w:vertAlign w:val="superscript"/>
          <w:lang w:val="fr-FR"/>
        </w:rPr>
        <w:t>o</w:t>
      </w:r>
      <w:r w:rsidRPr="006E38FF">
        <w:rPr>
          <w:lang w:val="fr-FR"/>
        </w:rPr>
        <w:t> 48, de différents feux pouvant être allumés manuellement lorsque le véhicule est en stationnement, en tenant compte de leur fonctionnement au moment de l</w:t>
      </w:r>
      <w:r>
        <w:rPr>
          <w:lang w:val="fr-FR"/>
        </w:rPr>
        <w:t>’</w:t>
      </w:r>
      <w:r w:rsidRPr="006E38FF">
        <w:rPr>
          <w:lang w:val="fr-FR"/>
        </w:rPr>
        <w:t>essai d</w:t>
      </w:r>
      <w:r>
        <w:rPr>
          <w:lang w:val="fr-FR"/>
        </w:rPr>
        <w:t>’</w:t>
      </w:r>
      <w:r w:rsidRPr="006E38FF">
        <w:rPr>
          <w:lang w:val="fr-FR"/>
        </w:rPr>
        <w:t>homologation et de l</w:t>
      </w:r>
      <w:r>
        <w:rPr>
          <w:lang w:val="fr-FR"/>
        </w:rPr>
        <w:t>’</w:t>
      </w:r>
      <w:r w:rsidRPr="006E38FF">
        <w:rPr>
          <w:lang w:val="fr-FR"/>
        </w:rPr>
        <w:t xml:space="preserve">importance des feux lorsque le moteur cale. </w:t>
      </w:r>
    </w:p>
    <w:p w14:paraId="1F1D003C" w14:textId="68DBB16F" w:rsidR="00540808" w:rsidRPr="006E38FF" w:rsidRDefault="00185CA4" w:rsidP="00185CA4">
      <w:pPr>
        <w:pStyle w:val="H4G"/>
      </w:pPr>
      <w:r>
        <w:rPr>
          <w:lang w:val="fr-FR"/>
        </w:rPr>
        <w:tab/>
      </w:r>
      <w:r>
        <w:rPr>
          <w:lang w:val="fr-FR"/>
        </w:rPr>
        <w:tab/>
      </w:r>
      <w:r w:rsidR="00540808" w:rsidRPr="006E38FF">
        <w:rPr>
          <w:lang w:val="fr-FR"/>
        </w:rPr>
        <w:t>Paragraphe 5.9.4</w:t>
      </w:r>
    </w:p>
    <w:p w14:paraId="369ED23E" w14:textId="77777777" w:rsidR="00540808" w:rsidRPr="006E38FF" w:rsidRDefault="00540808" w:rsidP="00185CA4">
      <w:pPr>
        <w:pStyle w:val="SingleTxtG"/>
        <w:keepNext/>
        <w:rPr>
          <w:lang w:val="fr-FR"/>
        </w:rPr>
      </w:pPr>
      <w:r w:rsidRPr="006E38FF">
        <w:rPr>
          <w:lang w:val="fr-FR"/>
        </w:rPr>
        <w:t>15.</w:t>
      </w:r>
      <w:r w:rsidRPr="006E38FF">
        <w:rPr>
          <w:lang w:val="fr-FR"/>
        </w:rPr>
        <w:tab/>
        <w:t>Il est proposé que les feux servant à assurer les fonctions suivantes puissent clignoter ou que leur intensité lumineuse puisse varier :</w:t>
      </w:r>
    </w:p>
    <w:p w14:paraId="05F46334" w14:textId="55BD6670" w:rsidR="00540808" w:rsidRPr="006E38FF" w:rsidRDefault="00540808" w:rsidP="00067A8B">
      <w:pPr>
        <w:pStyle w:val="Bullet1G"/>
      </w:pPr>
      <w:r w:rsidRPr="006E38FF">
        <w:rPr>
          <w:lang w:val="fr-FR"/>
        </w:rPr>
        <w:t>Témoin du système d</w:t>
      </w:r>
      <w:r>
        <w:rPr>
          <w:lang w:val="fr-FR"/>
        </w:rPr>
        <w:t>’</w:t>
      </w:r>
      <w:r w:rsidRPr="006E38FF">
        <w:rPr>
          <w:lang w:val="fr-FR"/>
        </w:rPr>
        <w:t>énergie</w:t>
      </w:r>
      <w:r w:rsidR="00185CA4">
        <w:rPr>
          <w:lang w:val="fr-FR"/>
        </w:rPr>
        <w:t> </w:t>
      </w:r>
      <w:r w:rsidRPr="006E38FF">
        <w:rPr>
          <w:lang w:val="fr-FR"/>
        </w:rPr>
        <w:t xml:space="preserve">; </w:t>
      </w:r>
    </w:p>
    <w:p w14:paraId="0B8E6ABB" w14:textId="1E01D98A" w:rsidR="00540808" w:rsidRPr="006E38FF" w:rsidRDefault="00540808" w:rsidP="00067A8B">
      <w:pPr>
        <w:pStyle w:val="Bullet1G"/>
      </w:pPr>
      <w:r w:rsidRPr="006E38FF">
        <w:rPr>
          <w:lang w:val="fr-FR"/>
        </w:rPr>
        <w:t>Signal de réponse</w:t>
      </w:r>
      <w:r w:rsidR="00185CA4">
        <w:rPr>
          <w:lang w:val="fr-FR"/>
        </w:rPr>
        <w:t> </w:t>
      </w:r>
      <w:r w:rsidRPr="006E38FF">
        <w:rPr>
          <w:lang w:val="fr-FR"/>
        </w:rPr>
        <w:t>;</w:t>
      </w:r>
    </w:p>
    <w:p w14:paraId="71A13B2F" w14:textId="74CEFDCE" w:rsidR="00540808" w:rsidRPr="006E38FF" w:rsidRDefault="00540808" w:rsidP="00067A8B">
      <w:pPr>
        <w:pStyle w:val="Bullet1G"/>
        <w:rPr>
          <w:lang w:val="fr-FR"/>
        </w:rPr>
      </w:pPr>
      <w:r w:rsidRPr="006E38FF">
        <w:rPr>
          <w:lang w:val="fr-FR"/>
        </w:rPr>
        <w:t>Mode d</w:t>
      </w:r>
      <w:r>
        <w:rPr>
          <w:lang w:val="fr-FR"/>
        </w:rPr>
        <w:t>’</w:t>
      </w:r>
      <w:r w:rsidRPr="006E38FF">
        <w:rPr>
          <w:lang w:val="fr-FR"/>
        </w:rPr>
        <w:t>essai des dispositifs d</w:t>
      </w:r>
      <w:r>
        <w:rPr>
          <w:lang w:val="fr-FR"/>
        </w:rPr>
        <w:t>’</w:t>
      </w:r>
      <w:r w:rsidRPr="006E38FF">
        <w:rPr>
          <w:lang w:val="fr-FR"/>
        </w:rPr>
        <w:t>éclairage et de signalisation lumineuse.</w:t>
      </w:r>
    </w:p>
    <w:p w14:paraId="51685D34" w14:textId="42BF5D64" w:rsidR="00540808" w:rsidRPr="006E38FF" w:rsidRDefault="00185CA4" w:rsidP="00185CA4">
      <w:pPr>
        <w:pStyle w:val="H4G"/>
        <w:rPr>
          <w:lang w:val="fr-FR"/>
        </w:rPr>
      </w:pPr>
      <w:r>
        <w:rPr>
          <w:lang w:val="fr-FR"/>
        </w:rPr>
        <w:tab/>
      </w:r>
      <w:r>
        <w:rPr>
          <w:lang w:val="fr-FR"/>
        </w:rPr>
        <w:tab/>
      </w:r>
      <w:r w:rsidR="00540808" w:rsidRPr="006E38FF">
        <w:rPr>
          <w:lang w:val="fr-FR"/>
        </w:rPr>
        <w:t>Paragraphe 5.11.1</w:t>
      </w:r>
    </w:p>
    <w:p w14:paraId="2BCC79B8" w14:textId="77777777" w:rsidR="00540808" w:rsidRPr="006E38FF" w:rsidRDefault="00540808" w:rsidP="00C767C3">
      <w:pPr>
        <w:pStyle w:val="SingleTxtG"/>
        <w:rPr>
          <w:lang w:val="fr-FR"/>
        </w:rPr>
      </w:pPr>
      <w:r w:rsidRPr="006E38FF">
        <w:rPr>
          <w:lang w:val="fr-FR"/>
        </w:rPr>
        <w:t>16.</w:t>
      </w:r>
      <w:r w:rsidRPr="006E38FF">
        <w:rPr>
          <w:lang w:val="fr-FR"/>
        </w:rPr>
        <w:tab/>
        <w:t>Les nouvelles fonctions lorsqu</w:t>
      </w:r>
      <w:r>
        <w:rPr>
          <w:lang w:val="fr-FR"/>
        </w:rPr>
        <w:t>’</w:t>
      </w:r>
      <w:r w:rsidRPr="006E38FF">
        <w:rPr>
          <w:lang w:val="fr-FR"/>
        </w:rPr>
        <w:t>un véhicule est en stationnement sont ajoutées à la liste des exemptions à la prescription selon laquelle les feux de position, les feux d</w:t>
      </w:r>
      <w:r>
        <w:rPr>
          <w:lang w:val="fr-FR"/>
        </w:rPr>
        <w:t>’</w:t>
      </w:r>
      <w:r w:rsidRPr="006E38FF">
        <w:rPr>
          <w:lang w:val="fr-FR"/>
        </w:rPr>
        <w:t>encombrement et le dispositif d</w:t>
      </w:r>
      <w:r>
        <w:rPr>
          <w:lang w:val="fr-FR"/>
        </w:rPr>
        <w:t>’</w:t>
      </w:r>
      <w:r w:rsidRPr="006E38FF">
        <w:rPr>
          <w:lang w:val="fr-FR"/>
        </w:rPr>
        <w:t>éclairage de la plaque d</w:t>
      </w:r>
      <w:r>
        <w:rPr>
          <w:lang w:val="fr-FR"/>
        </w:rPr>
        <w:t>’</w:t>
      </w:r>
      <w:r w:rsidRPr="006E38FF">
        <w:rPr>
          <w:lang w:val="fr-FR"/>
        </w:rPr>
        <w:t>immatriculation ne peuvent être allumés et éteints que simultanément.</w:t>
      </w:r>
    </w:p>
    <w:p w14:paraId="5E665BE9" w14:textId="0BDB0C91" w:rsidR="00540808" w:rsidRPr="006E38FF" w:rsidRDefault="00185CA4" w:rsidP="00185CA4">
      <w:pPr>
        <w:pStyle w:val="H4G"/>
        <w:rPr>
          <w:lang w:val="fr-FR"/>
        </w:rPr>
      </w:pPr>
      <w:r>
        <w:rPr>
          <w:lang w:val="fr-FR"/>
        </w:rPr>
        <w:tab/>
      </w:r>
      <w:r>
        <w:rPr>
          <w:lang w:val="fr-FR"/>
        </w:rPr>
        <w:tab/>
      </w:r>
      <w:r w:rsidR="00540808" w:rsidRPr="006E38FF">
        <w:rPr>
          <w:lang w:val="fr-FR"/>
        </w:rPr>
        <w:t xml:space="preserve">Paragraphe 5.15 </w:t>
      </w:r>
      <w:r>
        <w:rPr>
          <w:lang w:val="fr-FR"/>
        </w:rPr>
        <w:t>−</w:t>
      </w:r>
      <w:r w:rsidR="00540808" w:rsidRPr="006E38FF">
        <w:rPr>
          <w:lang w:val="fr-FR"/>
        </w:rPr>
        <w:t xml:space="preserve"> Couleurs de la lumière émise par les feux </w:t>
      </w:r>
    </w:p>
    <w:p w14:paraId="17E0F235" w14:textId="77777777" w:rsidR="00540808" w:rsidRPr="006E38FF" w:rsidRDefault="00540808" w:rsidP="00185CA4">
      <w:pPr>
        <w:pStyle w:val="SingleTxtG"/>
        <w:rPr>
          <w:lang w:val="fr-FR"/>
        </w:rPr>
      </w:pPr>
      <w:r w:rsidRPr="006E38FF">
        <w:rPr>
          <w:lang w:val="fr-FR"/>
        </w:rPr>
        <w:t>17.</w:t>
      </w:r>
      <w:r w:rsidRPr="006E38FF">
        <w:rPr>
          <w:lang w:val="fr-FR"/>
        </w:rPr>
        <w:tab/>
        <w:t>Les couleurs pouvant être utilisées pour le témoin du système d</w:t>
      </w:r>
      <w:r>
        <w:rPr>
          <w:lang w:val="fr-FR"/>
        </w:rPr>
        <w:t>’</w:t>
      </w:r>
      <w:r w:rsidRPr="006E38FF">
        <w:rPr>
          <w:lang w:val="fr-FR"/>
        </w:rPr>
        <w:t>énergie ont été ajoutées à la liste. Si le constructeur choisit d</w:t>
      </w:r>
      <w:r>
        <w:rPr>
          <w:lang w:val="fr-FR"/>
        </w:rPr>
        <w:t>’</w:t>
      </w:r>
      <w:r w:rsidRPr="006E38FF">
        <w:rPr>
          <w:lang w:val="fr-FR"/>
        </w:rPr>
        <w:t>indiquer le niveau d</w:t>
      </w:r>
      <w:r>
        <w:rPr>
          <w:lang w:val="fr-FR"/>
        </w:rPr>
        <w:t>’</w:t>
      </w:r>
      <w:r w:rsidRPr="006E38FF">
        <w:rPr>
          <w:lang w:val="fr-FR"/>
        </w:rPr>
        <w:t>énergie ou l</w:t>
      </w:r>
      <w:r>
        <w:rPr>
          <w:lang w:val="fr-FR"/>
        </w:rPr>
        <w:t>’</w:t>
      </w:r>
      <w:r w:rsidRPr="006E38FF">
        <w:rPr>
          <w:lang w:val="fr-FR"/>
        </w:rPr>
        <w:t>état du transfert d</w:t>
      </w:r>
      <w:r>
        <w:rPr>
          <w:lang w:val="fr-FR"/>
        </w:rPr>
        <w:t>’</w:t>
      </w:r>
      <w:r w:rsidRPr="006E38FF">
        <w:rPr>
          <w:lang w:val="fr-FR"/>
        </w:rPr>
        <w:t>énergie au moyen d</w:t>
      </w:r>
      <w:r>
        <w:rPr>
          <w:lang w:val="fr-FR"/>
        </w:rPr>
        <w:t>’</w:t>
      </w:r>
      <w:r w:rsidRPr="006E38FF">
        <w:rPr>
          <w:lang w:val="fr-FR"/>
        </w:rPr>
        <w:t>un code couleur, les couleurs utilisées doivent être conformes aux spécifications établies dans ce paragraphe.</w:t>
      </w:r>
    </w:p>
    <w:p w14:paraId="2BB898B2" w14:textId="7A1F11E6" w:rsidR="00540808" w:rsidRPr="006E38FF" w:rsidRDefault="00185CA4" w:rsidP="00185CA4">
      <w:pPr>
        <w:pStyle w:val="H4G"/>
      </w:pPr>
      <w:r>
        <w:rPr>
          <w:lang w:val="fr-FR"/>
        </w:rPr>
        <w:tab/>
      </w:r>
      <w:r>
        <w:rPr>
          <w:lang w:val="fr-FR"/>
        </w:rPr>
        <w:tab/>
      </w:r>
      <w:r w:rsidR="00540808" w:rsidRPr="006E38FF">
        <w:rPr>
          <w:lang w:val="fr-FR"/>
        </w:rPr>
        <w:t xml:space="preserve">Paragraphe 6.24.2 </w:t>
      </w:r>
      <w:r>
        <w:rPr>
          <w:lang w:val="fr-FR"/>
        </w:rPr>
        <w:t>−</w:t>
      </w:r>
      <w:r w:rsidR="00540808" w:rsidRPr="006E38FF">
        <w:rPr>
          <w:lang w:val="fr-FR"/>
        </w:rPr>
        <w:t xml:space="preserve"> Feu de courtoisie extérieur</w:t>
      </w:r>
    </w:p>
    <w:p w14:paraId="63C6BC67" w14:textId="6DA56CE6" w:rsidR="00540808" w:rsidRPr="006E38FF" w:rsidRDefault="00540808" w:rsidP="00C767C3">
      <w:pPr>
        <w:pStyle w:val="SingleTxtG"/>
        <w:rPr>
          <w:lang w:val="fr-FR"/>
        </w:rPr>
      </w:pPr>
      <w:r w:rsidRPr="006E38FF">
        <w:rPr>
          <w:lang w:val="fr-FR"/>
        </w:rPr>
        <w:t>18.</w:t>
      </w:r>
      <w:r w:rsidRPr="006E38FF">
        <w:rPr>
          <w:lang w:val="fr-FR"/>
        </w:rPr>
        <w:tab/>
        <w:t>Le champ d</w:t>
      </w:r>
      <w:r>
        <w:rPr>
          <w:lang w:val="fr-FR"/>
        </w:rPr>
        <w:t>’</w:t>
      </w:r>
      <w:r w:rsidRPr="006E38FF">
        <w:rPr>
          <w:lang w:val="fr-FR"/>
        </w:rPr>
        <w:t>application du feu de courtoisie extérieur est élargi de façon à y intégrer la fonction d</w:t>
      </w:r>
      <w:r>
        <w:rPr>
          <w:lang w:val="fr-FR"/>
        </w:rPr>
        <w:t>’</w:t>
      </w:r>
      <w:r w:rsidRPr="006E38FF">
        <w:rPr>
          <w:lang w:val="fr-FR"/>
        </w:rPr>
        <w:t>éclairage d</w:t>
      </w:r>
      <w:r>
        <w:rPr>
          <w:lang w:val="fr-FR"/>
        </w:rPr>
        <w:t>’</w:t>
      </w:r>
      <w:r w:rsidRPr="006E38FF">
        <w:rPr>
          <w:lang w:val="fr-FR"/>
        </w:rPr>
        <w:t xml:space="preserve">accompagnement. Le nombre a été remplacé par « un ou deux » afin de tenir compte des cas où un seul feu de courtoisie extérieur pourrait être allumé, par </w:t>
      </w:r>
      <w:r w:rsidRPr="006E38FF">
        <w:rPr>
          <w:lang w:val="fr-FR"/>
        </w:rPr>
        <w:lastRenderedPageBreak/>
        <w:t>exemple pour éclairer uniquement le coffre ou le capot. Ce nombre pourra être réévalué au cours de la deuxième phase d</w:t>
      </w:r>
      <w:r>
        <w:rPr>
          <w:lang w:val="fr-FR"/>
        </w:rPr>
        <w:t>’</w:t>
      </w:r>
      <w:r w:rsidRPr="006E38FF">
        <w:rPr>
          <w:lang w:val="fr-FR"/>
        </w:rPr>
        <w:t>amendements au Règlement. Le groupe d</w:t>
      </w:r>
      <w:r>
        <w:rPr>
          <w:lang w:val="fr-FR"/>
        </w:rPr>
        <w:t>’</w:t>
      </w:r>
      <w:r w:rsidRPr="006E38FF">
        <w:rPr>
          <w:lang w:val="fr-FR"/>
        </w:rPr>
        <w:t>intérêt spécial ayant convenu d</w:t>
      </w:r>
      <w:r>
        <w:rPr>
          <w:lang w:val="fr-FR"/>
        </w:rPr>
        <w:t>’</w:t>
      </w:r>
      <w:r w:rsidRPr="006E38FF">
        <w:rPr>
          <w:lang w:val="fr-FR"/>
        </w:rPr>
        <w:t>intégrer l</w:t>
      </w:r>
      <w:r>
        <w:rPr>
          <w:lang w:val="fr-FR"/>
        </w:rPr>
        <w:t>’</w:t>
      </w:r>
      <w:r w:rsidRPr="006E38FF">
        <w:rPr>
          <w:lang w:val="fr-FR"/>
        </w:rPr>
        <w:t>éclairage d</w:t>
      </w:r>
      <w:r>
        <w:rPr>
          <w:lang w:val="fr-FR"/>
        </w:rPr>
        <w:t>’</w:t>
      </w:r>
      <w:r w:rsidRPr="006E38FF">
        <w:rPr>
          <w:lang w:val="fr-FR"/>
        </w:rPr>
        <w:t>accompagnement dans les dispositions relatives aux feux de courtoisie extérieurs, celles-ci doivent être modifiées afin de tenir compte des modalités de la fonction d</w:t>
      </w:r>
      <w:r>
        <w:rPr>
          <w:lang w:val="fr-FR"/>
        </w:rPr>
        <w:t>’</w:t>
      </w:r>
      <w:r w:rsidRPr="006E38FF">
        <w:rPr>
          <w:lang w:val="fr-FR"/>
        </w:rPr>
        <w:t>éclairage d</w:t>
      </w:r>
      <w:r>
        <w:rPr>
          <w:lang w:val="fr-FR"/>
        </w:rPr>
        <w:t>’</w:t>
      </w:r>
      <w:r w:rsidRPr="006E38FF">
        <w:rPr>
          <w:lang w:val="fr-FR"/>
        </w:rPr>
        <w:t xml:space="preserve">accompagnement sur les véhicules déjà commercialisés. </w:t>
      </w:r>
    </w:p>
    <w:p w14:paraId="5A36B028" w14:textId="05A7D363" w:rsidR="00540808" w:rsidRPr="006E38FF" w:rsidRDefault="00185CA4" w:rsidP="00185CA4">
      <w:pPr>
        <w:pStyle w:val="H4G"/>
      </w:pPr>
      <w:r>
        <w:rPr>
          <w:lang w:val="fr-FR"/>
        </w:rPr>
        <w:tab/>
      </w:r>
      <w:r>
        <w:rPr>
          <w:lang w:val="fr-FR"/>
        </w:rPr>
        <w:tab/>
      </w:r>
      <w:r w:rsidR="00540808" w:rsidRPr="006E38FF">
        <w:rPr>
          <w:lang w:val="fr-FR"/>
        </w:rPr>
        <w:t>Paragraphe 6.24.9.1</w:t>
      </w:r>
    </w:p>
    <w:p w14:paraId="7F10C838" w14:textId="77777777" w:rsidR="00540808" w:rsidRPr="006E38FF" w:rsidRDefault="00540808" w:rsidP="00C767C3">
      <w:pPr>
        <w:pStyle w:val="SingleTxtG"/>
        <w:rPr>
          <w:lang w:val="fr-FR"/>
        </w:rPr>
      </w:pPr>
      <w:r w:rsidRPr="006E38FF">
        <w:rPr>
          <w:lang w:val="fr-FR"/>
        </w:rPr>
        <w:t>19.</w:t>
      </w:r>
      <w:r w:rsidRPr="006E38FF">
        <w:rPr>
          <w:lang w:val="fr-FR"/>
        </w:rPr>
        <w:tab/>
        <w:t>L</w:t>
      </w:r>
      <w:r>
        <w:rPr>
          <w:lang w:val="fr-FR"/>
        </w:rPr>
        <w:t>’</w:t>
      </w:r>
      <w:r w:rsidRPr="006E38FF">
        <w:rPr>
          <w:lang w:val="fr-FR"/>
        </w:rPr>
        <w:t>ajout de la formulation « ou vient d</w:t>
      </w:r>
      <w:r>
        <w:rPr>
          <w:lang w:val="fr-FR"/>
        </w:rPr>
        <w:t>’</w:t>
      </w:r>
      <w:r w:rsidRPr="006E38FF">
        <w:rPr>
          <w:lang w:val="fr-FR"/>
        </w:rPr>
        <w:t>être fermée » laisse plus de marge quant au moment où les feux de courtoisie extérieurs se déclenchent, ce qui permet de tenir compte, par exemple, du cas d</w:t>
      </w:r>
      <w:r>
        <w:rPr>
          <w:lang w:val="fr-FR"/>
        </w:rPr>
        <w:t>’</w:t>
      </w:r>
      <w:r w:rsidRPr="006E38FF">
        <w:rPr>
          <w:lang w:val="fr-FR"/>
        </w:rPr>
        <w:t>une personne âgée qui descend d</w:t>
      </w:r>
      <w:r>
        <w:rPr>
          <w:lang w:val="fr-FR"/>
        </w:rPr>
        <w:t>’</w:t>
      </w:r>
      <w:r w:rsidRPr="006E38FF">
        <w:rPr>
          <w:lang w:val="fr-FR"/>
        </w:rPr>
        <w:t xml:space="preserve">un véhicule ou </w:t>
      </w:r>
      <w:r>
        <w:rPr>
          <w:lang w:val="fr-FR"/>
        </w:rPr>
        <w:t xml:space="preserve">de celui </w:t>
      </w:r>
      <w:r w:rsidRPr="006E38FF">
        <w:rPr>
          <w:lang w:val="fr-FR"/>
        </w:rPr>
        <w:t>d</w:t>
      </w:r>
      <w:r>
        <w:rPr>
          <w:lang w:val="fr-FR"/>
        </w:rPr>
        <w:t>’</w:t>
      </w:r>
      <w:r w:rsidRPr="006E38FF">
        <w:rPr>
          <w:lang w:val="fr-FR"/>
        </w:rPr>
        <w:t xml:space="preserve">un véhicule avec chauffeur.  </w:t>
      </w:r>
    </w:p>
    <w:p w14:paraId="41DDF671" w14:textId="4D70A2B3" w:rsidR="00540808" w:rsidRPr="006E38FF" w:rsidRDefault="00185CA4" w:rsidP="00185CA4">
      <w:pPr>
        <w:pStyle w:val="H4G"/>
      </w:pPr>
      <w:r>
        <w:rPr>
          <w:lang w:val="fr-FR"/>
        </w:rPr>
        <w:tab/>
      </w:r>
      <w:r>
        <w:rPr>
          <w:lang w:val="fr-FR"/>
        </w:rPr>
        <w:tab/>
      </w:r>
      <w:r w:rsidR="00540808" w:rsidRPr="006E38FF">
        <w:rPr>
          <w:lang w:val="fr-FR"/>
        </w:rPr>
        <w:t>Paragraphes 6.24.9.1.3 et 6.24.9.1.4</w:t>
      </w:r>
    </w:p>
    <w:p w14:paraId="7B442EAE" w14:textId="77777777" w:rsidR="00540808" w:rsidRPr="006E38FF" w:rsidRDefault="00540808" w:rsidP="00C767C3">
      <w:pPr>
        <w:pStyle w:val="SingleTxtG"/>
        <w:rPr>
          <w:lang w:val="fr-FR"/>
        </w:rPr>
      </w:pPr>
      <w:r w:rsidRPr="006E38FF">
        <w:rPr>
          <w:lang w:val="fr-FR"/>
        </w:rPr>
        <w:t>20.</w:t>
      </w:r>
      <w:r w:rsidRPr="006E38FF">
        <w:rPr>
          <w:lang w:val="fr-FR"/>
        </w:rPr>
        <w:tab/>
        <w:t>Pour éviter toute distraction inutile, le groupe d</w:t>
      </w:r>
      <w:r>
        <w:rPr>
          <w:lang w:val="fr-FR"/>
        </w:rPr>
        <w:t>’</w:t>
      </w:r>
      <w:r w:rsidRPr="006E38FF">
        <w:rPr>
          <w:lang w:val="fr-FR"/>
        </w:rPr>
        <w:t>intérêt spécial propose d</w:t>
      </w:r>
      <w:r>
        <w:rPr>
          <w:lang w:val="fr-FR"/>
        </w:rPr>
        <w:t>’</w:t>
      </w:r>
      <w:r w:rsidRPr="006E38FF">
        <w:rPr>
          <w:lang w:val="fr-FR"/>
        </w:rPr>
        <w:t>autoriser le regroupement des feux de courtoisie extérieurs en différentes combinaisons. L</w:t>
      </w:r>
      <w:r>
        <w:rPr>
          <w:lang w:val="fr-FR"/>
        </w:rPr>
        <w:t>’</w:t>
      </w:r>
      <w:r w:rsidRPr="006E38FF">
        <w:rPr>
          <w:lang w:val="fr-FR"/>
        </w:rPr>
        <w:t>allumage et l</w:t>
      </w:r>
      <w:r>
        <w:rPr>
          <w:lang w:val="fr-FR"/>
        </w:rPr>
        <w:t>’</w:t>
      </w:r>
      <w:r w:rsidRPr="006E38FF">
        <w:rPr>
          <w:lang w:val="fr-FR"/>
        </w:rPr>
        <w:t>extinction progressifs des feux en fonction de la position de l</w:t>
      </w:r>
      <w:r>
        <w:rPr>
          <w:lang w:val="fr-FR"/>
        </w:rPr>
        <w:t>’</w:t>
      </w:r>
      <w:r w:rsidRPr="006E38FF">
        <w:rPr>
          <w:lang w:val="fr-FR"/>
        </w:rPr>
        <w:t>utilisateur du véhicule permettent d</w:t>
      </w:r>
      <w:r>
        <w:rPr>
          <w:lang w:val="fr-FR"/>
        </w:rPr>
        <w:t>’</w:t>
      </w:r>
      <w:r w:rsidRPr="006E38FF">
        <w:rPr>
          <w:lang w:val="fr-FR"/>
        </w:rPr>
        <w:t>éviter les brusques variations d</w:t>
      </w:r>
      <w:r>
        <w:rPr>
          <w:lang w:val="fr-FR"/>
        </w:rPr>
        <w:t>’</w:t>
      </w:r>
      <w:r w:rsidRPr="006E38FF">
        <w:rPr>
          <w:lang w:val="fr-FR"/>
        </w:rPr>
        <w:t xml:space="preserve">intensité, ce qui contribue à la sécurité routière. En outre, </w:t>
      </w:r>
      <w:r>
        <w:rPr>
          <w:lang w:val="fr-FR"/>
        </w:rPr>
        <w:t>en application</w:t>
      </w:r>
      <w:r w:rsidRPr="006E38FF">
        <w:rPr>
          <w:lang w:val="fr-FR"/>
        </w:rPr>
        <w:t xml:space="preserve"> des restrictions </w:t>
      </w:r>
      <w:r>
        <w:rPr>
          <w:lang w:val="fr-FR"/>
        </w:rPr>
        <w:t xml:space="preserve">énoncées </w:t>
      </w:r>
      <w:r w:rsidRPr="006E38FF">
        <w:rPr>
          <w:lang w:val="fr-FR"/>
        </w:rPr>
        <w:t>à l</w:t>
      </w:r>
      <w:r>
        <w:rPr>
          <w:lang w:val="fr-FR"/>
        </w:rPr>
        <w:t>’</w:t>
      </w:r>
      <w:r w:rsidRPr="006E38FF">
        <w:rPr>
          <w:lang w:val="fr-FR"/>
        </w:rPr>
        <w:t xml:space="preserve">annexe 14, les zones ou les </w:t>
      </w:r>
      <w:r>
        <w:rPr>
          <w:lang w:val="fr-FR"/>
        </w:rPr>
        <w:t xml:space="preserve"> éléments</w:t>
      </w:r>
      <w:r w:rsidRPr="006E38FF">
        <w:rPr>
          <w:lang w:val="fr-FR"/>
        </w:rPr>
        <w:t xml:space="preserve"> qui ne présentent pas d</w:t>
      </w:r>
      <w:r>
        <w:rPr>
          <w:lang w:val="fr-FR"/>
        </w:rPr>
        <w:t>’</w:t>
      </w:r>
      <w:r w:rsidRPr="006E38FF">
        <w:rPr>
          <w:lang w:val="fr-FR"/>
        </w:rPr>
        <w:t>utilité pour l</w:t>
      </w:r>
      <w:r>
        <w:rPr>
          <w:lang w:val="fr-FR"/>
        </w:rPr>
        <w:t>’</w:t>
      </w:r>
      <w:r w:rsidRPr="006E38FF">
        <w:rPr>
          <w:lang w:val="fr-FR"/>
        </w:rPr>
        <w:t xml:space="preserve">utilisateur du véhicule ne sont pas éclairés. </w:t>
      </w:r>
    </w:p>
    <w:p w14:paraId="01BFBD0E" w14:textId="2EB2E9A0" w:rsidR="00540808" w:rsidRPr="006E38FF" w:rsidRDefault="00185CA4" w:rsidP="00185CA4">
      <w:pPr>
        <w:pStyle w:val="H4G"/>
      </w:pPr>
      <w:r>
        <w:rPr>
          <w:lang w:val="fr-FR"/>
        </w:rPr>
        <w:tab/>
      </w:r>
      <w:r>
        <w:rPr>
          <w:lang w:val="fr-FR"/>
        </w:rPr>
        <w:tab/>
      </w:r>
      <w:r w:rsidR="00540808" w:rsidRPr="006E38FF">
        <w:rPr>
          <w:lang w:val="fr-FR"/>
        </w:rPr>
        <w:t>Paragraphe 6.24.9.2</w:t>
      </w:r>
    </w:p>
    <w:p w14:paraId="33C46EAB" w14:textId="77777777" w:rsidR="00540808" w:rsidRPr="006E38FF" w:rsidRDefault="00540808" w:rsidP="00C767C3">
      <w:pPr>
        <w:pStyle w:val="SingleTxtG"/>
        <w:rPr>
          <w:lang w:val="fr-FR"/>
        </w:rPr>
      </w:pPr>
      <w:r w:rsidRPr="006E38FF">
        <w:rPr>
          <w:lang w:val="fr-FR"/>
        </w:rPr>
        <w:t>21.</w:t>
      </w:r>
      <w:r w:rsidRPr="006E38FF">
        <w:rPr>
          <w:lang w:val="fr-FR"/>
        </w:rPr>
        <w:tab/>
        <w:t>Les feux de position arrière, les feux de stationnement et les feux d</w:t>
      </w:r>
      <w:r>
        <w:rPr>
          <w:lang w:val="fr-FR"/>
        </w:rPr>
        <w:t>’</w:t>
      </w:r>
      <w:r w:rsidRPr="006E38FF">
        <w:rPr>
          <w:lang w:val="fr-FR"/>
        </w:rPr>
        <w:t>encombrement ont été ajoutés à la liste des feux pouvant être allumés en tant que feux de courtoisie extérieurs, l</w:t>
      </w:r>
      <w:r>
        <w:rPr>
          <w:lang w:val="fr-FR"/>
        </w:rPr>
        <w:t>’</w:t>
      </w:r>
      <w:r w:rsidRPr="006E38FF">
        <w:rPr>
          <w:lang w:val="fr-FR"/>
        </w:rPr>
        <w:t>objectif étant d</w:t>
      </w:r>
      <w:r>
        <w:rPr>
          <w:lang w:val="fr-FR"/>
        </w:rPr>
        <w:t>’</w:t>
      </w:r>
      <w:r w:rsidRPr="006E38FF">
        <w:rPr>
          <w:lang w:val="fr-FR"/>
        </w:rPr>
        <w:t>inclure les prescriptions relatives à l</w:t>
      </w:r>
      <w:r>
        <w:rPr>
          <w:lang w:val="fr-FR"/>
        </w:rPr>
        <w:t>’</w:t>
      </w:r>
      <w:r w:rsidRPr="006E38FF">
        <w:rPr>
          <w:lang w:val="fr-FR"/>
        </w:rPr>
        <w:t>éclairage d</w:t>
      </w:r>
      <w:r>
        <w:rPr>
          <w:lang w:val="fr-FR"/>
        </w:rPr>
        <w:t>’</w:t>
      </w:r>
      <w:r w:rsidRPr="006E38FF">
        <w:rPr>
          <w:lang w:val="fr-FR"/>
        </w:rPr>
        <w:t>accompagnement</w:t>
      </w:r>
      <w:r>
        <w:rPr>
          <w:lang w:val="fr-FR"/>
        </w:rPr>
        <w:t>,</w:t>
      </w:r>
      <w:r w:rsidRPr="006E38FF">
        <w:rPr>
          <w:lang w:val="fr-FR"/>
        </w:rPr>
        <w:t xml:space="preserve"> qui, en Europe, ont déjà été regroupées avec celles relatives aux feux de courtoisie extérieurs. Au cours des débats au sein du groupe d</w:t>
      </w:r>
      <w:r>
        <w:rPr>
          <w:lang w:val="fr-FR"/>
        </w:rPr>
        <w:t>’</w:t>
      </w:r>
      <w:r w:rsidRPr="006E38FF">
        <w:rPr>
          <w:lang w:val="fr-FR"/>
        </w:rPr>
        <w:t>intérêt spécial, il est apparu que la fonction d</w:t>
      </w:r>
      <w:r>
        <w:rPr>
          <w:lang w:val="fr-FR"/>
        </w:rPr>
        <w:t>’</w:t>
      </w:r>
      <w:r w:rsidRPr="006E38FF">
        <w:rPr>
          <w:lang w:val="fr-FR"/>
        </w:rPr>
        <w:t>allumage et d</w:t>
      </w:r>
      <w:r>
        <w:rPr>
          <w:lang w:val="fr-FR"/>
        </w:rPr>
        <w:t>’</w:t>
      </w:r>
      <w:r w:rsidRPr="006E38FF">
        <w:rPr>
          <w:lang w:val="fr-FR"/>
        </w:rPr>
        <w:t xml:space="preserve">extinction des feux à distance qui existe sur les véhicules commercialisés </w:t>
      </w:r>
      <w:r>
        <w:rPr>
          <w:lang w:val="fr-FR"/>
        </w:rPr>
        <w:t>englobe</w:t>
      </w:r>
      <w:r w:rsidRPr="006E38FF">
        <w:rPr>
          <w:lang w:val="fr-FR"/>
        </w:rPr>
        <w:t xml:space="preserve"> deux fonctions : les feux de courtoisie extérieurs et le nouveau signal de réponse. Le groupe a peaufiné les définitions et les prescriptions applicables afin de faire clairement la distinction entre ces deux fonctions.</w:t>
      </w:r>
    </w:p>
    <w:p w14:paraId="6B0233FF" w14:textId="3A4E4887" w:rsidR="00540808" w:rsidRPr="006E38FF" w:rsidRDefault="00540808" w:rsidP="00185CA4">
      <w:pPr>
        <w:pStyle w:val="Titre1"/>
        <w:spacing w:after="120"/>
        <w:rPr>
          <w:lang w:val="fr-FR"/>
        </w:rPr>
      </w:pPr>
      <w:r w:rsidRPr="006E38FF">
        <w:rPr>
          <w:lang w:val="fr-FR"/>
        </w:rPr>
        <w:t>Tableau</w:t>
      </w:r>
      <w:r w:rsidR="00185CA4">
        <w:rPr>
          <w:lang w:val="fr-FR"/>
        </w:rPr>
        <w:br/>
      </w:r>
      <w:r w:rsidRPr="00185CA4">
        <w:rPr>
          <w:b/>
          <w:bCs/>
          <w:lang w:val="fr-FR"/>
        </w:rPr>
        <w:t>Principales différences entre les feux de courtoisie extérieurs et le signal de réponse</w:t>
      </w:r>
    </w:p>
    <w:tbl>
      <w:tblPr>
        <w:tblStyle w:val="Grilledutableau"/>
        <w:tblW w:w="7370" w:type="dxa"/>
        <w:tblInd w:w="1134" w:type="dxa"/>
        <w:tblBorders>
          <w:left w:val="none" w:sz="0" w:space="0" w:color="auto"/>
          <w:bottom w:val="single" w:sz="12" w:space="0" w:color="auto"/>
          <w:right w:val="none" w:sz="0" w:space="0" w:color="auto"/>
        </w:tblBorders>
        <w:tblLayout w:type="fixed"/>
        <w:tblLook w:val="04A0" w:firstRow="1" w:lastRow="0" w:firstColumn="1" w:lastColumn="0" w:noHBand="0" w:noVBand="1"/>
      </w:tblPr>
      <w:tblGrid>
        <w:gridCol w:w="1273"/>
        <w:gridCol w:w="2967"/>
        <w:gridCol w:w="3130"/>
      </w:tblGrid>
      <w:tr w:rsidR="000D23E5" w:rsidRPr="000D23E5" w14:paraId="78398E0B" w14:textId="77777777" w:rsidTr="00D3588A">
        <w:trPr>
          <w:tblHeader/>
        </w:trPr>
        <w:tc>
          <w:tcPr>
            <w:tcW w:w="1288" w:type="dxa"/>
            <w:vMerge w:val="restart"/>
            <w:tcBorders>
              <w:left w:val="single" w:sz="4" w:space="0" w:color="auto"/>
            </w:tcBorders>
            <w:shd w:val="clear" w:color="auto" w:fill="auto"/>
            <w:vAlign w:val="bottom"/>
          </w:tcPr>
          <w:p w14:paraId="4E91AD0E" w14:textId="77777777" w:rsidR="000D23E5" w:rsidRPr="000D23E5" w:rsidRDefault="000D23E5" w:rsidP="00D91C58">
            <w:pPr>
              <w:spacing w:before="80" w:after="80" w:line="200" w:lineRule="exact"/>
              <w:ind w:left="57" w:right="113"/>
              <w:rPr>
                <w:i/>
                <w:sz w:val="16"/>
                <w:lang w:val="fr-FR"/>
              </w:rPr>
            </w:pPr>
          </w:p>
        </w:tc>
        <w:tc>
          <w:tcPr>
            <w:tcW w:w="6082" w:type="dxa"/>
            <w:gridSpan w:val="2"/>
            <w:tcBorders>
              <w:bottom w:val="single" w:sz="4" w:space="0" w:color="auto"/>
              <w:right w:val="single" w:sz="4" w:space="0" w:color="auto"/>
            </w:tcBorders>
            <w:shd w:val="clear" w:color="auto" w:fill="auto"/>
            <w:vAlign w:val="bottom"/>
          </w:tcPr>
          <w:p w14:paraId="45A8CFD2" w14:textId="77777777" w:rsidR="000D23E5" w:rsidRPr="000D23E5" w:rsidRDefault="000D23E5" w:rsidP="00737B01">
            <w:pPr>
              <w:spacing w:before="60" w:after="60" w:line="240" w:lineRule="auto"/>
              <w:ind w:right="113"/>
              <w:jc w:val="center"/>
              <w:rPr>
                <w:i/>
                <w:sz w:val="16"/>
                <w:lang w:val="fr-FR"/>
              </w:rPr>
            </w:pPr>
            <w:r w:rsidRPr="000D23E5">
              <w:rPr>
                <w:i/>
                <w:sz w:val="16"/>
                <w:lang w:val="fr-FR"/>
              </w:rPr>
              <w:t>Fonction d’allumage et d’extinction des feux à distance</w:t>
            </w:r>
          </w:p>
        </w:tc>
      </w:tr>
      <w:tr w:rsidR="000D23E5" w:rsidRPr="000D23E5" w14:paraId="3B84CC71" w14:textId="77777777" w:rsidTr="00D3588A">
        <w:tc>
          <w:tcPr>
            <w:tcW w:w="1288" w:type="dxa"/>
            <w:vMerge/>
            <w:tcBorders>
              <w:left w:val="single" w:sz="4" w:space="0" w:color="auto"/>
              <w:bottom w:val="single" w:sz="12" w:space="0" w:color="auto"/>
            </w:tcBorders>
            <w:shd w:val="clear" w:color="auto" w:fill="auto"/>
          </w:tcPr>
          <w:p w14:paraId="530B2545" w14:textId="77777777" w:rsidR="000D23E5" w:rsidRPr="000D23E5" w:rsidRDefault="000D23E5" w:rsidP="00D91C58">
            <w:pPr>
              <w:spacing w:before="40" w:after="120"/>
              <w:ind w:left="57" w:right="113"/>
              <w:rPr>
                <w:lang w:val="fr-FR"/>
              </w:rPr>
            </w:pPr>
          </w:p>
        </w:tc>
        <w:tc>
          <w:tcPr>
            <w:tcW w:w="2912" w:type="dxa"/>
            <w:tcBorders>
              <w:bottom w:val="single" w:sz="12" w:space="0" w:color="auto"/>
            </w:tcBorders>
            <w:shd w:val="clear" w:color="auto" w:fill="auto"/>
          </w:tcPr>
          <w:p w14:paraId="6DA1A9D8" w14:textId="77777777" w:rsidR="000D23E5" w:rsidRPr="00737B01" w:rsidRDefault="000D23E5" w:rsidP="00D91C58">
            <w:pPr>
              <w:spacing w:before="60" w:after="60" w:line="240" w:lineRule="auto"/>
              <w:ind w:left="57" w:right="113"/>
              <w:rPr>
                <w:i/>
                <w:iCs/>
                <w:sz w:val="16"/>
                <w:szCs w:val="16"/>
              </w:rPr>
            </w:pPr>
            <w:r w:rsidRPr="00737B01">
              <w:rPr>
                <w:i/>
                <w:iCs/>
                <w:sz w:val="16"/>
                <w:szCs w:val="16"/>
                <w:lang w:val="fr-FR"/>
              </w:rPr>
              <w:t>Feux de courtoisie extérieurs</w:t>
            </w:r>
          </w:p>
        </w:tc>
        <w:tc>
          <w:tcPr>
            <w:tcW w:w="3170" w:type="dxa"/>
            <w:tcBorders>
              <w:bottom w:val="single" w:sz="12" w:space="0" w:color="auto"/>
              <w:right w:val="single" w:sz="4" w:space="0" w:color="auto"/>
            </w:tcBorders>
            <w:shd w:val="clear" w:color="auto" w:fill="auto"/>
          </w:tcPr>
          <w:p w14:paraId="6DFDC53E" w14:textId="77777777" w:rsidR="000D23E5" w:rsidRPr="00737B01" w:rsidRDefault="000D23E5" w:rsidP="00D91C58">
            <w:pPr>
              <w:spacing w:before="60" w:after="60" w:line="240" w:lineRule="auto"/>
              <w:ind w:left="57" w:right="113"/>
              <w:rPr>
                <w:i/>
                <w:iCs/>
                <w:sz w:val="16"/>
                <w:szCs w:val="16"/>
              </w:rPr>
            </w:pPr>
            <w:r w:rsidRPr="00737B01">
              <w:rPr>
                <w:i/>
                <w:iCs/>
                <w:sz w:val="16"/>
                <w:szCs w:val="16"/>
                <w:lang w:val="fr-FR"/>
              </w:rPr>
              <w:t>Signal de réponse</w:t>
            </w:r>
          </w:p>
        </w:tc>
      </w:tr>
      <w:tr w:rsidR="000D23E5" w:rsidRPr="000D23E5" w14:paraId="2B99F838" w14:textId="77777777" w:rsidTr="00D3588A">
        <w:tc>
          <w:tcPr>
            <w:tcW w:w="1288" w:type="dxa"/>
            <w:tcBorders>
              <w:left w:val="single" w:sz="4" w:space="0" w:color="auto"/>
            </w:tcBorders>
            <w:shd w:val="clear" w:color="auto" w:fill="auto"/>
          </w:tcPr>
          <w:p w14:paraId="70A3DAB2" w14:textId="77777777" w:rsidR="00540808" w:rsidRPr="000D23E5" w:rsidRDefault="00540808" w:rsidP="00D91C58">
            <w:pPr>
              <w:spacing w:before="60" w:after="60" w:line="240" w:lineRule="auto"/>
              <w:ind w:left="57" w:right="113"/>
              <w:rPr>
                <w:szCs w:val="18"/>
              </w:rPr>
            </w:pPr>
            <w:r w:rsidRPr="000D23E5">
              <w:rPr>
                <w:szCs w:val="18"/>
                <w:lang w:val="fr-FR"/>
              </w:rPr>
              <w:t>Définitions</w:t>
            </w:r>
          </w:p>
        </w:tc>
        <w:tc>
          <w:tcPr>
            <w:tcW w:w="3005" w:type="dxa"/>
            <w:shd w:val="clear" w:color="auto" w:fill="auto"/>
          </w:tcPr>
          <w:p w14:paraId="5909E216" w14:textId="77777777" w:rsidR="00540808" w:rsidRPr="000D23E5" w:rsidRDefault="00540808" w:rsidP="00D91C58">
            <w:pPr>
              <w:spacing w:before="60" w:after="60" w:line="240" w:lineRule="auto"/>
              <w:ind w:left="57" w:right="113"/>
              <w:rPr>
                <w:szCs w:val="18"/>
                <w:lang w:val="fr-FR"/>
              </w:rPr>
            </w:pPr>
            <w:r w:rsidRPr="000D23E5">
              <w:rPr>
                <w:szCs w:val="18"/>
                <w:lang w:val="fr-FR"/>
              </w:rPr>
              <w:t xml:space="preserve">Feu servant à fournir un éclairage supplémentaire pour guider l’utilisateur lorsqu’il s’approche ou s’éloigne du véhicule, l’aider à monter à bord ou à en descendre, ou encore faciliter les opérations de chargement et de déchargement  </w:t>
            </w:r>
          </w:p>
        </w:tc>
        <w:tc>
          <w:tcPr>
            <w:tcW w:w="3170" w:type="dxa"/>
            <w:tcBorders>
              <w:right w:val="single" w:sz="4" w:space="0" w:color="auto"/>
            </w:tcBorders>
            <w:shd w:val="clear" w:color="auto" w:fill="auto"/>
          </w:tcPr>
          <w:p w14:paraId="6B3356E8" w14:textId="77777777" w:rsidR="00540808" w:rsidRPr="000D23E5" w:rsidRDefault="00540808" w:rsidP="00D91C58">
            <w:pPr>
              <w:spacing w:before="60" w:after="60" w:line="240" w:lineRule="auto"/>
              <w:ind w:left="57" w:right="113"/>
              <w:rPr>
                <w:bCs/>
                <w:szCs w:val="18"/>
                <w:lang w:val="fr-FR"/>
              </w:rPr>
            </w:pPr>
            <w:r w:rsidRPr="000D23E5">
              <w:rPr>
                <w:szCs w:val="18"/>
                <w:lang w:val="fr-FR"/>
              </w:rPr>
              <w:t>Signal émis par un véhicule en stationnement pour aider l’utilisateur à repérer ce véhicule</w:t>
            </w:r>
          </w:p>
        </w:tc>
      </w:tr>
      <w:tr w:rsidR="000D23E5" w:rsidRPr="000D23E5" w14:paraId="581598C9" w14:textId="77777777" w:rsidTr="00D3588A">
        <w:tc>
          <w:tcPr>
            <w:tcW w:w="1288" w:type="dxa"/>
            <w:tcBorders>
              <w:left w:val="single" w:sz="4" w:space="0" w:color="auto"/>
            </w:tcBorders>
            <w:shd w:val="clear" w:color="auto" w:fill="auto"/>
          </w:tcPr>
          <w:p w14:paraId="4CD45296" w14:textId="77777777" w:rsidR="00540808" w:rsidRPr="000D23E5" w:rsidRDefault="00540808" w:rsidP="00D91C58">
            <w:pPr>
              <w:spacing w:before="60" w:after="60" w:line="240" w:lineRule="auto"/>
              <w:ind w:left="57" w:right="113"/>
              <w:rPr>
                <w:szCs w:val="18"/>
              </w:rPr>
            </w:pPr>
            <w:r w:rsidRPr="000D23E5">
              <w:rPr>
                <w:szCs w:val="18"/>
                <w:lang w:val="fr-FR"/>
              </w:rPr>
              <w:t>Prescriptions</w:t>
            </w:r>
          </w:p>
        </w:tc>
        <w:tc>
          <w:tcPr>
            <w:tcW w:w="2912" w:type="dxa"/>
            <w:shd w:val="clear" w:color="auto" w:fill="auto"/>
          </w:tcPr>
          <w:p w14:paraId="087120F5" w14:textId="77777777" w:rsidR="00540808" w:rsidRPr="000D23E5" w:rsidRDefault="00540808" w:rsidP="00D91C58">
            <w:pPr>
              <w:spacing w:before="60" w:after="60" w:line="240" w:lineRule="auto"/>
              <w:ind w:left="57" w:right="113"/>
              <w:rPr>
                <w:szCs w:val="18"/>
                <w:lang w:val="fr-FR"/>
              </w:rPr>
            </w:pPr>
            <w:r w:rsidRPr="000D23E5">
              <w:rPr>
                <w:szCs w:val="18"/>
                <w:lang w:val="fr-FR"/>
              </w:rPr>
              <w:t>Ne peuvent pas clignoter, mais leur intensité lumineuse ou leur surface apparente peuvent varier en fonction de la position de l’utilisateur du véhicule</w:t>
            </w:r>
          </w:p>
        </w:tc>
        <w:tc>
          <w:tcPr>
            <w:tcW w:w="3170" w:type="dxa"/>
            <w:tcBorders>
              <w:right w:val="single" w:sz="4" w:space="0" w:color="auto"/>
            </w:tcBorders>
            <w:shd w:val="clear" w:color="auto" w:fill="auto"/>
          </w:tcPr>
          <w:p w14:paraId="770A1005" w14:textId="77777777" w:rsidR="00540808" w:rsidRPr="000D23E5" w:rsidRDefault="00540808" w:rsidP="00D91C58">
            <w:pPr>
              <w:spacing w:before="60" w:after="60" w:line="240" w:lineRule="auto"/>
              <w:ind w:left="57" w:right="113"/>
              <w:rPr>
                <w:szCs w:val="18"/>
                <w:lang w:val="fr-FR"/>
              </w:rPr>
            </w:pPr>
            <w:r w:rsidRPr="000D23E5">
              <w:rPr>
                <w:szCs w:val="18"/>
                <w:lang w:val="fr-FR"/>
              </w:rPr>
              <w:t>Peuvent clignoter, ou leur intensité lumineuse ou leur surface apparente peuvent varier</w:t>
            </w:r>
          </w:p>
        </w:tc>
      </w:tr>
      <w:tr w:rsidR="000D23E5" w:rsidRPr="000D23E5" w14:paraId="398353F4" w14:textId="77777777" w:rsidTr="00D3588A">
        <w:tc>
          <w:tcPr>
            <w:tcW w:w="1288" w:type="dxa"/>
            <w:tcBorders>
              <w:left w:val="single" w:sz="4" w:space="0" w:color="auto"/>
              <w:bottom w:val="single" w:sz="12" w:space="0" w:color="auto"/>
            </w:tcBorders>
            <w:shd w:val="clear" w:color="auto" w:fill="auto"/>
          </w:tcPr>
          <w:p w14:paraId="4F93325B" w14:textId="77777777" w:rsidR="00540808" w:rsidRPr="000D23E5" w:rsidRDefault="00540808" w:rsidP="00D91C58">
            <w:pPr>
              <w:spacing w:before="60" w:after="60" w:line="240" w:lineRule="auto"/>
              <w:ind w:left="57" w:right="113"/>
              <w:rPr>
                <w:szCs w:val="18"/>
              </w:rPr>
            </w:pPr>
            <w:r w:rsidRPr="000D23E5">
              <w:rPr>
                <w:szCs w:val="18"/>
                <w:lang w:val="fr-FR"/>
              </w:rPr>
              <w:t>Durée</w:t>
            </w:r>
          </w:p>
        </w:tc>
        <w:tc>
          <w:tcPr>
            <w:tcW w:w="2912" w:type="dxa"/>
            <w:tcBorders>
              <w:bottom w:val="single" w:sz="12" w:space="0" w:color="auto"/>
            </w:tcBorders>
            <w:shd w:val="clear" w:color="auto" w:fill="auto"/>
          </w:tcPr>
          <w:p w14:paraId="5CFFB701" w14:textId="77777777" w:rsidR="00540808" w:rsidRPr="000D23E5" w:rsidRDefault="00540808" w:rsidP="00D91C58">
            <w:pPr>
              <w:spacing w:before="60" w:after="60" w:line="240" w:lineRule="auto"/>
              <w:ind w:left="57" w:right="113"/>
              <w:rPr>
                <w:szCs w:val="18"/>
                <w:lang w:eastAsia="ja-JP"/>
              </w:rPr>
            </w:pPr>
            <w:r w:rsidRPr="000D23E5">
              <w:rPr>
                <w:rFonts w:hint="eastAsia"/>
                <w:szCs w:val="18"/>
                <w:lang w:eastAsia="ja-JP"/>
              </w:rPr>
              <w:t>-</w:t>
            </w:r>
          </w:p>
        </w:tc>
        <w:tc>
          <w:tcPr>
            <w:tcW w:w="3170" w:type="dxa"/>
            <w:tcBorders>
              <w:bottom w:val="single" w:sz="12" w:space="0" w:color="auto"/>
              <w:right w:val="single" w:sz="4" w:space="0" w:color="auto"/>
            </w:tcBorders>
            <w:shd w:val="clear" w:color="auto" w:fill="auto"/>
          </w:tcPr>
          <w:p w14:paraId="591C9B6C" w14:textId="77777777" w:rsidR="00540808" w:rsidRPr="000D23E5" w:rsidRDefault="00540808" w:rsidP="00D91C58">
            <w:pPr>
              <w:spacing w:before="60" w:after="60" w:line="240" w:lineRule="auto"/>
              <w:ind w:left="57" w:right="113"/>
              <w:rPr>
                <w:szCs w:val="18"/>
                <w:lang w:val="fr-FR"/>
              </w:rPr>
            </w:pPr>
            <w:r w:rsidRPr="000D23E5">
              <w:rPr>
                <w:szCs w:val="18"/>
                <w:lang w:val="fr-FR"/>
              </w:rPr>
              <w:t>Ne doit pas dépasser 3 secondes</w:t>
            </w:r>
          </w:p>
        </w:tc>
      </w:tr>
    </w:tbl>
    <w:p w14:paraId="5A06FACE" w14:textId="142ACB8C" w:rsidR="00540808" w:rsidRPr="006E38FF" w:rsidRDefault="00516C79" w:rsidP="00516C79">
      <w:pPr>
        <w:pStyle w:val="H4G"/>
      </w:pPr>
      <w:r>
        <w:rPr>
          <w:lang w:val="fr-FR"/>
        </w:rPr>
        <w:tab/>
      </w:r>
      <w:r>
        <w:rPr>
          <w:lang w:val="fr-FR"/>
        </w:rPr>
        <w:tab/>
      </w:r>
      <w:r w:rsidR="00540808" w:rsidRPr="006E38FF">
        <w:rPr>
          <w:lang w:val="fr-FR"/>
        </w:rPr>
        <w:t>Paragraphe 6.24.9.3</w:t>
      </w:r>
    </w:p>
    <w:p w14:paraId="58D090F8" w14:textId="77777777" w:rsidR="00540808" w:rsidRPr="006E38FF" w:rsidRDefault="00540808" w:rsidP="00C767C3">
      <w:pPr>
        <w:pStyle w:val="SingleTxtG"/>
        <w:rPr>
          <w:lang w:val="fr-FR"/>
        </w:rPr>
      </w:pPr>
      <w:r w:rsidRPr="006E38FF">
        <w:rPr>
          <w:lang w:val="fr-FR"/>
        </w:rPr>
        <w:t>22.</w:t>
      </w:r>
      <w:r w:rsidRPr="006E38FF">
        <w:rPr>
          <w:lang w:val="fr-FR"/>
        </w:rPr>
        <w:tab/>
        <w:t xml:space="preserve"> </w:t>
      </w:r>
      <w:r>
        <w:rPr>
          <w:lang w:val="fr-FR"/>
        </w:rPr>
        <w:t xml:space="preserve">Certains </w:t>
      </w:r>
      <w:r w:rsidRPr="006E38FF">
        <w:rPr>
          <w:lang w:val="fr-FR"/>
        </w:rPr>
        <w:t xml:space="preserve">feux de courtoisie extérieurs installés sur des véhicules existants </w:t>
      </w:r>
      <w:r>
        <w:rPr>
          <w:lang w:val="fr-FR"/>
        </w:rPr>
        <w:t xml:space="preserve">et s’allumant lorsque le </w:t>
      </w:r>
      <w:r w:rsidRPr="006E38FF">
        <w:rPr>
          <w:lang w:val="fr-FR"/>
        </w:rPr>
        <w:t>véhicule est en stationnement devraient être interdits</w:t>
      </w:r>
      <w:r w:rsidRPr="00C9679F">
        <w:rPr>
          <w:lang w:val="fr-FR"/>
        </w:rPr>
        <w:t xml:space="preserve"> </w:t>
      </w:r>
      <w:r>
        <w:rPr>
          <w:lang w:val="fr-FR"/>
        </w:rPr>
        <w:t>en application des</w:t>
      </w:r>
      <w:r w:rsidRPr="006E38FF">
        <w:rPr>
          <w:lang w:val="fr-FR"/>
        </w:rPr>
        <w:t xml:space="preserve"> nouvelles prescriptions. </w:t>
      </w:r>
      <w:r>
        <w:rPr>
          <w:lang w:val="fr-FR"/>
        </w:rPr>
        <w:t>Toutefois, l</w:t>
      </w:r>
      <w:r w:rsidRPr="006E38FF">
        <w:rPr>
          <w:lang w:val="fr-FR"/>
        </w:rPr>
        <w:t xml:space="preserve">e demandeur est désormais autorisé à démontrer que cet éclairage est négligeable (moins de 0,5 cd), ce qui permet de laisser ces dispositifs </w:t>
      </w:r>
      <w:r>
        <w:rPr>
          <w:lang w:val="fr-FR"/>
        </w:rPr>
        <w:t xml:space="preserve"> en place</w:t>
      </w:r>
      <w:r w:rsidRPr="006E38FF">
        <w:rPr>
          <w:lang w:val="fr-FR"/>
        </w:rPr>
        <w:t>.</w:t>
      </w:r>
    </w:p>
    <w:p w14:paraId="545655A8" w14:textId="4E648A54" w:rsidR="00540808" w:rsidRPr="006E38FF" w:rsidRDefault="00516C79" w:rsidP="00516C79">
      <w:pPr>
        <w:pStyle w:val="H4G"/>
      </w:pPr>
      <w:r>
        <w:rPr>
          <w:lang w:val="fr-FR"/>
        </w:rPr>
        <w:lastRenderedPageBreak/>
        <w:tab/>
      </w:r>
      <w:r>
        <w:rPr>
          <w:lang w:val="fr-FR"/>
        </w:rPr>
        <w:tab/>
      </w:r>
      <w:r w:rsidR="00540808" w:rsidRPr="006E38FF">
        <w:rPr>
          <w:lang w:val="fr-FR"/>
        </w:rPr>
        <w:t xml:space="preserve">Paragraphe 6.27 </w:t>
      </w:r>
      <w:r>
        <w:rPr>
          <w:lang w:val="fr-FR"/>
        </w:rPr>
        <w:t>−</w:t>
      </w:r>
      <w:r w:rsidR="00540808" w:rsidRPr="006E38FF">
        <w:rPr>
          <w:lang w:val="fr-FR"/>
        </w:rPr>
        <w:t xml:space="preserve"> Signal de réponse </w:t>
      </w:r>
    </w:p>
    <w:p w14:paraId="0F20E686" w14:textId="77777777" w:rsidR="00540808" w:rsidRPr="006E38FF" w:rsidRDefault="00540808" w:rsidP="00C767C3">
      <w:pPr>
        <w:pStyle w:val="SingleTxtG"/>
        <w:rPr>
          <w:lang w:val="fr-FR"/>
        </w:rPr>
      </w:pPr>
      <w:r w:rsidRPr="006E38FF">
        <w:rPr>
          <w:lang w:val="fr-FR"/>
        </w:rPr>
        <w:t>23.</w:t>
      </w:r>
      <w:r w:rsidRPr="006E38FF">
        <w:rPr>
          <w:lang w:val="fr-FR"/>
        </w:rPr>
        <w:tab/>
        <w:t>Les prescriptions applicables au signal de réponse, s</w:t>
      </w:r>
      <w:r>
        <w:rPr>
          <w:lang w:val="fr-FR"/>
        </w:rPr>
        <w:t>’</w:t>
      </w:r>
      <w:r w:rsidRPr="006E38FF">
        <w:rPr>
          <w:lang w:val="fr-FR"/>
        </w:rPr>
        <w:t>agissant de la durée d</w:t>
      </w:r>
      <w:r>
        <w:rPr>
          <w:lang w:val="fr-FR"/>
        </w:rPr>
        <w:t>’</w:t>
      </w:r>
      <w:r w:rsidRPr="006E38FF">
        <w:rPr>
          <w:lang w:val="fr-FR"/>
        </w:rPr>
        <w:t>éclairage et du type et de la fonction des feux pouvant être utilisés, sont énoncées au paragraphe 6.27.</w:t>
      </w:r>
    </w:p>
    <w:p w14:paraId="7C386A02" w14:textId="1E1EFF44" w:rsidR="00540808" w:rsidRPr="006E38FF" w:rsidRDefault="00203EDA" w:rsidP="00203EDA">
      <w:pPr>
        <w:pStyle w:val="H4G"/>
        <w:rPr>
          <w:rFonts w:eastAsiaTheme="minorEastAsia"/>
        </w:rPr>
      </w:pPr>
      <w:r>
        <w:rPr>
          <w:lang w:val="fr-FR"/>
        </w:rPr>
        <w:tab/>
      </w:r>
      <w:r>
        <w:rPr>
          <w:lang w:val="fr-FR"/>
        </w:rPr>
        <w:tab/>
      </w:r>
      <w:r w:rsidR="00540808" w:rsidRPr="006E38FF">
        <w:rPr>
          <w:lang w:val="fr-FR"/>
        </w:rPr>
        <w:t>Durée de l</w:t>
      </w:r>
      <w:r w:rsidR="00540808">
        <w:rPr>
          <w:lang w:val="fr-FR"/>
        </w:rPr>
        <w:t>’</w:t>
      </w:r>
      <w:r w:rsidR="00540808" w:rsidRPr="006E38FF">
        <w:rPr>
          <w:lang w:val="fr-FR"/>
        </w:rPr>
        <w:t>indication visuelle</w:t>
      </w:r>
    </w:p>
    <w:p w14:paraId="1B47CBEF" w14:textId="075FF7DC" w:rsidR="00540808" w:rsidRPr="006E38FF" w:rsidRDefault="00540808" w:rsidP="00C767C3">
      <w:pPr>
        <w:pStyle w:val="SingleTxtG"/>
        <w:rPr>
          <w:rFonts w:eastAsiaTheme="minorEastAsia"/>
          <w:lang w:val="fr-FR"/>
        </w:rPr>
      </w:pPr>
      <w:r w:rsidRPr="006E38FF">
        <w:rPr>
          <w:rFonts w:eastAsiaTheme="minorEastAsia"/>
          <w:lang w:val="fr-FR"/>
        </w:rPr>
        <w:t>24.</w:t>
      </w:r>
      <w:r w:rsidRPr="006E38FF">
        <w:rPr>
          <w:rFonts w:eastAsiaTheme="minorEastAsia"/>
          <w:lang w:val="fr-FR"/>
        </w:rPr>
        <w:tab/>
      </w:r>
      <w:r w:rsidRPr="006E38FF">
        <w:rPr>
          <w:lang w:val="fr-FR"/>
        </w:rPr>
        <w:t>La durée de l</w:t>
      </w:r>
      <w:r>
        <w:rPr>
          <w:lang w:val="fr-FR"/>
        </w:rPr>
        <w:t>’</w:t>
      </w:r>
      <w:r w:rsidRPr="006E38FF">
        <w:rPr>
          <w:lang w:val="fr-FR"/>
        </w:rPr>
        <w:t>indication visuelle d</w:t>
      </w:r>
      <w:r>
        <w:rPr>
          <w:lang w:val="fr-FR"/>
        </w:rPr>
        <w:t>’</w:t>
      </w:r>
      <w:r w:rsidRPr="006E38FF">
        <w:rPr>
          <w:lang w:val="fr-FR"/>
        </w:rPr>
        <w:t xml:space="preserve">un signal de réponse ne doit pas dépasser </w:t>
      </w:r>
      <w:r w:rsidR="00645988">
        <w:rPr>
          <w:lang w:val="fr-FR"/>
        </w:rPr>
        <w:t>3</w:t>
      </w:r>
      <w:r>
        <w:rPr>
          <w:lang w:val="fr-FR"/>
        </w:rPr>
        <w:t> </w:t>
      </w:r>
      <w:r w:rsidRPr="006E38FF">
        <w:rPr>
          <w:lang w:val="fr-FR"/>
        </w:rPr>
        <w:t>secondes, à l</w:t>
      </w:r>
      <w:r>
        <w:rPr>
          <w:lang w:val="fr-FR"/>
        </w:rPr>
        <w:t>’</w:t>
      </w:r>
      <w:r w:rsidRPr="006E38FF">
        <w:rPr>
          <w:lang w:val="fr-FR"/>
        </w:rPr>
        <w:t>instar des témoins extérieurs d</w:t>
      </w:r>
      <w:r>
        <w:rPr>
          <w:lang w:val="fr-FR"/>
        </w:rPr>
        <w:t>’</w:t>
      </w:r>
      <w:r w:rsidRPr="006E38FF">
        <w:rPr>
          <w:lang w:val="fr-FR"/>
        </w:rPr>
        <w:t>état des dispositifs antidémarrage. En ce qui concerne les dispositifs antidémarrage, cette disposition n</w:t>
      </w:r>
      <w:r>
        <w:rPr>
          <w:lang w:val="fr-FR"/>
        </w:rPr>
        <w:t>’</w:t>
      </w:r>
      <w:r w:rsidRPr="006E38FF">
        <w:rPr>
          <w:lang w:val="fr-FR"/>
        </w:rPr>
        <w:t>a pas été révisée depuis 1995, ce qui peut être considéré comme une preuve que cette durée n</w:t>
      </w:r>
      <w:r>
        <w:rPr>
          <w:lang w:val="fr-FR"/>
        </w:rPr>
        <w:t>’</w:t>
      </w:r>
      <w:r w:rsidRPr="006E38FF">
        <w:rPr>
          <w:lang w:val="fr-FR"/>
        </w:rPr>
        <w:t>a pas posé de problème sur le plan de la sécurité. C</w:t>
      </w:r>
      <w:r>
        <w:rPr>
          <w:lang w:val="fr-FR"/>
        </w:rPr>
        <w:t>’</w:t>
      </w:r>
      <w:r w:rsidRPr="006E38FF">
        <w:rPr>
          <w:lang w:val="fr-FR"/>
        </w:rPr>
        <w:t>est pourquoi il est prescrit, afin d</w:t>
      </w:r>
      <w:r>
        <w:rPr>
          <w:lang w:val="fr-FR"/>
        </w:rPr>
        <w:t>’</w:t>
      </w:r>
      <w:r w:rsidRPr="006E38FF">
        <w:rPr>
          <w:lang w:val="fr-FR"/>
        </w:rPr>
        <w:t xml:space="preserve">assurer la sécurité aux abords du véhicule, que la durée du signal de réponse ne dépasse pas </w:t>
      </w:r>
      <w:r w:rsidR="00645988">
        <w:rPr>
          <w:lang w:val="fr-FR"/>
        </w:rPr>
        <w:t>3</w:t>
      </w:r>
      <w:r w:rsidRPr="006E38FF">
        <w:rPr>
          <w:lang w:val="fr-FR"/>
        </w:rPr>
        <w:t> secondes. En outre, à titre de référence, le Japon a étudié l</w:t>
      </w:r>
      <w:r>
        <w:rPr>
          <w:lang w:val="fr-FR"/>
        </w:rPr>
        <w:t>’</w:t>
      </w:r>
      <w:r w:rsidRPr="006E38FF">
        <w:rPr>
          <w:lang w:val="fr-FR"/>
        </w:rPr>
        <w:t>historique de la disposition du Règlement ONU n</w:t>
      </w:r>
      <w:r w:rsidRPr="006E38FF">
        <w:rPr>
          <w:vertAlign w:val="superscript"/>
          <w:lang w:val="fr-FR"/>
        </w:rPr>
        <w:t>o</w:t>
      </w:r>
      <w:r w:rsidRPr="006E38FF">
        <w:rPr>
          <w:lang w:val="fr-FR"/>
        </w:rPr>
        <w:t> 97</w:t>
      </w:r>
      <w:r>
        <w:rPr>
          <w:lang w:val="fr-FR"/>
        </w:rPr>
        <w:t>,</w:t>
      </w:r>
      <w:r w:rsidRPr="006E38FF">
        <w:rPr>
          <w:lang w:val="fr-FR"/>
        </w:rPr>
        <w:t xml:space="preserve"> selon laquelle les feux indicateurs de direction, utilisés comme témoin extérieur d</w:t>
      </w:r>
      <w:r>
        <w:rPr>
          <w:lang w:val="fr-FR"/>
        </w:rPr>
        <w:t>’</w:t>
      </w:r>
      <w:r w:rsidRPr="006E38FF">
        <w:rPr>
          <w:lang w:val="fr-FR"/>
        </w:rPr>
        <w:t xml:space="preserve">état, devaient clignoter pendant 3 secondes au maximum. </w:t>
      </w:r>
      <w:r>
        <w:rPr>
          <w:lang w:val="fr-FR"/>
        </w:rPr>
        <w:t>L’examen approfondi de c</w:t>
      </w:r>
      <w:r w:rsidRPr="006E38FF">
        <w:rPr>
          <w:lang w:val="fr-FR"/>
        </w:rPr>
        <w:t>ette question</w:t>
      </w:r>
      <w:r>
        <w:rPr>
          <w:lang w:val="fr-FR"/>
        </w:rPr>
        <w:t xml:space="preserve"> </w:t>
      </w:r>
      <w:r w:rsidRPr="006E38FF">
        <w:rPr>
          <w:lang w:val="fr-FR"/>
        </w:rPr>
        <w:t>dans le cadre du GRE, du Groupe de travail des dispositions générales de sécurité (GRSP) et du Forum mondial (WP.29) entre 1994 et 1995 était bien documenté dans les rapports officiels et les documents connexes. Il y avait eu</w:t>
      </w:r>
      <w:r>
        <w:rPr>
          <w:lang w:val="fr-FR"/>
        </w:rPr>
        <w:t>,</w:t>
      </w:r>
      <w:r w:rsidRPr="006E38FF">
        <w:rPr>
          <w:lang w:val="fr-FR"/>
        </w:rPr>
        <w:t xml:space="preserve"> dans un premier temps</w:t>
      </w:r>
      <w:r>
        <w:rPr>
          <w:lang w:val="fr-FR"/>
        </w:rPr>
        <w:t>,</w:t>
      </w:r>
      <w:r w:rsidRPr="006E38FF">
        <w:rPr>
          <w:lang w:val="fr-FR"/>
        </w:rPr>
        <w:t xml:space="preserve"> une proposition ne permettant que deux clignotements, puis une disposition permettant que les feux clignotent pendant </w:t>
      </w:r>
      <w:r w:rsidR="00645988">
        <w:rPr>
          <w:lang w:val="fr-FR"/>
        </w:rPr>
        <w:t>2 </w:t>
      </w:r>
      <w:r w:rsidRPr="006E38FF">
        <w:rPr>
          <w:lang w:val="fr-FR"/>
        </w:rPr>
        <w:t xml:space="preserve">secondes et, en fin de compte, il avait été décidé que les feux pourraient clignoter pendant </w:t>
      </w:r>
      <w:r w:rsidR="00AB1172">
        <w:rPr>
          <w:lang w:val="fr-FR"/>
        </w:rPr>
        <w:t>3 </w:t>
      </w:r>
      <w:r w:rsidRPr="006E38FF">
        <w:rPr>
          <w:lang w:val="fr-FR"/>
        </w:rPr>
        <w:t xml:space="preserve">secondes. </w:t>
      </w:r>
      <w:r>
        <w:rPr>
          <w:lang w:val="fr-FR"/>
        </w:rPr>
        <w:t>J</w:t>
      </w:r>
      <w:r w:rsidRPr="006E38FF">
        <w:rPr>
          <w:lang w:val="fr-FR"/>
        </w:rPr>
        <w:t>usqu</w:t>
      </w:r>
      <w:r>
        <w:rPr>
          <w:lang w:val="fr-FR"/>
        </w:rPr>
        <w:t>’</w:t>
      </w:r>
      <w:r w:rsidRPr="006E38FF">
        <w:rPr>
          <w:lang w:val="fr-FR"/>
        </w:rPr>
        <w:t>à présent, aucune exception n</w:t>
      </w:r>
      <w:r>
        <w:rPr>
          <w:lang w:val="fr-FR"/>
        </w:rPr>
        <w:t>’</w:t>
      </w:r>
      <w:r w:rsidRPr="006E38FF">
        <w:rPr>
          <w:lang w:val="fr-FR"/>
        </w:rPr>
        <w:t>a été accordée</w:t>
      </w:r>
      <w:r>
        <w:rPr>
          <w:lang w:val="fr-FR"/>
        </w:rPr>
        <w:t xml:space="preserve"> à cette disposition telle qu’elle a été adoptée</w:t>
      </w:r>
      <w:r w:rsidRPr="006E38FF">
        <w:rPr>
          <w:lang w:val="fr-FR"/>
        </w:rPr>
        <w:t xml:space="preserve">. Au vu de cet historique, il apparaît clairement que la possibilité que les feux indicateurs de direction clignotent pendant plus de </w:t>
      </w:r>
      <w:r w:rsidR="00E3301E">
        <w:rPr>
          <w:lang w:val="fr-FR"/>
        </w:rPr>
        <w:t>3 </w:t>
      </w:r>
      <w:r w:rsidRPr="006E38FF">
        <w:rPr>
          <w:lang w:val="fr-FR"/>
        </w:rPr>
        <w:t xml:space="preserve">secondes suscitait de fortes inquiétudes. </w:t>
      </w:r>
    </w:p>
    <w:p w14:paraId="2C675762" w14:textId="0FBEDE92" w:rsidR="00540808" w:rsidRPr="006E38FF" w:rsidRDefault="00ED0640" w:rsidP="00ED0640">
      <w:pPr>
        <w:pStyle w:val="H4G"/>
        <w:rPr>
          <w:rFonts w:eastAsiaTheme="minorEastAsia"/>
          <w:lang w:val="fr-FR"/>
        </w:rPr>
      </w:pPr>
      <w:r>
        <w:rPr>
          <w:lang w:val="fr-FR"/>
        </w:rPr>
        <w:tab/>
      </w:r>
      <w:r>
        <w:rPr>
          <w:lang w:val="fr-FR"/>
        </w:rPr>
        <w:tab/>
      </w:r>
      <w:r w:rsidR="00540808" w:rsidRPr="006E38FF">
        <w:rPr>
          <w:lang w:val="fr-FR"/>
        </w:rPr>
        <w:t>Types de dispositifs d</w:t>
      </w:r>
      <w:r w:rsidR="00540808">
        <w:rPr>
          <w:lang w:val="fr-FR"/>
        </w:rPr>
        <w:t>’</w:t>
      </w:r>
      <w:r w:rsidR="00540808" w:rsidRPr="006E38FF">
        <w:rPr>
          <w:lang w:val="fr-FR"/>
        </w:rPr>
        <w:t>éclairage ou de signalisation lumineuse pouvant être utilisés</w:t>
      </w:r>
    </w:p>
    <w:p w14:paraId="13900FFD" w14:textId="62AAE3E4" w:rsidR="00540808" w:rsidRPr="006E38FF" w:rsidRDefault="00540808" w:rsidP="00C767C3">
      <w:pPr>
        <w:pStyle w:val="SingleTxtG"/>
        <w:rPr>
          <w:lang w:val="fr-FR"/>
        </w:rPr>
      </w:pPr>
      <w:r w:rsidRPr="006E38FF">
        <w:rPr>
          <w:lang w:val="fr-FR"/>
        </w:rPr>
        <w:t>25.</w:t>
      </w:r>
      <w:r w:rsidRPr="006E38FF">
        <w:rPr>
          <w:lang w:val="fr-FR"/>
        </w:rPr>
        <w:tab/>
        <w:t xml:space="preserve">Le paragraphe 6.27.1 prescrit des feux mutuellement incorporés pour le signal de réponse. </w:t>
      </w:r>
      <w:r>
        <w:rPr>
          <w:lang w:val="fr-FR"/>
        </w:rPr>
        <w:t xml:space="preserve"> Celui-ci</w:t>
      </w:r>
      <w:r w:rsidRPr="006E38FF">
        <w:rPr>
          <w:lang w:val="fr-FR"/>
        </w:rPr>
        <w:t xml:space="preserve"> doit être émis par des dispositifs d</w:t>
      </w:r>
      <w:r>
        <w:rPr>
          <w:lang w:val="fr-FR"/>
        </w:rPr>
        <w:t>’</w:t>
      </w:r>
      <w:r w:rsidRPr="006E38FF">
        <w:rPr>
          <w:lang w:val="fr-FR"/>
        </w:rPr>
        <w:t xml:space="preserve">éclairage </w:t>
      </w:r>
      <w:r>
        <w:rPr>
          <w:lang w:val="fr-FR"/>
        </w:rPr>
        <w:t xml:space="preserve">ou </w:t>
      </w:r>
      <w:r w:rsidRPr="006E38FF">
        <w:rPr>
          <w:lang w:val="fr-FR"/>
        </w:rPr>
        <w:t xml:space="preserve">de signalisation lumineuse  </w:t>
      </w:r>
      <w:r>
        <w:rPr>
          <w:lang w:val="fr-FR"/>
        </w:rPr>
        <w:t xml:space="preserve">ou </w:t>
      </w:r>
      <w:r w:rsidRPr="006E38FF">
        <w:rPr>
          <w:lang w:val="fr-FR"/>
        </w:rPr>
        <w:t>des feux de courtoisie extérieurs homologués dont l</w:t>
      </w:r>
      <w:r>
        <w:rPr>
          <w:lang w:val="fr-FR"/>
        </w:rPr>
        <w:t>’</w:t>
      </w:r>
      <w:r w:rsidRPr="006E38FF">
        <w:rPr>
          <w:lang w:val="fr-FR"/>
        </w:rPr>
        <w:t>intensité lumineuse maximale ne dépasse pas 700</w:t>
      </w:r>
      <w:r w:rsidR="00E3301E">
        <w:rPr>
          <w:lang w:val="fr-FR"/>
        </w:rPr>
        <w:t> </w:t>
      </w:r>
      <w:r w:rsidRPr="006E38FF">
        <w:rPr>
          <w:lang w:val="fr-FR"/>
        </w:rPr>
        <w:t xml:space="preserve">cd au niveau de la ligne HH ou au-dessus de celle-ci. Toutefois, les feux de brouillard avant et arrière et les feux-stop </w:t>
      </w:r>
      <w:r>
        <w:rPr>
          <w:lang w:val="fr-FR"/>
        </w:rPr>
        <w:t xml:space="preserve"> sont exclus</w:t>
      </w:r>
      <w:r w:rsidRPr="006E38FF">
        <w:rPr>
          <w:lang w:val="fr-FR"/>
        </w:rPr>
        <w:t xml:space="preserve">. </w:t>
      </w:r>
    </w:p>
    <w:p w14:paraId="18C21808" w14:textId="02566106" w:rsidR="00540808" w:rsidRPr="006E38FF" w:rsidRDefault="00ED0640" w:rsidP="00ED0640">
      <w:pPr>
        <w:pStyle w:val="H4G"/>
        <w:rPr>
          <w:rFonts w:eastAsiaTheme="minorEastAsia"/>
        </w:rPr>
      </w:pPr>
      <w:r>
        <w:rPr>
          <w:lang w:val="fr-FR"/>
        </w:rPr>
        <w:tab/>
      </w:r>
      <w:r>
        <w:rPr>
          <w:lang w:val="fr-FR"/>
        </w:rPr>
        <w:tab/>
      </w:r>
      <w:r w:rsidR="00540808" w:rsidRPr="006E38FF">
        <w:rPr>
          <w:lang w:val="fr-FR"/>
        </w:rPr>
        <w:t>Intensité maximale et couleur</w:t>
      </w:r>
    </w:p>
    <w:p w14:paraId="6920AA71" w14:textId="77777777" w:rsidR="00540808" w:rsidRPr="006E38FF" w:rsidRDefault="00540808" w:rsidP="00C767C3">
      <w:pPr>
        <w:pStyle w:val="SingleTxtG"/>
        <w:rPr>
          <w:lang w:val="fr-FR"/>
        </w:rPr>
      </w:pPr>
      <w:r w:rsidRPr="006E38FF">
        <w:rPr>
          <w:lang w:val="fr-FR"/>
        </w:rPr>
        <w:t>26.</w:t>
      </w:r>
      <w:r w:rsidRPr="006E38FF">
        <w:rPr>
          <w:lang w:val="fr-FR"/>
        </w:rPr>
        <w:tab/>
        <w:t>S</w:t>
      </w:r>
      <w:r>
        <w:rPr>
          <w:lang w:val="fr-FR"/>
        </w:rPr>
        <w:t>’</w:t>
      </w:r>
      <w:r w:rsidRPr="006E38FF">
        <w:rPr>
          <w:lang w:val="fr-FR"/>
        </w:rPr>
        <w:t>agissant de l</w:t>
      </w:r>
      <w:r>
        <w:rPr>
          <w:lang w:val="fr-FR"/>
        </w:rPr>
        <w:t>’</w:t>
      </w:r>
      <w:r w:rsidRPr="006E38FF">
        <w:rPr>
          <w:lang w:val="fr-FR"/>
        </w:rPr>
        <w:t xml:space="preserve">intensité maximale, de la couleur </w:t>
      </w:r>
      <w:r>
        <w:rPr>
          <w:lang w:val="fr-FR"/>
        </w:rPr>
        <w:t xml:space="preserve">et d’autres paramètres </w:t>
      </w:r>
      <w:r w:rsidRPr="006E38FF">
        <w:rPr>
          <w:lang w:val="fr-FR"/>
        </w:rPr>
        <w:t>du signal de réponse, chaque feu doit être conforme aux spécifications particulières prescrites à la section 6. Toutefois, les feux pour lesquels la valeur est inférieure ou égale aux spécifications particulières applicables sont autorisés.</w:t>
      </w:r>
    </w:p>
    <w:p w14:paraId="2537B274" w14:textId="6F4430CE" w:rsidR="00540808" w:rsidRPr="006E38FF" w:rsidRDefault="00ED0640" w:rsidP="00ED0640">
      <w:pPr>
        <w:pStyle w:val="H4G"/>
      </w:pPr>
      <w:r>
        <w:rPr>
          <w:lang w:val="fr-FR"/>
        </w:rPr>
        <w:tab/>
      </w:r>
      <w:r>
        <w:rPr>
          <w:lang w:val="fr-FR"/>
        </w:rPr>
        <w:tab/>
      </w:r>
      <w:r w:rsidR="00540808" w:rsidRPr="006E38FF">
        <w:rPr>
          <w:lang w:val="fr-FR"/>
        </w:rPr>
        <w:t>Clignotement autorisé</w:t>
      </w:r>
    </w:p>
    <w:p w14:paraId="64C5DA37" w14:textId="77777777" w:rsidR="00540808" w:rsidRPr="006E38FF" w:rsidRDefault="00540808" w:rsidP="00C767C3">
      <w:pPr>
        <w:pStyle w:val="SingleTxtG"/>
        <w:rPr>
          <w:lang w:val="fr-FR"/>
        </w:rPr>
      </w:pPr>
      <w:r w:rsidRPr="006E38FF">
        <w:rPr>
          <w:lang w:val="fr-FR"/>
        </w:rPr>
        <w:t>27.</w:t>
      </w:r>
      <w:r w:rsidRPr="006E38FF">
        <w:rPr>
          <w:lang w:val="fr-FR"/>
        </w:rPr>
        <w:tab/>
        <w:t xml:space="preserve">Il est prescrit au paragraphe 5.9.4 que les feux </w:t>
      </w:r>
      <w:r>
        <w:rPr>
          <w:lang w:val="fr-FR"/>
        </w:rPr>
        <w:t>émettant le</w:t>
      </w:r>
      <w:r w:rsidRPr="006E38FF">
        <w:rPr>
          <w:lang w:val="fr-FR"/>
        </w:rPr>
        <w:t xml:space="preserve"> signal de réponse peuvent clignoter ou que leur intensité lumineuse ou leur surface apparente peuvent varier. En outre, il est prescrit au paragraphe 6.27.7.2 que la fréquence du clignotement ne doit pas dépasser 2,0 Hz, cette limite étant déterminée en fonction de la fréquence de clignotement des feux indicateurs de direction. </w:t>
      </w:r>
    </w:p>
    <w:p w14:paraId="1551542A" w14:textId="727D7E8E" w:rsidR="00540808" w:rsidRPr="006E38FF" w:rsidRDefault="00ED0640" w:rsidP="00ED0640">
      <w:pPr>
        <w:pStyle w:val="H4G"/>
        <w:rPr>
          <w:lang w:val="fr-FR"/>
        </w:rPr>
      </w:pPr>
      <w:r>
        <w:rPr>
          <w:lang w:val="fr-FR"/>
        </w:rPr>
        <w:tab/>
      </w:r>
      <w:r>
        <w:rPr>
          <w:lang w:val="fr-FR"/>
        </w:rPr>
        <w:tab/>
      </w:r>
      <w:r w:rsidR="00540808" w:rsidRPr="006E38FF">
        <w:rPr>
          <w:lang w:val="fr-FR"/>
        </w:rPr>
        <w:t>Témoin du système d</w:t>
      </w:r>
      <w:r w:rsidR="00540808">
        <w:rPr>
          <w:lang w:val="fr-FR"/>
        </w:rPr>
        <w:t>’</w:t>
      </w:r>
      <w:r w:rsidR="00540808" w:rsidRPr="006E38FF">
        <w:rPr>
          <w:lang w:val="fr-FR"/>
        </w:rPr>
        <w:t>énergie (par</w:t>
      </w:r>
      <w:r>
        <w:rPr>
          <w:lang w:val="fr-FR"/>
        </w:rPr>
        <w:t>.</w:t>
      </w:r>
      <w:r w:rsidR="00540808" w:rsidRPr="006E38FF">
        <w:rPr>
          <w:lang w:val="fr-FR"/>
        </w:rPr>
        <w:t xml:space="preserve"> 6.28.1 à 6.28.9) </w:t>
      </w:r>
    </w:p>
    <w:p w14:paraId="6C167D1D" w14:textId="77777777" w:rsidR="00540808" w:rsidRPr="006E38FF" w:rsidRDefault="00540808" w:rsidP="00ED0640">
      <w:pPr>
        <w:pStyle w:val="SingleTxtG"/>
        <w:keepNext/>
      </w:pPr>
      <w:r w:rsidRPr="006E38FF">
        <w:t>28.</w:t>
      </w:r>
      <w:r w:rsidRPr="006E38FF">
        <w:tab/>
      </w:r>
      <w:r w:rsidRPr="006E38FF">
        <w:rPr>
          <w:lang w:val="fr-FR"/>
        </w:rPr>
        <w:t>Explication des spécifications particulières :</w:t>
      </w:r>
    </w:p>
    <w:p w14:paraId="35CAA1AB" w14:textId="662145FA" w:rsidR="00540808" w:rsidRPr="006E38FF" w:rsidRDefault="00540808" w:rsidP="00067A8B">
      <w:pPr>
        <w:pStyle w:val="Bullet1G"/>
        <w:rPr>
          <w:lang w:val="fr-FR"/>
        </w:rPr>
      </w:pPr>
      <w:r w:rsidRPr="006E38FF">
        <w:rPr>
          <w:lang w:val="fr-FR"/>
        </w:rPr>
        <w:t>Nombre : Tous les véhicules électriques sont déjà équipés de témoins du système d</w:t>
      </w:r>
      <w:r>
        <w:rPr>
          <w:lang w:val="fr-FR"/>
        </w:rPr>
        <w:t>’</w:t>
      </w:r>
      <w:r w:rsidRPr="006E38FF">
        <w:rPr>
          <w:lang w:val="fr-FR"/>
        </w:rPr>
        <w:t>énergie. L</w:t>
      </w:r>
      <w:r>
        <w:rPr>
          <w:lang w:val="fr-FR"/>
        </w:rPr>
        <w:t>’</w:t>
      </w:r>
      <w:r w:rsidRPr="006E38FF">
        <w:rPr>
          <w:lang w:val="fr-FR"/>
        </w:rPr>
        <w:t>Organisation internationale des constructeurs d</w:t>
      </w:r>
      <w:r>
        <w:rPr>
          <w:lang w:val="fr-FR"/>
        </w:rPr>
        <w:t>’</w:t>
      </w:r>
      <w:r w:rsidRPr="006E38FF">
        <w:rPr>
          <w:lang w:val="fr-FR"/>
        </w:rPr>
        <w:t>automobiles (OICA) insiste donc pour conserver cette prescription dans le cadre de la première phase</w:t>
      </w:r>
      <w:r w:rsidR="00D561F4">
        <w:rPr>
          <w:lang w:val="fr-FR"/>
        </w:rPr>
        <w:t> ;</w:t>
      </w:r>
    </w:p>
    <w:p w14:paraId="39A8F8C2" w14:textId="65108011" w:rsidR="00540808" w:rsidRPr="006E38FF" w:rsidRDefault="00540808" w:rsidP="00067A8B">
      <w:pPr>
        <w:pStyle w:val="Bullet1G"/>
        <w:rPr>
          <w:lang w:val="fr-FR"/>
        </w:rPr>
      </w:pPr>
      <w:r w:rsidRPr="006E38FF">
        <w:rPr>
          <w:lang w:val="fr-FR"/>
        </w:rPr>
        <w:t>Emplacement : Pour éviter un signal clignotant sur le toit du véhicule, le témoin du système d</w:t>
      </w:r>
      <w:r>
        <w:rPr>
          <w:lang w:val="fr-FR"/>
        </w:rPr>
        <w:t>’</w:t>
      </w:r>
      <w:r w:rsidRPr="006E38FF">
        <w:rPr>
          <w:lang w:val="fr-FR"/>
        </w:rPr>
        <w:t>énergie doit être monté au moins 100 mm au-dessous du point le plus élevé (toit) du véhicule.</w:t>
      </w:r>
    </w:p>
    <w:p w14:paraId="225C09F0" w14:textId="179A73FC" w:rsidR="00540808" w:rsidRPr="006E38FF" w:rsidRDefault="00ED0640" w:rsidP="00ED0640">
      <w:pPr>
        <w:pStyle w:val="H4G"/>
      </w:pPr>
      <w:r>
        <w:rPr>
          <w:lang w:val="fr-FR"/>
        </w:rPr>
        <w:lastRenderedPageBreak/>
        <w:tab/>
      </w:r>
      <w:r>
        <w:rPr>
          <w:lang w:val="fr-FR"/>
        </w:rPr>
        <w:tab/>
      </w:r>
      <w:r w:rsidR="00540808" w:rsidRPr="006E38FF">
        <w:rPr>
          <w:lang w:val="fr-FR"/>
        </w:rPr>
        <w:t>Paragraphe 6.28.9.1</w:t>
      </w:r>
    </w:p>
    <w:p w14:paraId="3FF5FF66" w14:textId="77777777" w:rsidR="00540808" w:rsidRPr="006E38FF" w:rsidRDefault="00540808" w:rsidP="00C767C3">
      <w:pPr>
        <w:pStyle w:val="SingleTxtG"/>
        <w:rPr>
          <w:lang w:val="fr-FR"/>
        </w:rPr>
      </w:pPr>
      <w:r w:rsidRPr="006E38FF">
        <w:rPr>
          <w:lang w:val="fr-FR"/>
        </w:rPr>
        <w:t>29.</w:t>
      </w:r>
      <w:r w:rsidRPr="006E38FF">
        <w:rPr>
          <w:lang w:val="fr-FR"/>
        </w:rPr>
        <w:tab/>
        <w:t xml:space="preserve">Pour limiter le nombre de </w:t>
      </w:r>
      <w:r>
        <w:rPr>
          <w:lang w:val="fr-FR"/>
        </w:rPr>
        <w:t>situations</w:t>
      </w:r>
      <w:r w:rsidRPr="006E38FF">
        <w:rPr>
          <w:lang w:val="fr-FR"/>
        </w:rPr>
        <w:t xml:space="preserve"> dans lesquel</w:t>
      </w:r>
      <w:r>
        <w:rPr>
          <w:lang w:val="fr-FR"/>
        </w:rPr>
        <w:t>le</w:t>
      </w:r>
      <w:r w:rsidRPr="006E38FF">
        <w:rPr>
          <w:lang w:val="fr-FR"/>
        </w:rPr>
        <w:t>s le témoin du système d</w:t>
      </w:r>
      <w:r>
        <w:rPr>
          <w:lang w:val="fr-FR"/>
        </w:rPr>
        <w:t>’</w:t>
      </w:r>
      <w:r w:rsidRPr="006E38FF">
        <w:rPr>
          <w:lang w:val="fr-FR"/>
        </w:rPr>
        <w:t>énergie peut être allumé, l</w:t>
      </w:r>
      <w:r>
        <w:rPr>
          <w:lang w:val="fr-FR"/>
        </w:rPr>
        <w:t>’</w:t>
      </w:r>
      <w:r w:rsidRPr="006E38FF">
        <w:rPr>
          <w:lang w:val="fr-FR"/>
        </w:rPr>
        <w:t>OICA a proposé trois scénarios : i) lorsque le véhicule est branché au réseau énergétique, ii) lorsque le témoin du système d</w:t>
      </w:r>
      <w:r>
        <w:rPr>
          <w:lang w:val="fr-FR"/>
        </w:rPr>
        <w:t>’</w:t>
      </w:r>
      <w:r w:rsidRPr="006E38FF">
        <w:rPr>
          <w:lang w:val="fr-FR"/>
        </w:rPr>
        <w:t>énergie est activé manuellement par l</w:t>
      </w:r>
      <w:r>
        <w:rPr>
          <w:lang w:val="fr-FR"/>
        </w:rPr>
        <w:t>’</w:t>
      </w:r>
      <w:r w:rsidRPr="006E38FF">
        <w:rPr>
          <w:lang w:val="fr-FR"/>
        </w:rPr>
        <w:t>utilisateur du véhicule</w:t>
      </w:r>
      <w:r>
        <w:rPr>
          <w:lang w:val="fr-FR"/>
        </w:rPr>
        <w:t>,</w:t>
      </w:r>
      <w:r w:rsidRPr="006E38FF">
        <w:rPr>
          <w:lang w:val="fr-FR"/>
        </w:rPr>
        <w:t xml:space="preserve"> et iii) pour éclairer la prise de chargement dans les cas où un rabat ou une autre partie mobile couvre le signal optique.</w:t>
      </w:r>
    </w:p>
    <w:p w14:paraId="5B53C345" w14:textId="5829877A" w:rsidR="00540808" w:rsidRPr="006E38FF" w:rsidRDefault="00ED0640" w:rsidP="00ED0640">
      <w:pPr>
        <w:pStyle w:val="H4G"/>
      </w:pPr>
      <w:r>
        <w:rPr>
          <w:lang w:val="fr-FR"/>
        </w:rPr>
        <w:tab/>
      </w:r>
      <w:r>
        <w:rPr>
          <w:lang w:val="fr-FR"/>
        </w:rPr>
        <w:tab/>
      </w:r>
      <w:r w:rsidR="00540808" w:rsidRPr="006E38FF">
        <w:rPr>
          <w:lang w:val="fr-FR"/>
        </w:rPr>
        <w:t>Paragraphes 6.28.9.2 et 6.28.9.3</w:t>
      </w:r>
    </w:p>
    <w:p w14:paraId="37771864" w14:textId="08E1874C" w:rsidR="00540808" w:rsidRPr="006E38FF" w:rsidRDefault="00540808" w:rsidP="00C767C3">
      <w:pPr>
        <w:pStyle w:val="SingleTxtG"/>
        <w:rPr>
          <w:lang w:val="fr-FR"/>
        </w:rPr>
      </w:pPr>
      <w:r w:rsidRPr="006E38FF">
        <w:rPr>
          <w:lang w:val="fr-FR"/>
        </w:rPr>
        <w:t>30.</w:t>
      </w:r>
      <w:r w:rsidRPr="006E38FF">
        <w:rPr>
          <w:lang w:val="fr-FR"/>
        </w:rPr>
        <w:tab/>
        <w:t>Si le constructeur met au point un témoin servant uniquement à indiquer l</w:t>
      </w:r>
      <w:r>
        <w:rPr>
          <w:lang w:val="fr-FR"/>
        </w:rPr>
        <w:t>’</w:t>
      </w:r>
      <w:r w:rsidRPr="006E38FF">
        <w:rPr>
          <w:lang w:val="fr-FR"/>
        </w:rPr>
        <w:t>état du système d</w:t>
      </w:r>
      <w:r>
        <w:rPr>
          <w:lang w:val="fr-FR"/>
        </w:rPr>
        <w:t>’</w:t>
      </w:r>
      <w:r w:rsidRPr="006E38FF">
        <w:rPr>
          <w:lang w:val="fr-FR"/>
        </w:rPr>
        <w:t>énergie, l</w:t>
      </w:r>
      <w:r>
        <w:rPr>
          <w:lang w:val="fr-FR"/>
        </w:rPr>
        <w:t>’</w:t>
      </w:r>
      <w:r w:rsidRPr="006E38FF">
        <w:rPr>
          <w:lang w:val="fr-FR"/>
        </w:rPr>
        <w:t xml:space="preserve">intensité lumineuse du témoin ne doit </w:t>
      </w:r>
      <w:r>
        <w:rPr>
          <w:lang w:val="fr-FR"/>
        </w:rPr>
        <w:t xml:space="preserve">alors </w:t>
      </w:r>
      <w:r w:rsidRPr="006E38FF">
        <w:rPr>
          <w:lang w:val="fr-FR"/>
        </w:rPr>
        <w:t>pas dépasser [3 cd] (l</w:t>
      </w:r>
      <w:r>
        <w:rPr>
          <w:lang w:val="fr-FR"/>
        </w:rPr>
        <w:t>’</w:t>
      </w:r>
      <w:r w:rsidRPr="006E38FF">
        <w:rPr>
          <w:lang w:val="fr-FR"/>
        </w:rPr>
        <w:t>intensité maximale sera définie par l</w:t>
      </w:r>
      <w:r>
        <w:rPr>
          <w:lang w:val="fr-FR"/>
        </w:rPr>
        <w:t>’</w:t>
      </w:r>
      <w:r w:rsidRPr="006E38FF">
        <w:rPr>
          <w:lang w:val="fr-FR"/>
        </w:rPr>
        <w:t xml:space="preserve">OICA). Comme </w:t>
      </w:r>
      <w:r>
        <w:rPr>
          <w:lang w:val="fr-FR"/>
        </w:rPr>
        <w:t xml:space="preserve">la </w:t>
      </w:r>
      <w:r w:rsidRPr="006E38FF">
        <w:rPr>
          <w:lang w:val="fr-FR"/>
        </w:rPr>
        <w:t>valeur d</w:t>
      </w:r>
      <w:r>
        <w:rPr>
          <w:lang w:val="fr-FR"/>
        </w:rPr>
        <w:t>’</w:t>
      </w:r>
      <w:r w:rsidRPr="006E38FF">
        <w:rPr>
          <w:lang w:val="fr-FR"/>
        </w:rPr>
        <w:t xml:space="preserve">intensité lumineuse  </w:t>
      </w:r>
      <w:r>
        <w:rPr>
          <w:lang w:val="fr-FR"/>
        </w:rPr>
        <w:t xml:space="preserve">n’est </w:t>
      </w:r>
      <w:r w:rsidRPr="006E38FF">
        <w:rPr>
          <w:lang w:val="fr-FR"/>
        </w:rPr>
        <w:t>pas mesurée dans le cadre des essais d</w:t>
      </w:r>
      <w:r>
        <w:rPr>
          <w:lang w:val="fr-FR"/>
        </w:rPr>
        <w:t>’</w:t>
      </w:r>
      <w:r w:rsidRPr="006E38FF">
        <w:rPr>
          <w:lang w:val="fr-FR"/>
        </w:rPr>
        <w:t>homologation des feux, la conformité aux prescriptions doit être démontrée à l</w:t>
      </w:r>
      <w:r>
        <w:rPr>
          <w:lang w:val="fr-FR"/>
        </w:rPr>
        <w:t>’</w:t>
      </w:r>
      <w:r w:rsidRPr="006E38FF">
        <w:rPr>
          <w:lang w:val="fr-FR"/>
        </w:rPr>
        <w:t>autorité d</w:t>
      </w:r>
      <w:r>
        <w:rPr>
          <w:lang w:val="fr-FR"/>
        </w:rPr>
        <w:t>’</w:t>
      </w:r>
      <w:r w:rsidRPr="006E38FF">
        <w:rPr>
          <w:lang w:val="fr-FR"/>
        </w:rPr>
        <w:t>homologation de type. Les valeurs d</w:t>
      </w:r>
      <w:r>
        <w:rPr>
          <w:lang w:val="fr-FR"/>
        </w:rPr>
        <w:t>’</w:t>
      </w:r>
      <w:r w:rsidRPr="006E38FF">
        <w:rPr>
          <w:lang w:val="fr-FR"/>
        </w:rPr>
        <w:t xml:space="preserve">intensité lumineuse mesurées doivent être indiquées sur la fiche de communication. </w:t>
      </w:r>
    </w:p>
    <w:p w14:paraId="6EEF8480" w14:textId="310754CC" w:rsidR="00540808" w:rsidRPr="006E38FF" w:rsidRDefault="00ED0640" w:rsidP="00ED0640">
      <w:pPr>
        <w:pStyle w:val="H4G"/>
      </w:pPr>
      <w:r>
        <w:rPr>
          <w:lang w:val="fr-FR"/>
        </w:rPr>
        <w:tab/>
      </w:r>
      <w:r>
        <w:rPr>
          <w:lang w:val="fr-FR"/>
        </w:rPr>
        <w:tab/>
      </w:r>
      <w:r w:rsidR="00540808" w:rsidRPr="006E38FF">
        <w:rPr>
          <w:lang w:val="fr-FR"/>
        </w:rPr>
        <w:t>Paragraphe 6.28.9.5</w:t>
      </w:r>
    </w:p>
    <w:p w14:paraId="75BB09F9" w14:textId="77777777" w:rsidR="00540808" w:rsidRPr="006E38FF" w:rsidRDefault="00540808" w:rsidP="00C767C3">
      <w:pPr>
        <w:pStyle w:val="SingleTxtG"/>
        <w:rPr>
          <w:lang w:val="fr-FR"/>
        </w:rPr>
      </w:pPr>
      <w:r w:rsidRPr="006E38FF">
        <w:rPr>
          <w:lang w:val="fr-FR"/>
        </w:rPr>
        <w:t>31.</w:t>
      </w:r>
      <w:r w:rsidRPr="006E38FF">
        <w:rPr>
          <w:lang w:val="fr-FR"/>
        </w:rPr>
        <w:tab/>
        <w:t>En cas de défaillance concernant le transfert d</w:t>
      </w:r>
      <w:r>
        <w:rPr>
          <w:lang w:val="fr-FR"/>
        </w:rPr>
        <w:t>’</w:t>
      </w:r>
      <w:r w:rsidRPr="006E38FF">
        <w:rPr>
          <w:lang w:val="fr-FR"/>
        </w:rPr>
        <w:t xml:space="preserve">énergie, il est utile  </w:t>
      </w:r>
      <w:r>
        <w:rPr>
          <w:lang w:val="fr-FR"/>
        </w:rPr>
        <w:t>d’</w:t>
      </w:r>
      <w:r w:rsidRPr="006E38FF">
        <w:rPr>
          <w:lang w:val="fr-FR"/>
        </w:rPr>
        <w:t>avertir l</w:t>
      </w:r>
      <w:r>
        <w:rPr>
          <w:lang w:val="fr-FR"/>
        </w:rPr>
        <w:t>’</w:t>
      </w:r>
      <w:r w:rsidRPr="006E38FF">
        <w:rPr>
          <w:lang w:val="fr-FR"/>
        </w:rPr>
        <w:t>utilisateur du véhicule. À cette fin, le témoin peut clignoter en rouge, pour une durée limitée à 10 secondes.</w:t>
      </w:r>
    </w:p>
    <w:p w14:paraId="237A8FD1" w14:textId="2D8B9C7A" w:rsidR="00540808" w:rsidRPr="006E38FF" w:rsidRDefault="007E4796" w:rsidP="007E4796">
      <w:pPr>
        <w:pStyle w:val="H4G"/>
        <w:rPr>
          <w:lang w:val="fr-FR"/>
        </w:rPr>
      </w:pPr>
      <w:r>
        <w:rPr>
          <w:lang w:val="fr-FR"/>
        </w:rPr>
        <w:tab/>
      </w:r>
      <w:r>
        <w:rPr>
          <w:lang w:val="fr-FR"/>
        </w:rPr>
        <w:tab/>
      </w:r>
      <w:r w:rsidR="00540808" w:rsidRPr="006E38FF">
        <w:rPr>
          <w:lang w:val="fr-FR"/>
        </w:rPr>
        <w:t>Mode d</w:t>
      </w:r>
      <w:r w:rsidR="00540808">
        <w:rPr>
          <w:lang w:val="fr-FR"/>
        </w:rPr>
        <w:t>’</w:t>
      </w:r>
      <w:r w:rsidR="00540808" w:rsidRPr="006E38FF">
        <w:rPr>
          <w:lang w:val="fr-FR"/>
        </w:rPr>
        <w:t>essai des dispositifs d</w:t>
      </w:r>
      <w:r w:rsidR="00540808">
        <w:rPr>
          <w:lang w:val="fr-FR"/>
        </w:rPr>
        <w:t>’</w:t>
      </w:r>
      <w:r w:rsidR="00540808" w:rsidRPr="006E38FF">
        <w:rPr>
          <w:lang w:val="fr-FR"/>
        </w:rPr>
        <w:t>éclairage et de signalisation lumineuse (par</w:t>
      </w:r>
      <w:r>
        <w:rPr>
          <w:lang w:val="fr-FR"/>
        </w:rPr>
        <w:t>.</w:t>
      </w:r>
      <w:r w:rsidR="00540808" w:rsidRPr="006E38FF">
        <w:rPr>
          <w:lang w:val="fr-FR"/>
        </w:rPr>
        <w:t xml:space="preserve"> 6.29.2 à 6.29.6) </w:t>
      </w:r>
    </w:p>
    <w:p w14:paraId="2FEC103B" w14:textId="77777777" w:rsidR="00540808" w:rsidRPr="006E38FF" w:rsidRDefault="00540808" w:rsidP="00C767C3">
      <w:pPr>
        <w:pStyle w:val="SingleTxtG"/>
        <w:rPr>
          <w:lang w:val="fr-FR"/>
        </w:rPr>
      </w:pPr>
      <w:r w:rsidRPr="006E38FF">
        <w:rPr>
          <w:lang w:val="fr-FR"/>
        </w:rPr>
        <w:t>32.</w:t>
      </w:r>
      <w:r w:rsidRPr="006E38FF">
        <w:rPr>
          <w:lang w:val="fr-FR"/>
        </w:rPr>
        <w:tab/>
      </w:r>
      <w:r>
        <w:rPr>
          <w:lang w:val="fr-FR"/>
        </w:rPr>
        <w:t>L</w:t>
      </w:r>
      <w:r w:rsidRPr="006E38FF">
        <w:rPr>
          <w:lang w:val="fr-FR"/>
        </w:rPr>
        <w:t xml:space="preserve">a logique est la suivante : si des feux homologués sont utilisés, </w:t>
      </w:r>
      <w:r>
        <w:rPr>
          <w:lang w:val="fr-FR"/>
        </w:rPr>
        <w:t>le</w:t>
      </w:r>
      <w:r w:rsidRPr="006E38FF">
        <w:rPr>
          <w:lang w:val="fr-FR"/>
        </w:rPr>
        <w:t xml:space="preserve"> nombre, </w:t>
      </w:r>
      <w:r>
        <w:rPr>
          <w:lang w:val="fr-FR"/>
        </w:rPr>
        <w:t xml:space="preserve">le </w:t>
      </w:r>
      <w:r w:rsidRPr="006E38FF">
        <w:rPr>
          <w:lang w:val="fr-FR"/>
        </w:rPr>
        <w:t>schéma de montage, l</w:t>
      </w:r>
      <w:r>
        <w:rPr>
          <w:lang w:val="fr-FR"/>
        </w:rPr>
        <w:t>’</w:t>
      </w:r>
      <w:r w:rsidRPr="006E38FF">
        <w:rPr>
          <w:lang w:val="fr-FR"/>
        </w:rPr>
        <w:t>emplacement, la visibilité géométrique et l</w:t>
      </w:r>
      <w:r>
        <w:rPr>
          <w:lang w:val="fr-FR"/>
        </w:rPr>
        <w:t>’</w:t>
      </w:r>
      <w:r w:rsidRPr="006E38FF">
        <w:rPr>
          <w:lang w:val="fr-FR"/>
        </w:rPr>
        <w:t xml:space="preserve">orientation </w:t>
      </w:r>
      <w:r>
        <w:rPr>
          <w:lang w:val="fr-FR"/>
        </w:rPr>
        <w:t xml:space="preserve">doivent être tout au plus conformes aux </w:t>
      </w:r>
      <w:r w:rsidRPr="006E38FF">
        <w:rPr>
          <w:lang w:val="fr-FR"/>
        </w:rPr>
        <w:t xml:space="preserve">spécifications applicables aux feux visés. </w:t>
      </w:r>
    </w:p>
    <w:p w14:paraId="0E376FF8" w14:textId="4B800EBD" w:rsidR="00540808" w:rsidRPr="006E38FF" w:rsidRDefault="007E4796" w:rsidP="007E4796">
      <w:pPr>
        <w:pStyle w:val="H4G"/>
      </w:pPr>
      <w:r>
        <w:rPr>
          <w:lang w:val="fr-FR"/>
        </w:rPr>
        <w:tab/>
      </w:r>
      <w:r>
        <w:rPr>
          <w:lang w:val="fr-FR"/>
        </w:rPr>
        <w:tab/>
      </w:r>
      <w:r w:rsidR="00540808" w:rsidRPr="006E38FF">
        <w:rPr>
          <w:lang w:val="fr-FR"/>
        </w:rPr>
        <w:t>Paragraphe 6.29.7</w:t>
      </w:r>
    </w:p>
    <w:p w14:paraId="7FCF29F9" w14:textId="0392E85C" w:rsidR="00540808" w:rsidRPr="006E38FF" w:rsidRDefault="00540808" w:rsidP="00C767C3">
      <w:pPr>
        <w:pStyle w:val="SingleTxtG"/>
        <w:rPr>
          <w:lang w:val="fr-FR"/>
        </w:rPr>
      </w:pPr>
      <w:r w:rsidRPr="006E38FF">
        <w:rPr>
          <w:lang w:val="fr-FR"/>
        </w:rPr>
        <w:t>33.</w:t>
      </w:r>
      <w:r w:rsidRPr="006E38FF">
        <w:rPr>
          <w:lang w:val="fr-FR"/>
        </w:rPr>
        <w:tab/>
        <w:t>La présente disposition ne s</w:t>
      </w:r>
      <w:r>
        <w:rPr>
          <w:lang w:val="fr-FR"/>
        </w:rPr>
        <w:t>’</w:t>
      </w:r>
      <w:r w:rsidRPr="006E38FF">
        <w:rPr>
          <w:lang w:val="fr-FR"/>
        </w:rPr>
        <w:t>appliquant que lorsque le véhicule est en stationnement, les prescriptions relatives aux branchements électriques concernant l</w:t>
      </w:r>
      <w:r>
        <w:rPr>
          <w:lang w:val="fr-FR"/>
        </w:rPr>
        <w:t>’</w:t>
      </w:r>
      <w:r w:rsidRPr="006E38FF">
        <w:rPr>
          <w:lang w:val="fr-FR"/>
        </w:rPr>
        <w:t xml:space="preserve">allumage </w:t>
      </w:r>
      <w:r>
        <w:rPr>
          <w:lang w:val="fr-FR"/>
        </w:rPr>
        <w:t xml:space="preserve">simultané </w:t>
      </w:r>
      <w:r w:rsidRPr="006E38FF">
        <w:rPr>
          <w:lang w:val="fr-FR"/>
        </w:rPr>
        <w:t>des feux de position avant et arrière, des feux d</w:t>
      </w:r>
      <w:r>
        <w:rPr>
          <w:lang w:val="fr-FR"/>
        </w:rPr>
        <w:t>’</w:t>
      </w:r>
      <w:r w:rsidRPr="006E38FF">
        <w:rPr>
          <w:lang w:val="fr-FR"/>
        </w:rPr>
        <w:t>encombrement (le cas échéant), des feux de position latéraux (le cas échéant) et du dispositif d</w:t>
      </w:r>
      <w:r>
        <w:rPr>
          <w:lang w:val="fr-FR"/>
        </w:rPr>
        <w:t>’</w:t>
      </w:r>
      <w:r w:rsidRPr="006E38FF">
        <w:rPr>
          <w:lang w:val="fr-FR"/>
        </w:rPr>
        <w:t>éclairage de la plaque d</w:t>
      </w:r>
      <w:r>
        <w:rPr>
          <w:lang w:val="fr-FR"/>
        </w:rPr>
        <w:t>’</w:t>
      </w:r>
      <w:r w:rsidRPr="006E38FF">
        <w:rPr>
          <w:lang w:val="fr-FR"/>
        </w:rPr>
        <w:t>immatriculation arrière (par</w:t>
      </w:r>
      <w:r w:rsidR="00394D0F">
        <w:rPr>
          <w:lang w:val="fr-FR"/>
        </w:rPr>
        <w:t>. </w:t>
      </w:r>
      <w:r w:rsidRPr="006E38FF">
        <w:rPr>
          <w:lang w:val="fr-FR"/>
        </w:rPr>
        <w:t>5.11)</w:t>
      </w:r>
      <w:r>
        <w:rPr>
          <w:lang w:val="fr-FR"/>
        </w:rPr>
        <w:t>,</w:t>
      </w:r>
      <w:r w:rsidRPr="006E38FF">
        <w:rPr>
          <w:lang w:val="fr-FR"/>
        </w:rPr>
        <w:t xml:space="preserve"> ainsi que des feux de route et des feux de croisement (par</w:t>
      </w:r>
      <w:r w:rsidR="00394D0F">
        <w:rPr>
          <w:lang w:val="fr-FR"/>
        </w:rPr>
        <w:t>. </w:t>
      </w:r>
      <w:r w:rsidRPr="006E38FF">
        <w:rPr>
          <w:lang w:val="fr-FR"/>
        </w:rPr>
        <w:t>5.12)</w:t>
      </w:r>
      <w:r>
        <w:rPr>
          <w:lang w:val="fr-FR"/>
        </w:rPr>
        <w:t>,</w:t>
      </w:r>
      <w:r w:rsidRPr="006E38FF">
        <w:rPr>
          <w:lang w:val="fr-FR"/>
        </w:rPr>
        <w:t xml:space="preserve"> ne s</w:t>
      </w:r>
      <w:r>
        <w:rPr>
          <w:lang w:val="fr-FR"/>
        </w:rPr>
        <w:t>’</w:t>
      </w:r>
      <w:r w:rsidRPr="006E38FF">
        <w:rPr>
          <w:lang w:val="fr-FR"/>
        </w:rPr>
        <w:t>appliquent pas.</w:t>
      </w:r>
    </w:p>
    <w:p w14:paraId="498A2E17" w14:textId="5B35C662" w:rsidR="00540808" w:rsidRPr="006E38FF" w:rsidRDefault="007E4796" w:rsidP="007E4796">
      <w:pPr>
        <w:pStyle w:val="H4G"/>
      </w:pPr>
      <w:r>
        <w:rPr>
          <w:lang w:val="fr-FR"/>
        </w:rPr>
        <w:tab/>
      </w:r>
      <w:r>
        <w:rPr>
          <w:lang w:val="fr-FR"/>
        </w:rPr>
        <w:tab/>
      </w:r>
      <w:r w:rsidR="00540808" w:rsidRPr="006E38FF">
        <w:rPr>
          <w:lang w:val="fr-FR"/>
        </w:rPr>
        <w:t>Paragraphe 6.29.9.1</w:t>
      </w:r>
    </w:p>
    <w:p w14:paraId="55171347" w14:textId="281920C8" w:rsidR="00540808" w:rsidRPr="006E38FF" w:rsidRDefault="00540808" w:rsidP="00C767C3">
      <w:pPr>
        <w:pStyle w:val="SingleTxtG"/>
        <w:rPr>
          <w:lang w:val="fr-FR"/>
        </w:rPr>
      </w:pPr>
      <w:r w:rsidRPr="006E38FF">
        <w:rPr>
          <w:lang w:val="fr-FR"/>
        </w:rPr>
        <w:t>34.</w:t>
      </w:r>
      <w:r w:rsidRPr="006E38FF">
        <w:rPr>
          <w:lang w:val="fr-FR"/>
        </w:rPr>
        <w:tab/>
        <w:t>Le mode d</w:t>
      </w:r>
      <w:r>
        <w:rPr>
          <w:lang w:val="fr-FR"/>
        </w:rPr>
        <w:t>’</w:t>
      </w:r>
      <w:r w:rsidRPr="006E38FF">
        <w:rPr>
          <w:lang w:val="fr-FR"/>
        </w:rPr>
        <w:t>essai des dispositifs d</w:t>
      </w:r>
      <w:r>
        <w:rPr>
          <w:lang w:val="fr-FR"/>
        </w:rPr>
        <w:t>’</w:t>
      </w:r>
      <w:r w:rsidRPr="006E38FF">
        <w:rPr>
          <w:lang w:val="fr-FR"/>
        </w:rPr>
        <w:t>éclairage et de signalisation lumineuse peut être activé manuellement ou automatiquement. L</w:t>
      </w:r>
      <w:r>
        <w:rPr>
          <w:lang w:val="fr-FR"/>
        </w:rPr>
        <w:t>’</w:t>
      </w:r>
      <w:r w:rsidRPr="006E38FF">
        <w:rPr>
          <w:lang w:val="fr-FR"/>
        </w:rPr>
        <w:t>ajout d</w:t>
      </w:r>
      <w:r>
        <w:rPr>
          <w:lang w:val="fr-FR"/>
        </w:rPr>
        <w:t>’</w:t>
      </w:r>
      <w:r w:rsidRPr="006E38FF">
        <w:rPr>
          <w:lang w:val="fr-FR"/>
        </w:rPr>
        <w:t>un tel mode d</w:t>
      </w:r>
      <w:r>
        <w:rPr>
          <w:lang w:val="fr-FR"/>
        </w:rPr>
        <w:t>’</w:t>
      </w:r>
      <w:r w:rsidRPr="006E38FF">
        <w:rPr>
          <w:lang w:val="fr-FR"/>
        </w:rPr>
        <w:t>essai est d</w:t>
      </w:r>
      <w:r>
        <w:rPr>
          <w:lang w:val="fr-FR"/>
        </w:rPr>
        <w:t>’</w:t>
      </w:r>
      <w:r w:rsidRPr="006E38FF">
        <w:rPr>
          <w:lang w:val="fr-FR"/>
        </w:rPr>
        <w:t>une importance cruciale, en particulier pour les conducteurs de véhicules utilitaires. Au</w:t>
      </w:r>
      <w:r w:rsidR="007E72F0">
        <w:rPr>
          <w:lang w:val="fr-FR"/>
        </w:rPr>
        <w:t> </w:t>
      </w:r>
      <w:r w:rsidRPr="006E38FF">
        <w:rPr>
          <w:lang w:val="fr-FR"/>
        </w:rPr>
        <w:t>Royaume-Uni de Grande-Bretagne et d</w:t>
      </w:r>
      <w:r>
        <w:rPr>
          <w:lang w:val="fr-FR"/>
        </w:rPr>
        <w:t>’</w:t>
      </w:r>
      <w:r w:rsidRPr="006E38FF">
        <w:rPr>
          <w:lang w:val="fr-FR"/>
        </w:rPr>
        <w:t xml:space="preserve">Irlande du Nord, </w:t>
      </w:r>
      <w:r>
        <w:rPr>
          <w:lang w:val="fr-FR"/>
        </w:rPr>
        <w:t>les</w:t>
      </w:r>
      <w:r w:rsidRPr="006E38FF">
        <w:rPr>
          <w:lang w:val="fr-FR"/>
        </w:rPr>
        <w:t xml:space="preserve"> chauffeurs de poids lourds </w:t>
      </w:r>
      <w:r>
        <w:rPr>
          <w:lang w:val="fr-FR"/>
        </w:rPr>
        <w:t xml:space="preserve">ont la responsabilité </w:t>
      </w:r>
      <w:r w:rsidRPr="006E38FF">
        <w:rPr>
          <w:lang w:val="fr-FR"/>
        </w:rPr>
        <w:t xml:space="preserve">de contrôler que leur véhicule est en état de circuler en sécurité. Pour ce faire, ils doivent chaque jour faire un tour du véhicule avant de prendre la route. Voici un extrait de la procédure </w:t>
      </w:r>
      <w:r>
        <w:rPr>
          <w:lang w:val="fr-FR"/>
        </w:rPr>
        <w:t xml:space="preserve">d’inspection </w:t>
      </w:r>
      <w:r w:rsidRPr="006E38FF">
        <w:rPr>
          <w:lang w:val="fr-FR"/>
        </w:rPr>
        <w:t>des poids lourds au Royaume-Uni</w:t>
      </w:r>
      <w:r w:rsidRPr="00203856">
        <w:rPr>
          <w:rStyle w:val="Appelnotedebasdep"/>
        </w:rPr>
        <w:footnoteReference w:id="3"/>
      </w:r>
      <w:r w:rsidRPr="006E38FF">
        <w:rPr>
          <w:lang w:val="fr-FR"/>
        </w:rPr>
        <w:t> :</w:t>
      </w:r>
    </w:p>
    <w:p w14:paraId="714B6C59" w14:textId="77777777" w:rsidR="00540808" w:rsidRPr="007E4796" w:rsidRDefault="00540808" w:rsidP="007E4796">
      <w:pPr>
        <w:pStyle w:val="SingleTxtG"/>
        <w:ind w:left="1701"/>
        <w:rPr>
          <w:i/>
          <w:iCs/>
          <w:lang w:val="fr-FR"/>
        </w:rPr>
      </w:pPr>
      <w:r w:rsidRPr="00443987">
        <w:rPr>
          <w:lang w:val="fr-FR"/>
        </w:rPr>
        <w:t>«</w:t>
      </w:r>
      <w:r w:rsidRPr="007E4796">
        <w:rPr>
          <w:i/>
          <w:iCs/>
          <w:lang w:val="fr-FR"/>
        </w:rPr>
        <w:t> Il vous incombe de vérifier que votre véhicule est en état de circuler en sécurité.</w:t>
      </w:r>
    </w:p>
    <w:p w14:paraId="75887F33" w14:textId="77777777" w:rsidR="00540808" w:rsidRPr="007E4796" w:rsidRDefault="00540808" w:rsidP="007E4796">
      <w:pPr>
        <w:pStyle w:val="SingleTxtG"/>
        <w:ind w:left="1701"/>
        <w:rPr>
          <w:i/>
          <w:iCs/>
          <w:lang w:val="fr-FR"/>
        </w:rPr>
      </w:pPr>
      <w:r w:rsidRPr="007E4796">
        <w:rPr>
          <w:i/>
          <w:iCs/>
          <w:lang w:val="fr-FR"/>
        </w:rPr>
        <w:t>Faites un tour du véhicule avant votre trajet pour vous assurer que tout fonctionne correctement. Signalez toute défaillance par écrit à la personne chargée de s’en occuper dans votre entreprise.</w:t>
      </w:r>
    </w:p>
    <w:p w14:paraId="1084C4E3" w14:textId="24EC79DC" w:rsidR="00540808" w:rsidRPr="007E4796" w:rsidRDefault="00540808" w:rsidP="007E4796">
      <w:pPr>
        <w:pStyle w:val="SingleTxtG"/>
        <w:ind w:left="1701"/>
        <w:rPr>
          <w:i/>
          <w:iCs/>
          <w:lang w:val="fr-FR"/>
        </w:rPr>
      </w:pPr>
      <w:r w:rsidRPr="007E4796">
        <w:rPr>
          <w:i/>
          <w:iCs/>
          <w:lang w:val="fr-FR"/>
        </w:rPr>
        <w:t xml:space="preserve">Les agents de police et de la DVSA (Driver and </w:t>
      </w:r>
      <w:proofErr w:type="spellStart"/>
      <w:r w:rsidRPr="007E4796">
        <w:rPr>
          <w:i/>
          <w:iCs/>
          <w:lang w:val="fr-FR"/>
        </w:rPr>
        <w:t>Vehicle</w:t>
      </w:r>
      <w:proofErr w:type="spellEnd"/>
      <w:r w:rsidRPr="007E4796">
        <w:rPr>
          <w:i/>
          <w:iCs/>
          <w:lang w:val="fr-FR"/>
        </w:rPr>
        <w:t xml:space="preserve"> Standards Agency)</w:t>
      </w:r>
      <w:r w:rsidR="002E7C42">
        <w:rPr>
          <w:i/>
          <w:iCs/>
          <w:lang w:val="fr-FR"/>
        </w:rPr>
        <w:t xml:space="preserve"> </w:t>
      </w:r>
      <w:r w:rsidRPr="007E4796">
        <w:rPr>
          <w:i/>
          <w:iCs/>
          <w:lang w:val="fr-FR"/>
        </w:rPr>
        <w:t>peuvent vous arrêter pour contrôler votre véhicule.</w:t>
      </w:r>
    </w:p>
    <w:p w14:paraId="5081E798" w14:textId="77777777" w:rsidR="00540808" w:rsidRPr="00203856" w:rsidRDefault="00540808" w:rsidP="007E4796">
      <w:pPr>
        <w:pStyle w:val="SingleTxtG"/>
        <w:ind w:left="1701"/>
        <w:rPr>
          <w:b/>
          <w:bCs/>
          <w:i/>
          <w:iCs/>
          <w:lang w:val="fr-FR"/>
        </w:rPr>
      </w:pPr>
      <w:r w:rsidRPr="00203856">
        <w:rPr>
          <w:b/>
          <w:bCs/>
          <w:i/>
          <w:iCs/>
          <w:lang w:val="fr-FR"/>
        </w:rPr>
        <w:t>10.</w:t>
      </w:r>
      <w:r w:rsidRPr="00203D7D">
        <w:rPr>
          <w:lang w:val="fr-FR"/>
        </w:rPr>
        <w:t xml:space="preserve"> </w:t>
      </w:r>
      <w:r w:rsidRPr="00203D7D">
        <w:rPr>
          <w:lang w:val="fr-FR"/>
        </w:rPr>
        <w:tab/>
      </w:r>
      <w:r w:rsidRPr="00203856">
        <w:rPr>
          <w:b/>
          <w:bCs/>
          <w:i/>
          <w:iCs/>
          <w:lang w:val="fr-FR"/>
        </w:rPr>
        <w:t>Dispositifs d</w:t>
      </w:r>
      <w:r>
        <w:rPr>
          <w:b/>
          <w:bCs/>
          <w:i/>
          <w:iCs/>
          <w:lang w:val="fr-FR"/>
        </w:rPr>
        <w:t>’</w:t>
      </w:r>
      <w:r w:rsidRPr="00203856">
        <w:rPr>
          <w:b/>
          <w:bCs/>
          <w:i/>
          <w:iCs/>
          <w:lang w:val="fr-FR"/>
        </w:rPr>
        <w:t>éclairage et de signalisation lumineuse</w:t>
      </w:r>
    </w:p>
    <w:p w14:paraId="229E95BA" w14:textId="77777777" w:rsidR="00540808" w:rsidRPr="006E38FF" w:rsidRDefault="00540808" w:rsidP="007E4796">
      <w:pPr>
        <w:pStyle w:val="SingleTxtG"/>
        <w:ind w:left="1701"/>
        <w:rPr>
          <w:i/>
          <w:iCs/>
        </w:rPr>
      </w:pPr>
      <w:r w:rsidRPr="006E38FF">
        <w:rPr>
          <w:i/>
          <w:iCs/>
          <w:lang w:val="fr-FR"/>
        </w:rPr>
        <w:t>Vérifiez que :</w:t>
      </w:r>
    </w:p>
    <w:p w14:paraId="38E2BC70" w14:textId="23281F92" w:rsidR="00540808" w:rsidRPr="00145AAF" w:rsidRDefault="007E4796" w:rsidP="00067A8B">
      <w:pPr>
        <w:pStyle w:val="Bullet2G"/>
        <w:rPr>
          <w:i/>
          <w:iCs/>
          <w:lang w:val="fr-FR"/>
        </w:rPr>
      </w:pPr>
      <w:r w:rsidRPr="00145AAF">
        <w:rPr>
          <w:i/>
          <w:iCs/>
        </w:rPr>
        <w:t>T</w:t>
      </w:r>
      <w:proofErr w:type="spellStart"/>
      <w:r w:rsidR="00540808" w:rsidRPr="00145AAF">
        <w:rPr>
          <w:i/>
          <w:iCs/>
          <w:lang w:val="fr-FR"/>
        </w:rPr>
        <w:t>ous</w:t>
      </w:r>
      <w:proofErr w:type="spellEnd"/>
      <w:r w:rsidR="00540808" w:rsidRPr="00145AAF">
        <w:rPr>
          <w:i/>
          <w:iCs/>
          <w:lang w:val="fr-FR"/>
        </w:rPr>
        <w:t xml:space="preserve"> les feux et dispositifs de signalisation fonctionnent correctement ;</w:t>
      </w:r>
    </w:p>
    <w:p w14:paraId="6D63F38B" w14:textId="6DA6A4AA" w:rsidR="00540808" w:rsidRPr="00145AAF" w:rsidRDefault="00145AAF" w:rsidP="00067A8B">
      <w:pPr>
        <w:pStyle w:val="Bullet2G"/>
        <w:rPr>
          <w:i/>
          <w:iCs/>
        </w:rPr>
      </w:pPr>
      <w:r>
        <w:rPr>
          <w:i/>
          <w:iCs/>
        </w:rPr>
        <w:lastRenderedPageBreak/>
        <w:t>T</w:t>
      </w:r>
      <w:r w:rsidR="00540808" w:rsidRPr="00145AAF">
        <w:rPr>
          <w:i/>
          <w:iCs/>
        </w:rPr>
        <w:t>outes les glaces sont montées, propres et de la bonne couleur ;</w:t>
      </w:r>
    </w:p>
    <w:p w14:paraId="2E831A0D" w14:textId="2F181F33" w:rsidR="00540808" w:rsidRPr="00145AAF" w:rsidRDefault="00145AAF" w:rsidP="00067A8B">
      <w:pPr>
        <w:pStyle w:val="Bullet2G"/>
        <w:rPr>
          <w:i/>
          <w:iCs/>
        </w:rPr>
      </w:pPr>
      <w:r>
        <w:rPr>
          <w:i/>
          <w:iCs/>
        </w:rPr>
        <w:t>L</w:t>
      </w:r>
      <w:r w:rsidR="00540808" w:rsidRPr="00145AAF">
        <w:rPr>
          <w:i/>
          <w:iCs/>
        </w:rPr>
        <w:t xml:space="preserve">es feux-stop s’allument lorsque vous actionnez la commande du frein de service et s’éteignent lorsque vous la relâchez ; </w:t>
      </w:r>
    </w:p>
    <w:p w14:paraId="768B369E" w14:textId="2023BA2D" w:rsidR="00540808" w:rsidRPr="00145AAF" w:rsidRDefault="00145AAF" w:rsidP="00067A8B">
      <w:pPr>
        <w:pStyle w:val="Bullet2G"/>
        <w:rPr>
          <w:i/>
          <w:iCs/>
        </w:rPr>
      </w:pPr>
      <w:r>
        <w:rPr>
          <w:i/>
          <w:iCs/>
        </w:rPr>
        <w:t>L</w:t>
      </w:r>
      <w:r w:rsidR="00540808" w:rsidRPr="00145AAF">
        <w:rPr>
          <w:i/>
          <w:iCs/>
        </w:rPr>
        <w:t>es feux d’encombrement sont montés et fonctionnent. </w:t>
      </w:r>
      <w:r w:rsidR="00540808" w:rsidRPr="00443987">
        <w:t>»</w:t>
      </w:r>
      <w:r w:rsidR="00443987">
        <w:t>.</w:t>
      </w:r>
    </w:p>
    <w:p w14:paraId="55BB39B1" w14:textId="549CED6A" w:rsidR="00540808" w:rsidRPr="006E38FF" w:rsidRDefault="00540808" w:rsidP="00443987">
      <w:pPr>
        <w:pStyle w:val="SingleTxtG"/>
        <w:rPr>
          <w:lang w:val="fr-FR"/>
        </w:rPr>
      </w:pPr>
      <w:r w:rsidRPr="006E38FF">
        <w:rPr>
          <w:lang w:val="fr-FR"/>
        </w:rPr>
        <w:t>35.</w:t>
      </w:r>
      <w:r w:rsidRPr="006E38FF">
        <w:rPr>
          <w:lang w:val="fr-FR"/>
        </w:rPr>
        <w:tab/>
      </w:r>
      <w:r>
        <w:rPr>
          <w:lang w:val="fr-FR"/>
        </w:rPr>
        <w:t>Aujourd’hui</w:t>
      </w:r>
      <w:r w:rsidRPr="006E38FF">
        <w:rPr>
          <w:lang w:val="fr-FR"/>
        </w:rPr>
        <w:t>, l</w:t>
      </w:r>
      <w:r>
        <w:rPr>
          <w:lang w:val="fr-FR"/>
        </w:rPr>
        <w:t>’</w:t>
      </w:r>
      <w:r w:rsidRPr="006E38FF">
        <w:rPr>
          <w:lang w:val="fr-FR"/>
        </w:rPr>
        <w:t>activation manuelle de la fonction se fait généralement au moyen d</w:t>
      </w:r>
      <w:r>
        <w:rPr>
          <w:lang w:val="fr-FR"/>
        </w:rPr>
        <w:t>’</w:t>
      </w:r>
      <w:r w:rsidRPr="006E38FF">
        <w:rPr>
          <w:lang w:val="fr-FR"/>
        </w:rPr>
        <w:t>un bouton sur la cl</w:t>
      </w:r>
      <w:r w:rsidR="00707EB9">
        <w:rPr>
          <w:lang w:val="fr-FR"/>
        </w:rPr>
        <w:t>ef</w:t>
      </w:r>
      <w:r w:rsidRPr="006E38FF">
        <w:rPr>
          <w:lang w:val="fr-FR"/>
        </w:rPr>
        <w:t xml:space="preserve"> électronique, mais les constructeurs de véhicules pourraient </w:t>
      </w:r>
      <w:r>
        <w:rPr>
          <w:lang w:val="fr-FR"/>
        </w:rPr>
        <w:t>mettre au point</w:t>
      </w:r>
      <w:r w:rsidRPr="006E38FF">
        <w:rPr>
          <w:lang w:val="fr-FR"/>
        </w:rPr>
        <w:t xml:space="preserve"> d</w:t>
      </w:r>
      <w:r>
        <w:rPr>
          <w:lang w:val="fr-FR"/>
        </w:rPr>
        <w:t>’</w:t>
      </w:r>
      <w:r w:rsidRPr="006E38FF">
        <w:rPr>
          <w:lang w:val="fr-FR"/>
        </w:rPr>
        <w:t>autres solutions. Il est proposé que le mode d</w:t>
      </w:r>
      <w:r>
        <w:rPr>
          <w:lang w:val="fr-FR"/>
        </w:rPr>
        <w:t>’</w:t>
      </w:r>
      <w:r w:rsidRPr="006E38FF">
        <w:rPr>
          <w:lang w:val="fr-FR"/>
        </w:rPr>
        <w:t>essai puisse s</w:t>
      </w:r>
      <w:r>
        <w:rPr>
          <w:lang w:val="fr-FR"/>
        </w:rPr>
        <w:t>’</w:t>
      </w:r>
      <w:r w:rsidRPr="006E38FF">
        <w:rPr>
          <w:lang w:val="fr-FR"/>
        </w:rPr>
        <w:t>activer automatiquement lorsqu</w:t>
      </w:r>
      <w:r>
        <w:rPr>
          <w:lang w:val="fr-FR"/>
        </w:rPr>
        <w:t>’</w:t>
      </w:r>
      <w:r w:rsidRPr="006E38FF">
        <w:rPr>
          <w:lang w:val="fr-FR"/>
        </w:rPr>
        <w:t>une cl</w:t>
      </w:r>
      <w:r>
        <w:rPr>
          <w:lang w:val="fr-FR"/>
        </w:rPr>
        <w:t>ef</w:t>
      </w:r>
      <w:r w:rsidRPr="006E38FF">
        <w:rPr>
          <w:lang w:val="fr-FR"/>
        </w:rPr>
        <w:t xml:space="preserve"> est détectée et que le véhicule se trouve à l</w:t>
      </w:r>
      <w:r>
        <w:rPr>
          <w:lang w:val="fr-FR"/>
        </w:rPr>
        <w:t>’</w:t>
      </w:r>
      <w:r w:rsidRPr="006E38FF">
        <w:rPr>
          <w:lang w:val="fr-FR"/>
        </w:rPr>
        <w:t>intérieur d</w:t>
      </w:r>
      <w:r>
        <w:rPr>
          <w:lang w:val="fr-FR"/>
        </w:rPr>
        <w:t>’</w:t>
      </w:r>
      <w:r w:rsidRPr="006E38FF">
        <w:rPr>
          <w:lang w:val="fr-FR"/>
        </w:rPr>
        <w:t>un périmètre délimité par géorepérage, par exemple dans un dépôt, ou dans des conditions semblables telles qu</w:t>
      </w:r>
      <w:r>
        <w:rPr>
          <w:lang w:val="fr-FR"/>
        </w:rPr>
        <w:t>’</w:t>
      </w:r>
      <w:r w:rsidRPr="006E38FF">
        <w:rPr>
          <w:lang w:val="fr-FR"/>
        </w:rPr>
        <w:t xml:space="preserve">indiquées par le constructeur et approuvées par le service technique. </w:t>
      </w:r>
    </w:p>
    <w:p w14:paraId="0AA12388" w14:textId="42D06931" w:rsidR="00540808" w:rsidRPr="00443987" w:rsidRDefault="00B72F53" w:rsidP="00B72F53">
      <w:pPr>
        <w:pStyle w:val="H4G"/>
      </w:pPr>
      <w:r>
        <w:rPr>
          <w:lang w:val="fr-FR"/>
        </w:rPr>
        <w:tab/>
      </w:r>
      <w:r>
        <w:rPr>
          <w:lang w:val="fr-FR"/>
        </w:rPr>
        <w:tab/>
      </w:r>
      <w:r w:rsidR="00540808" w:rsidRPr="00443987">
        <w:rPr>
          <w:lang w:val="fr-FR"/>
        </w:rPr>
        <w:t>Paragraphe 6.29.9.2</w:t>
      </w:r>
    </w:p>
    <w:p w14:paraId="62DCBEEB" w14:textId="77777777" w:rsidR="00540808" w:rsidRPr="006E38FF" w:rsidRDefault="00540808" w:rsidP="00C767C3">
      <w:pPr>
        <w:pStyle w:val="SingleTxtG"/>
        <w:rPr>
          <w:lang w:val="fr-FR"/>
        </w:rPr>
      </w:pPr>
      <w:r w:rsidRPr="006E38FF">
        <w:rPr>
          <w:lang w:val="fr-FR"/>
        </w:rPr>
        <w:t>36.</w:t>
      </w:r>
      <w:r w:rsidRPr="006E38FF">
        <w:rPr>
          <w:lang w:val="fr-FR"/>
        </w:rPr>
        <w:tab/>
        <w:t xml:space="preserve">Pour éviter </w:t>
      </w:r>
      <w:r>
        <w:rPr>
          <w:lang w:val="fr-FR"/>
        </w:rPr>
        <w:t>de perturber d’autres usagers de la route par</w:t>
      </w:r>
      <w:r w:rsidRPr="006E38FF">
        <w:rPr>
          <w:lang w:val="fr-FR"/>
        </w:rPr>
        <w:t xml:space="preserve"> </w:t>
      </w:r>
      <w:r>
        <w:rPr>
          <w:lang w:val="fr-FR"/>
        </w:rPr>
        <w:t xml:space="preserve">des </w:t>
      </w:r>
      <w:r w:rsidRPr="006E38FF">
        <w:rPr>
          <w:lang w:val="fr-FR"/>
        </w:rPr>
        <w:t xml:space="preserve">clignotements excessifs, </w:t>
      </w:r>
      <w:r>
        <w:rPr>
          <w:lang w:val="fr-FR"/>
        </w:rPr>
        <w:t xml:space="preserve">il est prescrit que </w:t>
      </w:r>
      <w:r w:rsidRPr="006E38FF">
        <w:rPr>
          <w:lang w:val="fr-FR"/>
        </w:rPr>
        <w:t>chaque feu ou fonction activé doit rester allumé pendant au moins 0,5 seconde. Il est également prescrit que les fonctions soient activées une par une, afin que le mode d</w:t>
      </w:r>
      <w:r>
        <w:rPr>
          <w:lang w:val="fr-FR"/>
        </w:rPr>
        <w:t>’</w:t>
      </w:r>
      <w:r w:rsidRPr="006E38FF">
        <w:rPr>
          <w:lang w:val="fr-FR"/>
        </w:rPr>
        <w:t>essai des dispositifs d</w:t>
      </w:r>
      <w:r>
        <w:rPr>
          <w:lang w:val="fr-FR"/>
        </w:rPr>
        <w:t>’</w:t>
      </w:r>
      <w:r w:rsidRPr="006E38FF">
        <w:rPr>
          <w:lang w:val="fr-FR"/>
        </w:rPr>
        <w:t xml:space="preserve">éclairage et de signalisation lumineuse ne perturbe pas les autres usagers, ce qui serait le cas si plus de feux que nécessaire étaient allumés en même temps. </w:t>
      </w:r>
    </w:p>
    <w:p w14:paraId="49952526" w14:textId="1BE877BE" w:rsidR="00540808" w:rsidRPr="00443987" w:rsidRDefault="00B72F53" w:rsidP="00B72F53">
      <w:pPr>
        <w:pStyle w:val="H4G"/>
      </w:pPr>
      <w:r>
        <w:rPr>
          <w:lang w:val="fr-FR"/>
        </w:rPr>
        <w:tab/>
      </w:r>
      <w:r>
        <w:rPr>
          <w:lang w:val="fr-FR"/>
        </w:rPr>
        <w:tab/>
      </w:r>
      <w:r w:rsidR="00540808" w:rsidRPr="00443987">
        <w:rPr>
          <w:lang w:val="fr-FR"/>
        </w:rPr>
        <w:t>Paragraphe 6.29.9.3</w:t>
      </w:r>
    </w:p>
    <w:p w14:paraId="79BEEC3B" w14:textId="70162D56" w:rsidR="00540808" w:rsidRPr="006E38FF" w:rsidRDefault="00540808" w:rsidP="00C767C3">
      <w:pPr>
        <w:pStyle w:val="SingleTxtG"/>
        <w:rPr>
          <w:lang w:val="fr-FR"/>
        </w:rPr>
      </w:pPr>
      <w:r w:rsidRPr="006E38FF">
        <w:rPr>
          <w:lang w:val="fr-FR"/>
        </w:rPr>
        <w:t>37.</w:t>
      </w:r>
      <w:r w:rsidRPr="006E38FF">
        <w:rPr>
          <w:lang w:val="fr-FR"/>
        </w:rPr>
        <w:tab/>
        <w:t>Le mode d</w:t>
      </w:r>
      <w:r>
        <w:rPr>
          <w:lang w:val="fr-FR"/>
        </w:rPr>
        <w:t>’</w:t>
      </w:r>
      <w:r w:rsidRPr="006E38FF">
        <w:rPr>
          <w:lang w:val="fr-FR"/>
        </w:rPr>
        <w:t>essai des dispositifs d</w:t>
      </w:r>
      <w:r>
        <w:rPr>
          <w:lang w:val="fr-FR"/>
        </w:rPr>
        <w:t>’</w:t>
      </w:r>
      <w:r w:rsidRPr="006E38FF">
        <w:rPr>
          <w:lang w:val="fr-FR"/>
        </w:rPr>
        <w:t>éclairage et de signalisation lumineuse consiste en un cycle d</w:t>
      </w:r>
      <w:r>
        <w:rPr>
          <w:lang w:val="fr-FR"/>
        </w:rPr>
        <w:t>’</w:t>
      </w:r>
      <w:r w:rsidRPr="006E38FF">
        <w:rPr>
          <w:lang w:val="fr-FR"/>
        </w:rPr>
        <w:t>allumage et d</w:t>
      </w:r>
      <w:r>
        <w:rPr>
          <w:lang w:val="fr-FR"/>
        </w:rPr>
        <w:t>’</w:t>
      </w:r>
      <w:r w:rsidRPr="006E38FF">
        <w:rPr>
          <w:lang w:val="fr-FR"/>
        </w:rPr>
        <w:t>extinction de chaque fonction pendant que l</w:t>
      </w:r>
      <w:r>
        <w:rPr>
          <w:lang w:val="fr-FR"/>
        </w:rPr>
        <w:t>’</w:t>
      </w:r>
      <w:r w:rsidRPr="006E38FF">
        <w:rPr>
          <w:lang w:val="fr-FR"/>
        </w:rPr>
        <w:t xml:space="preserve">utilisateur </w:t>
      </w:r>
      <w:r>
        <w:rPr>
          <w:lang w:val="fr-FR"/>
        </w:rPr>
        <w:t xml:space="preserve">procède à l’inspection </w:t>
      </w:r>
      <w:r w:rsidRPr="006E38FF">
        <w:rPr>
          <w:lang w:val="fr-FR"/>
        </w:rPr>
        <w:t>de son véhicule.</w:t>
      </w:r>
      <w:r>
        <w:rPr>
          <w:lang w:val="fr-FR"/>
        </w:rPr>
        <w:t xml:space="preserve"> </w:t>
      </w:r>
      <w:r w:rsidRPr="006E38FF">
        <w:rPr>
          <w:lang w:val="fr-FR"/>
        </w:rPr>
        <w:t>Le groupe d</w:t>
      </w:r>
      <w:r>
        <w:rPr>
          <w:lang w:val="fr-FR"/>
        </w:rPr>
        <w:t>’</w:t>
      </w:r>
      <w:r w:rsidRPr="006E38FF">
        <w:rPr>
          <w:lang w:val="fr-FR"/>
        </w:rPr>
        <w:t xml:space="preserve">intérêt spécial estime que </w:t>
      </w:r>
      <w:r w:rsidR="00B8296C">
        <w:rPr>
          <w:lang w:val="fr-FR"/>
        </w:rPr>
        <w:t>3 </w:t>
      </w:r>
      <w:r w:rsidRPr="006E38FF">
        <w:rPr>
          <w:lang w:val="fr-FR"/>
        </w:rPr>
        <w:t>minutes suffisent pour que l</w:t>
      </w:r>
      <w:r>
        <w:rPr>
          <w:lang w:val="fr-FR"/>
        </w:rPr>
        <w:t>’</w:t>
      </w:r>
      <w:r w:rsidRPr="006E38FF">
        <w:rPr>
          <w:lang w:val="fr-FR"/>
        </w:rPr>
        <w:t>utilisateur fasse tout le tour d</w:t>
      </w:r>
      <w:r>
        <w:rPr>
          <w:lang w:val="fr-FR"/>
        </w:rPr>
        <w:t>’</w:t>
      </w:r>
      <w:r w:rsidRPr="006E38FF">
        <w:rPr>
          <w:lang w:val="fr-FR"/>
        </w:rPr>
        <w:t>un poids lourd long. Si l</w:t>
      </w:r>
      <w:r>
        <w:rPr>
          <w:lang w:val="fr-FR"/>
        </w:rPr>
        <w:t>’</w:t>
      </w:r>
      <w:r w:rsidRPr="006E38FF">
        <w:rPr>
          <w:lang w:val="fr-FR"/>
        </w:rPr>
        <w:t>utilisateur du véhicule a besoin de plus de temps, il peut relancer manuellement la séquence du mode d</w:t>
      </w:r>
      <w:r>
        <w:rPr>
          <w:lang w:val="fr-FR"/>
        </w:rPr>
        <w:t>’</w:t>
      </w:r>
      <w:r w:rsidRPr="006E38FF">
        <w:rPr>
          <w:lang w:val="fr-FR"/>
        </w:rPr>
        <w:t>essai. Le mode d</w:t>
      </w:r>
      <w:r>
        <w:rPr>
          <w:lang w:val="fr-FR"/>
        </w:rPr>
        <w:t>’</w:t>
      </w:r>
      <w:r w:rsidRPr="006E38FF">
        <w:rPr>
          <w:lang w:val="fr-FR"/>
        </w:rPr>
        <w:t>essai doit toujours se désactiver automatiquement lorsque le véhicule fonctionne dans les conditions normales d</w:t>
      </w:r>
      <w:r>
        <w:rPr>
          <w:lang w:val="fr-FR"/>
        </w:rPr>
        <w:t>’</w:t>
      </w:r>
      <w:r w:rsidRPr="006E38FF">
        <w:rPr>
          <w:lang w:val="fr-FR"/>
        </w:rPr>
        <w:t>utilisation.</w:t>
      </w:r>
    </w:p>
    <w:p w14:paraId="2C7993F0" w14:textId="6A72EED9" w:rsidR="00540808" w:rsidRPr="006E38FF" w:rsidRDefault="00B72F53" w:rsidP="00B72F53">
      <w:pPr>
        <w:pStyle w:val="H4G"/>
      </w:pPr>
      <w:r>
        <w:rPr>
          <w:lang w:val="fr-FR"/>
        </w:rPr>
        <w:tab/>
      </w:r>
      <w:r>
        <w:rPr>
          <w:lang w:val="fr-FR"/>
        </w:rPr>
        <w:tab/>
      </w:r>
      <w:r w:rsidR="00540808" w:rsidRPr="006E38FF">
        <w:rPr>
          <w:lang w:val="fr-FR"/>
        </w:rPr>
        <w:t>Paragraphe 6.29.9.4</w:t>
      </w:r>
    </w:p>
    <w:p w14:paraId="4F2D2572" w14:textId="1DD6339B" w:rsidR="00540808" w:rsidRPr="006E38FF" w:rsidRDefault="00540808" w:rsidP="00C767C3">
      <w:pPr>
        <w:pStyle w:val="SingleTxtG"/>
        <w:rPr>
          <w:lang w:val="fr-FR"/>
        </w:rPr>
      </w:pPr>
      <w:r w:rsidRPr="006E38FF">
        <w:rPr>
          <w:lang w:val="fr-FR"/>
        </w:rPr>
        <w:t>38.</w:t>
      </w:r>
      <w:r w:rsidRPr="006E38FF">
        <w:rPr>
          <w:lang w:val="fr-FR"/>
        </w:rPr>
        <w:tab/>
        <w:t xml:space="preserve">Il est prescrit que </w:t>
      </w:r>
      <w:r>
        <w:rPr>
          <w:lang w:val="fr-FR"/>
        </w:rPr>
        <w:t xml:space="preserve">le </w:t>
      </w:r>
      <w:r w:rsidRPr="006E38FF">
        <w:rPr>
          <w:lang w:val="fr-FR"/>
        </w:rPr>
        <w:t>mode d</w:t>
      </w:r>
      <w:r>
        <w:rPr>
          <w:lang w:val="fr-FR"/>
        </w:rPr>
        <w:t>’</w:t>
      </w:r>
      <w:r w:rsidRPr="006E38FF">
        <w:rPr>
          <w:lang w:val="fr-FR"/>
        </w:rPr>
        <w:t xml:space="preserve">essai </w:t>
      </w:r>
      <w:r>
        <w:rPr>
          <w:lang w:val="fr-FR"/>
        </w:rPr>
        <w:t xml:space="preserve">s’applique avec des </w:t>
      </w:r>
      <w:r w:rsidRPr="006E38FF">
        <w:rPr>
          <w:lang w:val="fr-FR"/>
        </w:rPr>
        <w:t>dispositifs d</w:t>
      </w:r>
      <w:r>
        <w:rPr>
          <w:lang w:val="fr-FR"/>
        </w:rPr>
        <w:t>’</w:t>
      </w:r>
      <w:r w:rsidRPr="006E38FF">
        <w:rPr>
          <w:lang w:val="fr-FR"/>
        </w:rPr>
        <w:t xml:space="preserve">éclairage et de signalisation lumineuse et </w:t>
      </w:r>
      <w:r>
        <w:rPr>
          <w:lang w:val="fr-FR"/>
        </w:rPr>
        <w:t xml:space="preserve">des </w:t>
      </w:r>
      <w:r w:rsidRPr="006E38FF">
        <w:rPr>
          <w:lang w:val="fr-FR"/>
        </w:rPr>
        <w:t>feux de courtoisie extérieurs</w:t>
      </w:r>
      <w:r w:rsidRPr="00E01528">
        <w:rPr>
          <w:lang w:val="fr-FR"/>
        </w:rPr>
        <w:t xml:space="preserve"> </w:t>
      </w:r>
      <w:r w:rsidRPr="006E38FF">
        <w:rPr>
          <w:lang w:val="fr-FR"/>
        </w:rPr>
        <w:t>homologués, le cas échéant.</w:t>
      </w:r>
    </w:p>
    <w:p w14:paraId="1202564A" w14:textId="426C23E5" w:rsidR="00540808" w:rsidRPr="006E38FF" w:rsidRDefault="00B72F53" w:rsidP="00B72F53">
      <w:pPr>
        <w:pStyle w:val="H4G"/>
      </w:pPr>
      <w:r>
        <w:rPr>
          <w:lang w:val="fr-FR"/>
        </w:rPr>
        <w:tab/>
      </w:r>
      <w:r>
        <w:rPr>
          <w:lang w:val="fr-FR"/>
        </w:rPr>
        <w:tab/>
      </w:r>
      <w:r w:rsidR="00540808" w:rsidRPr="006E38FF">
        <w:rPr>
          <w:lang w:val="fr-FR"/>
        </w:rPr>
        <w:t>Paragraphe 9.31</w:t>
      </w:r>
    </w:p>
    <w:p w14:paraId="31529F24" w14:textId="02547159" w:rsidR="00F9573C" w:rsidRDefault="00540808" w:rsidP="00540808">
      <w:pPr>
        <w:pStyle w:val="SingleTxtG"/>
        <w:rPr>
          <w:lang w:val="fr-FR"/>
        </w:rPr>
      </w:pPr>
      <w:r w:rsidRPr="006E38FF">
        <w:rPr>
          <w:lang w:val="fr-FR"/>
        </w:rPr>
        <w:t>39.</w:t>
      </w:r>
      <w:r w:rsidRPr="006E38FF">
        <w:rPr>
          <w:lang w:val="fr-FR"/>
        </w:rPr>
        <w:tab/>
        <w:t>Des détails supplémentaires ont été ajoutés à la fiche de communication pour permettre au demandeur d</w:t>
      </w:r>
      <w:r>
        <w:rPr>
          <w:lang w:val="fr-FR"/>
        </w:rPr>
        <w:t>’</w:t>
      </w:r>
      <w:r w:rsidRPr="006E38FF">
        <w:rPr>
          <w:lang w:val="fr-FR"/>
        </w:rPr>
        <w:t>indiquer quels dispositifs d</w:t>
      </w:r>
      <w:r>
        <w:rPr>
          <w:lang w:val="fr-FR"/>
        </w:rPr>
        <w:t>’</w:t>
      </w:r>
      <w:r w:rsidRPr="006E38FF">
        <w:rPr>
          <w:lang w:val="fr-FR"/>
        </w:rPr>
        <w:t>éclairage et de signalisation lumineuse sont installés et, le cas échéant, s</w:t>
      </w:r>
      <w:r>
        <w:rPr>
          <w:lang w:val="fr-FR"/>
        </w:rPr>
        <w:t>’</w:t>
      </w:r>
      <w:r w:rsidRPr="006E38FF">
        <w:rPr>
          <w:lang w:val="fr-FR"/>
        </w:rPr>
        <w:t>ils sont conformes aux prescriptions.</w:t>
      </w:r>
      <w:bookmarkEnd w:id="12"/>
    </w:p>
    <w:p w14:paraId="7C8D202C" w14:textId="324513BD" w:rsidR="00540808" w:rsidRPr="00540808" w:rsidRDefault="00540808" w:rsidP="00540808">
      <w:pPr>
        <w:pStyle w:val="SingleTxtG"/>
        <w:spacing w:before="240" w:after="0"/>
        <w:jc w:val="center"/>
        <w:rPr>
          <w:u w:val="single"/>
        </w:rPr>
      </w:pPr>
      <w:r>
        <w:rPr>
          <w:u w:val="single"/>
        </w:rPr>
        <w:tab/>
      </w:r>
      <w:r>
        <w:rPr>
          <w:u w:val="single"/>
        </w:rPr>
        <w:tab/>
      </w:r>
      <w:r>
        <w:rPr>
          <w:u w:val="single"/>
        </w:rPr>
        <w:tab/>
      </w:r>
      <w:r>
        <w:rPr>
          <w:u w:val="single"/>
        </w:rPr>
        <w:tab/>
      </w:r>
    </w:p>
    <w:sectPr w:rsidR="00540808" w:rsidRPr="00540808" w:rsidSect="00882B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5520" w14:textId="77777777" w:rsidR="004A7076" w:rsidRDefault="004A7076" w:rsidP="00F95C08">
      <w:pPr>
        <w:spacing w:line="240" w:lineRule="auto"/>
      </w:pPr>
    </w:p>
  </w:endnote>
  <w:endnote w:type="continuationSeparator" w:id="0">
    <w:p w14:paraId="5FA0921D" w14:textId="77777777" w:rsidR="004A7076" w:rsidRPr="00AC3823" w:rsidRDefault="004A7076" w:rsidP="00AC3823">
      <w:pPr>
        <w:pStyle w:val="Pieddepage"/>
      </w:pPr>
    </w:p>
  </w:endnote>
  <w:endnote w:type="continuationNotice" w:id="1">
    <w:p w14:paraId="0D2A1A79" w14:textId="77777777" w:rsidR="004A7076" w:rsidRDefault="004A70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ABB4" w14:textId="236313A7" w:rsidR="00882B98" w:rsidRPr="00882B98" w:rsidRDefault="00882B98" w:rsidP="00882B98">
    <w:pPr>
      <w:pStyle w:val="Pieddepage"/>
      <w:tabs>
        <w:tab w:val="right" w:pos="9638"/>
      </w:tabs>
    </w:pPr>
    <w:r w:rsidRPr="00882B98">
      <w:rPr>
        <w:b/>
        <w:sz w:val="18"/>
      </w:rPr>
      <w:fldChar w:fldCharType="begin"/>
    </w:r>
    <w:r w:rsidRPr="00882B98">
      <w:rPr>
        <w:b/>
        <w:sz w:val="18"/>
      </w:rPr>
      <w:instrText xml:space="preserve"> PAGE  \* MERGEFORMAT </w:instrText>
    </w:r>
    <w:r w:rsidRPr="00882B98">
      <w:rPr>
        <w:b/>
        <w:sz w:val="18"/>
      </w:rPr>
      <w:fldChar w:fldCharType="separate"/>
    </w:r>
    <w:r w:rsidRPr="00882B98">
      <w:rPr>
        <w:b/>
        <w:noProof/>
        <w:sz w:val="18"/>
      </w:rPr>
      <w:t>2</w:t>
    </w:r>
    <w:r w:rsidRPr="00882B98">
      <w:rPr>
        <w:b/>
        <w:sz w:val="18"/>
      </w:rPr>
      <w:fldChar w:fldCharType="end"/>
    </w:r>
    <w:r>
      <w:rPr>
        <w:b/>
        <w:sz w:val="18"/>
      </w:rPr>
      <w:tab/>
    </w:r>
    <w:r>
      <w:t>GE.23-02031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9C1" w14:textId="34B60754" w:rsidR="00882B98" w:rsidRPr="00882B98" w:rsidRDefault="00882B98" w:rsidP="00882B98">
    <w:pPr>
      <w:pStyle w:val="Pieddepage"/>
      <w:tabs>
        <w:tab w:val="right" w:pos="9638"/>
      </w:tabs>
      <w:rPr>
        <w:b/>
        <w:sz w:val="18"/>
      </w:rPr>
    </w:pPr>
    <w:r>
      <w:t>GE.23-02031</w:t>
    </w:r>
    <w:r>
      <w:tab/>
    </w:r>
    <w:r w:rsidRPr="00882B98">
      <w:rPr>
        <w:b/>
        <w:sz w:val="18"/>
      </w:rPr>
      <w:fldChar w:fldCharType="begin"/>
    </w:r>
    <w:r w:rsidRPr="00882B98">
      <w:rPr>
        <w:b/>
        <w:sz w:val="18"/>
      </w:rPr>
      <w:instrText xml:space="preserve"> PAGE  \* MERGEFORMAT </w:instrText>
    </w:r>
    <w:r w:rsidRPr="00882B98">
      <w:rPr>
        <w:b/>
        <w:sz w:val="18"/>
      </w:rPr>
      <w:fldChar w:fldCharType="separate"/>
    </w:r>
    <w:r w:rsidRPr="00882B98">
      <w:rPr>
        <w:b/>
        <w:noProof/>
        <w:sz w:val="18"/>
      </w:rPr>
      <w:t>3</w:t>
    </w:r>
    <w:r w:rsidRPr="00882B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301" w14:textId="78EA292B" w:rsidR="007F20FA" w:rsidRPr="00882B98" w:rsidRDefault="00882B98" w:rsidP="00882B9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5834E1" wp14:editId="6E4FC6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23-02031  (F)</w:t>
    </w:r>
    <w:r>
      <w:rPr>
        <w:noProof/>
        <w:sz w:val="20"/>
      </w:rPr>
      <w:drawing>
        <wp:anchor distT="0" distB="0" distL="114300" distR="114300" simplePos="0" relativeHeight="251660288" behindDoc="0" locked="0" layoutInCell="1" allowOverlap="1" wp14:anchorId="5F1A8B8C" wp14:editId="7AA59D1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200223    210223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211C" w14:textId="77777777" w:rsidR="004A7076" w:rsidRPr="00AC3823" w:rsidRDefault="004A7076" w:rsidP="00AC3823">
      <w:pPr>
        <w:pStyle w:val="Pieddepage"/>
        <w:tabs>
          <w:tab w:val="right" w:pos="2155"/>
        </w:tabs>
        <w:spacing w:after="80" w:line="240" w:lineRule="atLeast"/>
        <w:ind w:left="680"/>
        <w:rPr>
          <w:u w:val="single"/>
        </w:rPr>
      </w:pPr>
      <w:r>
        <w:rPr>
          <w:u w:val="single"/>
        </w:rPr>
        <w:tab/>
      </w:r>
    </w:p>
  </w:footnote>
  <w:footnote w:type="continuationSeparator" w:id="0">
    <w:p w14:paraId="3484A8DC" w14:textId="77777777" w:rsidR="004A7076" w:rsidRPr="00AC3823" w:rsidRDefault="004A7076" w:rsidP="00AC3823">
      <w:pPr>
        <w:pStyle w:val="Pieddepage"/>
        <w:tabs>
          <w:tab w:val="right" w:pos="2155"/>
        </w:tabs>
        <w:spacing w:after="80" w:line="240" w:lineRule="atLeast"/>
        <w:ind w:left="680"/>
        <w:rPr>
          <w:u w:val="single"/>
        </w:rPr>
      </w:pPr>
      <w:r>
        <w:rPr>
          <w:u w:val="single"/>
        </w:rPr>
        <w:tab/>
      </w:r>
    </w:p>
  </w:footnote>
  <w:footnote w:type="continuationNotice" w:id="1">
    <w:p w14:paraId="47A0F214" w14:textId="77777777" w:rsidR="004A7076" w:rsidRPr="00AC3823" w:rsidRDefault="004A7076">
      <w:pPr>
        <w:spacing w:line="240" w:lineRule="auto"/>
        <w:rPr>
          <w:sz w:val="2"/>
          <w:szCs w:val="2"/>
        </w:rPr>
      </w:pPr>
    </w:p>
  </w:footnote>
  <w:footnote w:id="2">
    <w:p w14:paraId="5933BECF" w14:textId="5F9BB56A" w:rsidR="00B205B0" w:rsidRPr="00B205B0" w:rsidRDefault="00B205B0">
      <w:pPr>
        <w:pStyle w:val="Notedebasdepage"/>
      </w:pPr>
      <w:r>
        <w:rPr>
          <w:rStyle w:val="Appelnotedebasdep"/>
        </w:rPr>
        <w:tab/>
      </w:r>
      <w:r w:rsidRPr="00B205B0">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180F26B1" w14:textId="7F62253F" w:rsidR="00540808" w:rsidRPr="007E4796" w:rsidRDefault="007E72F0" w:rsidP="007E4796">
      <w:pPr>
        <w:pStyle w:val="Notedebasdepage"/>
        <w:rPr>
          <w:szCs w:val="18"/>
          <w:lang w:val="fr-FR"/>
        </w:rPr>
      </w:pPr>
      <w:r>
        <w:rPr>
          <w:szCs w:val="18"/>
          <w:lang w:val="fr-FR"/>
        </w:rPr>
        <w:tab/>
      </w:r>
      <w:r w:rsidR="00540808" w:rsidRPr="00203856">
        <w:rPr>
          <w:rStyle w:val="Appelnotedebasdep"/>
        </w:rPr>
        <w:footnoteRef/>
      </w:r>
      <w:r>
        <w:rPr>
          <w:szCs w:val="18"/>
          <w:lang w:val="fr-FR"/>
        </w:rPr>
        <w:tab/>
      </w:r>
      <w:hyperlink r:id="rId1" w:history="1">
        <w:r w:rsidR="00540808" w:rsidRPr="002E7C42">
          <w:rPr>
            <w:rStyle w:val="Lienhypertexte"/>
            <w:szCs w:val="18"/>
            <w:lang w:val="fr-FR"/>
          </w:rPr>
          <w:t>https://www.gov.uk/guidance/carry-out-daily-heavy-goods-vehicle-hgv-walkaround-checks</w:t>
        </w:r>
      </w:hyperlink>
      <w:r w:rsidR="002E7C42">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9E25" w14:textId="49E7199A" w:rsidR="00882B98" w:rsidRPr="00882B98" w:rsidRDefault="005D6E25">
    <w:pPr>
      <w:pStyle w:val="En-tte"/>
    </w:pPr>
    <w:r>
      <w:fldChar w:fldCharType="begin"/>
    </w:r>
    <w:r>
      <w:instrText xml:space="preserve"> TITLE  \* MERGEFORMAT </w:instrText>
    </w:r>
    <w:r>
      <w:fldChar w:fldCharType="separate"/>
    </w:r>
    <w:r w:rsidR="00515D46">
      <w:t>ECE/TRANS/WP.29/GRE/2023/2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25CA" w14:textId="1545621A" w:rsidR="00882B98" w:rsidRPr="00882B98" w:rsidRDefault="005D6E25" w:rsidP="00882B98">
    <w:pPr>
      <w:pStyle w:val="En-tte"/>
      <w:jc w:val="right"/>
    </w:pPr>
    <w:r>
      <w:fldChar w:fldCharType="begin"/>
    </w:r>
    <w:r>
      <w:instrText xml:space="preserve"> TITLE  \* MERGEFORMAT </w:instrText>
    </w:r>
    <w:r>
      <w:fldChar w:fldCharType="separate"/>
    </w:r>
    <w:r w:rsidR="00515D46">
      <w:t>ECE/TRANS/WP.29/GRE/2023/2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03886799">
    <w:abstractNumId w:val="2"/>
  </w:num>
  <w:num w:numId="2" w16cid:durableId="1081564423">
    <w:abstractNumId w:val="1"/>
  </w:num>
  <w:num w:numId="3" w16cid:durableId="20237790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76"/>
    <w:rsid w:val="00017F94"/>
    <w:rsid w:val="00023842"/>
    <w:rsid w:val="000334F9"/>
    <w:rsid w:val="0004050C"/>
    <w:rsid w:val="00045FEB"/>
    <w:rsid w:val="000604C8"/>
    <w:rsid w:val="00067A8B"/>
    <w:rsid w:val="00073500"/>
    <w:rsid w:val="0007796D"/>
    <w:rsid w:val="000B7790"/>
    <w:rsid w:val="000B7B9C"/>
    <w:rsid w:val="000D23E5"/>
    <w:rsid w:val="0011147B"/>
    <w:rsid w:val="00111F2F"/>
    <w:rsid w:val="00123534"/>
    <w:rsid w:val="0014365E"/>
    <w:rsid w:val="00143C66"/>
    <w:rsid w:val="00145AAF"/>
    <w:rsid w:val="00150402"/>
    <w:rsid w:val="00176178"/>
    <w:rsid w:val="00185CA4"/>
    <w:rsid w:val="001D3B54"/>
    <w:rsid w:val="001F525A"/>
    <w:rsid w:val="001F5A94"/>
    <w:rsid w:val="00201148"/>
    <w:rsid w:val="00203EDA"/>
    <w:rsid w:val="00213CAC"/>
    <w:rsid w:val="00223272"/>
    <w:rsid w:val="0024779E"/>
    <w:rsid w:val="00257168"/>
    <w:rsid w:val="002744B8"/>
    <w:rsid w:val="002832AC"/>
    <w:rsid w:val="002D7C93"/>
    <w:rsid w:val="002E7C42"/>
    <w:rsid w:val="00300D79"/>
    <w:rsid w:val="00305801"/>
    <w:rsid w:val="00320809"/>
    <w:rsid w:val="003610BD"/>
    <w:rsid w:val="00363F67"/>
    <w:rsid w:val="00374FE8"/>
    <w:rsid w:val="003916DE"/>
    <w:rsid w:val="00394D0F"/>
    <w:rsid w:val="00421996"/>
    <w:rsid w:val="00441C3B"/>
    <w:rsid w:val="00443987"/>
    <w:rsid w:val="00446FE5"/>
    <w:rsid w:val="00452396"/>
    <w:rsid w:val="004725ED"/>
    <w:rsid w:val="00477EB2"/>
    <w:rsid w:val="004837D8"/>
    <w:rsid w:val="00485401"/>
    <w:rsid w:val="004A7076"/>
    <w:rsid w:val="004B43CB"/>
    <w:rsid w:val="004C5CC7"/>
    <w:rsid w:val="004E2EED"/>
    <w:rsid w:val="004E468C"/>
    <w:rsid w:val="004E7BD4"/>
    <w:rsid w:val="00510992"/>
    <w:rsid w:val="00511E2D"/>
    <w:rsid w:val="00515D46"/>
    <w:rsid w:val="00516C79"/>
    <w:rsid w:val="00540808"/>
    <w:rsid w:val="005505B7"/>
    <w:rsid w:val="00573BE5"/>
    <w:rsid w:val="00586ED3"/>
    <w:rsid w:val="00596AA9"/>
    <w:rsid w:val="005A1EC3"/>
    <w:rsid w:val="005B303C"/>
    <w:rsid w:val="005D4576"/>
    <w:rsid w:val="005F3144"/>
    <w:rsid w:val="00602BB0"/>
    <w:rsid w:val="00602F00"/>
    <w:rsid w:val="00607BD3"/>
    <w:rsid w:val="00645988"/>
    <w:rsid w:val="006F6F4E"/>
    <w:rsid w:val="00707EB9"/>
    <w:rsid w:val="0071601D"/>
    <w:rsid w:val="00737B01"/>
    <w:rsid w:val="00761F2C"/>
    <w:rsid w:val="007A253C"/>
    <w:rsid w:val="007A62E6"/>
    <w:rsid w:val="007E4796"/>
    <w:rsid w:val="007E7287"/>
    <w:rsid w:val="007E72F0"/>
    <w:rsid w:val="007E7A57"/>
    <w:rsid w:val="007E7AFA"/>
    <w:rsid w:val="007F20FA"/>
    <w:rsid w:val="007F245B"/>
    <w:rsid w:val="0080684C"/>
    <w:rsid w:val="00871C75"/>
    <w:rsid w:val="008776DC"/>
    <w:rsid w:val="00882B98"/>
    <w:rsid w:val="008B103E"/>
    <w:rsid w:val="008C2507"/>
    <w:rsid w:val="008D07B9"/>
    <w:rsid w:val="008D5EF9"/>
    <w:rsid w:val="0091066F"/>
    <w:rsid w:val="009151A6"/>
    <w:rsid w:val="009446C0"/>
    <w:rsid w:val="009705C8"/>
    <w:rsid w:val="00977CC1"/>
    <w:rsid w:val="009A3BEE"/>
    <w:rsid w:val="009C1CF4"/>
    <w:rsid w:val="009D214D"/>
    <w:rsid w:val="009F2258"/>
    <w:rsid w:val="009F6B74"/>
    <w:rsid w:val="00A3029F"/>
    <w:rsid w:val="00A30353"/>
    <w:rsid w:val="00A375A3"/>
    <w:rsid w:val="00A41AF6"/>
    <w:rsid w:val="00A43479"/>
    <w:rsid w:val="00A918D8"/>
    <w:rsid w:val="00A940CD"/>
    <w:rsid w:val="00AB1172"/>
    <w:rsid w:val="00AC3823"/>
    <w:rsid w:val="00AE323C"/>
    <w:rsid w:val="00AF0CB5"/>
    <w:rsid w:val="00B00181"/>
    <w:rsid w:val="00B00B0D"/>
    <w:rsid w:val="00B205B0"/>
    <w:rsid w:val="00B3307D"/>
    <w:rsid w:val="00B45F2E"/>
    <w:rsid w:val="00B57AC3"/>
    <w:rsid w:val="00B72F53"/>
    <w:rsid w:val="00B765F7"/>
    <w:rsid w:val="00B77993"/>
    <w:rsid w:val="00B8296C"/>
    <w:rsid w:val="00B92520"/>
    <w:rsid w:val="00BA0CA9"/>
    <w:rsid w:val="00C02897"/>
    <w:rsid w:val="00C313CB"/>
    <w:rsid w:val="00C554F3"/>
    <w:rsid w:val="00C767C3"/>
    <w:rsid w:val="00C82405"/>
    <w:rsid w:val="00C93720"/>
    <w:rsid w:val="00C97039"/>
    <w:rsid w:val="00D21442"/>
    <w:rsid w:val="00D3439C"/>
    <w:rsid w:val="00D3588A"/>
    <w:rsid w:val="00D552BB"/>
    <w:rsid w:val="00D561F4"/>
    <w:rsid w:val="00D7622E"/>
    <w:rsid w:val="00D86803"/>
    <w:rsid w:val="00D91C58"/>
    <w:rsid w:val="00D971BC"/>
    <w:rsid w:val="00DB1831"/>
    <w:rsid w:val="00DC6FD8"/>
    <w:rsid w:val="00DD3BFD"/>
    <w:rsid w:val="00DE51B0"/>
    <w:rsid w:val="00DF6678"/>
    <w:rsid w:val="00E0299A"/>
    <w:rsid w:val="00E03719"/>
    <w:rsid w:val="00E302CB"/>
    <w:rsid w:val="00E3301E"/>
    <w:rsid w:val="00E85C74"/>
    <w:rsid w:val="00EA6547"/>
    <w:rsid w:val="00ED0640"/>
    <w:rsid w:val="00ED7237"/>
    <w:rsid w:val="00EF2E22"/>
    <w:rsid w:val="00EF5863"/>
    <w:rsid w:val="00F333B3"/>
    <w:rsid w:val="00F34630"/>
    <w:rsid w:val="00F35BAF"/>
    <w:rsid w:val="00F660DF"/>
    <w:rsid w:val="00F708F1"/>
    <w:rsid w:val="00F94664"/>
    <w:rsid w:val="00F9573C"/>
    <w:rsid w:val="00F95C08"/>
    <w:rsid w:val="00FB0562"/>
    <w:rsid w:val="00FB2A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39C4"/>
  <w15:docId w15:val="{567D3DF1-95C3-4A1B-A101-6D834B5B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34630"/>
    <w:pPr>
      <w:keepNext/>
      <w:keepLines/>
      <w:tabs>
        <w:tab w:val="left" w:pos="1701"/>
        <w:tab w:val="left" w:pos="2268"/>
        <w:tab w:val="left" w:pos="2835"/>
      </w:tabs>
      <w:spacing w:after="0" w:line="240" w:lineRule="auto"/>
      <w:ind w:right="0"/>
      <w:jc w:val="left"/>
      <w:outlineLvl w:val="0"/>
    </w:pPr>
  </w:style>
  <w:style w:type="paragraph" w:styleId="Titre2">
    <w:name w:val="heading 2"/>
    <w:basedOn w:val="Normal"/>
    <w:next w:val="Normal"/>
    <w:link w:val="Titre2Car"/>
    <w:qFormat/>
    <w:rsid w:val="00F34630"/>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DE51B0"/>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DE51B0"/>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E51B0"/>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F3463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3463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540808"/>
    <w:rPr>
      <w:sz w:val="16"/>
    </w:rPr>
  </w:style>
  <w:style w:type="character" w:customStyle="1" w:styleId="SingleTxtGChar">
    <w:name w:val="_ Single Txt_G Char"/>
    <w:link w:val="SingleTxtG"/>
    <w:qFormat/>
    <w:rsid w:val="00540808"/>
    <w:rPr>
      <w:rFonts w:ascii="Times New Roman" w:eastAsiaTheme="minorHAnsi" w:hAnsi="Times New Roman" w:cs="Times New Roman"/>
      <w:sz w:val="20"/>
      <w:szCs w:val="20"/>
      <w:lang w:eastAsia="en-US"/>
    </w:rPr>
  </w:style>
  <w:style w:type="character" w:customStyle="1" w:styleId="HChGChar">
    <w:name w:val="_ H _Ch_G Char"/>
    <w:link w:val="HChG"/>
    <w:rsid w:val="00540808"/>
    <w:rPr>
      <w:rFonts w:ascii="Times New Roman" w:eastAsiaTheme="minorHAnsi" w:hAnsi="Times New Roman" w:cs="Times New Roman"/>
      <w:b/>
      <w:sz w:val="28"/>
      <w:szCs w:val="20"/>
      <w:lang w:eastAsia="en-US"/>
    </w:rPr>
  </w:style>
  <w:style w:type="paragraph" w:styleId="Rvision">
    <w:name w:val="Revision"/>
    <w:hidden/>
    <w:uiPriority w:val="99"/>
    <w:semiHidden/>
    <w:rsid w:val="00540808"/>
    <w:pPr>
      <w:spacing w:after="0" w:line="240" w:lineRule="auto"/>
    </w:pPr>
    <w:rPr>
      <w:rFonts w:ascii="Times New Roman" w:eastAsia="MS Mincho" w:hAnsi="Times New Roman" w:cs="Times New Roman"/>
      <w:sz w:val="24"/>
      <w:szCs w:val="24"/>
      <w:lang w:val="en-US" w:eastAsia="it-IT"/>
    </w:rPr>
  </w:style>
  <w:style w:type="table" w:styleId="Thmedutableau">
    <w:name w:val="Table Theme"/>
    <w:basedOn w:val="TableauNormal"/>
    <w:rsid w:val="00540808"/>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540808"/>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2E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carry-out-daily-heavy-goods-vehicle-hgv-walkaround-che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15</Pages>
  <Words>6327</Words>
  <Characters>36068</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ECE/TRANS/WP.29/GRE/2023/2</vt:lpstr>
    </vt:vector>
  </TitlesOfParts>
  <Company>DCM</Company>
  <LinksUpToDate>false</LinksUpToDate>
  <CharactersWithSpaces>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dc:title>
  <dc:subject/>
  <dc:creator>Nathalie VITTOZ</dc:creator>
  <cp:keywords/>
  <cp:lastModifiedBy>Nathalie Vittoz</cp:lastModifiedBy>
  <cp:revision>3</cp:revision>
  <cp:lastPrinted>2023-02-21T10:50:00Z</cp:lastPrinted>
  <dcterms:created xsi:type="dcterms:W3CDTF">2023-02-21T10:50:00Z</dcterms:created>
  <dcterms:modified xsi:type="dcterms:W3CDTF">2023-02-21T10:52:00Z</dcterms:modified>
</cp:coreProperties>
</file>