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26874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B817C0" w14:textId="77777777" w:rsidR="002D5AAC" w:rsidRDefault="002D5AAC" w:rsidP="00993D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2685123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73F0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DA561D" w14:textId="0D9675A3" w:rsidR="002D5AAC" w:rsidRDefault="00993D66" w:rsidP="00993D66">
            <w:pPr>
              <w:jc w:val="right"/>
            </w:pPr>
            <w:r w:rsidRPr="00993D66">
              <w:rPr>
                <w:sz w:val="40"/>
              </w:rPr>
              <w:t>ECE</w:t>
            </w:r>
            <w:r>
              <w:t>/TRANS/WP.29/GRE/2023/1</w:t>
            </w:r>
          </w:p>
        </w:tc>
      </w:tr>
      <w:tr w:rsidR="002D5AAC" w14:paraId="2BC0D61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217D0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4324B3" wp14:editId="59E3DC3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C71AB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3F6596" w14:textId="77777777" w:rsidR="002D5AAC" w:rsidRDefault="00993D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3FA989" w14:textId="77777777" w:rsidR="00993D66" w:rsidRDefault="00993D66" w:rsidP="00993D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2023</w:t>
            </w:r>
          </w:p>
          <w:p w14:paraId="4E64992F" w14:textId="77777777" w:rsidR="00993D66" w:rsidRDefault="00993D66" w:rsidP="00993D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599548" w14:textId="5E977327" w:rsidR="00993D66" w:rsidRPr="008D53B6" w:rsidRDefault="00993D66" w:rsidP="00993D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E19EE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625D94" w14:textId="77777777" w:rsidR="00993D66" w:rsidRPr="00993D66" w:rsidRDefault="00993D66" w:rsidP="00993D66">
      <w:pPr>
        <w:spacing w:before="120"/>
        <w:rPr>
          <w:sz w:val="28"/>
          <w:szCs w:val="28"/>
        </w:rPr>
      </w:pPr>
      <w:r w:rsidRPr="00993D66">
        <w:rPr>
          <w:sz w:val="28"/>
          <w:szCs w:val="28"/>
        </w:rPr>
        <w:t>Комитет по внутреннему транспорту</w:t>
      </w:r>
    </w:p>
    <w:p w14:paraId="24ACB808" w14:textId="6C5BC268" w:rsidR="00993D66" w:rsidRPr="00993D66" w:rsidRDefault="00993D66" w:rsidP="00993D66">
      <w:pPr>
        <w:spacing w:before="120"/>
        <w:rPr>
          <w:b/>
          <w:sz w:val="24"/>
          <w:szCs w:val="24"/>
        </w:rPr>
      </w:pPr>
      <w:r w:rsidRPr="00993D6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93D66">
        <w:rPr>
          <w:b/>
          <w:bCs/>
          <w:sz w:val="24"/>
          <w:szCs w:val="24"/>
        </w:rPr>
        <w:t>в области транспортных средств</w:t>
      </w:r>
    </w:p>
    <w:p w14:paraId="111CC667" w14:textId="77777777" w:rsidR="00993D66" w:rsidRPr="00084DC2" w:rsidRDefault="00993D66" w:rsidP="00993D66">
      <w:pPr>
        <w:spacing w:before="120"/>
        <w:rPr>
          <w:b/>
        </w:rPr>
      </w:pPr>
      <w:r>
        <w:rPr>
          <w:b/>
          <w:bCs/>
        </w:rPr>
        <w:t>Рабочая группа по вопросам освещения и световой сигнализации</w:t>
      </w:r>
    </w:p>
    <w:p w14:paraId="17F41970" w14:textId="77777777" w:rsidR="00993D66" w:rsidRPr="00084DC2" w:rsidRDefault="00993D66" w:rsidP="00993D66">
      <w:pPr>
        <w:spacing w:before="120"/>
        <w:rPr>
          <w:b/>
        </w:rPr>
      </w:pPr>
      <w:r>
        <w:rPr>
          <w:b/>
          <w:bCs/>
        </w:rPr>
        <w:t>Восемьдесят восьмая сессия</w:t>
      </w:r>
    </w:p>
    <w:p w14:paraId="0A80A420" w14:textId="3FE74BAD" w:rsidR="00993D66" w:rsidRPr="00084DC2" w:rsidRDefault="00993D66" w:rsidP="00993D66">
      <w:r>
        <w:t>Женева, 25</w:t>
      </w:r>
      <w:r>
        <w:rPr>
          <w:lang w:val="en-US"/>
        </w:rPr>
        <w:t>–</w:t>
      </w:r>
      <w:r>
        <w:t>28 апреля 2023 года</w:t>
      </w:r>
    </w:p>
    <w:p w14:paraId="04250937" w14:textId="77777777" w:rsidR="00993D66" w:rsidRPr="00084DC2" w:rsidRDefault="00993D66" w:rsidP="00993D66">
      <w:r>
        <w:t>Пункт 1 предварительной повестки дня</w:t>
      </w:r>
    </w:p>
    <w:p w14:paraId="1BDF2F31" w14:textId="77777777" w:rsidR="00993D66" w:rsidRPr="00084DC2" w:rsidRDefault="00993D66" w:rsidP="00993D66">
      <w:pPr>
        <w:rPr>
          <w:b/>
        </w:rPr>
      </w:pPr>
      <w:r>
        <w:rPr>
          <w:b/>
          <w:bCs/>
        </w:rPr>
        <w:t>Утверждение повестки дня</w:t>
      </w:r>
    </w:p>
    <w:p w14:paraId="5C2224B8" w14:textId="06DE369C" w:rsidR="00993D66" w:rsidRPr="00084DC2" w:rsidRDefault="00993D66" w:rsidP="00993D66">
      <w:pPr>
        <w:pStyle w:val="HChG"/>
      </w:pPr>
      <w:bookmarkStart w:id="1" w:name="OLE_LINK2"/>
      <w:r>
        <w:tab/>
      </w:r>
      <w:r>
        <w:tab/>
      </w:r>
      <w:r>
        <w:rPr>
          <w:bCs/>
        </w:rPr>
        <w:t>Аннотированная предварительная повестка дня восемьдесят восьмой сессии</w:t>
      </w:r>
      <w:r w:rsidRPr="00607F6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607F62">
        <w:rPr>
          <w:bCs/>
        </w:rPr>
        <w:t xml:space="preserve"> </w:t>
      </w:r>
      <w:r w:rsidRPr="00607F62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  <w:bookmarkEnd w:id="1"/>
    </w:p>
    <w:p w14:paraId="24E79058" w14:textId="5088E466" w:rsidR="00993D66" w:rsidRPr="00084DC2" w:rsidRDefault="00993D66" w:rsidP="00993D66">
      <w:pPr>
        <w:pStyle w:val="SingleTxtG"/>
      </w:pPr>
      <w:r>
        <w:t xml:space="preserve">которая начнется в 9 ч 30 мин 25 апреля 2023 года и завершится в 12 ч 30 мин </w:t>
      </w:r>
      <w:r>
        <w:br/>
      </w:r>
      <w:r>
        <w:t>28 апреля 2023 года</w:t>
      </w:r>
    </w:p>
    <w:p w14:paraId="62995037" w14:textId="5CD6BE92" w:rsidR="00993D66" w:rsidRPr="00084DC2" w:rsidRDefault="00993D66" w:rsidP="00993D66">
      <w:pPr>
        <w:pStyle w:val="HChG"/>
      </w:pPr>
      <w:r>
        <w:rPr>
          <w:bCs/>
        </w:rPr>
        <w:tab/>
      </w:r>
      <w:r>
        <w:rPr>
          <w:bCs/>
        </w:rPr>
        <w:t>I.</w:t>
      </w:r>
      <w:r>
        <w:tab/>
      </w:r>
      <w:r>
        <w:rPr>
          <w:bCs/>
        </w:rPr>
        <w:t>Предварительная повестка дня</w:t>
      </w:r>
    </w:p>
    <w:p w14:paraId="2EA73C6D" w14:textId="4132BC84" w:rsidR="00993D66" w:rsidRPr="00993D66" w:rsidRDefault="00993D66" w:rsidP="00993D66">
      <w:pPr>
        <w:pStyle w:val="SingleTxtG"/>
        <w:ind w:left="1701" w:hanging="567"/>
      </w:pPr>
      <w:r w:rsidRPr="00993D66">
        <w:t>1.</w:t>
      </w:r>
      <w:r w:rsidRPr="00993D66">
        <w:tab/>
        <w:t>Утверждение повестки дня</w:t>
      </w:r>
      <w:r w:rsidRPr="00993D66">
        <w:t>.</w:t>
      </w:r>
    </w:p>
    <w:p w14:paraId="5276DF8E" w14:textId="6B43CC67" w:rsidR="00993D66" w:rsidRPr="00993D66" w:rsidRDefault="00993D66" w:rsidP="00993D66">
      <w:pPr>
        <w:pStyle w:val="SingleTxtG"/>
        <w:ind w:left="1701" w:hanging="567"/>
      </w:pPr>
      <w:r w:rsidRPr="00993D66">
        <w:t>2.</w:t>
      </w:r>
      <w:r w:rsidRPr="00993D66">
        <w:tab/>
        <w:t>Соглашение 1998 года — глобальные технические правила ООН: разработка</w:t>
      </w:r>
      <w:r w:rsidRPr="00993D66">
        <w:t>.</w:t>
      </w:r>
    </w:p>
    <w:p w14:paraId="23057991" w14:textId="2042DC0C" w:rsidR="00993D66" w:rsidRPr="00993D66" w:rsidRDefault="00993D66" w:rsidP="00993D66">
      <w:pPr>
        <w:pStyle w:val="SingleTxtG"/>
        <w:ind w:left="1701" w:hanging="567"/>
      </w:pPr>
      <w:r w:rsidRPr="00993D66">
        <w:t>3.</w:t>
      </w:r>
      <w:r w:rsidRPr="00993D66">
        <w:tab/>
        <w:t>Соглашение 1997 года — предписания: разработка</w:t>
      </w:r>
      <w:r w:rsidRPr="00993D66">
        <w:t>.</w:t>
      </w:r>
    </w:p>
    <w:p w14:paraId="26CC6202" w14:textId="70742604" w:rsidR="00993D66" w:rsidRPr="00993D66" w:rsidRDefault="00993D66" w:rsidP="00993D66">
      <w:pPr>
        <w:pStyle w:val="SingleTxtG"/>
        <w:ind w:left="1701" w:hanging="567"/>
      </w:pPr>
      <w:r w:rsidRPr="00993D66">
        <w:t>4.</w:t>
      </w:r>
      <w:r w:rsidRPr="00993D66">
        <w:tab/>
        <w:t>Упрощение правил ООН, касающихся освещения и световой сигнализации</w:t>
      </w:r>
      <w:r w:rsidRPr="00993D66">
        <w:t>.</w:t>
      </w:r>
    </w:p>
    <w:p w14:paraId="32E360D7" w14:textId="48A06728" w:rsidR="00993D66" w:rsidRPr="00993D66" w:rsidRDefault="00993D66" w:rsidP="00993D66">
      <w:pPr>
        <w:pStyle w:val="SingleTxtG"/>
        <w:ind w:left="1701" w:hanging="567"/>
      </w:pPr>
      <w:r w:rsidRPr="00993D66">
        <w:t>5.</w:t>
      </w:r>
      <w:r w:rsidRPr="00993D66">
        <w:tab/>
        <w:t>Правила ООН, касающиеся источников света, и Сводная резолюция по общей спецификации для категорий источников света</w:t>
      </w:r>
      <w:r w:rsidRPr="00993D66">
        <w:t>.</w:t>
      </w:r>
    </w:p>
    <w:p w14:paraId="4CA24ACA" w14:textId="1D5B3FDD" w:rsidR="00993D66" w:rsidRPr="00993D66" w:rsidRDefault="00993D66" w:rsidP="00993D66">
      <w:pPr>
        <w:pStyle w:val="SingleTxtG"/>
        <w:ind w:left="1701" w:hanging="567"/>
      </w:pPr>
      <w:r w:rsidRPr="00993D66">
        <w:t>6.</w:t>
      </w:r>
      <w:r w:rsidRPr="00993D66">
        <w:tab/>
        <w:t>Правила ООН, касающиеся установки</w:t>
      </w:r>
      <w:r w:rsidRPr="00993D66">
        <w:t>:</w:t>
      </w:r>
    </w:p>
    <w:p w14:paraId="352B290D" w14:textId="0ACE8BAA" w:rsidR="00993D66" w:rsidRPr="00993D66" w:rsidRDefault="00993D66" w:rsidP="00993D66">
      <w:pPr>
        <w:pStyle w:val="SingleTxtG"/>
        <w:ind w:left="2268" w:hanging="1134"/>
      </w:pPr>
      <w:r>
        <w:tab/>
      </w:r>
      <w:r w:rsidRPr="00993D66">
        <w:t>a)</w:t>
      </w:r>
      <w:r w:rsidRPr="00993D66">
        <w:tab/>
        <w:t>Правила № 48 ООН (установка устройств освещения и световой сигнализации)</w:t>
      </w:r>
      <w:r>
        <w:t>;</w:t>
      </w:r>
      <w:r w:rsidRPr="00993D66">
        <w:t xml:space="preserve"> </w:t>
      </w:r>
    </w:p>
    <w:p w14:paraId="0B962470" w14:textId="66B273BA" w:rsidR="00993D66" w:rsidRPr="00993D66" w:rsidRDefault="00993D66" w:rsidP="00993D66">
      <w:pPr>
        <w:pStyle w:val="SingleTxtG"/>
        <w:ind w:left="2268" w:hanging="1134"/>
        <w:rPr>
          <w:color w:val="000000"/>
        </w:rPr>
      </w:pPr>
      <w:r>
        <w:tab/>
      </w:r>
      <w:r w:rsidRPr="00993D66">
        <w:t>b)</w:t>
      </w:r>
      <w:r w:rsidRPr="00993D66">
        <w:tab/>
      </w:r>
      <w:r>
        <w:t>д</w:t>
      </w:r>
      <w:r w:rsidRPr="00993D66">
        <w:t>ругие правила ООН, касающиеся установки</w:t>
      </w:r>
      <w:r>
        <w:t>.</w:t>
      </w:r>
    </w:p>
    <w:p w14:paraId="26CC6D9F" w14:textId="520FF896" w:rsidR="00993D66" w:rsidRPr="00993D66" w:rsidRDefault="00993D66" w:rsidP="00993D66">
      <w:pPr>
        <w:pStyle w:val="SingleTxtG"/>
        <w:ind w:left="1701" w:hanging="567"/>
      </w:pPr>
      <w:r w:rsidRPr="00993D66">
        <w:t>7.</w:t>
      </w:r>
      <w:r w:rsidRPr="00993D66">
        <w:tab/>
        <w:t>Правила ООН, касающиеся устройств</w:t>
      </w:r>
      <w:r>
        <w:t>.</w:t>
      </w:r>
    </w:p>
    <w:p w14:paraId="0AD6E048" w14:textId="49C07805" w:rsidR="00993D66" w:rsidRPr="00993D66" w:rsidRDefault="00993D66" w:rsidP="00993D66">
      <w:pPr>
        <w:pStyle w:val="SingleTxtG"/>
        <w:ind w:left="1701" w:hanging="567"/>
      </w:pPr>
      <w:r w:rsidRPr="00993D66">
        <w:t>8.</w:t>
      </w:r>
      <w:r w:rsidRPr="00993D66">
        <w:tab/>
        <w:t>Правила № 10 ООН (электромагнитная совместимость)</w:t>
      </w:r>
      <w:r>
        <w:t>.</w:t>
      </w:r>
      <w:r w:rsidRPr="00993D66">
        <w:t xml:space="preserve"> </w:t>
      </w:r>
    </w:p>
    <w:p w14:paraId="50ADB450" w14:textId="77C9365F" w:rsidR="00993D66" w:rsidRPr="00993D66" w:rsidRDefault="00993D66" w:rsidP="00993D66">
      <w:pPr>
        <w:pStyle w:val="SingleTxtG"/>
        <w:ind w:left="1701" w:hanging="567"/>
      </w:pPr>
      <w:r w:rsidRPr="00993D66">
        <w:t>9.</w:t>
      </w:r>
      <w:r w:rsidRPr="00993D66">
        <w:tab/>
        <w:t>Другие правила ООН</w:t>
      </w:r>
      <w:r>
        <w:t>.</w:t>
      </w:r>
    </w:p>
    <w:p w14:paraId="7FC39E12" w14:textId="7D37E38D" w:rsidR="00993D66" w:rsidRPr="00993D66" w:rsidRDefault="00993D66" w:rsidP="00993D66">
      <w:pPr>
        <w:pStyle w:val="SingleTxtG"/>
        <w:ind w:left="1701" w:hanging="567"/>
      </w:pPr>
      <w:r w:rsidRPr="00993D66">
        <w:t>10.</w:t>
      </w:r>
      <w:r w:rsidRPr="00993D66">
        <w:tab/>
        <w:t>Прочие вопросы</w:t>
      </w:r>
      <w:r>
        <w:t>:</w:t>
      </w:r>
    </w:p>
    <w:p w14:paraId="0E941200" w14:textId="38B36DE5" w:rsidR="00993D66" w:rsidRPr="00993D66" w:rsidRDefault="00993D66" w:rsidP="00993D66">
      <w:pPr>
        <w:pStyle w:val="SingleTxtG"/>
        <w:ind w:left="2268" w:hanging="1134"/>
        <w:rPr>
          <w:color w:val="000000"/>
        </w:rPr>
      </w:pPr>
      <w:r w:rsidRPr="00993D66">
        <w:tab/>
        <w:t>a)</w:t>
      </w:r>
      <w:r w:rsidRPr="00993D66">
        <w:tab/>
      </w:r>
      <w:r>
        <w:t>р</w:t>
      </w:r>
      <w:r w:rsidRPr="00993D66">
        <w:t>азработка международной системы официального утверждения типа комплектного транспортного средства</w:t>
      </w:r>
      <w:r>
        <w:t>;</w:t>
      </w:r>
    </w:p>
    <w:p w14:paraId="5A66D592" w14:textId="4C39A993" w:rsidR="00993D66" w:rsidRPr="00993D66" w:rsidRDefault="00993D66" w:rsidP="00993D66">
      <w:pPr>
        <w:pStyle w:val="SingleTxtG"/>
        <w:ind w:left="2268" w:hanging="1134"/>
        <w:rPr>
          <w:color w:val="000000"/>
        </w:rPr>
      </w:pPr>
      <w:r>
        <w:tab/>
      </w:r>
      <w:r w:rsidRPr="00993D66">
        <w:t>b)</w:t>
      </w:r>
      <w:r w:rsidRPr="00993D66">
        <w:tab/>
      </w:r>
      <w:r>
        <w:t>п</w:t>
      </w:r>
      <w:r w:rsidRPr="00993D66">
        <w:t>оправки к Конвенции о дорожном движении (Вена, 1968 год)</w:t>
      </w:r>
      <w:r>
        <w:t>;</w:t>
      </w:r>
    </w:p>
    <w:p w14:paraId="738B08B0" w14:textId="4A302808" w:rsidR="00993D66" w:rsidRPr="00993D66" w:rsidRDefault="00993D66" w:rsidP="00993D66">
      <w:pPr>
        <w:pStyle w:val="SingleTxtG"/>
        <w:ind w:left="2268" w:hanging="1134"/>
        <w:rPr>
          <w:color w:val="000000"/>
        </w:rPr>
      </w:pPr>
      <w:r w:rsidRPr="00993D66">
        <w:tab/>
        <w:t>c)</w:t>
      </w:r>
      <w:r w:rsidRPr="00993D66">
        <w:tab/>
      </w:r>
      <w:r>
        <w:t>р</w:t>
      </w:r>
      <w:r w:rsidRPr="00993D66">
        <w:t>азное</w:t>
      </w:r>
      <w:r>
        <w:t>.</w:t>
      </w:r>
      <w:r w:rsidRPr="00993D66">
        <w:t xml:space="preserve"> </w:t>
      </w:r>
    </w:p>
    <w:p w14:paraId="21F429F8" w14:textId="64001524" w:rsidR="00993D66" w:rsidRPr="00993D66" w:rsidRDefault="00993D66" w:rsidP="00993D66">
      <w:pPr>
        <w:pStyle w:val="SingleTxtG"/>
        <w:ind w:left="1701" w:hanging="567"/>
      </w:pPr>
      <w:r w:rsidRPr="00993D66">
        <w:t>11.</w:t>
      </w:r>
      <w:r w:rsidRPr="00993D66">
        <w:tab/>
        <w:t>Направление будущей деятельности GRE</w:t>
      </w:r>
      <w:r>
        <w:t>.</w:t>
      </w:r>
    </w:p>
    <w:p w14:paraId="392C816A" w14:textId="2C4EBEF2" w:rsidR="00993D66" w:rsidRPr="00993D66" w:rsidRDefault="00993D66" w:rsidP="00993D66">
      <w:pPr>
        <w:pStyle w:val="SingleTxtG"/>
        <w:ind w:left="1701" w:hanging="567"/>
      </w:pPr>
      <w:r w:rsidRPr="00993D66">
        <w:t>12.</w:t>
      </w:r>
      <w:r w:rsidRPr="00993D66">
        <w:tab/>
        <w:t>Предварительная повестка дня следующей сессии</w:t>
      </w:r>
      <w:r>
        <w:t>.</w:t>
      </w:r>
    </w:p>
    <w:p w14:paraId="6FC7017C" w14:textId="77777777" w:rsidR="00993D66" w:rsidRPr="00084DC2" w:rsidRDefault="00993D66" w:rsidP="00993D6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4090D9E6" w14:textId="77777777" w:rsidR="00993D66" w:rsidRPr="00084DC2" w:rsidRDefault="00993D66" w:rsidP="00993D66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10041D1B" w14:textId="77777777" w:rsidR="00993D66" w:rsidRPr="00084DC2" w:rsidRDefault="00993D66" w:rsidP="00993D66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(TRANS/WP.29/690/Rev.2) первым пунктом предварительной повестки дня является ее утверждение.</w:t>
      </w:r>
    </w:p>
    <w:p w14:paraId="08DD5267" w14:textId="796AC5A4" w:rsidR="00993D66" w:rsidRPr="00084DC2" w:rsidRDefault="00993D66" w:rsidP="00993D66">
      <w:pPr>
        <w:pStyle w:val="SingleTxtG"/>
        <w:ind w:left="2835" w:hanging="1701"/>
      </w:pPr>
      <w:r>
        <w:rPr>
          <w:b/>
          <w:bCs/>
        </w:rPr>
        <w:t>Документация</w:t>
      </w:r>
      <w:r w:rsidR="00607F62">
        <w:rPr>
          <w:b/>
          <w:bCs/>
        </w:rPr>
        <w:t>:</w:t>
      </w:r>
      <w:r>
        <w:t xml:space="preserve"> </w:t>
      </w:r>
      <w:r>
        <w:tab/>
        <w:t>ECE/TRANS/WP.29/GRE/2023/1</w:t>
      </w:r>
    </w:p>
    <w:p w14:paraId="2DAEF8BC" w14:textId="77777777" w:rsidR="00993D66" w:rsidRPr="00084DC2" w:rsidRDefault="00993D66" w:rsidP="00993D66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Соглашение 1998 года — глобальные технические правила ООН: разработка</w:t>
      </w:r>
    </w:p>
    <w:p w14:paraId="2C890A6E" w14:textId="2EF45DE3" w:rsidR="00993D66" w:rsidRPr="00084DC2" w:rsidRDefault="00993D66" w:rsidP="00993D66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</w:t>
      </w:r>
      <w:r w:rsidR="00607F62">
        <w:t> </w:t>
      </w:r>
      <w:r>
        <w:t>ООН).</w:t>
      </w:r>
    </w:p>
    <w:p w14:paraId="2061F867" w14:textId="77777777" w:rsidR="00993D66" w:rsidRPr="00084DC2" w:rsidRDefault="00993D66" w:rsidP="00993D66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Соглашение 1997 года — предписания: разработка</w:t>
      </w:r>
    </w:p>
    <w:p w14:paraId="6983441C" w14:textId="77777777" w:rsidR="00993D66" w:rsidRPr="00084DC2" w:rsidRDefault="00993D66" w:rsidP="00993D66">
      <w:pPr>
        <w:pStyle w:val="SingleTxtG"/>
        <w:ind w:firstLine="567"/>
        <w:rPr>
          <w:color w:val="000000"/>
        </w:rPr>
      </w:pPr>
      <w:r>
        <w:t xml:space="preserve">GRE напомнит, что на своей восемьдесят шестой сессии она поддержала концепцию соответствия транспортных средств в течение всего срока эксплуатации, подготовленную неофициальной рабочей группой по периодическим техническим осмотрам (НРГ по ПТО). GRE будет проинформирована о соображениях WP.29 относительно этой концепции. </w:t>
      </w:r>
    </w:p>
    <w:p w14:paraId="6BD8C4F4" w14:textId="77777777" w:rsidR="00993D66" w:rsidRPr="00084DC2" w:rsidRDefault="00993D66" w:rsidP="00993D66">
      <w:pPr>
        <w:pStyle w:val="SingleTxtG"/>
      </w:pPr>
      <w:r>
        <w:rPr>
          <w:b/>
          <w:bCs/>
        </w:rPr>
        <w:t>Документация:</w:t>
      </w:r>
      <w:r>
        <w:tab/>
        <w:t>неофициальный документ GRE-86-04</w:t>
      </w:r>
    </w:p>
    <w:p w14:paraId="7608BC39" w14:textId="77777777" w:rsidR="00993D66" w:rsidRPr="00084DC2" w:rsidRDefault="00993D66" w:rsidP="00993D66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Упрощение правил ООН, касающихся освещения и световой сигнализации</w:t>
      </w:r>
    </w:p>
    <w:p w14:paraId="4829D303" w14:textId="77777777" w:rsidR="00993D66" w:rsidRPr="00084DC2" w:rsidRDefault="00993D66" w:rsidP="00993D66">
      <w:pPr>
        <w:pStyle w:val="SingleTxtG"/>
        <w:ind w:firstLine="567"/>
      </w:pPr>
      <w:r>
        <w:t xml:space="preserve">GRE будет проинформирована о ходе работы неофициальной рабочей группы по упрощению правил в области освещения и световой сигнализации (НРГ по УПОC).  </w:t>
      </w:r>
    </w:p>
    <w:p w14:paraId="0791011F" w14:textId="77777777" w:rsidR="00993D66" w:rsidRPr="00084DC2" w:rsidRDefault="00993D66" w:rsidP="00993D66">
      <w:pPr>
        <w:pStyle w:val="SingleTxtG"/>
        <w:ind w:firstLine="567"/>
      </w:pPr>
      <w:r>
        <w:t xml:space="preserve">GRЕ рассмотрит предложения НРГ по УПОС относительно поправок к правилам № 48, 53, 74 и 86, позволяющих обеспечить возможность постепенного отказа от установки огней/устройств устаревшего образца. </w:t>
      </w:r>
    </w:p>
    <w:p w14:paraId="60E4AC5F" w14:textId="77777777" w:rsidR="00993D66" w:rsidRPr="00084DC2" w:rsidRDefault="00993D66" w:rsidP="00993D6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ECE/TRANS/WP.29/GRE/2023/3, ECE/TRANS/WP.29/GRE/2023/4, ECE/TRANS/WP.29/GRE/2023/5, ECE/TRANS/WP.29/GRE/2023/6</w:t>
      </w:r>
    </w:p>
    <w:p w14:paraId="3FB59580" w14:textId="77777777" w:rsidR="00993D66" w:rsidRPr="00084DC2" w:rsidRDefault="00993D66" w:rsidP="00993D66">
      <w:pPr>
        <w:pStyle w:val="SingleTxtG"/>
        <w:ind w:firstLine="567"/>
        <w:rPr>
          <w:color w:val="000000"/>
        </w:rPr>
      </w:pPr>
      <w:r>
        <w:t>На своей предыдущей сессии НРГ по УПОС представила проект поправок к правилам № 148, 149 и 150 ООН, предусматривающий введение кратких документов, которые будут размещаться в электронной базе данных для обмена документацией об официальном утверждении типа (ДETA), с целью содействия использованию уникального идентификатора (УИ). GRE решила продолжить рассмотрение этой темы на нынешней сессии.</w:t>
      </w:r>
    </w:p>
    <w:p w14:paraId="343512F0" w14:textId="77777777" w:rsidR="00993D66" w:rsidRPr="00084DC2" w:rsidRDefault="00993D66" w:rsidP="00993D66">
      <w:pPr>
        <w:pStyle w:val="SingleTxtG"/>
        <w:ind w:left="2835" w:hanging="1701"/>
        <w:jc w:val="left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ECE/TRANS/WP.29/GRE/2022/10, ECE/TRANS/WP.29/GRE/2022/11, ECE/TRANS/WP.29/GRE/2022/12</w:t>
      </w:r>
    </w:p>
    <w:p w14:paraId="732446F1" w14:textId="77777777" w:rsidR="00993D66" w:rsidRPr="00084DC2" w:rsidRDefault="00993D66" w:rsidP="00993D66">
      <w:pPr>
        <w:pStyle w:val="SingleTxtG"/>
        <w:ind w:firstLine="567"/>
        <w:rPr>
          <w:color w:val="000000"/>
        </w:rPr>
      </w:pPr>
      <w:r>
        <w:t>GRE предлагается также рассмотреть просьбу НРГ по ДЕТА об уточнении положений правил ООН, в контексте которых может применяться маркировка УИ.</w:t>
      </w:r>
    </w:p>
    <w:p w14:paraId="51C28FE0" w14:textId="77777777" w:rsidR="00993D66" w:rsidRPr="00084DC2" w:rsidRDefault="00993D66" w:rsidP="00993D66">
      <w:pPr>
        <w:pStyle w:val="SingleTxtG"/>
      </w:pPr>
      <w:r>
        <w:rPr>
          <w:b/>
          <w:bCs/>
        </w:rPr>
        <w:t>Документация:</w:t>
      </w:r>
      <w:r>
        <w:tab/>
        <w:t>неофициальные документы GRE-88-02 и GRE-88-03</w:t>
      </w:r>
      <w:r>
        <w:tab/>
      </w:r>
    </w:p>
    <w:p w14:paraId="301655D3" w14:textId="77777777" w:rsidR="00993D66" w:rsidRPr="001905BF" w:rsidRDefault="00993D66" w:rsidP="00993D66">
      <w:pPr>
        <w:pStyle w:val="SingleTxtG"/>
        <w:ind w:firstLine="567"/>
        <w:rPr>
          <w:color w:val="000000"/>
        </w:rPr>
      </w:pPr>
      <w:r>
        <w:t xml:space="preserve">На предыдущей сессии, в связи с возможной заменой традиционных маркировок официального утверждения на УИ, Международный комитет по техническому осмотру автотранспортных средств (МКТОТ) представил соответствующее предложение с целью обеспечения наличия достаточной информации об устройстве для проведения периодических и придорожных проверок. GRЕ решила вернуться к этому предложению на нынешней сессии. </w:t>
      </w:r>
    </w:p>
    <w:p w14:paraId="63E74423" w14:textId="6FC29D56" w:rsidR="00993D66" w:rsidRPr="00084DC2" w:rsidRDefault="00993D66" w:rsidP="00993D66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ECE/TRANS/WP.29/GRE/2022/13, </w:t>
      </w:r>
      <w:r w:rsidR="00607F62">
        <w:br/>
      </w:r>
      <w:r>
        <w:t xml:space="preserve">неофициальный документ GRE-87-07 </w:t>
      </w:r>
    </w:p>
    <w:p w14:paraId="3A2DCD4E" w14:textId="59CB7BBB" w:rsidR="00993D66" w:rsidRPr="001905BF" w:rsidRDefault="00993D66" w:rsidP="00993D66">
      <w:pPr>
        <w:pStyle w:val="SingleTxtG"/>
        <w:ind w:firstLine="567"/>
      </w:pPr>
      <w:r>
        <w:t>И наконец, GRE будет проинформирована о деятельности НРГ по УПОС в отношении новой серии поправок к Правилам № 48 ООН, предусматривающих введение пересмотренных требовани</w:t>
      </w:r>
      <w:r w:rsidR="00607F62">
        <w:t>й</w:t>
      </w:r>
      <w:r>
        <w:t xml:space="preserve"> к регулировке фар, и обсудит пересмотренное предложение, подготовленное НРГ по УПОС.</w:t>
      </w:r>
    </w:p>
    <w:p w14:paraId="0A29F3F8" w14:textId="77777777" w:rsidR="00993D66" w:rsidRPr="00993D66" w:rsidRDefault="00993D66" w:rsidP="00993D66">
      <w:pPr>
        <w:pStyle w:val="SingleTxtG"/>
        <w:rPr>
          <w:color w:val="000000"/>
          <w:lang w:val="en-US"/>
        </w:rPr>
      </w:pPr>
      <w:r>
        <w:rPr>
          <w:b/>
          <w:bCs/>
        </w:rPr>
        <w:t>Документация</w:t>
      </w:r>
      <w:r w:rsidRPr="00084DC2">
        <w:rPr>
          <w:b/>
          <w:bCs/>
          <w:lang w:val="en-US"/>
        </w:rPr>
        <w:t>:</w:t>
      </w:r>
      <w:r w:rsidRPr="00084DC2">
        <w:rPr>
          <w:lang w:val="en-US"/>
        </w:rPr>
        <w:tab/>
        <w:t>ECE/TRANS/WP.29/GRE/2020/8/Rev.3</w:t>
      </w:r>
    </w:p>
    <w:p w14:paraId="06812147" w14:textId="77777777" w:rsidR="00993D66" w:rsidRPr="00084DC2" w:rsidRDefault="00993D66" w:rsidP="00993D66">
      <w:pPr>
        <w:pStyle w:val="H1G"/>
      </w:pPr>
      <w:r w:rsidRPr="00993D66">
        <w:rPr>
          <w:bCs/>
          <w:lang w:val="en-US"/>
        </w:rPr>
        <w:tab/>
      </w:r>
      <w:r>
        <w:rPr>
          <w:bCs/>
        </w:rPr>
        <w:t>5.</w:t>
      </w:r>
      <w:r>
        <w:tab/>
      </w:r>
      <w:r>
        <w:rPr>
          <w:bCs/>
        </w:rPr>
        <w:t>Правила ООН, касающиеся источников света, и Сводная резолюция по общей спецификации для категорий источников света</w:t>
      </w:r>
      <w:r>
        <w:t xml:space="preserve"> </w:t>
      </w:r>
    </w:p>
    <w:p w14:paraId="22E64C67" w14:textId="77777777" w:rsidR="00993D66" w:rsidRPr="00084DC2" w:rsidRDefault="00993D66" w:rsidP="00993D66">
      <w:pPr>
        <w:pStyle w:val="SingleTxtG"/>
        <w:ind w:firstLine="567"/>
      </w:pPr>
      <w:r>
        <w:t xml:space="preserve">GRЕ рассмотрит новые предложения по поправкам, если таковые поступят.  </w:t>
      </w:r>
    </w:p>
    <w:p w14:paraId="780DDA50" w14:textId="77777777" w:rsidR="00993D66" w:rsidRPr="00084DC2" w:rsidRDefault="00993D66" w:rsidP="00993D66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Правила ООН, касающиеся установки</w:t>
      </w:r>
    </w:p>
    <w:p w14:paraId="467D3988" w14:textId="77777777" w:rsidR="00993D66" w:rsidRPr="00084DC2" w:rsidRDefault="00993D66" w:rsidP="00993D66">
      <w:pPr>
        <w:pStyle w:val="H23G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  <w:r>
        <w:t xml:space="preserve"> </w:t>
      </w:r>
    </w:p>
    <w:p w14:paraId="4D14E3A8" w14:textId="77777777" w:rsidR="00993D66" w:rsidRPr="00084DC2" w:rsidRDefault="00993D66" w:rsidP="00993D66">
      <w:pPr>
        <w:pStyle w:val="SingleTxtG"/>
        <w:ind w:firstLine="567"/>
        <w:rPr>
          <w:color w:val="000000"/>
        </w:rPr>
      </w:pPr>
      <w:r>
        <w:t xml:space="preserve">GRE ознакомится с докладом о ходе работы группы заинтересованных экспертов (ГЗЭ) по поправкам серии 09 к Правилам № 48 ООН и рассмотрит новое предложение ГЗЭ, предусматривающее включение в сферу применения Правил № 48 ООН условий стоянки транспортного средства. </w:t>
      </w:r>
    </w:p>
    <w:p w14:paraId="356E8849" w14:textId="77777777" w:rsidR="00993D66" w:rsidRPr="00084DC2" w:rsidRDefault="00993D66" w:rsidP="00993D66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ECE/TRANS/WP.29/GRE/2023/2</w:t>
      </w:r>
    </w:p>
    <w:p w14:paraId="6C6F33B4" w14:textId="7310CED3" w:rsidR="00993D66" w:rsidRPr="00084DC2" w:rsidRDefault="00993D66" w:rsidP="00993D66">
      <w:pPr>
        <w:pStyle w:val="SingleTxtG"/>
        <w:ind w:firstLine="567"/>
        <w:rPr>
          <w:bCs/>
        </w:rPr>
      </w:pPr>
      <w:r>
        <w:t>К GRE обращена просьба рассмотреть предложение, которое было подготовлено Международн</w:t>
      </w:r>
      <w:r w:rsidR="00607F62">
        <w:t>ой</w:t>
      </w:r>
      <w:r>
        <w:t xml:space="preserve"> организаци</w:t>
      </w:r>
      <w:r w:rsidR="00607F62">
        <w:t>и</w:t>
      </w:r>
      <w:r>
        <w:t xml:space="preserve"> предприятий автомобильной промышленности (МОПАП) с целью допущения использования логотипов площадью менее 5 см</w:t>
      </w:r>
      <w:r>
        <w:rPr>
          <w:vertAlign w:val="superscript"/>
        </w:rPr>
        <w:t>2</w:t>
      </w:r>
      <w:r>
        <w:t>.</w:t>
      </w:r>
    </w:p>
    <w:p w14:paraId="011F82C5" w14:textId="77777777" w:rsidR="00993D66" w:rsidRPr="00084DC2" w:rsidRDefault="00993D66" w:rsidP="00993D66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ECE/TRANS/WP.29/GRE/2023/10</w:t>
      </w:r>
    </w:p>
    <w:p w14:paraId="30E87524" w14:textId="77777777" w:rsidR="00993D66" w:rsidRPr="00084DC2" w:rsidRDefault="00993D66" w:rsidP="00993D66">
      <w:pPr>
        <w:pStyle w:val="SingleTxtG"/>
        <w:ind w:firstLine="567"/>
        <w:rPr>
          <w:bCs/>
        </w:rPr>
      </w:pPr>
      <w:r>
        <w:t>GRE рассмотрит предложение Международной группы экспертов по вопросам автомобильного освещения и световой сигнализации (БРГ), допускающее использование проекции схемы прогнозируемой траектории.</w:t>
      </w:r>
    </w:p>
    <w:p w14:paraId="60E2BB0C" w14:textId="77777777" w:rsidR="00993D66" w:rsidRPr="00084DC2" w:rsidRDefault="00993D66" w:rsidP="00993D66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ECE/TRANS/WP.29/GRE/2023/7</w:t>
      </w:r>
    </w:p>
    <w:p w14:paraId="752E9FF3" w14:textId="77777777" w:rsidR="00993D66" w:rsidRPr="00CF7051" w:rsidRDefault="00993D66" w:rsidP="00993D66">
      <w:pPr>
        <w:pStyle w:val="SingleTxtG"/>
        <w:ind w:firstLine="567"/>
        <w:rPr>
          <w:color w:val="333333"/>
          <w:shd w:val="clear" w:color="auto" w:fill="FFFFFF"/>
        </w:rPr>
      </w:pPr>
      <w:r w:rsidRPr="00CF7051">
        <w:t>GRE предлагается рассмотреть проект поправок БРГ, нацеленных на</w:t>
      </w:r>
      <w:r w:rsidRPr="00CF7051">
        <w:rPr>
          <w:color w:val="333333"/>
          <w:shd w:val="clear" w:color="auto" w:fill="FFFFFF"/>
        </w:rPr>
        <w:t xml:space="preserve"> распространение на фары ближнего света а</w:t>
      </w:r>
      <w:r w:rsidRPr="00CF7051">
        <w:t>даптивных систем переднего освещения (АСПО)</w:t>
      </w:r>
      <w:r w:rsidRPr="00CF7051">
        <w:rPr>
          <w:color w:val="333333"/>
          <w:shd w:val="clear" w:color="auto" w:fill="FFFFFF"/>
        </w:rPr>
        <w:t xml:space="preserve"> возможности проецирования символов и схем в помощь водителю.</w:t>
      </w:r>
      <w:r>
        <w:rPr>
          <w:color w:val="333333"/>
          <w:shd w:val="clear" w:color="auto" w:fill="FFFFFF"/>
        </w:rPr>
        <w:t xml:space="preserve"> </w:t>
      </w:r>
      <w:r>
        <w:t>Эти поправки сопровождаются соответствующей поправкой к Правилам № 149 ООН.</w:t>
      </w:r>
    </w:p>
    <w:p w14:paraId="18BB14AE" w14:textId="77777777" w:rsidR="00993D66" w:rsidRPr="00084DC2" w:rsidRDefault="00993D66" w:rsidP="00993D66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ECE/TRANS/WP.29/GRE/2023/8</w:t>
      </w:r>
    </w:p>
    <w:p w14:paraId="5C152429" w14:textId="77777777" w:rsidR="00993D66" w:rsidRPr="00084DC2" w:rsidRDefault="00993D66" w:rsidP="00993D66">
      <w:pPr>
        <w:pStyle w:val="SingleTxtG"/>
        <w:ind w:firstLine="567"/>
        <w:rPr>
          <w:bCs/>
        </w:rPr>
      </w:pPr>
      <w:r>
        <w:t>GRE обсудит пересмотренное предложение эксперта от Международной ассоциации изготовителей автомобильных кузовов и прицепов (МАИАКП), предусматривающее увеличение числа огней маневрирования на прицепах в зависимости от длины прицепа.</w:t>
      </w:r>
    </w:p>
    <w:p w14:paraId="321927A4" w14:textId="77777777" w:rsidR="00993D66" w:rsidRPr="00993D66" w:rsidRDefault="00993D66" w:rsidP="00993D66">
      <w:pPr>
        <w:pStyle w:val="SingleTxtG"/>
        <w:rPr>
          <w:bCs/>
          <w:lang w:val="en-US"/>
        </w:rPr>
      </w:pPr>
      <w:r>
        <w:rPr>
          <w:b/>
          <w:bCs/>
        </w:rPr>
        <w:t>Документация</w:t>
      </w:r>
      <w:r w:rsidRPr="00084DC2">
        <w:rPr>
          <w:b/>
          <w:bCs/>
          <w:lang w:val="en-US"/>
        </w:rPr>
        <w:t>:</w:t>
      </w:r>
      <w:r w:rsidRPr="00084DC2">
        <w:rPr>
          <w:lang w:val="en-US"/>
        </w:rPr>
        <w:tab/>
        <w:t>ECE/TRANS/WP.29/GRE/2022/25/Rev.1</w:t>
      </w:r>
      <w:r w:rsidRPr="00084DC2">
        <w:rPr>
          <w:lang w:val="en-US"/>
        </w:rPr>
        <w:tab/>
      </w:r>
    </w:p>
    <w:p w14:paraId="0A1283E4" w14:textId="77777777" w:rsidR="00993D66" w:rsidRPr="00084DC2" w:rsidRDefault="00993D66" w:rsidP="00993D66">
      <w:pPr>
        <w:pStyle w:val="SingleTxtG"/>
        <w:ind w:firstLine="567"/>
        <w:rPr>
          <w:bCs/>
        </w:rPr>
      </w:pPr>
      <w:r>
        <w:t xml:space="preserve">К GRE обращена просьба рассмотреть предложения по поправкам, которые были подготовлены Целевой группой по требованиям к сигнализации автономных транспортных средств (ЦГ по ТСАТ). </w:t>
      </w:r>
    </w:p>
    <w:p w14:paraId="035A75FB" w14:textId="77777777" w:rsidR="00993D66" w:rsidRPr="00084DC2" w:rsidRDefault="00993D66" w:rsidP="00993D66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ECE/TRANS/WP.29/GRE/2023/9</w:t>
      </w:r>
    </w:p>
    <w:p w14:paraId="406CE1D8" w14:textId="77777777" w:rsidR="00993D66" w:rsidRPr="00084DC2" w:rsidRDefault="00993D66" w:rsidP="00993D66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Другие правила ООН, касающиеся установки</w:t>
      </w:r>
      <w:bookmarkStart w:id="2" w:name="_Hlk78980131"/>
      <w:bookmarkEnd w:id="2"/>
    </w:p>
    <w:p w14:paraId="2C20F622" w14:textId="77777777" w:rsidR="00993D66" w:rsidRPr="00084DC2" w:rsidRDefault="00993D66" w:rsidP="00993D66">
      <w:pPr>
        <w:pStyle w:val="SingleTxtG"/>
        <w:ind w:firstLine="567"/>
      </w:pPr>
      <w:r>
        <w:t xml:space="preserve">GRE будет проинформирована о предложениях по поправкам к правилам № 53, 74 и 86 ООН, если таковые поступят.  </w:t>
      </w:r>
    </w:p>
    <w:p w14:paraId="078F47F4" w14:textId="77777777" w:rsidR="00993D66" w:rsidRPr="00084DC2" w:rsidRDefault="00993D66" w:rsidP="00993D66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Правила ООН, касающиеся устройств</w:t>
      </w:r>
      <w:r>
        <w:t xml:space="preserve"> </w:t>
      </w:r>
    </w:p>
    <w:p w14:paraId="1EC807B3" w14:textId="66DB79B9" w:rsidR="00993D66" w:rsidRPr="00084DC2" w:rsidRDefault="00993D66" w:rsidP="00993D66">
      <w:pPr>
        <w:pStyle w:val="SingleTxtG"/>
        <w:rPr>
          <w:color w:val="000000"/>
        </w:rPr>
      </w:pPr>
      <w:r>
        <w:tab/>
        <w:t xml:space="preserve">GRE рассмотрит новые предложения по правилам № 148, 149 и 150 ООН, если таковые поступят.  </w:t>
      </w:r>
    </w:p>
    <w:p w14:paraId="7ADC305F" w14:textId="77777777" w:rsidR="00993D66" w:rsidRPr="00084DC2" w:rsidRDefault="00993D66" w:rsidP="00993D66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Правила № 10 ООН (электромагнитная совместимость)</w:t>
      </w:r>
      <w:r>
        <w:t xml:space="preserve"> </w:t>
      </w:r>
    </w:p>
    <w:p w14:paraId="6C389E40" w14:textId="77777777" w:rsidR="00993D66" w:rsidRPr="00084DC2" w:rsidRDefault="00993D66" w:rsidP="00993D66">
      <w:pPr>
        <w:spacing w:after="120"/>
        <w:ind w:left="1134" w:right="1134" w:firstLine="567"/>
        <w:jc w:val="both"/>
      </w:pPr>
      <w:r>
        <w:t>GRE будет проинформирована о деятельности неофициальной рабочей группы по электромагнитной совместимости (НРГ по ЭМС) и рассмотрит любые предложения, подготовленные НРГ по ЭМС. В зависимости от хода работы НРГ по ЭМС, GRE, возможно, также пожелает рассмотреть вероятные поправки к ее кругу ведения.</w:t>
      </w:r>
    </w:p>
    <w:p w14:paraId="531BF343" w14:textId="77777777" w:rsidR="00993D66" w:rsidRPr="00084DC2" w:rsidRDefault="00993D66" w:rsidP="00993D66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Другие правила ООН</w:t>
      </w:r>
    </w:p>
    <w:p w14:paraId="72502E79" w14:textId="77777777" w:rsidR="00993D66" w:rsidRPr="00084DC2" w:rsidRDefault="00993D66" w:rsidP="00993D66">
      <w:pPr>
        <w:pStyle w:val="SingleTxtG"/>
        <w:ind w:firstLine="567"/>
      </w:pPr>
      <w:r>
        <w:t xml:space="preserve">GRE рассмотрит предложения по поправкам к другим правилам ООН, если таковые поступят.  </w:t>
      </w:r>
    </w:p>
    <w:p w14:paraId="0913CFB2" w14:textId="77777777" w:rsidR="00993D66" w:rsidRPr="00084DC2" w:rsidRDefault="00993D66" w:rsidP="00993D66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Прочие вопросы</w:t>
      </w:r>
    </w:p>
    <w:p w14:paraId="58139D54" w14:textId="77777777" w:rsidR="00993D66" w:rsidRPr="00084DC2" w:rsidRDefault="00993D66" w:rsidP="00993D66">
      <w:pPr>
        <w:pStyle w:val="H23G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03878C2A" w14:textId="0CD99ED4" w:rsidR="00993D66" w:rsidRPr="00084DC2" w:rsidRDefault="00993D66" w:rsidP="00993D66">
      <w:pPr>
        <w:pStyle w:val="SingleTxtG"/>
      </w:pPr>
      <w:r>
        <w:tab/>
        <w:t xml:space="preserve">GRE будет проинформирована о ходе работы над международной системой официального утверждения типа комплектного транспортного средства (МОУТКТС) и над электронной базой данных для обмена документацией об официальном утверждении типа (ДETA), включая использование ДЕТА в контексте уникального идентификатора (УИ).  </w:t>
      </w:r>
      <w:bookmarkStart w:id="3" w:name="_Hlk109640904"/>
      <w:bookmarkEnd w:id="3"/>
    </w:p>
    <w:p w14:paraId="0218E946" w14:textId="77777777" w:rsidR="00993D66" w:rsidRPr="00084DC2" w:rsidRDefault="00993D66" w:rsidP="00993D66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14:paraId="10B9D6E2" w14:textId="13AEDEB8" w:rsidR="00993D66" w:rsidRPr="00084DC2" w:rsidRDefault="00993D66" w:rsidP="00993D66">
      <w:pPr>
        <w:pStyle w:val="SingleTxtG"/>
        <w:rPr>
          <w:rFonts w:eastAsia="MS Mincho"/>
        </w:rPr>
      </w:pPr>
      <w:r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вопросам.</w:t>
      </w:r>
    </w:p>
    <w:p w14:paraId="44755546" w14:textId="77777777" w:rsidR="00993D66" w:rsidRPr="00084DC2" w:rsidRDefault="00993D66" w:rsidP="00993D66">
      <w:pPr>
        <w:pStyle w:val="H23G"/>
        <w:rPr>
          <w:color w:val="000000"/>
        </w:rPr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Разное</w:t>
      </w:r>
      <w:r>
        <w:t xml:space="preserve"> </w:t>
      </w:r>
      <w:bookmarkStart w:id="4" w:name="_Hlk78963081"/>
      <w:bookmarkEnd w:id="4"/>
    </w:p>
    <w:p w14:paraId="64553F9C" w14:textId="77777777" w:rsidR="00993D66" w:rsidRPr="00084DC2" w:rsidRDefault="00993D66" w:rsidP="00993D66">
      <w:pPr>
        <w:pStyle w:val="SingleTxtG"/>
        <w:ind w:firstLine="567"/>
      </w:pPr>
      <w:r>
        <w:t>GRE, возможно, также рассмотрит другие вопросы и/или документы, поступившие после представления настоящей аннотированной предварительной повестки дня.</w:t>
      </w:r>
    </w:p>
    <w:p w14:paraId="35763411" w14:textId="77777777" w:rsidR="00993D66" w:rsidRPr="00084DC2" w:rsidRDefault="00993D66" w:rsidP="00993D66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Направление будущей деятельности GRE</w:t>
      </w:r>
    </w:p>
    <w:p w14:paraId="12B83556" w14:textId="2A28F4AC" w:rsidR="00993D66" w:rsidRPr="00084DC2" w:rsidRDefault="00993D66" w:rsidP="00993D66">
      <w:pPr>
        <w:pStyle w:val="SingleTxtG"/>
        <w:ind w:firstLine="567"/>
      </w:pPr>
      <w:r>
        <w:t>GRE рассмотрит вопрос о своей возможной будущей деятельности. В</w:t>
      </w:r>
      <w:r w:rsidR="00607F62">
        <w:t> </w:t>
      </w:r>
      <w:r>
        <w:t xml:space="preserve">частности, GRE будет проинформирована о ходе работы ЦГ по ТСАТ и примет к сведению, что WP.29 на своей сессии в ноябре 2022 года рекомендовал GRE провести анализ исследований и установить принципы высокого уровня, связанные со световой сигнализацией, для проверки рабочего режима автоматизированных систем вождения (AСВ). </w:t>
      </w:r>
    </w:p>
    <w:p w14:paraId="3FE2F0D2" w14:textId="77777777" w:rsidR="00993D66" w:rsidRPr="00084DC2" w:rsidRDefault="00993D66" w:rsidP="00993D66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Предварительная повестка дня следующей сессии</w:t>
      </w:r>
    </w:p>
    <w:p w14:paraId="003D7432" w14:textId="77777777" w:rsidR="00993D66" w:rsidRPr="00084DC2" w:rsidRDefault="00993D66" w:rsidP="00993D66">
      <w:pPr>
        <w:ind w:left="1134" w:right="1134"/>
        <w:jc w:val="both"/>
        <w:rPr>
          <w:color w:val="000000" w:themeColor="text1"/>
        </w:rPr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  <w:r>
        <w:tab/>
      </w:r>
    </w:p>
    <w:p w14:paraId="509F55B7" w14:textId="77777777" w:rsidR="00993D66" w:rsidRPr="00084DC2" w:rsidRDefault="00993D66" w:rsidP="00993D66">
      <w:pPr>
        <w:pStyle w:val="SingleTxtG"/>
        <w:spacing w:after="0"/>
        <w:jc w:val="center"/>
        <w:rPr>
          <w:color w:val="000000"/>
          <w:u w:val="single"/>
        </w:rPr>
      </w:pPr>
      <w:r w:rsidRPr="00084DC2">
        <w:rPr>
          <w:color w:val="000000"/>
          <w:u w:val="single"/>
        </w:rPr>
        <w:tab/>
      </w:r>
      <w:r w:rsidRPr="00084DC2">
        <w:rPr>
          <w:color w:val="000000"/>
          <w:u w:val="single"/>
        </w:rPr>
        <w:tab/>
      </w:r>
      <w:r w:rsidRPr="00084DC2">
        <w:rPr>
          <w:color w:val="000000"/>
          <w:u w:val="single"/>
        </w:rPr>
        <w:tab/>
      </w:r>
      <w:r w:rsidRPr="00084DC2">
        <w:rPr>
          <w:color w:val="000000"/>
          <w:u w:val="single"/>
        </w:rPr>
        <w:tab/>
      </w:r>
    </w:p>
    <w:bookmarkEnd w:id="0"/>
    <w:p w14:paraId="5E80B08E" w14:textId="77777777" w:rsidR="00E12C5F" w:rsidRPr="008D53B6" w:rsidRDefault="00E12C5F" w:rsidP="00D9145B"/>
    <w:sectPr w:rsidR="00E12C5F" w:rsidRPr="008D53B6" w:rsidSect="00993D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EF62" w14:textId="77777777" w:rsidR="00621A0B" w:rsidRPr="00A312BC" w:rsidRDefault="00621A0B" w:rsidP="00A312BC"/>
  </w:endnote>
  <w:endnote w:type="continuationSeparator" w:id="0">
    <w:p w14:paraId="047FEE6D" w14:textId="77777777" w:rsidR="00621A0B" w:rsidRPr="00A312BC" w:rsidRDefault="00621A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81AA" w14:textId="3ADE0482" w:rsidR="00993D66" w:rsidRPr="00993D66" w:rsidRDefault="00993D66">
    <w:pPr>
      <w:pStyle w:val="a8"/>
    </w:pPr>
    <w:r w:rsidRPr="00993D66">
      <w:rPr>
        <w:b/>
        <w:sz w:val="18"/>
      </w:rPr>
      <w:fldChar w:fldCharType="begin"/>
    </w:r>
    <w:r w:rsidRPr="00993D66">
      <w:rPr>
        <w:b/>
        <w:sz w:val="18"/>
      </w:rPr>
      <w:instrText xml:space="preserve"> PAGE  \* MERGEFORMAT </w:instrText>
    </w:r>
    <w:r w:rsidRPr="00993D66">
      <w:rPr>
        <w:b/>
        <w:sz w:val="18"/>
      </w:rPr>
      <w:fldChar w:fldCharType="separate"/>
    </w:r>
    <w:r w:rsidRPr="00993D66">
      <w:rPr>
        <w:b/>
        <w:noProof/>
        <w:sz w:val="18"/>
      </w:rPr>
      <w:t>2</w:t>
    </w:r>
    <w:r w:rsidRPr="00993D66">
      <w:rPr>
        <w:b/>
        <w:sz w:val="18"/>
      </w:rPr>
      <w:fldChar w:fldCharType="end"/>
    </w:r>
    <w:r>
      <w:rPr>
        <w:b/>
        <w:sz w:val="18"/>
      </w:rPr>
      <w:tab/>
    </w:r>
    <w:r>
      <w:t>GE.23-01814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39C4" w14:textId="7DF056E5" w:rsidR="00993D66" w:rsidRPr="00993D66" w:rsidRDefault="00993D66" w:rsidP="00993D66">
    <w:pPr>
      <w:pStyle w:val="a8"/>
      <w:tabs>
        <w:tab w:val="clear" w:pos="9639"/>
        <w:tab w:val="right" w:pos="9638"/>
      </w:tabs>
      <w:rPr>
        <w:b/>
        <w:sz w:val="18"/>
      </w:rPr>
    </w:pPr>
    <w:r>
      <w:t>GE.23-01814</w:t>
    </w:r>
    <w:r>
      <w:tab/>
    </w:r>
    <w:r w:rsidRPr="00993D66">
      <w:rPr>
        <w:b/>
        <w:sz w:val="18"/>
      </w:rPr>
      <w:fldChar w:fldCharType="begin"/>
    </w:r>
    <w:r w:rsidRPr="00993D66">
      <w:rPr>
        <w:b/>
        <w:sz w:val="18"/>
      </w:rPr>
      <w:instrText xml:space="preserve"> PAGE  \* MERGEFORMAT </w:instrText>
    </w:r>
    <w:r w:rsidRPr="00993D66">
      <w:rPr>
        <w:b/>
        <w:sz w:val="18"/>
      </w:rPr>
      <w:fldChar w:fldCharType="separate"/>
    </w:r>
    <w:r w:rsidRPr="00993D66">
      <w:rPr>
        <w:b/>
        <w:noProof/>
        <w:sz w:val="18"/>
      </w:rPr>
      <w:t>3</w:t>
    </w:r>
    <w:r w:rsidRPr="00993D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2ACD" w14:textId="1D705F72" w:rsidR="00042B72" w:rsidRPr="00993D66" w:rsidRDefault="00993D66" w:rsidP="00993D6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C890D0" wp14:editId="37872E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23-01814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D18A3F" wp14:editId="1CFCC4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090223  </w:t>
    </w:r>
    <w:r>
      <w:rPr>
        <w:lang w:val="en-US"/>
      </w:rPr>
      <w:t>090223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071F" w14:textId="77777777" w:rsidR="00621A0B" w:rsidRPr="001075E9" w:rsidRDefault="00621A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15C9F3" w14:textId="77777777" w:rsidR="00621A0B" w:rsidRDefault="00621A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A82620" w14:textId="2272ECC3" w:rsidR="00993D66" w:rsidRPr="00084DC2" w:rsidRDefault="00993D66" w:rsidP="00993D66">
      <w:pPr>
        <w:pStyle w:val="ad"/>
      </w:pPr>
      <w:r>
        <w:tab/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устойчивого транспорта ЕЭК по следующему адресу в Интернете: </w:t>
      </w:r>
      <w:hyperlink r:id="rId1" w:history="1">
        <w:r w:rsidRPr="00641D0C">
          <w:rPr>
            <w:rStyle w:val="af1"/>
          </w:rPr>
          <w:t>https://unece.org/info/events/event/374926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Pr="00641D0C">
          <w:rPr>
            <w:rStyle w:val="af1"/>
          </w:rPr>
          <w:t>gre@unece.org</w:t>
        </w:r>
      </w:hyperlink>
      <w:r>
        <w:t xml:space="preserve">). </w:t>
      </w:r>
    </w:p>
  </w:footnote>
  <w:footnote w:id="2">
    <w:p w14:paraId="4CCB56EA" w14:textId="7404DBA2" w:rsidR="00993D66" w:rsidRPr="00084DC2" w:rsidRDefault="00993D66" w:rsidP="00993D66">
      <w:pPr>
        <w:pStyle w:val="ad"/>
      </w:pPr>
      <w:r>
        <w:tab/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641D0C">
          <w:rPr>
            <w:rStyle w:val="af1"/>
          </w:rPr>
          <w:t>https://indico.un.org/event/1002138/</w:t>
        </w:r>
      </w:hyperlink>
      <w:r>
        <w:t>). По прибытии во Дворец Наций делегатам следует получить пропуск в Секции охраны и безопасности ЮНОГ, которая временно расположена на вилле Ле Фейантин (1</w:t>
      </w:r>
      <w:r w:rsidR="00607F62">
        <w:t>3</w:t>
      </w:r>
      <w:r>
        <w:t>, Avenue de la Paix). В случае затруднений просьба связаться с секретариатом по телефону (внутр. ном. 74323). Карту Дворца Наций и другую полезную информацию см. по следующему адресу в Интернете</w:t>
      </w:r>
      <w:r w:rsidR="00607F62">
        <w:t>:</w:t>
      </w:r>
      <w:r>
        <w:t xml:space="preserve"> </w:t>
      </w:r>
      <w:hyperlink r:id="rId4" w:history="1">
        <w:r w:rsidRPr="00641D0C">
          <w:rPr>
            <w:rStyle w:val="af1"/>
          </w:rPr>
          <w:t>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9F88" w14:textId="1F57B621" w:rsidR="00993D66" w:rsidRPr="00993D66" w:rsidRDefault="00993D66">
    <w:pPr>
      <w:pStyle w:val="a5"/>
    </w:pPr>
    <w:fldSimple w:instr=" TITLE  \* MERGEFORMAT ">
      <w:r w:rsidR="00613C1F">
        <w:t>ECE/TRANS/WP.29/GRE/2023/1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B71" w14:textId="3A5D8E92" w:rsidR="00993D66" w:rsidRPr="00993D66" w:rsidRDefault="00993D66" w:rsidP="00993D66">
    <w:pPr>
      <w:pStyle w:val="a5"/>
      <w:jc w:val="right"/>
    </w:pPr>
    <w:fldSimple w:instr=" TITLE  \* MERGEFORMAT ">
      <w:r w:rsidR="00613C1F">
        <w:t>ECE/TRANS/WP.29/GRE/2023/1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27101450">
    <w:abstractNumId w:val="16"/>
  </w:num>
  <w:num w:numId="2" w16cid:durableId="431827753">
    <w:abstractNumId w:val="11"/>
  </w:num>
  <w:num w:numId="3" w16cid:durableId="1348673608">
    <w:abstractNumId w:val="10"/>
  </w:num>
  <w:num w:numId="4" w16cid:durableId="962151692">
    <w:abstractNumId w:val="17"/>
  </w:num>
  <w:num w:numId="5" w16cid:durableId="2000841990">
    <w:abstractNumId w:val="13"/>
  </w:num>
  <w:num w:numId="6" w16cid:durableId="1715807707">
    <w:abstractNumId w:val="8"/>
  </w:num>
  <w:num w:numId="7" w16cid:durableId="1872065157">
    <w:abstractNumId w:val="3"/>
  </w:num>
  <w:num w:numId="8" w16cid:durableId="2121214317">
    <w:abstractNumId w:val="2"/>
  </w:num>
  <w:num w:numId="9" w16cid:durableId="1184324057">
    <w:abstractNumId w:val="1"/>
  </w:num>
  <w:num w:numId="10" w16cid:durableId="597371814">
    <w:abstractNumId w:val="0"/>
  </w:num>
  <w:num w:numId="11" w16cid:durableId="1118909833">
    <w:abstractNumId w:val="9"/>
  </w:num>
  <w:num w:numId="12" w16cid:durableId="1455514632">
    <w:abstractNumId w:val="7"/>
  </w:num>
  <w:num w:numId="13" w16cid:durableId="296377135">
    <w:abstractNumId w:val="6"/>
  </w:num>
  <w:num w:numId="14" w16cid:durableId="548959461">
    <w:abstractNumId w:val="5"/>
  </w:num>
  <w:num w:numId="15" w16cid:durableId="964699851">
    <w:abstractNumId w:val="4"/>
  </w:num>
  <w:num w:numId="16" w16cid:durableId="1871602001">
    <w:abstractNumId w:val="15"/>
  </w:num>
  <w:num w:numId="17" w16cid:durableId="339815298">
    <w:abstractNumId w:val="12"/>
  </w:num>
  <w:num w:numId="18" w16cid:durableId="1021511618">
    <w:abstractNumId w:val="14"/>
  </w:num>
  <w:num w:numId="19" w16cid:durableId="59914623">
    <w:abstractNumId w:val="15"/>
  </w:num>
  <w:num w:numId="20" w16cid:durableId="1993632608">
    <w:abstractNumId w:val="12"/>
  </w:num>
  <w:num w:numId="21" w16cid:durableId="28724538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0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7F62"/>
    <w:rsid w:val="00613C1F"/>
    <w:rsid w:val="00617A43"/>
    <w:rsid w:val="00621A0B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3D6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CCE57"/>
  <w15:docId w15:val="{38E5A8E9-8CD6-465B-BEB7-A8EBCE06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93D66"/>
    <w:rPr>
      <w:lang w:val="ru-RU" w:eastAsia="en-US"/>
    </w:rPr>
  </w:style>
  <w:style w:type="character" w:customStyle="1" w:styleId="H1GChar">
    <w:name w:val="_ H_1_G Char"/>
    <w:link w:val="H1G"/>
    <w:rsid w:val="00993D6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93D66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9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2138/" TargetMode="External"/><Relationship Id="rId2" Type="http://schemas.openxmlformats.org/officeDocument/2006/relationships/hyperlink" Target="mailto:gre@unece.org" TargetMode="External"/><Relationship Id="rId1" Type="http://schemas.openxmlformats.org/officeDocument/2006/relationships/hyperlink" Target="https://unece.org/info/events/event/374926" TargetMode="External"/><Relationship Id="rId4" Type="http://schemas.openxmlformats.org/officeDocument/2006/relationships/hyperlink" Target="http://www.unece.org/meetings/practical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16</TotalTime>
  <Pages>5</Pages>
  <Words>1076</Words>
  <Characters>7631</Characters>
  <Application>Microsoft Office Word</Application>
  <DocSecurity>0</DocSecurity>
  <Lines>174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ECE/TRANS/WP.29/GRE/2023/1</vt:lpstr>
      <vt:lpstr>A/</vt:lpstr>
      <vt:lpstr>A/</vt:lpstr>
    </vt:vector>
  </TitlesOfParts>
  <Company>DCM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ECE/TRANS/WP.29/GRE/2023/1</dc:title>
  <dc:subject/>
  <dc:creator>Anna BLAGODATSKIKH</dc:creator>
  <cp:keywords/>
  <cp:lastModifiedBy>Anna Blagodatskikh</cp:lastModifiedBy>
  <cp:revision>3</cp:revision>
  <cp:lastPrinted>2023-02-09T15:36:00Z</cp:lastPrinted>
  <dcterms:created xsi:type="dcterms:W3CDTF">2023-02-09T15:36:00Z</dcterms:created>
  <dcterms:modified xsi:type="dcterms:W3CDTF">2023-02-09T15:38:00Z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