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4B5C932" w14:textId="77777777" w:rsidTr="005316B0">
        <w:trPr>
          <w:trHeight w:hRule="exact" w:val="851"/>
        </w:trPr>
        <w:tc>
          <w:tcPr>
            <w:tcW w:w="1276" w:type="dxa"/>
            <w:tcBorders>
              <w:bottom w:val="single" w:sz="4" w:space="0" w:color="auto"/>
            </w:tcBorders>
          </w:tcPr>
          <w:p w14:paraId="70CCBE4B" w14:textId="77777777" w:rsidR="001433FD" w:rsidRPr="00DB58B5" w:rsidRDefault="001433FD" w:rsidP="0001207F"/>
        </w:tc>
        <w:tc>
          <w:tcPr>
            <w:tcW w:w="2268" w:type="dxa"/>
            <w:tcBorders>
              <w:bottom w:val="single" w:sz="4" w:space="0" w:color="auto"/>
            </w:tcBorders>
            <w:vAlign w:val="bottom"/>
          </w:tcPr>
          <w:p w14:paraId="79AD2AB8"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4CCF35" w14:textId="7FB8A98E" w:rsidR="001433FD" w:rsidRPr="00EB1C6B" w:rsidRDefault="00EB1C6B" w:rsidP="00EB1C6B">
            <w:pPr>
              <w:jc w:val="right"/>
            </w:pPr>
            <w:r w:rsidRPr="00EB1C6B">
              <w:rPr>
                <w:sz w:val="40"/>
              </w:rPr>
              <w:t>ECE</w:t>
            </w:r>
            <w:r>
              <w:t>/TRANS/WP.15/AC.1/168</w:t>
            </w:r>
          </w:p>
        </w:tc>
      </w:tr>
      <w:tr w:rsidR="001433FD" w:rsidRPr="00DB58B5" w14:paraId="3C55E130" w14:textId="77777777" w:rsidTr="007D3236">
        <w:trPr>
          <w:trHeight w:hRule="exact" w:val="2835"/>
        </w:trPr>
        <w:tc>
          <w:tcPr>
            <w:tcW w:w="1276" w:type="dxa"/>
            <w:tcBorders>
              <w:top w:val="single" w:sz="4" w:space="0" w:color="auto"/>
              <w:bottom w:val="single" w:sz="12" w:space="0" w:color="auto"/>
            </w:tcBorders>
          </w:tcPr>
          <w:p w14:paraId="3CF44BB3" w14:textId="77777777" w:rsidR="001433FD" w:rsidRPr="00DB58B5" w:rsidRDefault="001433FD" w:rsidP="007D3236">
            <w:pPr>
              <w:spacing w:before="120"/>
              <w:jc w:val="center"/>
            </w:pPr>
            <w:r>
              <w:rPr>
                <w:noProof/>
                <w:lang w:eastAsia="fr-CH"/>
              </w:rPr>
              <w:drawing>
                <wp:inline distT="0" distB="0" distL="0" distR="0" wp14:anchorId="0F55AB6F" wp14:editId="649E8B6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8D5EB"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033B37" w14:textId="77777777" w:rsidR="0001207F" w:rsidRDefault="009D2EC5" w:rsidP="009D2EC5">
            <w:pPr>
              <w:spacing w:before="240" w:line="240" w:lineRule="exact"/>
            </w:pPr>
            <w:r>
              <w:t>Distr. générale</w:t>
            </w:r>
          </w:p>
          <w:p w14:paraId="68037237" w14:textId="2D68CF42" w:rsidR="009D2EC5" w:rsidRDefault="009B2566" w:rsidP="009D2EC5">
            <w:pPr>
              <w:spacing w:line="240" w:lineRule="exact"/>
            </w:pPr>
            <w:r>
              <w:t>12</w:t>
            </w:r>
            <w:r w:rsidR="009D2EC5">
              <w:t xml:space="preserve"> April 202</w:t>
            </w:r>
            <w:r w:rsidR="00735A9B">
              <w:t>3</w:t>
            </w:r>
          </w:p>
          <w:p w14:paraId="67419284" w14:textId="6F2F5652" w:rsidR="009D2EC5" w:rsidRDefault="009D2EC5" w:rsidP="009D2EC5">
            <w:pPr>
              <w:spacing w:line="240" w:lineRule="exact"/>
            </w:pPr>
            <w:r>
              <w:t>Français</w:t>
            </w:r>
          </w:p>
          <w:p w14:paraId="599ECE1C" w14:textId="31043D9F" w:rsidR="009D2EC5" w:rsidRPr="00DB58B5" w:rsidRDefault="009D2EC5" w:rsidP="009D2EC5">
            <w:pPr>
              <w:spacing w:line="240" w:lineRule="exact"/>
            </w:pPr>
            <w:r>
              <w:t xml:space="preserve">Original : anglais et français </w:t>
            </w:r>
          </w:p>
        </w:tc>
      </w:tr>
    </w:tbl>
    <w:p w14:paraId="25AEE37E" w14:textId="77777777" w:rsidR="00506EC2" w:rsidRDefault="00506EC2" w:rsidP="00506EC2">
      <w:pPr>
        <w:spacing w:before="120"/>
        <w:rPr>
          <w:b/>
          <w:sz w:val="28"/>
          <w:szCs w:val="28"/>
        </w:rPr>
      </w:pPr>
      <w:r>
        <w:rPr>
          <w:b/>
          <w:sz w:val="28"/>
          <w:szCs w:val="28"/>
        </w:rPr>
        <w:t>Commission économique pour l’Europe</w:t>
      </w:r>
    </w:p>
    <w:p w14:paraId="415A1085" w14:textId="77777777" w:rsidR="00506EC2" w:rsidRDefault="00506EC2" w:rsidP="00506EC2">
      <w:pPr>
        <w:spacing w:before="120"/>
        <w:rPr>
          <w:sz w:val="28"/>
          <w:szCs w:val="28"/>
        </w:rPr>
      </w:pPr>
      <w:r>
        <w:rPr>
          <w:sz w:val="28"/>
          <w:szCs w:val="28"/>
        </w:rPr>
        <w:t>Comité des transports intérieurs</w:t>
      </w:r>
    </w:p>
    <w:p w14:paraId="37389D8D" w14:textId="77777777" w:rsidR="00506EC2" w:rsidRDefault="00506EC2" w:rsidP="00506EC2">
      <w:pPr>
        <w:spacing w:before="120"/>
        <w:rPr>
          <w:b/>
          <w:sz w:val="32"/>
          <w:szCs w:val="32"/>
          <w:lang w:val="fr-FR"/>
        </w:rPr>
      </w:pPr>
      <w:r>
        <w:rPr>
          <w:b/>
          <w:bCs/>
          <w:sz w:val="24"/>
          <w:szCs w:val="24"/>
          <w:lang w:val="fr-FR"/>
        </w:rPr>
        <w:t xml:space="preserve">Groupe de travail des transports </w:t>
      </w:r>
      <w:r>
        <w:rPr>
          <w:b/>
          <w:bCs/>
          <w:sz w:val="24"/>
          <w:szCs w:val="24"/>
          <w:lang w:val="fr-FR"/>
        </w:rPr>
        <w:br/>
        <w:t>de marchandises dangereuses</w:t>
      </w:r>
    </w:p>
    <w:p w14:paraId="1200FEE5" w14:textId="77777777" w:rsidR="00506EC2" w:rsidRDefault="00506EC2" w:rsidP="00506EC2">
      <w:pPr>
        <w:spacing w:before="120"/>
        <w:rPr>
          <w:b/>
          <w:lang w:val="fr-FR"/>
        </w:rPr>
      </w:pPr>
      <w:bookmarkStart w:id="0" w:name="_Hlk50636383"/>
      <w:r>
        <w:rPr>
          <w:b/>
          <w:bCs/>
          <w:lang w:val="fr-FR"/>
        </w:rPr>
        <w:t xml:space="preserve">Réunion commune de la Commission d’experts du RID </w:t>
      </w:r>
      <w:r>
        <w:rPr>
          <w:b/>
          <w:bCs/>
          <w:lang w:val="fr-FR"/>
        </w:rPr>
        <w:br/>
        <w:t>et du Groupe de travail des transports de marchandises dangereuses</w:t>
      </w:r>
    </w:p>
    <w:bookmarkEnd w:id="0"/>
    <w:p w14:paraId="4B3F5468" w14:textId="78170390" w:rsidR="00506EC2" w:rsidRDefault="00506EC2" w:rsidP="00506EC2">
      <w:pPr>
        <w:pStyle w:val="HChG"/>
        <w:keepNext w:val="0"/>
        <w:keepLines w:val="0"/>
        <w:widowControl w:val="0"/>
        <w:rPr>
          <w:lang w:val="fr-FR"/>
        </w:rPr>
      </w:pPr>
      <w:r>
        <w:rPr>
          <w:lang w:val="fr-FR"/>
        </w:rPr>
        <w:tab/>
      </w:r>
      <w:r>
        <w:rPr>
          <w:lang w:val="fr-FR"/>
        </w:rPr>
        <w:tab/>
        <w:t xml:space="preserve">Rapport de la Réunion commune de la Commission </w:t>
      </w:r>
      <w:r>
        <w:rPr>
          <w:lang w:val="fr-FR"/>
        </w:rPr>
        <w:br/>
        <w:t>d’experts du RID et du Groupe de travail des transports de marchandises dangereuses sur sa session de printemps 202</w:t>
      </w:r>
      <w:r w:rsidR="00735A9B">
        <w:rPr>
          <w:lang w:val="fr-FR"/>
        </w:rPr>
        <w:t>3</w:t>
      </w:r>
      <w:r>
        <w:rPr>
          <w:rStyle w:val="Appelnotedebasdep"/>
          <w:b w:val="0"/>
          <w:bCs/>
          <w:sz w:val="20"/>
        </w:rPr>
        <w:footnoteReference w:customMarkFollows="1" w:id="2"/>
        <w:t>*</w:t>
      </w:r>
    </w:p>
    <w:p w14:paraId="579602FB" w14:textId="603BD2BF" w:rsidR="00506EC2" w:rsidRDefault="00506EC2" w:rsidP="00CB7100">
      <w:pPr>
        <w:spacing w:after="240"/>
        <w:ind w:left="1134"/>
        <w:rPr>
          <w:lang w:val="fr-FR"/>
        </w:rPr>
      </w:pPr>
      <w:r>
        <w:rPr>
          <w:lang w:val="fr-FR"/>
        </w:rPr>
        <w:t xml:space="preserve">tenue à Berne, du </w:t>
      </w:r>
      <w:r w:rsidR="00735A9B">
        <w:rPr>
          <w:lang w:val="fr-FR"/>
        </w:rPr>
        <w:t>20</w:t>
      </w:r>
      <w:r>
        <w:rPr>
          <w:lang w:val="fr-FR"/>
        </w:rPr>
        <w:t xml:space="preserve"> au </w:t>
      </w:r>
      <w:r w:rsidR="00735A9B">
        <w:rPr>
          <w:lang w:val="fr-FR"/>
        </w:rPr>
        <w:t>24</w:t>
      </w:r>
      <w:r>
        <w:rPr>
          <w:lang w:val="fr-FR"/>
        </w:rPr>
        <w:t xml:space="preserve"> mars 202</w:t>
      </w:r>
      <w:r w:rsidR="00735A9B">
        <w:rPr>
          <w:lang w:val="fr-FR"/>
        </w:rPr>
        <w:t>3</w:t>
      </w:r>
    </w:p>
    <w:p w14:paraId="30FD31EC" w14:textId="77777777" w:rsidR="00506EC2" w:rsidRDefault="00506EC2" w:rsidP="00506EC2">
      <w:pPr>
        <w:spacing w:after="120"/>
        <w:rPr>
          <w:sz w:val="28"/>
        </w:rPr>
      </w:pPr>
      <w:r>
        <w:rPr>
          <w:sz w:val="28"/>
        </w:rPr>
        <w:t>Table des matières</w:t>
      </w:r>
    </w:p>
    <w:p w14:paraId="7C71034C" w14:textId="77777777" w:rsidR="00506EC2" w:rsidRDefault="00506EC2" w:rsidP="00506EC2">
      <w:pPr>
        <w:tabs>
          <w:tab w:val="right" w:pos="8929"/>
          <w:tab w:val="right" w:pos="9638"/>
        </w:tabs>
        <w:spacing w:after="120"/>
        <w:ind w:left="283"/>
        <w:rPr>
          <w:i/>
          <w:sz w:val="18"/>
        </w:rPr>
      </w:pPr>
      <w:r>
        <w:rPr>
          <w:i/>
          <w:sz w:val="18"/>
        </w:rPr>
        <w:tab/>
        <w:t>Paragraphes</w:t>
      </w:r>
      <w:r>
        <w:rPr>
          <w:i/>
          <w:sz w:val="18"/>
        </w:rPr>
        <w:tab/>
        <w:t>Page</w:t>
      </w:r>
    </w:p>
    <w:p w14:paraId="16986F47" w14:textId="14541D24" w:rsidR="00506EC2" w:rsidRDefault="00506EC2" w:rsidP="00506EC2">
      <w:pPr>
        <w:tabs>
          <w:tab w:val="right" w:pos="850"/>
          <w:tab w:val="right" w:leader="dot" w:pos="7654"/>
          <w:tab w:val="right" w:pos="8929"/>
          <w:tab w:val="right" w:pos="9638"/>
        </w:tabs>
        <w:spacing w:after="120"/>
        <w:ind w:left="1134" w:hanging="1134"/>
      </w:pPr>
      <w:r>
        <w:tab/>
        <w:t>I.</w:t>
      </w:r>
      <w:r>
        <w:tab/>
      </w:r>
      <w:r>
        <w:rPr>
          <w:lang w:val="fr-FR"/>
        </w:rPr>
        <w:t>Participation</w:t>
      </w:r>
      <w:r>
        <w:tab/>
      </w:r>
      <w:r>
        <w:tab/>
        <w:t>1-3</w:t>
      </w:r>
      <w:r>
        <w:tab/>
      </w:r>
      <w:r w:rsidR="00730D0B">
        <w:t>4</w:t>
      </w:r>
    </w:p>
    <w:p w14:paraId="010FB6E6" w14:textId="313250AA" w:rsidR="00506EC2" w:rsidRDefault="00506EC2" w:rsidP="00506EC2">
      <w:pPr>
        <w:tabs>
          <w:tab w:val="right" w:pos="850"/>
          <w:tab w:val="right" w:leader="dot" w:pos="7654"/>
          <w:tab w:val="right" w:pos="8929"/>
          <w:tab w:val="right" w:pos="9638"/>
        </w:tabs>
        <w:spacing w:after="120"/>
        <w:ind w:left="1134" w:hanging="1134"/>
      </w:pPr>
      <w:r>
        <w:tab/>
        <w:t>II.</w:t>
      </w:r>
      <w:r>
        <w:tab/>
      </w:r>
      <w:r>
        <w:rPr>
          <w:lang w:val="fr-FR"/>
        </w:rPr>
        <w:t>Adoption de l’ordre du jour (point 1 de l’ordre du jour)</w:t>
      </w:r>
      <w:r>
        <w:tab/>
      </w:r>
      <w:r>
        <w:tab/>
      </w:r>
      <w:r w:rsidR="004E69DE">
        <w:t>4</w:t>
      </w:r>
      <w:r>
        <w:tab/>
      </w:r>
      <w:r w:rsidR="00730D0B">
        <w:t>4</w:t>
      </w:r>
    </w:p>
    <w:p w14:paraId="52E84C54" w14:textId="2CA82A8D" w:rsidR="00506EC2" w:rsidRDefault="00506EC2" w:rsidP="00506EC2">
      <w:pPr>
        <w:tabs>
          <w:tab w:val="right" w:pos="850"/>
          <w:tab w:val="right" w:leader="dot" w:pos="7654"/>
          <w:tab w:val="right" w:pos="8929"/>
          <w:tab w:val="right" w:pos="9638"/>
        </w:tabs>
        <w:spacing w:after="120"/>
        <w:ind w:left="1134" w:hanging="1134"/>
      </w:pPr>
      <w:r>
        <w:tab/>
        <w:t>I</w:t>
      </w:r>
      <w:r w:rsidR="004E69DE">
        <w:t>II</w:t>
      </w:r>
      <w:r>
        <w:t>.</w:t>
      </w:r>
      <w:r>
        <w:tab/>
      </w:r>
      <w:r>
        <w:rPr>
          <w:lang w:val="fr-FR"/>
        </w:rPr>
        <w:t>Citernes (point 2 de l’ordre du jour)</w:t>
      </w:r>
      <w:r>
        <w:tab/>
      </w:r>
      <w:r>
        <w:tab/>
      </w:r>
      <w:r w:rsidR="004E69DE">
        <w:t>5</w:t>
      </w:r>
      <w:r>
        <w:t>-</w:t>
      </w:r>
      <w:r w:rsidR="004E69DE">
        <w:t>11</w:t>
      </w:r>
      <w:r>
        <w:tab/>
      </w:r>
      <w:r w:rsidR="00AA45B0">
        <w:t>4</w:t>
      </w:r>
    </w:p>
    <w:p w14:paraId="369C6EA9" w14:textId="24DE45BA" w:rsidR="009D0FC3" w:rsidRDefault="009D0FC3" w:rsidP="009D0FC3">
      <w:pPr>
        <w:tabs>
          <w:tab w:val="right" w:leader="dot" w:pos="7654"/>
          <w:tab w:val="right" w:pos="8929"/>
          <w:tab w:val="right" w:pos="9638"/>
        </w:tabs>
        <w:spacing w:after="120"/>
        <w:ind w:left="1559" w:hanging="425"/>
      </w:pPr>
      <w:r>
        <w:tab/>
      </w:r>
      <w:r>
        <w:rPr>
          <w:lang w:val="fr-FR"/>
        </w:rPr>
        <w:t>Rapport du Groupe de travail des citernes</w:t>
      </w:r>
      <w:r>
        <w:tab/>
      </w:r>
      <w:r>
        <w:tab/>
      </w:r>
      <w:r w:rsidR="006D3996">
        <w:t>6</w:t>
      </w:r>
      <w:r>
        <w:t>-</w:t>
      </w:r>
      <w:r w:rsidR="006D3996">
        <w:t>11</w:t>
      </w:r>
      <w:r>
        <w:tab/>
      </w:r>
      <w:r w:rsidR="00730D0B">
        <w:t>5</w:t>
      </w:r>
    </w:p>
    <w:p w14:paraId="12327DE5" w14:textId="4C733672" w:rsidR="00506EC2" w:rsidRDefault="00506EC2" w:rsidP="00506EC2">
      <w:pPr>
        <w:tabs>
          <w:tab w:val="right" w:pos="850"/>
          <w:tab w:val="right" w:leader="dot" w:pos="7654"/>
          <w:tab w:val="right" w:pos="8929"/>
          <w:tab w:val="right" w:pos="9638"/>
        </w:tabs>
        <w:spacing w:after="120"/>
        <w:ind w:left="1134" w:hanging="1134"/>
      </w:pPr>
      <w:r>
        <w:tab/>
      </w:r>
      <w:r w:rsidR="006D3996">
        <w:t>I</w:t>
      </w:r>
      <w:r>
        <w:t>V.</w:t>
      </w:r>
      <w:r>
        <w:tab/>
      </w:r>
      <w:r>
        <w:rPr>
          <w:lang w:val="fr-FR"/>
        </w:rPr>
        <w:t>Normes (point 3 de l’ordre du jour)</w:t>
      </w:r>
      <w:r>
        <w:tab/>
      </w:r>
      <w:r>
        <w:tab/>
      </w:r>
      <w:r w:rsidR="006D3996">
        <w:t>12</w:t>
      </w:r>
      <w:r>
        <w:t>-</w:t>
      </w:r>
      <w:r w:rsidR="006D3996">
        <w:t>13</w:t>
      </w:r>
      <w:r>
        <w:tab/>
      </w:r>
      <w:r w:rsidR="00730D0B">
        <w:t>5</w:t>
      </w:r>
    </w:p>
    <w:p w14:paraId="49A8E051" w14:textId="3F070379" w:rsidR="00506EC2" w:rsidRDefault="00506EC2" w:rsidP="00506EC2">
      <w:pPr>
        <w:tabs>
          <w:tab w:val="right" w:pos="850"/>
          <w:tab w:val="right" w:leader="dot" w:pos="7654"/>
          <w:tab w:val="right" w:pos="8929"/>
          <w:tab w:val="right" w:pos="9638"/>
        </w:tabs>
        <w:spacing w:after="120"/>
        <w:ind w:left="1134" w:hanging="1134"/>
      </w:pPr>
      <w:r>
        <w:tab/>
        <w:t>V.</w:t>
      </w:r>
      <w:r>
        <w:tab/>
      </w:r>
      <w:r>
        <w:rPr>
          <w:lang w:val="fr-FR"/>
        </w:rPr>
        <w:t>Interprétation du RID, de l’ADR et de l’ADN (point 4 de l’ordre du jour)</w:t>
      </w:r>
      <w:r>
        <w:tab/>
      </w:r>
      <w:r>
        <w:tab/>
      </w:r>
      <w:r w:rsidR="008076E2">
        <w:t>14</w:t>
      </w:r>
      <w:r w:rsidR="0042255C">
        <w:t>-</w:t>
      </w:r>
      <w:r w:rsidR="008076E2">
        <w:t>16</w:t>
      </w:r>
      <w:r>
        <w:tab/>
      </w:r>
      <w:r w:rsidR="00730D0B">
        <w:t>6</w:t>
      </w:r>
    </w:p>
    <w:p w14:paraId="6F4A7067" w14:textId="37BA78B8" w:rsidR="0042255C" w:rsidRDefault="0042255C" w:rsidP="005C2D0C">
      <w:pPr>
        <w:tabs>
          <w:tab w:val="right" w:leader="dot" w:pos="7654"/>
          <w:tab w:val="right" w:pos="8929"/>
          <w:tab w:val="right" w:pos="9638"/>
        </w:tabs>
        <w:spacing w:after="120"/>
        <w:ind w:left="1701" w:hanging="567"/>
      </w:pPr>
      <w:r>
        <w:t>A.</w:t>
      </w:r>
      <w:r>
        <w:tab/>
      </w:r>
      <w:r w:rsidR="00CD0FFA" w:rsidRPr="00A3253E">
        <w:rPr>
          <w:lang w:val="fr-FR"/>
        </w:rPr>
        <w:t xml:space="preserve">Interprétation du terme </w:t>
      </w:r>
      <w:r w:rsidR="00CD0FFA">
        <w:rPr>
          <w:lang w:val="fr-FR"/>
        </w:rPr>
        <w:t>« </w:t>
      </w:r>
      <w:r w:rsidR="00CD0FFA" w:rsidRPr="00A3253E">
        <w:rPr>
          <w:lang w:val="fr-FR"/>
        </w:rPr>
        <w:t>contenance</w:t>
      </w:r>
      <w:r w:rsidR="00CD0FFA">
        <w:rPr>
          <w:lang w:val="fr-FR"/>
        </w:rPr>
        <w:t> »</w:t>
      </w:r>
      <w:r w:rsidR="00CD0FFA" w:rsidRPr="00A3253E">
        <w:rPr>
          <w:lang w:val="fr-FR"/>
        </w:rPr>
        <w:t xml:space="preserve"> aux fins de la détermination </w:t>
      </w:r>
      <w:r w:rsidR="00CD0FFA">
        <w:rPr>
          <w:lang w:val="fr-FR"/>
        </w:rPr>
        <w:br/>
      </w:r>
      <w:r w:rsidR="00CD0FFA" w:rsidRPr="00A3253E">
        <w:rPr>
          <w:lang w:val="fr-FR"/>
        </w:rPr>
        <w:t>du taux de remplissage maximal conformément au 4.1.1.4</w:t>
      </w:r>
      <w:r>
        <w:tab/>
      </w:r>
      <w:r>
        <w:tab/>
      </w:r>
      <w:r w:rsidR="00CD0FFA">
        <w:t>14</w:t>
      </w:r>
      <w:r>
        <w:tab/>
      </w:r>
      <w:r w:rsidR="00730D0B">
        <w:t>6</w:t>
      </w:r>
    </w:p>
    <w:p w14:paraId="15C719DB" w14:textId="3038AEB3" w:rsidR="0042255C" w:rsidRDefault="0042255C" w:rsidP="005C2D0C">
      <w:pPr>
        <w:tabs>
          <w:tab w:val="right" w:leader="dot" w:pos="7654"/>
          <w:tab w:val="right" w:pos="8929"/>
          <w:tab w:val="right" w:pos="9638"/>
        </w:tabs>
        <w:spacing w:after="120"/>
        <w:ind w:left="1701" w:hanging="567"/>
      </w:pPr>
      <w:r>
        <w:t>B.</w:t>
      </w:r>
      <w:r>
        <w:tab/>
      </w:r>
      <w:r w:rsidR="006336CD" w:rsidRPr="00A3253E">
        <w:rPr>
          <w:lang w:val="fr-FR"/>
        </w:rPr>
        <w:t xml:space="preserve">Placardage et signalisation orange des véhicules pour vrac </w:t>
      </w:r>
      <w:r w:rsidR="006336CD">
        <w:rPr>
          <w:lang w:val="fr-FR"/>
        </w:rPr>
        <w:br/>
      </w:r>
      <w:r w:rsidR="006336CD" w:rsidRPr="00A3253E">
        <w:rPr>
          <w:lang w:val="fr-FR"/>
        </w:rPr>
        <w:t xml:space="preserve">et conteneurs pour </w:t>
      </w:r>
      <w:r w:rsidR="0016100B">
        <w:rPr>
          <w:lang w:val="fr-FR"/>
        </w:rPr>
        <w:t xml:space="preserve">le transport en </w:t>
      </w:r>
      <w:r w:rsidR="006336CD" w:rsidRPr="00A3253E">
        <w:rPr>
          <w:lang w:val="fr-FR"/>
        </w:rPr>
        <w:t>vrac</w:t>
      </w:r>
      <w:r>
        <w:tab/>
      </w:r>
      <w:r>
        <w:tab/>
      </w:r>
      <w:r w:rsidR="006336CD">
        <w:t>15</w:t>
      </w:r>
      <w:r>
        <w:tab/>
      </w:r>
      <w:r w:rsidR="00730D0B">
        <w:t>6</w:t>
      </w:r>
    </w:p>
    <w:p w14:paraId="1237928B" w14:textId="371381CC" w:rsidR="0042255C" w:rsidRDefault="0042255C" w:rsidP="005C2D0C">
      <w:pPr>
        <w:tabs>
          <w:tab w:val="right" w:leader="dot" w:pos="7654"/>
          <w:tab w:val="right" w:pos="8929"/>
          <w:tab w:val="right" w:pos="9638"/>
        </w:tabs>
        <w:spacing w:after="120"/>
        <w:ind w:left="1701" w:hanging="567"/>
      </w:pPr>
      <w:r>
        <w:t>C.</w:t>
      </w:r>
      <w:r>
        <w:tab/>
      </w:r>
      <w:r w:rsidR="001A1DDF">
        <w:rPr>
          <w:bCs/>
          <w:lang w:val="fr-FR"/>
        </w:rPr>
        <w:t xml:space="preserve">Transport en vrac d’emballages vides, non nettoyés, ayant contenu </w:t>
      </w:r>
      <w:r w:rsidR="001A1DDF">
        <w:rPr>
          <w:bCs/>
          <w:lang w:val="fr-FR"/>
        </w:rPr>
        <w:br/>
        <w:t>des marchandises dangereuses</w:t>
      </w:r>
      <w:r>
        <w:tab/>
      </w:r>
      <w:r w:rsidR="00292174">
        <w:tab/>
      </w:r>
      <w:r w:rsidR="001A1DDF">
        <w:t>16</w:t>
      </w:r>
      <w:r>
        <w:tab/>
      </w:r>
      <w:r w:rsidR="00730D0B">
        <w:t>6</w:t>
      </w:r>
    </w:p>
    <w:p w14:paraId="6EB26847" w14:textId="3AC17361" w:rsidR="00506EC2" w:rsidRDefault="00506EC2" w:rsidP="00506EC2">
      <w:pPr>
        <w:tabs>
          <w:tab w:val="right" w:pos="850"/>
          <w:tab w:val="right" w:leader="dot" w:pos="7654"/>
          <w:tab w:val="right" w:pos="8929"/>
          <w:tab w:val="right" w:pos="9638"/>
        </w:tabs>
        <w:spacing w:after="120"/>
        <w:ind w:left="1134" w:hanging="1134"/>
      </w:pPr>
      <w:r>
        <w:lastRenderedPageBreak/>
        <w:tab/>
        <w:t>VI.</w:t>
      </w:r>
      <w:r>
        <w:tab/>
      </w:r>
      <w:r>
        <w:rPr>
          <w:lang w:val="fr-FR"/>
        </w:rPr>
        <w:t xml:space="preserve">Propositions d’amendements au RID, à l’ADR et à l’ADN </w:t>
      </w:r>
      <w:r>
        <w:rPr>
          <w:lang w:val="fr-FR"/>
        </w:rPr>
        <w:br/>
        <w:t>(point 5 de l’ordre du jour)</w:t>
      </w:r>
      <w:r>
        <w:tab/>
      </w:r>
      <w:r>
        <w:tab/>
      </w:r>
      <w:r w:rsidR="00325974">
        <w:t>17</w:t>
      </w:r>
      <w:r>
        <w:t>-</w:t>
      </w:r>
      <w:r w:rsidR="0052307D">
        <w:t>4</w:t>
      </w:r>
      <w:r w:rsidR="00325974">
        <w:t>5</w:t>
      </w:r>
      <w:r>
        <w:tab/>
      </w:r>
      <w:r w:rsidR="00730D0B">
        <w:t>6</w:t>
      </w:r>
    </w:p>
    <w:p w14:paraId="42CDC94A" w14:textId="3BF7D413" w:rsidR="00E92CC1" w:rsidRDefault="00E92CC1" w:rsidP="005C2D0C">
      <w:pPr>
        <w:tabs>
          <w:tab w:val="right" w:leader="dot" w:pos="7654"/>
          <w:tab w:val="right" w:pos="8929"/>
          <w:tab w:val="right" w:pos="9638"/>
        </w:tabs>
        <w:spacing w:after="120"/>
        <w:ind w:left="1701" w:hanging="567"/>
      </w:pPr>
      <w:r>
        <w:t>1.</w:t>
      </w:r>
      <w:r>
        <w:tab/>
      </w:r>
      <w:r w:rsidR="007F38A7" w:rsidRPr="007D6648">
        <w:rPr>
          <w:lang w:val="fr-FR"/>
        </w:rPr>
        <w:t>Amendement à la disposition spéciale 668</w:t>
      </w:r>
      <w:r>
        <w:tab/>
      </w:r>
      <w:r>
        <w:tab/>
      </w:r>
      <w:r w:rsidR="007F38A7">
        <w:t>17</w:t>
      </w:r>
      <w:r>
        <w:tab/>
      </w:r>
      <w:r w:rsidR="00730D0B">
        <w:t>6</w:t>
      </w:r>
    </w:p>
    <w:p w14:paraId="275D8A9D" w14:textId="369A4EBB" w:rsidR="00B933CB" w:rsidRDefault="00B933CB" w:rsidP="005C2D0C">
      <w:pPr>
        <w:tabs>
          <w:tab w:val="right" w:leader="dot" w:pos="7654"/>
          <w:tab w:val="right" w:pos="8929"/>
          <w:tab w:val="right" w:pos="9638"/>
        </w:tabs>
        <w:spacing w:after="120"/>
        <w:ind w:left="1701" w:hanging="567"/>
      </w:pPr>
      <w:r>
        <w:t>2.</w:t>
      </w:r>
      <w:r>
        <w:tab/>
      </w:r>
      <w:r w:rsidR="009B7EA3" w:rsidRPr="007D6648">
        <w:rPr>
          <w:bCs/>
          <w:lang w:val="fr-FR"/>
        </w:rPr>
        <w:t>Indication de l</w:t>
      </w:r>
      <w:r w:rsidR="009B7EA3">
        <w:rPr>
          <w:bCs/>
          <w:lang w:val="fr-FR"/>
        </w:rPr>
        <w:t>’</w:t>
      </w:r>
      <w:r w:rsidR="009B7EA3" w:rsidRPr="007D6648">
        <w:rPr>
          <w:bCs/>
          <w:lang w:val="fr-FR"/>
        </w:rPr>
        <w:t>année sur les consignes écrites</w:t>
      </w:r>
      <w:r>
        <w:tab/>
      </w:r>
      <w:r>
        <w:tab/>
        <w:t>1</w:t>
      </w:r>
      <w:r w:rsidR="009B7EA3">
        <w:t>8</w:t>
      </w:r>
      <w:r>
        <w:tab/>
      </w:r>
      <w:r w:rsidR="00730D0B">
        <w:t>6</w:t>
      </w:r>
    </w:p>
    <w:p w14:paraId="6F341FA8" w14:textId="0640363C" w:rsidR="00B933CB" w:rsidRDefault="00B14A11" w:rsidP="005C2D0C">
      <w:pPr>
        <w:tabs>
          <w:tab w:val="right" w:leader="dot" w:pos="7654"/>
          <w:tab w:val="right" w:pos="8929"/>
          <w:tab w:val="right" w:pos="9638"/>
        </w:tabs>
        <w:spacing w:after="120"/>
        <w:ind w:left="1701" w:hanging="567"/>
        <w:rPr>
          <w:lang w:val="fr-FR"/>
        </w:rPr>
      </w:pPr>
      <w:r w:rsidRPr="007D6648">
        <w:rPr>
          <w:lang w:val="fr-FR"/>
        </w:rPr>
        <w:t>3.</w:t>
      </w:r>
      <w:r w:rsidRPr="007D6648">
        <w:rPr>
          <w:lang w:val="fr-FR"/>
        </w:rPr>
        <w:tab/>
        <w:t>Prescriptions de l</w:t>
      </w:r>
      <w:r>
        <w:rPr>
          <w:lang w:val="fr-FR"/>
        </w:rPr>
        <w:t>’</w:t>
      </w:r>
      <w:r w:rsidRPr="007D6648">
        <w:rPr>
          <w:lang w:val="fr-FR"/>
        </w:rPr>
        <w:t>ADR et de l</w:t>
      </w:r>
      <w:r>
        <w:rPr>
          <w:lang w:val="fr-FR"/>
        </w:rPr>
        <w:t>’</w:t>
      </w:r>
      <w:r w:rsidRPr="007D6648">
        <w:rPr>
          <w:lang w:val="fr-FR"/>
        </w:rPr>
        <w:t>ADN concernant la langue du document</w:t>
      </w:r>
      <w:r w:rsidR="009B569C">
        <w:rPr>
          <w:lang w:val="fr-FR"/>
        </w:rPr>
        <w:br/>
      </w:r>
      <w:r w:rsidRPr="007D6648">
        <w:rPr>
          <w:lang w:val="fr-FR"/>
        </w:rPr>
        <w:t>de transport</w:t>
      </w:r>
      <w:r>
        <w:rPr>
          <w:lang w:val="fr-FR"/>
        </w:rPr>
        <w:tab/>
      </w:r>
      <w:r w:rsidR="009B569C">
        <w:rPr>
          <w:lang w:val="fr-FR"/>
        </w:rPr>
        <w:tab/>
      </w:r>
      <w:r>
        <w:rPr>
          <w:lang w:val="fr-FR"/>
        </w:rPr>
        <w:t>19</w:t>
      </w:r>
      <w:r>
        <w:rPr>
          <w:lang w:val="fr-FR"/>
        </w:rPr>
        <w:tab/>
      </w:r>
      <w:r w:rsidR="00730D0B">
        <w:rPr>
          <w:lang w:val="fr-FR"/>
        </w:rPr>
        <w:t>7</w:t>
      </w:r>
    </w:p>
    <w:p w14:paraId="4B7D5662" w14:textId="57994D78" w:rsidR="00B14A11" w:rsidRDefault="00614381" w:rsidP="005C2D0C">
      <w:pPr>
        <w:tabs>
          <w:tab w:val="right" w:leader="dot" w:pos="7654"/>
          <w:tab w:val="right" w:pos="8929"/>
          <w:tab w:val="right" w:pos="9638"/>
        </w:tabs>
        <w:spacing w:after="120"/>
        <w:ind w:left="1701" w:hanging="567"/>
        <w:rPr>
          <w:lang w:val="fr-FR"/>
        </w:rPr>
      </w:pPr>
      <w:r w:rsidRPr="007D6648">
        <w:rPr>
          <w:lang w:val="fr-FR"/>
        </w:rPr>
        <w:t>4.</w:t>
      </w:r>
      <w:r w:rsidRPr="007D6648">
        <w:rPr>
          <w:lang w:val="fr-FR"/>
        </w:rPr>
        <w:tab/>
        <w:t>Harmonisation des définitions de «</w:t>
      </w:r>
      <w:r>
        <w:rPr>
          <w:lang w:val="fr-FR"/>
        </w:rPr>
        <w:t> </w:t>
      </w:r>
      <w:r w:rsidRPr="007D6648">
        <w:rPr>
          <w:lang w:val="fr-FR"/>
        </w:rPr>
        <w:t>wagon couvert</w:t>
      </w:r>
      <w:r>
        <w:rPr>
          <w:lang w:val="fr-FR"/>
        </w:rPr>
        <w:t> </w:t>
      </w:r>
      <w:r w:rsidRPr="007D6648">
        <w:rPr>
          <w:lang w:val="fr-FR"/>
        </w:rPr>
        <w:t>», «</w:t>
      </w:r>
      <w:r>
        <w:rPr>
          <w:lang w:val="fr-FR"/>
        </w:rPr>
        <w:t> </w:t>
      </w:r>
      <w:r w:rsidRPr="007D6648">
        <w:rPr>
          <w:lang w:val="fr-FR"/>
        </w:rPr>
        <w:t>véhicule couvert</w:t>
      </w:r>
      <w:r>
        <w:rPr>
          <w:lang w:val="fr-FR"/>
        </w:rPr>
        <w:t> </w:t>
      </w:r>
      <w:r w:rsidRPr="007D6648">
        <w:rPr>
          <w:lang w:val="fr-FR"/>
        </w:rPr>
        <w:t xml:space="preserve">» </w:t>
      </w:r>
      <w:r>
        <w:rPr>
          <w:lang w:val="fr-FR"/>
        </w:rPr>
        <w:br/>
      </w:r>
      <w:r w:rsidRPr="007D6648">
        <w:rPr>
          <w:lang w:val="fr-FR"/>
        </w:rPr>
        <w:t>et «</w:t>
      </w:r>
      <w:r>
        <w:rPr>
          <w:lang w:val="fr-FR"/>
        </w:rPr>
        <w:t> </w:t>
      </w:r>
      <w:r w:rsidRPr="007D6648">
        <w:rPr>
          <w:lang w:val="fr-FR"/>
        </w:rPr>
        <w:t>conteneur fermé</w:t>
      </w:r>
      <w:r>
        <w:rPr>
          <w:lang w:val="fr-FR"/>
        </w:rPr>
        <w:t> </w:t>
      </w:r>
      <w:r w:rsidRPr="007D6648">
        <w:rPr>
          <w:lang w:val="fr-FR"/>
        </w:rPr>
        <w:t>»</w:t>
      </w:r>
      <w:r>
        <w:rPr>
          <w:lang w:val="fr-FR"/>
        </w:rPr>
        <w:tab/>
      </w:r>
      <w:r>
        <w:rPr>
          <w:lang w:val="fr-FR"/>
        </w:rPr>
        <w:tab/>
        <w:t>20</w:t>
      </w:r>
      <w:r>
        <w:rPr>
          <w:lang w:val="fr-FR"/>
        </w:rPr>
        <w:tab/>
      </w:r>
      <w:r w:rsidR="00730D0B">
        <w:rPr>
          <w:lang w:val="fr-FR"/>
        </w:rPr>
        <w:t>7</w:t>
      </w:r>
    </w:p>
    <w:p w14:paraId="4202AFAF" w14:textId="1CF243C0" w:rsidR="00614381" w:rsidRDefault="007766E0" w:rsidP="005C2D0C">
      <w:pPr>
        <w:tabs>
          <w:tab w:val="right" w:leader="dot" w:pos="7654"/>
          <w:tab w:val="right" w:pos="8929"/>
          <w:tab w:val="right" w:pos="9638"/>
        </w:tabs>
        <w:spacing w:after="120"/>
        <w:ind w:left="1701" w:hanging="567"/>
        <w:rPr>
          <w:lang w:val="fr-FR"/>
        </w:rPr>
      </w:pPr>
      <w:r w:rsidRPr="007D6648">
        <w:rPr>
          <w:lang w:val="fr-FR"/>
        </w:rPr>
        <w:t>5.</w:t>
      </w:r>
      <w:r w:rsidRPr="007D6648">
        <w:rPr>
          <w:lang w:val="fr-FR"/>
        </w:rPr>
        <w:tab/>
        <w:t xml:space="preserve">Conseiller à la sécurité pour le transport de certains types de marchandises </w:t>
      </w:r>
      <w:r>
        <w:rPr>
          <w:lang w:val="fr-FR"/>
        </w:rPr>
        <w:br/>
      </w:r>
      <w:r w:rsidRPr="007D6648">
        <w:rPr>
          <w:lang w:val="fr-FR"/>
        </w:rPr>
        <w:t xml:space="preserve">dangereuses − </w:t>
      </w:r>
      <w:r>
        <w:rPr>
          <w:lang w:val="fr-FR"/>
        </w:rPr>
        <w:t>P</w:t>
      </w:r>
      <w:r w:rsidRPr="007D6648">
        <w:rPr>
          <w:lang w:val="fr-FR"/>
        </w:rPr>
        <w:t>aragraphe 1.8.3.13 du RID et de l</w:t>
      </w:r>
      <w:r>
        <w:rPr>
          <w:lang w:val="fr-FR"/>
        </w:rPr>
        <w:t>’</w:t>
      </w:r>
      <w:r w:rsidRPr="007D6648">
        <w:rPr>
          <w:lang w:val="fr-FR"/>
        </w:rPr>
        <w:t>ADR</w:t>
      </w:r>
      <w:r>
        <w:rPr>
          <w:lang w:val="fr-FR"/>
        </w:rPr>
        <w:tab/>
      </w:r>
      <w:r>
        <w:rPr>
          <w:lang w:val="fr-FR"/>
        </w:rPr>
        <w:tab/>
        <w:t>21</w:t>
      </w:r>
      <w:r>
        <w:rPr>
          <w:lang w:val="fr-FR"/>
        </w:rPr>
        <w:tab/>
      </w:r>
      <w:r w:rsidR="00730D0B">
        <w:rPr>
          <w:lang w:val="fr-FR"/>
        </w:rPr>
        <w:t>7</w:t>
      </w:r>
    </w:p>
    <w:p w14:paraId="4D57585D" w14:textId="11CB6768" w:rsidR="00506EC2" w:rsidRDefault="00506EC2" w:rsidP="005C2D0C">
      <w:pPr>
        <w:tabs>
          <w:tab w:val="right" w:leader="dot" w:pos="7654"/>
          <w:tab w:val="right" w:pos="8929"/>
          <w:tab w:val="right" w:pos="9638"/>
        </w:tabs>
        <w:spacing w:after="120"/>
        <w:ind w:left="1701" w:hanging="567"/>
      </w:pPr>
      <w:r>
        <w:t>A.</w:t>
      </w:r>
      <w:r>
        <w:tab/>
      </w:r>
      <w:r>
        <w:rPr>
          <w:lang w:val="fr-FR"/>
        </w:rPr>
        <w:t>Questions en suspens</w:t>
      </w:r>
      <w:r>
        <w:tab/>
      </w:r>
      <w:r>
        <w:tab/>
      </w:r>
      <w:r w:rsidR="00CD1BB2">
        <w:t>22</w:t>
      </w:r>
      <w:r>
        <w:t>-</w:t>
      </w:r>
      <w:r w:rsidR="00CD1BB2">
        <w:t>2</w:t>
      </w:r>
      <w:r w:rsidR="00DE218D">
        <w:t>9</w:t>
      </w:r>
      <w:r>
        <w:tab/>
      </w:r>
      <w:r w:rsidR="00730D0B">
        <w:t>7</w:t>
      </w:r>
    </w:p>
    <w:p w14:paraId="7E8E369D" w14:textId="4EC3BE32" w:rsidR="007766E0" w:rsidRPr="00DE6539"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CD1BB2" w:rsidRPr="00DE6539">
        <w:rPr>
          <w:lang w:eastAsia="fr-FR"/>
        </w:rPr>
        <w:t>1.</w:t>
      </w:r>
      <w:r w:rsidR="00CD1BB2" w:rsidRPr="00DE6539">
        <w:rPr>
          <w:lang w:eastAsia="fr-FR"/>
        </w:rPr>
        <w:tab/>
        <w:t>Dispositions spéciales 532 et 543 dans le RID, l’ADR et l’ADN</w:t>
      </w:r>
      <w:r w:rsidR="00CD1BB2" w:rsidRPr="00DE6539">
        <w:rPr>
          <w:lang w:eastAsia="fr-FR"/>
        </w:rPr>
        <w:tab/>
      </w:r>
      <w:r w:rsidR="00CD1BB2" w:rsidRPr="00DE6539">
        <w:rPr>
          <w:lang w:eastAsia="fr-FR"/>
        </w:rPr>
        <w:tab/>
        <w:t>22</w:t>
      </w:r>
      <w:r w:rsidR="00CD1BB2" w:rsidRPr="00DE6539">
        <w:rPr>
          <w:lang w:eastAsia="fr-FR"/>
        </w:rPr>
        <w:tab/>
      </w:r>
      <w:r w:rsidR="00730D0B" w:rsidRPr="00DE6539">
        <w:rPr>
          <w:lang w:eastAsia="fr-FR"/>
        </w:rPr>
        <w:t>7</w:t>
      </w:r>
    </w:p>
    <w:p w14:paraId="44E7D457" w14:textId="760CE50D" w:rsidR="00A320E9" w:rsidRPr="00DE6539"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A320E9" w:rsidRPr="00DE6539">
        <w:rPr>
          <w:lang w:eastAsia="fr-FR"/>
        </w:rPr>
        <w:t>2.</w:t>
      </w:r>
      <w:r w:rsidR="00A320E9" w:rsidRPr="00DE6539">
        <w:rPr>
          <w:lang w:eastAsia="fr-FR"/>
        </w:rPr>
        <w:tab/>
        <w:t xml:space="preserve">Amendements de conséquence à l’introduction des « cartouches </w:t>
      </w:r>
      <w:r w:rsidRPr="00DE6539">
        <w:rPr>
          <w:lang w:eastAsia="fr-FR"/>
        </w:rPr>
        <w:br/>
      </w:r>
      <w:r w:rsidRPr="00DE6539">
        <w:rPr>
          <w:lang w:eastAsia="fr-FR"/>
        </w:rPr>
        <w:tab/>
      </w:r>
      <w:r w:rsidR="00A320E9" w:rsidRPr="00DE6539">
        <w:rPr>
          <w:lang w:eastAsia="fr-FR"/>
        </w:rPr>
        <w:t xml:space="preserve">à gaz mises </w:t>
      </w:r>
      <w:r w:rsidR="009B569C" w:rsidRPr="00DE6539">
        <w:rPr>
          <w:lang w:eastAsia="fr-FR"/>
        </w:rPr>
        <w:t>au</w:t>
      </w:r>
      <w:r w:rsidRPr="00DE6539">
        <w:rPr>
          <w:lang w:eastAsia="fr-FR"/>
        </w:rPr>
        <w:t xml:space="preserve"> </w:t>
      </w:r>
      <w:r w:rsidR="009B569C" w:rsidRPr="00DE6539">
        <w:rPr>
          <w:lang w:eastAsia="fr-FR"/>
        </w:rPr>
        <w:t xml:space="preserve">rebut » </w:t>
      </w:r>
      <w:r w:rsidR="00A320E9" w:rsidRPr="00DE6539">
        <w:rPr>
          <w:lang w:eastAsia="fr-FR"/>
        </w:rPr>
        <w:t xml:space="preserve">dans la disposition spéciale 327 dans le cadre </w:t>
      </w:r>
      <w:r w:rsidRPr="00DE6539">
        <w:rPr>
          <w:lang w:eastAsia="fr-FR"/>
        </w:rPr>
        <w:br/>
      </w:r>
      <w:r w:rsidRPr="00DE6539">
        <w:rPr>
          <w:lang w:eastAsia="fr-FR"/>
        </w:rPr>
        <w:tab/>
      </w:r>
      <w:r w:rsidR="00A320E9" w:rsidRPr="00DE6539">
        <w:rPr>
          <w:lang w:eastAsia="fr-FR"/>
        </w:rPr>
        <w:t>de la révision de 2021</w:t>
      </w:r>
      <w:r w:rsidR="00A320E9" w:rsidRPr="00DE6539">
        <w:rPr>
          <w:lang w:eastAsia="fr-FR"/>
        </w:rPr>
        <w:tab/>
      </w:r>
      <w:r w:rsidR="00A320E9" w:rsidRPr="00DE6539">
        <w:rPr>
          <w:lang w:eastAsia="fr-FR"/>
        </w:rPr>
        <w:tab/>
        <w:t>23</w:t>
      </w:r>
      <w:r w:rsidR="00A320E9" w:rsidRPr="00DE6539">
        <w:rPr>
          <w:lang w:eastAsia="fr-FR"/>
        </w:rPr>
        <w:tab/>
      </w:r>
      <w:r w:rsidR="00730D0B" w:rsidRPr="00DE6539">
        <w:rPr>
          <w:lang w:eastAsia="fr-FR"/>
        </w:rPr>
        <w:t>8</w:t>
      </w:r>
    </w:p>
    <w:p w14:paraId="106F8EFC" w14:textId="32A72B41" w:rsidR="00A320E9" w:rsidRPr="00DE6539"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836988" w:rsidRPr="00DE6539">
        <w:rPr>
          <w:lang w:eastAsia="fr-FR"/>
        </w:rPr>
        <w:t>3.</w:t>
      </w:r>
      <w:r w:rsidR="00836988" w:rsidRPr="00DE6539">
        <w:rPr>
          <w:lang w:eastAsia="fr-FR"/>
        </w:rPr>
        <w:tab/>
        <w:t xml:space="preserve">Amendement au document ECE/TRANS/WP.15/AC.1/2022/8 </w:t>
      </w:r>
      <w:r w:rsidRPr="00DE6539">
        <w:rPr>
          <w:lang w:eastAsia="fr-FR"/>
        </w:rPr>
        <w:br/>
      </w:r>
      <w:r w:rsidRPr="00DE6539">
        <w:rPr>
          <w:lang w:eastAsia="fr-FR"/>
        </w:rPr>
        <w:tab/>
      </w:r>
      <w:r w:rsidR="00836988" w:rsidRPr="00DE6539">
        <w:rPr>
          <w:lang w:eastAsia="fr-FR"/>
        </w:rPr>
        <w:t>relatif au</w:t>
      </w:r>
      <w:r w:rsidRPr="00DE6539">
        <w:rPr>
          <w:lang w:eastAsia="fr-FR"/>
        </w:rPr>
        <w:t xml:space="preserve"> </w:t>
      </w:r>
      <w:r w:rsidR="00836988" w:rsidRPr="00DE6539">
        <w:rPr>
          <w:lang w:eastAsia="fr-FR"/>
        </w:rPr>
        <w:t xml:space="preserve">nota concernant la norme EN ISO 18119:2018 au 6.2.3.5.1 </w:t>
      </w:r>
      <w:r w:rsidRPr="00DE6539">
        <w:rPr>
          <w:lang w:eastAsia="fr-FR"/>
        </w:rPr>
        <w:br/>
      </w:r>
      <w:r w:rsidRPr="00DE6539">
        <w:rPr>
          <w:lang w:eastAsia="fr-FR"/>
        </w:rPr>
        <w:tab/>
      </w:r>
      <w:r w:rsidR="00836988" w:rsidRPr="00DE6539">
        <w:rPr>
          <w:lang w:eastAsia="fr-FR"/>
        </w:rPr>
        <w:t>et au 6.2.4.2 du RID et de l’ADR</w:t>
      </w:r>
      <w:r w:rsidR="00836988" w:rsidRPr="00DE6539">
        <w:rPr>
          <w:lang w:eastAsia="fr-FR"/>
        </w:rPr>
        <w:tab/>
      </w:r>
      <w:r w:rsidR="00836988" w:rsidRPr="00DE6539">
        <w:rPr>
          <w:lang w:eastAsia="fr-FR"/>
        </w:rPr>
        <w:tab/>
        <w:t>24</w:t>
      </w:r>
      <w:r w:rsidR="00836988" w:rsidRPr="00DE6539">
        <w:rPr>
          <w:lang w:eastAsia="fr-FR"/>
        </w:rPr>
        <w:tab/>
      </w:r>
      <w:r w:rsidR="00730D0B" w:rsidRPr="00DE6539">
        <w:rPr>
          <w:lang w:eastAsia="fr-FR"/>
        </w:rPr>
        <w:t>8</w:t>
      </w:r>
    </w:p>
    <w:p w14:paraId="2D1B56AC" w14:textId="026DB32B" w:rsidR="00836988" w:rsidRPr="00DE6539"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9641E2" w:rsidRPr="00DE6539">
        <w:rPr>
          <w:lang w:eastAsia="fr-FR"/>
        </w:rPr>
        <w:t>4.</w:t>
      </w:r>
      <w:r w:rsidR="009641E2" w:rsidRPr="00DE6539">
        <w:rPr>
          <w:lang w:eastAsia="fr-FR"/>
        </w:rPr>
        <w:tab/>
        <w:t xml:space="preserve">Livraison directe de marchandises dangereuses aux </w:t>
      </w:r>
      <w:r w:rsidRPr="00DE6539">
        <w:rPr>
          <w:lang w:eastAsia="fr-FR"/>
        </w:rPr>
        <w:br/>
      </w:r>
      <w:r w:rsidRPr="00DE6539">
        <w:rPr>
          <w:lang w:eastAsia="fr-FR"/>
        </w:rPr>
        <w:tab/>
      </w:r>
      <w:r w:rsidR="009641E2" w:rsidRPr="00DE6539">
        <w:rPr>
          <w:lang w:eastAsia="fr-FR"/>
        </w:rPr>
        <w:t>consommateurs finaux (suremballages)</w:t>
      </w:r>
      <w:r w:rsidR="009641E2" w:rsidRPr="00DE6539">
        <w:rPr>
          <w:lang w:eastAsia="fr-FR"/>
        </w:rPr>
        <w:tab/>
      </w:r>
      <w:r w:rsidR="009641E2" w:rsidRPr="00DE6539">
        <w:rPr>
          <w:lang w:eastAsia="fr-FR"/>
        </w:rPr>
        <w:tab/>
        <w:t>25</w:t>
      </w:r>
      <w:r w:rsidR="009641E2" w:rsidRPr="00DE6539">
        <w:rPr>
          <w:lang w:eastAsia="fr-FR"/>
        </w:rPr>
        <w:tab/>
      </w:r>
      <w:r w:rsidR="00730D0B" w:rsidRPr="00DE6539">
        <w:rPr>
          <w:lang w:eastAsia="fr-FR"/>
        </w:rPr>
        <w:t>8</w:t>
      </w:r>
    </w:p>
    <w:p w14:paraId="23BEE38A" w14:textId="5FFE61E4" w:rsidR="009641E2" w:rsidRPr="00DE6539"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C4788D" w:rsidRPr="00DE6539">
        <w:rPr>
          <w:lang w:eastAsia="fr-FR"/>
        </w:rPr>
        <w:t>5.</w:t>
      </w:r>
      <w:r w:rsidR="00C4788D" w:rsidRPr="00DE6539">
        <w:rPr>
          <w:lang w:eastAsia="fr-FR"/>
        </w:rPr>
        <w:tab/>
        <w:t>Définition révisée du terme « gaz de pétrole liquéfié »</w:t>
      </w:r>
      <w:r w:rsidR="00C4788D" w:rsidRPr="00DE6539">
        <w:rPr>
          <w:lang w:eastAsia="fr-FR"/>
        </w:rPr>
        <w:tab/>
      </w:r>
      <w:r w:rsidR="00C4788D" w:rsidRPr="00DE6539">
        <w:rPr>
          <w:lang w:eastAsia="fr-FR"/>
        </w:rPr>
        <w:tab/>
        <w:t>26</w:t>
      </w:r>
      <w:r w:rsidR="00C4788D" w:rsidRPr="00DE6539">
        <w:rPr>
          <w:lang w:eastAsia="fr-FR"/>
        </w:rPr>
        <w:tab/>
      </w:r>
      <w:r w:rsidR="00730D0B" w:rsidRPr="00DE6539">
        <w:rPr>
          <w:lang w:eastAsia="fr-FR"/>
        </w:rPr>
        <w:t>8</w:t>
      </w:r>
    </w:p>
    <w:p w14:paraId="178FD9D8" w14:textId="3D0E8637" w:rsidR="00C4788D" w:rsidRDefault="005C2D0C" w:rsidP="00BA5F52">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pPr>
      <w:r w:rsidRPr="00DE6539">
        <w:rPr>
          <w:lang w:eastAsia="fr-FR"/>
        </w:rPr>
        <w:tab/>
      </w:r>
      <w:r w:rsidRPr="00DE6539">
        <w:rPr>
          <w:lang w:eastAsia="fr-FR"/>
        </w:rPr>
        <w:tab/>
      </w:r>
      <w:r w:rsidRPr="00DE6539">
        <w:rPr>
          <w:lang w:eastAsia="fr-FR"/>
        </w:rPr>
        <w:tab/>
      </w:r>
      <w:r w:rsidR="008642E3" w:rsidRPr="00DE6539">
        <w:rPr>
          <w:lang w:eastAsia="fr-FR"/>
        </w:rPr>
        <w:t>6.</w:t>
      </w:r>
      <w:r w:rsidR="008642E3" w:rsidRPr="00DE6539">
        <w:rPr>
          <w:lang w:eastAsia="fr-FR"/>
        </w:rPr>
        <w:tab/>
        <w:t>Services en ligne</w:t>
      </w:r>
      <w:r w:rsidR="008642E3" w:rsidRPr="009C704A">
        <w:rPr>
          <w:lang w:val="fr-FR"/>
        </w:rPr>
        <w:t xml:space="preserve"> de livraison de produits de consommation </w:t>
      </w:r>
      <w:r>
        <w:rPr>
          <w:lang w:val="fr-FR"/>
        </w:rPr>
        <w:br/>
      </w:r>
      <w:r>
        <w:rPr>
          <w:lang w:val="fr-FR"/>
        </w:rPr>
        <w:tab/>
      </w:r>
      <w:r w:rsidR="008642E3" w:rsidRPr="009C704A">
        <w:rPr>
          <w:lang w:val="fr-FR"/>
        </w:rPr>
        <w:t>courante</w:t>
      </w:r>
      <w:r w:rsidR="008642E3">
        <w:rPr>
          <w:lang w:val="fr-FR"/>
        </w:rPr>
        <w:tab/>
      </w:r>
      <w:r w:rsidR="008642E3">
        <w:rPr>
          <w:lang w:val="fr-FR"/>
        </w:rPr>
        <w:tab/>
        <w:t>27-29</w:t>
      </w:r>
      <w:r w:rsidR="008642E3">
        <w:rPr>
          <w:lang w:val="fr-FR"/>
        </w:rPr>
        <w:tab/>
      </w:r>
      <w:r w:rsidR="00730D0B">
        <w:rPr>
          <w:lang w:val="fr-FR"/>
        </w:rPr>
        <w:t>8</w:t>
      </w:r>
    </w:p>
    <w:p w14:paraId="1DC855B1" w14:textId="27D9B9C9" w:rsidR="00506EC2" w:rsidRDefault="00506EC2" w:rsidP="005C2D0C">
      <w:pPr>
        <w:tabs>
          <w:tab w:val="right" w:leader="dot" w:pos="7654"/>
          <w:tab w:val="right" w:pos="8929"/>
          <w:tab w:val="right" w:pos="9638"/>
        </w:tabs>
        <w:spacing w:after="120" w:line="230" w:lineRule="atLeast"/>
        <w:ind w:left="1701" w:hanging="567"/>
      </w:pPr>
      <w:r>
        <w:t>B.</w:t>
      </w:r>
      <w:r>
        <w:tab/>
      </w:r>
      <w:r>
        <w:rPr>
          <w:lang w:val="fr-FR"/>
        </w:rPr>
        <w:t>Nouvelles propositions</w:t>
      </w:r>
      <w:r>
        <w:tab/>
      </w:r>
      <w:r>
        <w:tab/>
      </w:r>
      <w:r w:rsidR="00FB6BDA">
        <w:t>3</w:t>
      </w:r>
      <w:r w:rsidR="00244D9A">
        <w:t>0</w:t>
      </w:r>
      <w:r>
        <w:t>-</w:t>
      </w:r>
      <w:r w:rsidR="00244D9A">
        <w:t>4</w:t>
      </w:r>
      <w:r w:rsidR="00FB6BDA">
        <w:t>5</w:t>
      </w:r>
      <w:r>
        <w:tab/>
      </w:r>
      <w:r w:rsidR="00730D0B">
        <w:t>9</w:t>
      </w:r>
    </w:p>
    <w:p w14:paraId="75A5A1C0" w14:textId="0CF965CF" w:rsidR="009F1CFA"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FB6BDA" w:rsidRPr="00DE6539">
        <w:rPr>
          <w:lang w:eastAsia="fr-FR"/>
        </w:rPr>
        <w:t>1.</w:t>
      </w:r>
      <w:r w:rsidR="00FB6BDA" w:rsidRPr="00DE6539">
        <w:rPr>
          <w:lang w:eastAsia="fr-FR"/>
        </w:rPr>
        <w:tab/>
        <w:t xml:space="preserve">Tableau A du RID et de l’ADR : No ONU 3550, code manquant </w:t>
      </w:r>
      <w:r w:rsidR="005C1220" w:rsidRPr="00DE6539">
        <w:rPr>
          <w:lang w:eastAsia="fr-FR"/>
        </w:rPr>
        <w:br/>
      </w:r>
      <w:r w:rsidR="00C20E82" w:rsidRPr="00DE6539">
        <w:rPr>
          <w:lang w:eastAsia="fr-FR"/>
        </w:rPr>
        <w:tab/>
      </w:r>
      <w:r w:rsidR="00FB6BDA" w:rsidRPr="00DE6539">
        <w:rPr>
          <w:lang w:eastAsia="fr-FR"/>
        </w:rPr>
        <w:t>pour l’emballage en commun dans la colonne (9b)</w:t>
      </w:r>
      <w:r w:rsidR="00FB6BDA" w:rsidRPr="00DE6539">
        <w:rPr>
          <w:lang w:eastAsia="fr-FR"/>
        </w:rPr>
        <w:tab/>
      </w:r>
      <w:r w:rsidR="00FB6BDA" w:rsidRPr="00DE6539">
        <w:rPr>
          <w:lang w:eastAsia="fr-FR"/>
        </w:rPr>
        <w:tab/>
        <w:t>30</w:t>
      </w:r>
      <w:r w:rsidR="00FB6BDA" w:rsidRPr="00DE6539">
        <w:rPr>
          <w:lang w:eastAsia="fr-FR"/>
        </w:rPr>
        <w:tab/>
      </w:r>
      <w:r w:rsidR="00730D0B" w:rsidRPr="00DE6539">
        <w:rPr>
          <w:lang w:eastAsia="fr-FR"/>
        </w:rPr>
        <w:t>9</w:t>
      </w:r>
    </w:p>
    <w:p w14:paraId="718B7A43" w14:textId="63686F8D" w:rsidR="00881E44"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961FAC" w:rsidRPr="00DE6539">
        <w:rPr>
          <w:lang w:eastAsia="fr-FR"/>
        </w:rPr>
        <w:t>2.</w:t>
      </w:r>
      <w:r w:rsidR="00961FAC" w:rsidRPr="00DE6539">
        <w:rPr>
          <w:lang w:eastAsia="fr-FR"/>
        </w:rPr>
        <w:tab/>
        <w:t xml:space="preserve">Harmonisation du 1.4.2.1.1 e) dans les différentes versions </w:t>
      </w:r>
      <w:r w:rsidR="00C20E82" w:rsidRPr="00DE6539">
        <w:rPr>
          <w:lang w:eastAsia="fr-FR"/>
        </w:rPr>
        <w:br/>
      </w:r>
      <w:r w:rsidR="00C20E82" w:rsidRPr="00DE6539">
        <w:rPr>
          <w:lang w:eastAsia="fr-FR"/>
        </w:rPr>
        <w:tab/>
      </w:r>
      <w:r w:rsidR="00961FAC" w:rsidRPr="00DE6539">
        <w:rPr>
          <w:lang w:eastAsia="fr-FR"/>
        </w:rPr>
        <w:t xml:space="preserve">linguistiques </w:t>
      </w:r>
      <w:r w:rsidR="00AA54D0" w:rsidRPr="00DE6539">
        <w:rPr>
          <w:lang w:eastAsia="fr-FR"/>
        </w:rPr>
        <w:t xml:space="preserve">du RID, </w:t>
      </w:r>
      <w:r w:rsidR="00961FAC" w:rsidRPr="00DE6539">
        <w:rPr>
          <w:lang w:eastAsia="fr-FR"/>
        </w:rPr>
        <w:t>de l’ADR et de l’ADN</w:t>
      </w:r>
      <w:r w:rsidR="00961FAC" w:rsidRPr="00DE6539">
        <w:rPr>
          <w:lang w:eastAsia="fr-FR"/>
        </w:rPr>
        <w:tab/>
      </w:r>
      <w:r w:rsidR="00961FAC" w:rsidRPr="00DE6539">
        <w:rPr>
          <w:lang w:eastAsia="fr-FR"/>
        </w:rPr>
        <w:tab/>
        <w:t>31</w:t>
      </w:r>
      <w:r w:rsidR="00961FAC" w:rsidRPr="00DE6539">
        <w:rPr>
          <w:lang w:eastAsia="fr-FR"/>
        </w:rPr>
        <w:tab/>
      </w:r>
      <w:r w:rsidR="00730D0B" w:rsidRPr="00DE6539">
        <w:rPr>
          <w:lang w:eastAsia="fr-FR"/>
        </w:rPr>
        <w:t>9</w:t>
      </w:r>
    </w:p>
    <w:p w14:paraId="640CA9A9" w14:textId="5E734B18" w:rsidR="00961FAC"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D7170D" w:rsidRPr="00DE6539">
        <w:rPr>
          <w:lang w:eastAsia="fr-FR"/>
        </w:rPr>
        <w:t>3.</w:t>
      </w:r>
      <w:r w:rsidR="00D7170D" w:rsidRPr="00DE6539">
        <w:rPr>
          <w:lang w:eastAsia="fr-FR"/>
        </w:rPr>
        <w:tab/>
        <w:t>Tirets ou cases vides dans la colonne (15) du tableau A</w:t>
      </w:r>
      <w:r w:rsidR="00D7170D" w:rsidRPr="00DE6539">
        <w:rPr>
          <w:lang w:eastAsia="fr-FR"/>
        </w:rPr>
        <w:tab/>
      </w:r>
      <w:r w:rsidR="00D7170D" w:rsidRPr="00DE6539">
        <w:rPr>
          <w:lang w:eastAsia="fr-FR"/>
        </w:rPr>
        <w:tab/>
        <w:t>32</w:t>
      </w:r>
      <w:r w:rsidR="00D7170D" w:rsidRPr="00DE6539">
        <w:rPr>
          <w:lang w:eastAsia="fr-FR"/>
        </w:rPr>
        <w:tab/>
      </w:r>
      <w:r w:rsidR="00730D0B" w:rsidRPr="00DE6539">
        <w:rPr>
          <w:lang w:eastAsia="fr-FR"/>
        </w:rPr>
        <w:t>9</w:t>
      </w:r>
    </w:p>
    <w:p w14:paraId="0FA49E3D" w14:textId="4B347E9F" w:rsidR="00D7170D"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B06BDF" w:rsidRPr="00DE6539">
        <w:rPr>
          <w:lang w:eastAsia="fr-FR"/>
        </w:rPr>
        <w:t>4.</w:t>
      </w:r>
      <w:r w:rsidR="00B06BDF" w:rsidRPr="00DE6539">
        <w:rPr>
          <w:lang w:eastAsia="fr-FR"/>
        </w:rPr>
        <w:tab/>
        <w:t xml:space="preserve">Utilisation des grands récipients pour vrac pour l’ammoniac </w:t>
      </w:r>
      <w:r w:rsidR="00C20E82" w:rsidRPr="00DE6539">
        <w:rPr>
          <w:lang w:eastAsia="fr-FR"/>
        </w:rPr>
        <w:br/>
      </w:r>
      <w:r w:rsidR="00C20E82" w:rsidRPr="00DE6539">
        <w:rPr>
          <w:lang w:eastAsia="fr-FR"/>
        </w:rPr>
        <w:tab/>
      </w:r>
      <w:r w:rsidR="00B06BDF" w:rsidRPr="00DE6539">
        <w:rPr>
          <w:lang w:eastAsia="fr-FR"/>
        </w:rPr>
        <w:t>en solution (No ONU 2672) à des concentrations plus élevées</w:t>
      </w:r>
      <w:r w:rsidR="00B06BDF" w:rsidRPr="00DE6539">
        <w:rPr>
          <w:lang w:eastAsia="fr-FR"/>
        </w:rPr>
        <w:tab/>
      </w:r>
      <w:r w:rsidR="00B06BDF" w:rsidRPr="00DE6539">
        <w:rPr>
          <w:lang w:eastAsia="fr-FR"/>
        </w:rPr>
        <w:tab/>
        <w:t>33</w:t>
      </w:r>
      <w:r w:rsidR="00B06BDF" w:rsidRPr="00DE6539">
        <w:rPr>
          <w:lang w:eastAsia="fr-FR"/>
        </w:rPr>
        <w:tab/>
      </w:r>
      <w:r w:rsidR="00730D0B" w:rsidRPr="00DE6539">
        <w:rPr>
          <w:lang w:eastAsia="fr-FR"/>
        </w:rPr>
        <w:t>9</w:t>
      </w:r>
    </w:p>
    <w:p w14:paraId="069902E7" w14:textId="4542C19B" w:rsidR="00B06BDF"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685580" w:rsidRPr="00DE6539">
        <w:rPr>
          <w:lang w:eastAsia="fr-FR"/>
        </w:rPr>
        <w:t>5.</w:t>
      </w:r>
      <w:r w:rsidR="00685580" w:rsidRPr="00DE6539">
        <w:rPr>
          <w:lang w:eastAsia="fr-FR"/>
        </w:rPr>
        <w:tab/>
        <w:t xml:space="preserve">Modification de la disposition spéciale 653 dans le chapitre 3.3 </w:t>
      </w:r>
      <w:r w:rsidR="00C20E82" w:rsidRPr="00DE6539">
        <w:rPr>
          <w:lang w:eastAsia="fr-FR"/>
        </w:rPr>
        <w:br/>
      </w:r>
      <w:r w:rsidR="00C20E82" w:rsidRPr="00DE6539">
        <w:rPr>
          <w:lang w:eastAsia="fr-FR"/>
        </w:rPr>
        <w:tab/>
      </w:r>
      <w:r w:rsidR="00685580" w:rsidRPr="00DE6539">
        <w:rPr>
          <w:lang w:eastAsia="fr-FR"/>
        </w:rPr>
        <w:t xml:space="preserve">du RID, </w:t>
      </w:r>
      <w:r w:rsidR="00AA54D0" w:rsidRPr="00DE6539">
        <w:rPr>
          <w:lang w:eastAsia="fr-FR"/>
        </w:rPr>
        <w:t xml:space="preserve">de l’ADR </w:t>
      </w:r>
      <w:r w:rsidR="00685580" w:rsidRPr="00DE6539">
        <w:rPr>
          <w:lang w:eastAsia="fr-FR"/>
        </w:rPr>
        <w:t>et de l’ADN</w:t>
      </w:r>
      <w:r w:rsidR="00685580" w:rsidRPr="00DE6539">
        <w:rPr>
          <w:lang w:eastAsia="fr-FR"/>
        </w:rPr>
        <w:tab/>
      </w:r>
      <w:r w:rsidR="00685580" w:rsidRPr="00DE6539">
        <w:rPr>
          <w:lang w:eastAsia="fr-FR"/>
        </w:rPr>
        <w:tab/>
        <w:t>34</w:t>
      </w:r>
      <w:r w:rsidR="00685580" w:rsidRPr="00DE6539">
        <w:rPr>
          <w:lang w:eastAsia="fr-FR"/>
        </w:rPr>
        <w:tab/>
      </w:r>
      <w:r w:rsidR="00730D0B" w:rsidRPr="00DE6539">
        <w:rPr>
          <w:lang w:eastAsia="fr-FR"/>
        </w:rPr>
        <w:t>9</w:t>
      </w:r>
    </w:p>
    <w:p w14:paraId="3C925662" w14:textId="3999A6BD" w:rsidR="00685580"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3152AC" w:rsidRPr="00DE6539">
        <w:rPr>
          <w:lang w:eastAsia="fr-FR"/>
        </w:rPr>
        <w:t>6.</w:t>
      </w:r>
      <w:r w:rsidR="003152AC" w:rsidRPr="00DE6539">
        <w:rPr>
          <w:lang w:eastAsia="fr-FR"/>
        </w:rPr>
        <w:tab/>
        <w:t>Modification du 1.1.3.1 du RID, de l’ADR et de l’ADN</w:t>
      </w:r>
      <w:r w:rsidR="003152AC" w:rsidRPr="00DE6539">
        <w:rPr>
          <w:lang w:eastAsia="fr-FR"/>
        </w:rPr>
        <w:tab/>
      </w:r>
      <w:r w:rsidR="003152AC" w:rsidRPr="00DE6539">
        <w:rPr>
          <w:lang w:eastAsia="fr-FR"/>
        </w:rPr>
        <w:tab/>
        <w:t>35</w:t>
      </w:r>
      <w:r w:rsidR="00691FE9" w:rsidRPr="00DE6539">
        <w:rPr>
          <w:lang w:eastAsia="fr-FR"/>
        </w:rPr>
        <w:t>-36</w:t>
      </w:r>
      <w:r w:rsidR="003152AC" w:rsidRPr="00DE6539">
        <w:rPr>
          <w:lang w:eastAsia="fr-FR"/>
        </w:rPr>
        <w:tab/>
      </w:r>
      <w:r w:rsidR="008A0E08" w:rsidRPr="00DE6539">
        <w:rPr>
          <w:lang w:eastAsia="fr-FR"/>
        </w:rPr>
        <w:t>10</w:t>
      </w:r>
    </w:p>
    <w:p w14:paraId="6729E7FE" w14:textId="2D0A1EA4" w:rsidR="003152AC"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943544" w:rsidRPr="00DE6539">
        <w:rPr>
          <w:lang w:eastAsia="fr-FR"/>
        </w:rPr>
        <w:t>7.</w:t>
      </w:r>
      <w:r w:rsidR="00943544" w:rsidRPr="00DE6539">
        <w:rPr>
          <w:lang w:eastAsia="fr-FR"/>
        </w:rPr>
        <w:tab/>
        <w:t xml:space="preserve">Modification du 4.1.1.21.6 (Liste des matières assimilées) pour </w:t>
      </w:r>
      <w:r w:rsidR="00AA54D0" w:rsidRPr="00DE6539">
        <w:rPr>
          <w:lang w:eastAsia="fr-FR"/>
        </w:rPr>
        <w:br/>
      </w:r>
      <w:r w:rsidR="00C20E82" w:rsidRPr="00DE6539">
        <w:rPr>
          <w:lang w:eastAsia="fr-FR"/>
        </w:rPr>
        <w:tab/>
      </w:r>
      <w:r w:rsidR="00943544" w:rsidRPr="00DE6539">
        <w:rPr>
          <w:lang w:eastAsia="fr-FR"/>
        </w:rPr>
        <w:t>le No ONU 1779</w:t>
      </w:r>
      <w:r w:rsidR="00943544" w:rsidRPr="00DE6539">
        <w:rPr>
          <w:lang w:eastAsia="fr-FR"/>
        </w:rPr>
        <w:tab/>
      </w:r>
      <w:r w:rsidR="00AA54D0" w:rsidRPr="00DE6539">
        <w:rPr>
          <w:lang w:eastAsia="fr-FR"/>
        </w:rPr>
        <w:tab/>
      </w:r>
      <w:r w:rsidR="00943544" w:rsidRPr="00DE6539">
        <w:rPr>
          <w:lang w:eastAsia="fr-FR"/>
        </w:rPr>
        <w:t>37</w:t>
      </w:r>
      <w:r w:rsidR="00943544" w:rsidRPr="00DE6539">
        <w:rPr>
          <w:lang w:eastAsia="fr-FR"/>
        </w:rPr>
        <w:tab/>
      </w:r>
      <w:r w:rsidR="008A0E08" w:rsidRPr="00DE6539">
        <w:rPr>
          <w:lang w:eastAsia="fr-FR"/>
        </w:rPr>
        <w:t>10</w:t>
      </w:r>
    </w:p>
    <w:p w14:paraId="46BD3D48" w14:textId="6A689A37" w:rsidR="00943544"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691FE9" w:rsidRPr="00DE6539">
        <w:rPr>
          <w:lang w:eastAsia="fr-FR"/>
        </w:rPr>
        <w:t>8.</w:t>
      </w:r>
      <w:r w:rsidR="00691FE9" w:rsidRPr="00DE6539">
        <w:rPr>
          <w:lang w:eastAsia="fr-FR"/>
        </w:rPr>
        <w:tab/>
        <w:t>Placardage des bennes amovibles</w:t>
      </w:r>
      <w:r w:rsidR="00691FE9" w:rsidRPr="00DE6539">
        <w:rPr>
          <w:lang w:eastAsia="fr-FR"/>
        </w:rPr>
        <w:tab/>
      </w:r>
      <w:r w:rsidR="00691FE9" w:rsidRPr="00DE6539">
        <w:rPr>
          <w:lang w:eastAsia="fr-FR"/>
        </w:rPr>
        <w:tab/>
        <w:t>38</w:t>
      </w:r>
      <w:r w:rsidR="00691FE9" w:rsidRPr="00DE6539">
        <w:rPr>
          <w:lang w:eastAsia="fr-FR"/>
        </w:rPr>
        <w:tab/>
      </w:r>
      <w:r w:rsidR="008A0E08" w:rsidRPr="00DE6539">
        <w:rPr>
          <w:lang w:eastAsia="fr-FR"/>
        </w:rPr>
        <w:t>10</w:t>
      </w:r>
    </w:p>
    <w:p w14:paraId="011B0D4B" w14:textId="3981EE69" w:rsidR="00691FE9"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B55D29" w:rsidRPr="00DE6539">
        <w:rPr>
          <w:lang w:eastAsia="fr-FR"/>
        </w:rPr>
        <w:t>9.</w:t>
      </w:r>
      <w:r w:rsidR="00B55D29" w:rsidRPr="00DE6539">
        <w:rPr>
          <w:lang w:eastAsia="fr-FR"/>
        </w:rPr>
        <w:tab/>
        <w:t>Mention de l’expéditeur au 5.4.1.1.1</w:t>
      </w:r>
      <w:r w:rsidR="00B55D29" w:rsidRPr="00DE6539">
        <w:rPr>
          <w:lang w:eastAsia="fr-FR"/>
        </w:rPr>
        <w:tab/>
      </w:r>
      <w:r w:rsidR="00B55D29" w:rsidRPr="00DE6539">
        <w:rPr>
          <w:lang w:eastAsia="fr-FR"/>
        </w:rPr>
        <w:tab/>
        <w:t>39</w:t>
      </w:r>
      <w:r w:rsidR="00B55D29" w:rsidRPr="00DE6539">
        <w:rPr>
          <w:lang w:eastAsia="fr-FR"/>
        </w:rPr>
        <w:tab/>
      </w:r>
      <w:r w:rsidR="008A0E08" w:rsidRPr="00DE6539">
        <w:rPr>
          <w:lang w:eastAsia="fr-FR"/>
        </w:rPr>
        <w:t>10</w:t>
      </w:r>
    </w:p>
    <w:p w14:paraId="5BB59743" w14:textId="2EDAB4E6" w:rsidR="00B55D29"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7F7209" w:rsidRPr="00DE6539">
        <w:rPr>
          <w:lang w:eastAsia="fr-FR"/>
        </w:rPr>
        <w:t>10.</w:t>
      </w:r>
      <w:r w:rsidR="007F7209" w:rsidRPr="00DE6539">
        <w:rPr>
          <w:lang w:eastAsia="fr-FR"/>
        </w:rPr>
        <w:tab/>
        <w:t>Obligations de l’expéditeur visées au 4.1.3.6.7 et au 4.1.6.5</w:t>
      </w:r>
      <w:r w:rsidR="007F7209" w:rsidRPr="00DE6539">
        <w:rPr>
          <w:lang w:eastAsia="fr-FR"/>
        </w:rPr>
        <w:tab/>
      </w:r>
      <w:r w:rsidR="007F7209" w:rsidRPr="00DE6539">
        <w:rPr>
          <w:lang w:eastAsia="fr-FR"/>
        </w:rPr>
        <w:tab/>
        <w:t>40</w:t>
      </w:r>
      <w:r w:rsidR="007F7209" w:rsidRPr="00DE6539">
        <w:rPr>
          <w:lang w:eastAsia="fr-FR"/>
        </w:rPr>
        <w:tab/>
      </w:r>
      <w:r w:rsidR="008A0E08" w:rsidRPr="00DE6539">
        <w:rPr>
          <w:lang w:eastAsia="fr-FR"/>
        </w:rPr>
        <w:t>10</w:t>
      </w:r>
    </w:p>
    <w:p w14:paraId="3307B2DC" w14:textId="7011EF35" w:rsidR="007F7209"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1F140F" w:rsidRPr="00DE6539">
        <w:rPr>
          <w:lang w:eastAsia="fr-FR"/>
        </w:rPr>
        <w:t>11.</w:t>
      </w:r>
      <w:r w:rsidR="001F140F" w:rsidRPr="00DE6539">
        <w:rPr>
          <w:lang w:eastAsia="fr-FR"/>
        </w:rPr>
        <w:tab/>
        <w:t xml:space="preserve">6.2.3 du RID et de l’ADR − Prescriptions applicables aux </w:t>
      </w:r>
      <w:r w:rsidR="00C20E82" w:rsidRPr="00DE6539">
        <w:rPr>
          <w:lang w:eastAsia="fr-FR"/>
        </w:rPr>
        <w:br/>
      </w:r>
      <w:r w:rsidR="00C20E82" w:rsidRPr="00DE6539">
        <w:rPr>
          <w:lang w:eastAsia="fr-FR"/>
        </w:rPr>
        <w:tab/>
      </w:r>
      <w:r w:rsidR="001F140F" w:rsidRPr="00DE6539">
        <w:rPr>
          <w:lang w:eastAsia="fr-FR"/>
        </w:rPr>
        <w:t xml:space="preserve">dispositifs de décompression pour récipients à pression « non UN » </w:t>
      </w:r>
      <w:r w:rsidR="00C20E82" w:rsidRPr="00DE6539">
        <w:rPr>
          <w:lang w:eastAsia="fr-FR"/>
        </w:rPr>
        <w:br/>
      </w:r>
      <w:r w:rsidR="00C20E82" w:rsidRPr="00DE6539">
        <w:rPr>
          <w:lang w:eastAsia="fr-FR"/>
        </w:rPr>
        <w:tab/>
      </w:r>
      <w:r w:rsidR="001F140F" w:rsidRPr="00DE6539">
        <w:rPr>
          <w:lang w:eastAsia="fr-FR"/>
        </w:rPr>
        <w:t>qui se déclenchent en fonction de la pression</w:t>
      </w:r>
      <w:r w:rsidR="001F140F" w:rsidRPr="00DE6539">
        <w:rPr>
          <w:lang w:eastAsia="fr-FR"/>
        </w:rPr>
        <w:tab/>
      </w:r>
      <w:r w:rsidR="001F140F" w:rsidRPr="00DE6539">
        <w:rPr>
          <w:lang w:eastAsia="fr-FR"/>
        </w:rPr>
        <w:tab/>
        <w:t>41</w:t>
      </w:r>
      <w:r w:rsidR="001F140F" w:rsidRPr="00DE6539">
        <w:rPr>
          <w:lang w:eastAsia="fr-FR"/>
        </w:rPr>
        <w:tab/>
      </w:r>
      <w:r w:rsidR="008A0E08" w:rsidRPr="00DE6539">
        <w:rPr>
          <w:lang w:eastAsia="fr-FR"/>
        </w:rPr>
        <w:t>10</w:t>
      </w:r>
    </w:p>
    <w:p w14:paraId="141E508C" w14:textId="7978B02A" w:rsidR="002C2216"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2C2216" w:rsidRPr="00DE6539">
        <w:rPr>
          <w:lang w:eastAsia="fr-FR"/>
        </w:rPr>
        <w:t>12.</w:t>
      </w:r>
      <w:r w:rsidR="002C2216" w:rsidRPr="00DE6539">
        <w:rPr>
          <w:lang w:eastAsia="fr-FR"/>
        </w:rPr>
        <w:tab/>
        <w:t xml:space="preserve">Modification de l’instruction d’emballage P200 au 4.1.4.1 : </w:t>
      </w:r>
      <w:r w:rsidR="00C20E82" w:rsidRPr="00DE6539">
        <w:rPr>
          <w:lang w:eastAsia="fr-FR"/>
        </w:rPr>
        <w:br/>
      </w:r>
      <w:r w:rsidR="00C20E82" w:rsidRPr="00DE6539">
        <w:rPr>
          <w:lang w:eastAsia="fr-FR"/>
        </w:rPr>
        <w:tab/>
      </w:r>
      <w:r w:rsidR="002C2216" w:rsidRPr="00DE6539">
        <w:rPr>
          <w:lang w:eastAsia="fr-FR"/>
        </w:rPr>
        <w:t xml:space="preserve">dispositifs de décompression interdits pour les bouteilles d’acétylène </w:t>
      </w:r>
      <w:r w:rsidR="00C20E82" w:rsidRPr="00DE6539">
        <w:rPr>
          <w:lang w:eastAsia="fr-FR"/>
        </w:rPr>
        <w:br/>
      </w:r>
      <w:r w:rsidR="00C20E82" w:rsidRPr="00DE6539">
        <w:rPr>
          <w:lang w:eastAsia="fr-FR"/>
        </w:rPr>
        <w:tab/>
      </w:r>
      <w:r w:rsidR="002C2216" w:rsidRPr="00DE6539">
        <w:rPr>
          <w:lang w:eastAsia="fr-FR"/>
        </w:rPr>
        <w:t>« non UN »</w:t>
      </w:r>
      <w:r w:rsidR="002C2216" w:rsidRPr="00DE6539">
        <w:rPr>
          <w:lang w:eastAsia="fr-FR"/>
        </w:rPr>
        <w:tab/>
      </w:r>
      <w:r w:rsidR="002C2216" w:rsidRPr="00DE6539">
        <w:rPr>
          <w:lang w:eastAsia="fr-FR"/>
        </w:rPr>
        <w:tab/>
        <w:t>42</w:t>
      </w:r>
      <w:r w:rsidR="002C2216" w:rsidRPr="00DE6539">
        <w:rPr>
          <w:lang w:eastAsia="fr-FR"/>
        </w:rPr>
        <w:tab/>
        <w:t>1</w:t>
      </w:r>
      <w:r w:rsidR="008A0E08" w:rsidRPr="00DE6539">
        <w:rPr>
          <w:lang w:eastAsia="fr-FR"/>
        </w:rPr>
        <w:t>1</w:t>
      </w:r>
    </w:p>
    <w:p w14:paraId="09A92E3B" w14:textId="3122023C" w:rsidR="002C2216"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lastRenderedPageBreak/>
        <w:tab/>
      </w:r>
      <w:r w:rsidRPr="00DE6539">
        <w:rPr>
          <w:lang w:eastAsia="fr-FR"/>
        </w:rPr>
        <w:tab/>
      </w:r>
      <w:r w:rsidRPr="00DE6539">
        <w:rPr>
          <w:lang w:eastAsia="fr-FR"/>
        </w:rPr>
        <w:tab/>
      </w:r>
      <w:r w:rsidR="00102908" w:rsidRPr="00DE6539">
        <w:rPr>
          <w:lang w:eastAsia="fr-FR"/>
        </w:rPr>
        <w:t>13.</w:t>
      </w:r>
      <w:r w:rsidR="00102908" w:rsidRPr="00DE6539">
        <w:rPr>
          <w:lang w:eastAsia="fr-FR"/>
        </w:rPr>
        <w:tab/>
        <w:t xml:space="preserve">Proposition de modification de la définition des termes </w:t>
      </w:r>
      <w:r w:rsidR="00C20E82" w:rsidRPr="00DE6539">
        <w:rPr>
          <w:lang w:eastAsia="fr-FR"/>
        </w:rPr>
        <w:br/>
      </w:r>
      <w:r w:rsidR="00C20E82" w:rsidRPr="00DE6539">
        <w:rPr>
          <w:lang w:eastAsia="fr-FR"/>
        </w:rPr>
        <w:tab/>
      </w:r>
      <w:r w:rsidR="00102908" w:rsidRPr="00DE6539">
        <w:rPr>
          <w:lang w:eastAsia="fr-FR"/>
        </w:rPr>
        <w:t>« véhicule-batterie »</w:t>
      </w:r>
      <w:r w:rsidR="00C20E82" w:rsidRPr="00DE6539">
        <w:rPr>
          <w:lang w:eastAsia="fr-FR"/>
        </w:rPr>
        <w:t xml:space="preserve"> </w:t>
      </w:r>
      <w:r w:rsidR="00102908" w:rsidRPr="00DE6539">
        <w:rPr>
          <w:lang w:eastAsia="fr-FR"/>
        </w:rPr>
        <w:t>et « wagon-batterie »</w:t>
      </w:r>
      <w:r w:rsidR="00102908" w:rsidRPr="00DE6539">
        <w:rPr>
          <w:lang w:eastAsia="fr-FR"/>
        </w:rPr>
        <w:tab/>
      </w:r>
      <w:r w:rsidR="00102908" w:rsidRPr="00DE6539">
        <w:rPr>
          <w:lang w:eastAsia="fr-FR"/>
        </w:rPr>
        <w:tab/>
        <w:t>43</w:t>
      </w:r>
      <w:r w:rsidR="00102908" w:rsidRPr="00DE6539">
        <w:rPr>
          <w:lang w:eastAsia="fr-FR"/>
        </w:rPr>
        <w:tab/>
        <w:t>1</w:t>
      </w:r>
      <w:r w:rsidR="008A0E08" w:rsidRPr="00DE6539">
        <w:rPr>
          <w:lang w:eastAsia="fr-FR"/>
        </w:rPr>
        <w:t>1</w:t>
      </w:r>
    </w:p>
    <w:p w14:paraId="155C00E2" w14:textId="413A8D7B" w:rsidR="00102908" w:rsidRPr="00DE6539"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sidRPr="00DE6539">
        <w:rPr>
          <w:lang w:eastAsia="fr-FR"/>
        </w:rPr>
        <w:tab/>
      </w:r>
      <w:r w:rsidRPr="00DE6539">
        <w:rPr>
          <w:lang w:eastAsia="fr-FR"/>
        </w:rPr>
        <w:tab/>
      </w:r>
      <w:r w:rsidRPr="00DE6539">
        <w:rPr>
          <w:lang w:eastAsia="fr-FR"/>
        </w:rPr>
        <w:tab/>
      </w:r>
      <w:r w:rsidR="003C6931" w:rsidRPr="00DE6539">
        <w:rPr>
          <w:lang w:eastAsia="fr-FR"/>
        </w:rPr>
        <w:t>14.</w:t>
      </w:r>
      <w:r w:rsidR="003C6931" w:rsidRPr="00DE6539">
        <w:rPr>
          <w:lang w:eastAsia="fr-FR"/>
        </w:rPr>
        <w:tab/>
        <w:t xml:space="preserve">Mention au chapitre 5.4 des prescriptions, concernant la </w:t>
      </w:r>
      <w:r w:rsidR="00C20E82" w:rsidRPr="00DE6539">
        <w:rPr>
          <w:lang w:eastAsia="fr-FR"/>
        </w:rPr>
        <w:br/>
      </w:r>
      <w:r w:rsidR="00C20E82" w:rsidRPr="00DE6539">
        <w:rPr>
          <w:lang w:eastAsia="fr-FR"/>
        </w:rPr>
        <w:tab/>
      </w:r>
      <w:r w:rsidR="003C6931" w:rsidRPr="00DE6539">
        <w:rPr>
          <w:lang w:eastAsia="fr-FR"/>
        </w:rPr>
        <w:t>documentation, définies</w:t>
      </w:r>
      <w:r w:rsidR="00C20E82" w:rsidRPr="00DE6539">
        <w:rPr>
          <w:lang w:eastAsia="fr-FR"/>
        </w:rPr>
        <w:t xml:space="preserve"> </w:t>
      </w:r>
      <w:r w:rsidR="003C6931" w:rsidRPr="00DE6539">
        <w:rPr>
          <w:lang w:eastAsia="fr-FR"/>
        </w:rPr>
        <w:t>par des dispositions spéciales du chapitre 3.3</w:t>
      </w:r>
      <w:r w:rsidR="003C6931" w:rsidRPr="00DE6539">
        <w:rPr>
          <w:lang w:eastAsia="fr-FR"/>
        </w:rPr>
        <w:tab/>
        <w:t>44</w:t>
      </w:r>
      <w:r w:rsidR="003C6931" w:rsidRPr="00DE6539">
        <w:rPr>
          <w:lang w:eastAsia="fr-FR"/>
        </w:rPr>
        <w:tab/>
        <w:t>1</w:t>
      </w:r>
      <w:r w:rsidR="008A0E08" w:rsidRPr="00DE6539">
        <w:rPr>
          <w:lang w:eastAsia="fr-FR"/>
        </w:rPr>
        <w:t>1</w:t>
      </w:r>
    </w:p>
    <w:p w14:paraId="0B2B9B07" w14:textId="1357ADC5" w:rsidR="003C6931" w:rsidRDefault="005C2D0C" w:rsidP="005C2D0C">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pPr>
      <w:r w:rsidRPr="00DE6539">
        <w:rPr>
          <w:lang w:eastAsia="fr-FR"/>
        </w:rPr>
        <w:tab/>
      </w:r>
      <w:r w:rsidRPr="00DE6539">
        <w:rPr>
          <w:lang w:eastAsia="fr-FR"/>
        </w:rPr>
        <w:tab/>
      </w:r>
      <w:r w:rsidRPr="00DE6539">
        <w:rPr>
          <w:lang w:eastAsia="fr-FR"/>
        </w:rPr>
        <w:tab/>
      </w:r>
      <w:r w:rsidR="0078129E" w:rsidRPr="00DE6539">
        <w:rPr>
          <w:lang w:eastAsia="fr-FR"/>
        </w:rPr>
        <w:t>15.</w:t>
      </w:r>
      <w:r w:rsidR="0078129E" w:rsidRPr="00DE6539">
        <w:rPr>
          <w:lang w:eastAsia="fr-FR"/>
        </w:rPr>
        <w:tab/>
        <w:t>Modifications proposées au 5.4.1.1.3.2 concernant les</w:t>
      </w:r>
      <w:r w:rsidR="00C20E82" w:rsidRPr="00DE6539">
        <w:rPr>
          <w:lang w:eastAsia="fr-FR"/>
        </w:rPr>
        <w:br/>
      </w:r>
      <w:r w:rsidR="00C20E82" w:rsidRPr="00DE6539">
        <w:rPr>
          <w:lang w:eastAsia="fr-FR"/>
        </w:rPr>
        <w:tab/>
      </w:r>
      <w:r w:rsidR="0078129E" w:rsidRPr="00DE6539">
        <w:rPr>
          <w:lang w:eastAsia="fr-FR"/>
        </w:rPr>
        <w:t xml:space="preserve"> renseignements sur la quantité transportée</w:t>
      </w:r>
      <w:r w:rsidR="0078129E">
        <w:rPr>
          <w:bCs/>
          <w:lang w:val="fr-FR"/>
        </w:rPr>
        <w:t xml:space="preserve"> qui figurent dans le </w:t>
      </w:r>
      <w:r w:rsidR="00C20E82">
        <w:rPr>
          <w:bCs/>
          <w:lang w:val="fr-FR"/>
        </w:rPr>
        <w:br/>
      </w:r>
      <w:r w:rsidR="00C20E82">
        <w:rPr>
          <w:bCs/>
          <w:lang w:val="fr-FR"/>
        </w:rPr>
        <w:tab/>
      </w:r>
      <w:r w:rsidR="0078129E">
        <w:rPr>
          <w:bCs/>
          <w:lang w:val="fr-FR"/>
        </w:rPr>
        <w:t>document de transport</w:t>
      </w:r>
      <w:r w:rsidR="0078129E">
        <w:rPr>
          <w:bCs/>
          <w:lang w:val="fr-FR"/>
        </w:rPr>
        <w:tab/>
      </w:r>
      <w:r w:rsidR="0078129E">
        <w:rPr>
          <w:bCs/>
          <w:lang w:val="fr-FR"/>
        </w:rPr>
        <w:tab/>
        <w:t>45</w:t>
      </w:r>
      <w:r w:rsidR="0078129E">
        <w:rPr>
          <w:bCs/>
          <w:lang w:val="fr-FR"/>
        </w:rPr>
        <w:tab/>
        <w:t>1</w:t>
      </w:r>
      <w:r w:rsidR="008A0E08">
        <w:rPr>
          <w:bCs/>
          <w:lang w:val="fr-FR"/>
        </w:rPr>
        <w:t>1</w:t>
      </w:r>
    </w:p>
    <w:p w14:paraId="6D2C9B64" w14:textId="55AEAD60" w:rsidR="007569FE" w:rsidRDefault="00506EC2" w:rsidP="00137CA4">
      <w:pPr>
        <w:tabs>
          <w:tab w:val="right" w:pos="850"/>
          <w:tab w:val="right" w:leader="dot" w:pos="7654"/>
          <w:tab w:val="right" w:pos="8929"/>
          <w:tab w:val="right" w:pos="9638"/>
        </w:tabs>
        <w:spacing w:after="120" w:line="230" w:lineRule="atLeast"/>
        <w:ind w:left="1134" w:hanging="1134"/>
      </w:pPr>
      <w:r>
        <w:tab/>
        <w:t>VII.</w:t>
      </w:r>
      <w:r>
        <w:tab/>
      </w:r>
      <w:r>
        <w:rPr>
          <w:lang w:val="fr-FR"/>
        </w:rPr>
        <w:t>Rapports des groupes de travail informels (point 6 de l’ordre du jour)</w:t>
      </w:r>
      <w:r>
        <w:tab/>
      </w:r>
      <w:r>
        <w:tab/>
      </w:r>
      <w:r w:rsidR="007569FE">
        <w:t>4</w:t>
      </w:r>
      <w:r w:rsidR="0078129E">
        <w:t>6</w:t>
      </w:r>
      <w:r w:rsidR="00EF2541">
        <w:t>-5</w:t>
      </w:r>
      <w:r w:rsidR="0078129E">
        <w:t>1</w:t>
      </w:r>
      <w:r>
        <w:tab/>
        <w:t>1</w:t>
      </w:r>
      <w:r w:rsidR="008A0E08">
        <w:t>1</w:t>
      </w:r>
    </w:p>
    <w:p w14:paraId="4578FD42" w14:textId="32794F4C" w:rsidR="00B8124E" w:rsidRDefault="00E15CC9" w:rsidP="005C2D0C">
      <w:pPr>
        <w:tabs>
          <w:tab w:val="right" w:leader="dot" w:pos="7654"/>
          <w:tab w:val="right" w:pos="8929"/>
          <w:tab w:val="right" w:pos="9638"/>
        </w:tabs>
        <w:spacing w:after="120"/>
        <w:ind w:left="1701" w:hanging="567"/>
      </w:pPr>
      <w:r>
        <w:t>A.</w:t>
      </w:r>
      <w:r w:rsidR="00B8124E" w:rsidRPr="00211A72">
        <w:tab/>
      </w:r>
      <w:r w:rsidR="0034421B" w:rsidRPr="00A3253E">
        <w:rPr>
          <w:lang w:val="fr-FR"/>
        </w:rPr>
        <w:t>Ajout de dispositions relatives au transport d</w:t>
      </w:r>
      <w:r w:rsidR="0034421B">
        <w:rPr>
          <w:lang w:val="fr-FR"/>
        </w:rPr>
        <w:t>’</w:t>
      </w:r>
      <w:r w:rsidR="0034421B" w:rsidRPr="00A3253E">
        <w:rPr>
          <w:lang w:val="fr-FR"/>
        </w:rPr>
        <w:t xml:space="preserve">aluminium fondu </w:t>
      </w:r>
      <w:r w:rsidR="0034421B">
        <w:rPr>
          <w:lang w:val="fr-FR"/>
        </w:rPr>
        <w:br/>
      </w:r>
      <w:r w:rsidR="0034421B" w:rsidRPr="00A3253E">
        <w:rPr>
          <w:lang w:val="fr-FR"/>
        </w:rPr>
        <w:t>sous le No</w:t>
      </w:r>
      <w:r w:rsidR="0034421B">
        <w:rPr>
          <w:lang w:val="fr-FR"/>
        </w:rPr>
        <w:t> </w:t>
      </w:r>
      <w:r w:rsidR="0034421B" w:rsidRPr="00A3253E">
        <w:rPr>
          <w:lang w:val="fr-FR"/>
        </w:rPr>
        <w:t>ONU 3257</w:t>
      </w:r>
      <w:r w:rsidR="00DE53AF">
        <w:tab/>
      </w:r>
      <w:r w:rsidR="00DE53AF">
        <w:tab/>
      </w:r>
      <w:r w:rsidR="002037A2">
        <w:t>4</w:t>
      </w:r>
      <w:r w:rsidR="0034421B">
        <w:t>6</w:t>
      </w:r>
      <w:r w:rsidR="002037A2">
        <w:tab/>
      </w:r>
      <w:r w:rsidR="00CA6247">
        <w:t>1</w:t>
      </w:r>
      <w:r w:rsidR="008A0E08">
        <w:t>1</w:t>
      </w:r>
    </w:p>
    <w:p w14:paraId="10DA4CC7" w14:textId="486CDDBF" w:rsidR="002037A2" w:rsidRDefault="002037A2" w:rsidP="005C2D0C">
      <w:pPr>
        <w:tabs>
          <w:tab w:val="right" w:leader="dot" w:pos="7654"/>
          <w:tab w:val="right" w:pos="8929"/>
          <w:tab w:val="right" w:pos="9638"/>
        </w:tabs>
        <w:spacing w:after="120"/>
        <w:ind w:left="1701" w:hanging="567"/>
        <w:rPr>
          <w:lang w:val="fr-FR"/>
        </w:rPr>
      </w:pPr>
      <w:r w:rsidRPr="006350CF">
        <w:rPr>
          <w:lang w:val="fr-FR"/>
        </w:rPr>
        <w:t>B.</w:t>
      </w:r>
      <w:r w:rsidRPr="006350CF">
        <w:rPr>
          <w:lang w:val="fr-FR"/>
        </w:rPr>
        <w:tab/>
      </w:r>
      <w:r w:rsidR="00AD00CC" w:rsidRPr="00A3253E">
        <w:rPr>
          <w:lang w:val="fr-FR"/>
        </w:rPr>
        <w:t xml:space="preserve">Compatibilité chimique des emballages en matières plastiques </w:t>
      </w:r>
      <w:r w:rsidR="00AD00CC">
        <w:rPr>
          <w:lang w:val="fr-FR"/>
        </w:rPr>
        <w:br/>
      </w:r>
      <w:r w:rsidR="00AD00CC" w:rsidRPr="00A3253E">
        <w:rPr>
          <w:lang w:val="fr-FR"/>
        </w:rPr>
        <w:t>contenant des déchets liquides</w:t>
      </w:r>
      <w:r w:rsidR="00065D77">
        <w:rPr>
          <w:lang w:val="fr-FR"/>
        </w:rPr>
        <w:tab/>
      </w:r>
      <w:r w:rsidR="00065D77">
        <w:rPr>
          <w:lang w:val="fr-FR"/>
        </w:rPr>
        <w:tab/>
        <w:t>4</w:t>
      </w:r>
      <w:r w:rsidR="00AD00CC">
        <w:rPr>
          <w:lang w:val="fr-FR"/>
        </w:rPr>
        <w:t>7</w:t>
      </w:r>
      <w:r w:rsidR="00065D77">
        <w:rPr>
          <w:lang w:val="fr-FR"/>
        </w:rPr>
        <w:tab/>
      </w:r>
      <w:r w:rsidR="00CA6247">
        <w:rPr>
          <w:lang w:val="fr-FR"/>
        </w:rPr>
        <w:t>1</w:t>
      </w:r>
      <w:r w:rsidR="008A0E08">
        <w:rPr>
          <w:lang w:val="fr-FR"/>
        </w:rPr>
        <w:t>2</w:t>
      </w:r>
    </w:p>
    <w:p w14:paraId="36E39E98" w14:textId="2FFAF913" w:rsidR="00703FCC" w:rsidRDefault="00703FCC" w:rsidP="005C2D0C">
      <w:pPr>
        <w:tabs>
          <w:tab w:val="right" w:leader="dot" w:pos="7654"/>
          <w:tab w:val="right" w:pos="8929"/>
          <w:tab w:val="right" w:pos="9638"/>
        </w:tabs>
        <w:spacing w:after="120"/>
        <w:ind w:left="1701" w:hanging="567"/>
        <w:rPr>
          <w:lang w:val="fr-FR"/>
        </w:rPr>
      </w:pPr>
      <w:r w:rsidRPr="00A3253E">
        <w:rPr>
          <w:lang w:val="fr-FR"/>
        </w:rPr>
        <w:t>C.</w:t>
      </w:r>
      <w:r w:rsidRPr="00A3253E">
        <w:rPr>
          <w:lang w:val="fr-FR"/>
        </w:rPr>
        <w:tab/>
        <w:t>Transport de déchets dans un emballage combiné</w:t>
      </w:r>
      <w:r>
        <w:rPr>
          <w:lang w:val="fr-FR"/>
        </w:rPr>
        <w:tab/>
      </w:r>
      <w:r>
        <w:rPr>
          <w:lang w:val="fr-FR"/>
        </w:rPr>
        <w:tab/>
        <w:t>48</w:t>
      </w:r>
      <w:r>
        <w:rPr>
          <w:lang w:val="fr-FR"/>
        </w:rPr>
        <w:tab/>
        <w:t>1</w:t>
      </w:r>
      <w:r w:rsidR="008A0E08">
        <w:rPr>
          <w:lang w:val="fr-FR"/>
        </w:rPr>
        <w:t>2</w:t>
      </w:r>
    </w:p>
    <w:p w14:paraId="3D99EB1D" w14:textId="259F567E" w:rsidR="00FD3675" w:rsidRDefault="00FD3675" w:rsidP="005C2D0C">
      <w:pPr>
        <w:tabs>
          <w:tab w:val="right" w:leader="dot" w:pos="7654"/>
          <w:tab w:val="right" w:pos="8929"/>
          <w:tab w:val="right" w:pos="9638"/>
        </w:tabs>
        <w:spacing w:after="120"/>
        <w:ind w:left="1701" w:hanging="567"/>
        <w:rPr>
          <w:lang w:val="fr-FR"/>
        </w:rPr>
      </w:pPr>
      <w:r w:rsidRPr="00A3253E">
        <w:rPr>
          <w:lang w:val="fr-FR"/>
        </w:rPr>
        <w:t>D.</w:t>
      </w:r>
      <w:r w:rsidRPr="00A3253E">
        <w:rPr>
          <w:lang w:val="fr-FR"/>
        </w:rPr>
        <w:tab/>
        <w:t xml:space="preserve">Transport de marchandises dangereuses en tant que déchets </w:t>
      </w:r>
      <w:r>
        <w:rPr>
          <w:lang w:val="fr-FR"/>
        </w:rPr>
        <w:br/>
      </w:r>
      <w:r w:rsidRPr="00A3253E">
        <w:rPr>
          <w:lang w:val="fr-FR"/>
        </w:rPr>
        <w:t>par des particuliers</w:t>
      </w:r>
      <w:r>
        <w:rPr>
          <w:lang w:val="fr-FR"/>
        </w:rPr>
        <w:tab/>
      </w:r>
      <w:r>
        <w:rPr>
          <w:lang w:val="fr-FR"/>
        </w:rPr>
        <w:tab/>
        <w:t>49</w:t>
      </w:r>
      <w:r>
        <w:rPr>
          <w:lang w:val="fr-FR"/>
        </w:rPr>
        <w:tab/>
        <w:t>1</w:t>
      </w:r>
      <w:r w:rsidR="008A0E08">
        <w:rPr>
          <w:lang w:val="fr-FR"/>
        </w:rPr>
        <w:t>2</w:t>
      </w:r>
    </w:p>
    <w:p w14:paraId="3083FC1B" w14:textId="0394FE2B" w:rsidR="00FD3675" w:rsidRDefault="00683674" w:rsidP="005C2D0C">
      <w:pPr>
        <w:tabs>
          <w:tab w:val="right" w:leader="dot" w:pos="7654"/>
          <w:tab w:val="right" w:pos="8929"/>
          <w:tab w:val="right" w:pos="9638"/>
        </w:tabs>
        <w:spacing w:after="120"/>
        <w:ind w:left="1701" w:hanging="567"/>
        <w:rPr>
          <w:lang w:val="fr-FR"/>
        </w:rPr>
      </w:pPr>
      <w:r w:rsidRPr="00A3253E">
        <w:rPr>
          <w:lang w:val="fr-FR"/>
        </w:rPr>
        <w:t>E.</w:t>
      </w:r>
      <w:r w:rsidRPr="00A3253E">
        <w:rPr>
          <w:lang w:val="fr-FR"/>
        </w:rPr>
        <w:tab/>
        <w:t xml:space="preserve">Transport en vrac de catégories spécifiques de déchets </w:t>
      </w:r>
      <w:r>
        <w:rPr>
          <w:lang w:val="fr-FR"/>
        </w:rPr>
        <w:br/>
      </w:r>
      <w:r w:rsidRPr="00A3253E">
        <w:rPr>
          <w:lang w:val="fr-FR"/>
        </w:rPr>
        <w:t>contenant de l</w:t>
      </w:r>
      <w:r>
        <w:rPr>
          <w:lang w:val="fr-FR"/>
        </w:rPr>
        <w:t>’</w:t>
      </w:r>
      <w:r w:rsidRPr="00A3253E">
        <w:rPr>
          <w:lang w:val="fr-FR"/>
        </w:rPr>
        <w:t>amiante (Nos</w:t>
      </w:r>
      <w:r>
        <w:rPr>
          <w:lang w:val="fr-FR"/>
        </w:rPr>
        <w:t> </w:t>
      </w:r>
      <w:r w:rsidRPr="00A3253E">
        <w:rPr>
          <w:lang w:val="fr-FR"/>
        </w:rPr>
        <w:t>ONU 2590 et 2212)</w:t>
      </w:r>
      <w:r>
        <w:rPr>
          <w:lang w:val="fr-FR"/>
        </w:rPr>
        <w:tab/>
      </w:r>
      <w:r>
        <w:rPr>
          <w:lang w:val="fr-FR"/>
        </w:rPr>
        <w:tab/>
        <w:t>50</w:t>
      </w:r>
      <w:r>
        <w:rPr>
          <w:lang w:val="fr-FR"/>
        </w:rPr>
        <w:tab/>
        <w:t>1</w:t>
      </w:r>
      <w:r w:rsidR="008A0E08">
        <w:rPr>
          <w:lang w:val="fr-FR"/>
        </w:rPr>
        <w:t>2</w:t>
      </w:r>
    </w:p>
    <w:p w14:paraId="7CDA82BF" w14:textId="249EB896" w:rsidR="00683674" w:rsidRPr="00211A72" w:rsidRDefault="002E5E2C" w:rsidP="005C2D0C">
      <w:pPr>
        <w:tabs>
          <w:tab w:val="right" w:leader="dot" w:pos="7654"/>
          <w:tab w:val="right" w:pos="8929"/>
          <w:tab w:val="right" w:pos="9638"/>
        </w:tabs>
        <w:spacing w:after="120"/>
        <w:ind w:left="1701" w:hanging="567"/>
      </w:pPr>
      <w:r w:rsidRPr="00A3253E">
        <w:rPr>
          <w:lang w:val="fr-FR"/>
        </w:rPr>
        <w:t>F.</w:t>
      </w:r>
      <w:r w:rsidRPr="00A3253E">
        <w:rPr>
          <w:lang w:val="fr-FR"/>
        </w:rPr>
        <w:tab/>
        <w:t>Groupe de travail informel de l</w:t>
      </w:r>
      <w:r>
        <w:rPr>
          <w:lang w:val="fr-FR"/>
        </w:rPr>
        <w:t>’</w:t>
      </w:r>
      <w:r w:rsidRPr="00A3253E">
        <w:rPr>
          <w:lang w:val="fr-FR"/>
        </w:rPr>
        <w:t>apprentissage en ligne</w:t>
      </w:r>
      <w:r>
        <w:rPr>
          <w:lang w:val="fr-FR"/>
        </w:rPr>
        <w:tab/>
      </w:r>
      <w:r>
        <w:rPr>
          <w:lang w:val="fr-FR"/>
        </w:rPr>
        <w:tab/>
        <w:t>51</w:t>
      </w:r>
      <w:r>
        <w:rPr>
          <w:lang w:val="fr-FR"/>
        </w:rPr>
        <w:tab/>
        <w:t>1</w:t>
      </w:r>
      <w:r w:rsidR="008A0E08">
        <w:rPr>
          <w:lang w:val="fr-FR"/>
        </w:rPr>
        <w:t>2</w:t>
      </w:r>
    </w:p>
    <w:p w14:paraId="505F9A53" w14:textId="027C978C" w:rsidR="00506EC2" w:rsidRDefault="00506EC2" w:rsidP="00506EC2">
      <w:pPr>
        <w:tabs>
          <w:tab w:val="right" w:pos="850"/>
          <w:tab w:val="right" w:leader="dot" w:pos="7654"/>
          <w:tab w:val="right" w:pos="8929"/>
          <w:tab w:val="right" w:pos="9638"/>
        </w:tabs>
        <w:spacing w:after="120" w:line="230" w:lineRule="atLeast"/>
        <w:ind w:left="1134" w:hanging="1134"/>
      </w:pPr>
      <w:r>
        <w:tab/>
      </w:r>
      <w:r w:rsidR="002E5E2C">
        <w:t>VII</w:t>
      </w:r>
      <w:r>
        <w:t>I.</w:t>
      </w:r>
      <w:r>
        <w:tab/>
      </w:r>
      <w:r>
        <w:rPr>
          <w:lang w:val="fr-FR"/>
        </w:rPr>
        <w:t>Accidents et gestion des risques (point 7 de l’ordre du jour)</w:t>
      </w:r>
      <w:r>
        <w:tab/>
      </w:r>
      <w:r>
        <w:tab/>
      </w:r>
      <w:r w:rsidR="00BD3ED6">
        <w:t>52</w:t>
      </w:r>
      <w:r w:rsidR="008364C8">
        <w:t>-</w:t>
      </w:r>
      <w:r w:rsidR="00BD3ED6">
        <w:t>5</w:t>
      </w:r>
      <w:r w:rsidR="008364C8">
        <w:t>4</w:t>
      </w:r>
      <w:r>
        <w:tab/>
      </w:r>
      <w:r w:rsidR="00033658">
        <w:t>1</w:t>
      </w:r>
      <w:r w:rsidR="008A0E08">
        <w:t>3</w:t>
      </w:r>
    </w:p>
    <w:p w14:paraId="1ABD958F" w14:textId="335FF4AA" w:rsidR="00065D77" w:rsidRDefault="00065D77" w:rsidP="005C2D0C">
      <w:pPr>
        <w:tabs>
          <w:tab w:val="right" w:leader="dot" w:pos="7654"/>
          <w:tab w:val="right" w:pos="8929"/>
          <w:tab w:val="right" w:pos="9638"/>
        </w:tabs>
        <w:spacing w:after="120"/>
        <w:ind w:left="1701" w:hanging="567"/>
        <w:rPr>
          <w:lang w:val="fr-FR"/>
        </w:rPr>
      </w:pPr>
      <w:r>
        <w:rPr>
          <w:lang w:val="fr-FR"/>
        </w:rPr>
        <w:t>A.</w:t>
      </w:r>
      <w:r w:rsidR="003C3D56">
        <w:rPr>
          <w:lang w:val="fr-FR"/>
        </w:rPr>
        <w:tab/>
      </w:r>
      <w:r w:rsidR="00FC322F" w:rsidRPr="005048E9">
        <w:rPr>
          <w:lang w:val="fr-FR"/>
        </w:rPr>
        <w:t>Rapport de la réunion de coordination tenue le 15</w:t>
      </w:r>
      <w:r w:rsidR="00FC322F">
        <w:rPr>
          <w:lang w:val="fr-FR"/>
        </w:rPr>
        <w:t> </w:t>
      </w:r>
      <w:r w:rsidR="00FC322F" w:rsidRPr="005048E9">
        <w:rPr>
          <w:lang w:val="fr-FR"/>
        </w:rPr>
        <w:t xml:space="preserve">décembre 2022 </w:t>
      </w:r>
      <w:r w:rsidR="00FC322F">
        <w:rPr>
          <w:lang w:val="fr-FR"/>
        </w:rPr>
        <w:t>sur</w:t>
      </w:r>
      <w:r w:rsidR="00FC322F">
        <w:rPr>
          <w:lang w:val="fr-FR"/>
        </w:rPr>
        <w:br/>
      </w:r>
      <w:r w:rsidR="00FC322F" w:rsidRPr="005048E9">
        <w:rPr>
          <w:lang w:val="fr-FR"/>
        </w:rPr>
        <w:t>l</w:t>
      </w:r>
      <w:r w:rsidR="00FC322F">
        <w:rPr>
          <w:lang w:val="fr-FR"/>
        </w:rPr>
        <w:t>’</w:t>
      </w:r>
      <w:r w:rsidR="00FC322F" w:rsidRPr="005048E9">
        <w:rPr>
          <w:lang w:val="fr-FR"/>
        </w:rPr>
        <w:t>amélioration du signalement d</w:t>
      </w:r>
      <w:r w:rsidR="00FC322F">
        <w:rPr>
          <w:lang w:val="fr-FR"/>
        </w:rPr>
        <w:t>’</w:t>
      </w:r>
      <w:r w:rsidR="00FC322F" w:rsidRPr="005048E9">
        <w:rPr>
          <w:lang w:val="fr-FR"/>
        </w:rPr>
        <w:t xml:space="preserve">incidents de transport de marchandises </w:t>
      </w:r>
      <w:r w:rsidR="00FC322F">
        <w:rPr>
          <w:lang w:val="fr-FR"/>
        </w:rPr>
        <w:br/>
      </w:r>
      <w:r w:rsidR="00FC322F" w:rsidRPr="005048E9">
        <w:rPr>
          <w:lang w:val="fr-FR"/>
        </w:rPr>
        <w:t>dangereuses</w:t>
      </w:r>
      <w:r w:rsidR="003C3D56">
        <w:rPr>
          <w:lang w:val="fr-FR"/>
        </w:rPr>
        <w:tab/>
      </w:r>
      <w:r w:rsidR="003C3D56">
        <w:rPr>
          <w:lang w:val="fr-FR"/>
        </w:rPr>
        <w:tab/>
      </w:r>
      <w:r w:rsidR="00FC322F">
        <w:rPr>
          <w:lang w:val="fr-FR"/>
        </w:rPr>
        <w:t>52</w:t>
      </w:r>
      <w:r w:rsidR="003C3D56">
        <w:rPr>
          <w:lang w:val="fr-FR"/>
        </w:rPr>
        <w:tab/>
      </w:r>
      <w:r w:rsidR="00AF58D2">
        <w:rPr>
          <w:lang w:val="fr-FR"/>
        </w:rPr>
        <w:t>1</w:t>
      </w:r>
      <w:r w:rsidR="008A0E08">
        <w:rPr>
          <w:lang w:val="fr-FR"/>
        </w:rPr>
        <w:t>3</w:t>
      </w:r>
    </w:p>
    <w:p w14:paraId="6F0A7413" w14:textId="6044E7D5" w:rsidR="003C3D56" w:rsidRDefault="00D67961" w:rsidP="005C2D0C">
      <w:pPr>
        <w:tabs>
          <w:tab w:val="right" w:leader="dot" w:pos="7654"/>
          <w:tab w:val="right" w:pos="8929"/>
          <w:tab w:val="right" w:pos="9638"/>
        </w:tabs>
        <w:spacing w:after="120"/>
        <w:ind w:left="1701" w:hanging="567"/>
      </w:pPr>
      <w:r w:rsidRPr="006350CF">
        <w:rPr>
          <w:lang w:val="fr-FR"/>
        </w:rPr>
        <w:t>B.</w:t>
      </w:r>
      <w:r w:rsidRPr="006350CF">
        <w:rPr>
          <w:lang w:val="fr-FR"/>
        </w:rPr>
        <w:tab/>
      </w:r>
      <w:r w:rsidR="004F1F52" w:rsidRPr="005048E9">
        <w:rPr>
          <w:lang w:val="fr-FR"/>
        </w:rPr>
        <w:t>Groupe de travail informel de l</w:t>
      </w:r>
      <w:r w:rsidR="004F1F52">
        <w:rPr>
          <w:lang w:val="fr-FR"/>
        </w:rPr>
        <w:t>’</w:t>
      </w:r>
      <w:r w:rsidR="004F1F52" w:rsidRPr="005048E9">
        <w:rPr>
          <w:lang w:val="fr-FR"/>
        </w:rPr>
        <w:t>amélioration du rapport d</w:t>
      </w:r>
      <w:r w:rsidR="004F1F52">
        <w:rPr>
          <w:lang w:val="fr-FR"/>
        </w:rPr>
        <w:t>’</w:t>
      </w:r>
      <w:r w:rsidR="004F1F52" w:rsidRPr="005048E9">
        <w:rPr>
          <w:lang w:val="fr-FR"/>
        </w:rPr>
        <w:t>incident</w:t>
      </w:r>
      <w:r w:rsidR="004F1F52">
        <w:rPr>
          <w:lang w:val="fr-FR"/>
        </w:rPr>
        <w:t> </w:t>
      </w:r>
      <w:r w:rsidR="004F1F52" w:rsidRPr="005048E9">
        <w:rPr>
          <w:lang w:val="fr-FR"/>
        </w:rPr>
        <w:t xml:space="preserve">: </w:t>
      </w:r>
      <w:r w:rsidR="004F1F52">
        <w:rPr>
          <w:lang w:val="fr-FR"/>
        </w:rPr>
        <w:br/>
      </w:r>
      <w:r w:rsidR="004F1F52" w:rsidRPr="005048E9">
        <w:rPr>
          <w:lang w:val="fr-FR"/>
        </w:rPr>
        <w:t>informations en complément du document informel INF.25</w:t>
      </w:r>
      <w:r>
        <w:rPr>
          <w:lang w:val="fr-FR"/>
        </w:rPr>
        <w:tab/>
      </w:r>
      <w:r>
        <w:rPr>
          <w:lang w:val="fr-FR"/>
        </w:rPr>
        <w:tab/>
      </w:r>
      <w:r w:rsidR="004F1F52">
        <w:rPr>
          <w:lang w:val="fr-FR"/>
        </w:rPr>
        <w:t>53-54</w:t>
      </w:r>
      <w:r>
        <w:rPr>
          <w:lang w:val="fr-FR"/>
        </w:rPr>
        <w:tab/>
      </w:r>
      <w:r w:rsidR="00AF58D2">
        <w:rPr>
          <w:lang w:val="fr-FR"/>
        </w:rPr>
        <w:t>1</w:t>
      </w:r>
      <w:r w:rsidR="008A0E08">
        <w:rPr>
          <w:lang w:val="fr-FR"/>
        </w:rPr>
        <w:t>3</w:t>
      </w:r>
    </w:p>
    <w:p w14:paraId="7EB03EE9" w14:textId="7090DF9A" w:rsidR="00506EC2" w:rsidRDefault="00506EC2" w:rsidP="00506EC2">
      <w:pPr>
        <w:tabs>
          <w:tab w:val="right" w:pos="850"/>
          <w:tab w:val="right" w:leader="dot" w:pos="7654"/>
          <w:tab w:val="right" w:pos="8929"/>
          <w:tab w:val="right" w:pos="9638"/>
        </w:tabs>
        <w:spacing w:after="120" w:line="230" w:lineRule="atLeast"/>
        <w:ind w:left="1134" w:hanging="1134"/>
      </w:pPr>
      <w:r>
        <w:tab/>
      </w:r>
      <w:r w:rsidR="00416C28">
        <w:t>I</w:t>
      </w:r>
      <w:r>
        <w:t>X.</w:t>
      </w:r>
      <w:r>
        <w:tab/>
      </w:r>
      <w:r>
        <w:rPr>
          <w:lang w:val="fr-FR"/>
        </w:rPr>
        <w:t>Travaux futurs (point 8 de l’ordre du jour)</w:t>
      </w:r>
      <w:r>
        <w:tab/>
      </w:r>
      <w:r>
        <w:tab/>
      </w:r>
      <w:r w:rsidR="00416C28">
        <w:t>55-5</w:t>
      </w:r>
      <w:r w:rsidR="00DD03B1">
        <w:t>7</w:t>
      </w:r>
      <w:r>
        <w:tab/>
      </w:r>
      <w:r w:rsidR="00033658">
        <w:t>1</w:t>
      </w:r>
      <w:r w:rsidR="008A0E08">
        <w:t>3</w:t>
      </w:r>
    </w:p>
    <w:p w14:paraId="684AF244" w14:textId="25DF27F7" w:rsidR="005B4B1E" w:rsidRDefault="005B4B1E" w:rsidP="005C2D0C">
      <w:pPr>
        <w:tabs>
          <w:tab w:val="right" w:leader="dot" w:pos="7654"/>
          <w:tab w:val="right" w:pos="8929"/>
          <w:tab w:val="right" w:pos="9638"/>
        </w:tabs>
        <w:spacing w:after="120"/>
        <w:ind w:left="1701" w:hanging="567"/>
        <w:rPr>
          <w:lang w:val="fr-FR"/>
        </w:rPr>
      </w:pPr>
      <w:r>
        <w:rPr>
          <w:lang w:val="fr-FR"/>
        </w:rPr>
        <w:tab/>
      </w:r>
      <w:r w:rsidR="00DD03B1" w:rsidRPr="005048E9">
        <w:rPr>
          <w:lang w:val="fr-FR"/>
        </w:rPr>
        <w:t>Références à l</w:t>
      </w:r>
      <w:r w:rsidR="00DD03B1">
        <w:rPr>
          <w:lang w:val="fr-FR"/>
        </w:rPr>
        <w:t>’</w:t>
      </w:r>
      <w:r w:rsidR="00DD03B1" w:rsidRPr="005048E9">
        <w:rPr>
          <w:lang w:val="fr-FR"/>
        </w:rPr>
        <w:t>autorité compétente dans le RID, l</w:t>
      </w:r>
      <w:r w:rsidR="00DD03B1">
        <w:rPr>
          <w:lang w:val="fr-FR"/>
        </w:rPr>
        <w:t>’</w:t>
      </w:r>
      <w:r w:rsidR="00DD03B1" w:rsidRPr="005048E9">
        <w:rPr>
          <w:lang w:val="fr-FR"/>
        </w:rPr>
        <w:t>ADR et l</w:t>
      </w:r>
      <w:r w:rsidR="00DD03B1">
        <w:rPr>
          <w:lang w:val="fr-FR"/>
        </w:rPr>
        <w:t>’</w:t>
      </w:r>
      <w:r w:rsidR="00DD03B1" w:rsidRPr="005048E9">
        <w:rPr>
          <w:lang w:val="fr-FR"/>
        </w:rPr>
        <w:t>ADN</w:t>
      </w:r>
      <w:r w:rsidR="00DD03B1">
        <w:rPr>
          <w:lang w:val="fr-FR"/>
        </w:rPr>
        <w:t> </w:t>
      </w:r>
      <w:r w:rsidR="00DD03B1" w:rsidRPr="005048E9">
        <w:rPr>
          <w:lang w:val="fr-FR"/>
        </w:rPr>
        <w:t xml:space="preserve">: </w:t>
      </w:r>
      <w:r w:rsidR="00DD03B1">
        <w:rPr>
          <w:lang w:val="fr-FR"/>
        </w:rPr>
        <w:br/>
      </w:r>
      <w:r w:rsidR="00DD03B1" w:rsidRPr="005048E9">
        <w:rPr>
          <w:lang w:val="fr-FR"/>
        </w:rPr>
        <w:t>proposition de mandat d</w:t>
      </w:r>
      <w:r w:rsidR="00DD03B1">
        <w:rPr>
          <w:lang w:val="fr-FR"/>
        </w:rPr>
        <w:t>’</w:t>
      </w:r>
      <w:r w:rsidR="00DD03B1" w:rsidRPr="005048E9">
        <w:rPr>
          <w:lang w:val="fr-FR"/>
        </w:rPr>
        <w:t>un groupe de travail informel</w:t>
      </w:r>
      <w:r>
        <w:rPr>
          <w:lang w:val="fr-FR"/>
        </w:rPr>
        <w:tab/>
      </w:r>
      <w:r>
        <w:rPr>
          <w:lang w:val="fr-FR"/>
        </w:rPr>
        <w:tab/>
        <w:t>5</w:t>
      </w:r>
      <w:r w:rsidR="00DD03B1">
        <w:rPr>
          <w:lang w:val="fr-FR"/>
        </w:rPr>
        <w:t>7</w:t>
      </w:r>
      <w:r>
        <w:rPr>
          <w:lang w:val="fr-FR"/>
        </w:rPr>
        <w:tab/>
        <w:t>1</w:t>
      </w:r>
      <w:r w:rsidR="008A0E08">
        <w:rPr>
          <w:lang w:val="fr-FR"/>
        </w:rPr>
        <w:t>3</w:t>
      </w:r>
    </w:p>
    <w:p w14:paraId="4A6A6BE7" w14:textId="6B4EB757" w:rsidR="00506EC2" w:rsidRDefault="00506EC2" w:rsidP="00506EC2">
      <w:pPr>
        <w:tabs>
          <w:tab w:val="right" w:pos="850"/>
          <w:tab w:val="right" w:leader="dot" w:pos="7654"/>
          <w:tab w:val="right" w:pos="8929"/>
          <w:tab w:val="right" w:pos="9638"/>
        </w:tabs>
        <w:spacing w:after="120" w:line="230" w:lineRule="atLeast"/>
        <w:ind w:left="1134" w:hanging="1134"/>
      </w:pPr>
      <w:r>
        <w:tab/>
        <w:t>X.</w:t>
      </w:r>
      <w:r>
        <w:tab/>
      </w:r>
      <w:r>
        <w:rPr>
          <w:lang w:val="fr-FR"/>
        </w:rPr>
        <w:t>Questions diverses (point 9 de l’ordre du jour)</w:t>
      </w:r>
      <w:r>
        <w:tab/>
      </w:r>
      <w:r>
        <w:tab/>
      </w:r>
      <w:r w:rsidR="00DD03B1">
        <w:t>58</w:t>
      </w:r>
      <w:r>
        <w:t>-</w:t>
      </w:r>
      <w:r w:rsidR="00DD03B1">
        <w:t>60</w:t>
      </w:r>
      <w:r>
        <w:tab/>
      </w:r>
      <w:r w:rsidR="00B42DC9">
        <w:t>1</w:t>
      </w:r>
      <w:r w:rsidR="008A0E08">
        <w:t>4</w:t>
      </w:r>
    </w:p>
    <w:p w14:paraId="2DE528DC" w14:textId="01D7437C" w:rsidR="00A37F5C" w:rsidRDefault="00A37F5C" w:rsidP="005C2D0C">
      <w:pPr>
        <w:tabs>
          <w:tab w:val="right" w:leader="dot" w:pos="7654"/>
          <w:tab w:val="right" w:pos="8929"/>
          <w:tab w:val="right" w:pos="9638"/>
        </w:tabs>
        <w:spacing w:after="120"/>
        <w:ind w:left="1701" w:hanging="567"/>
        <w:rPr>
          <w:lang w:val="fr-FR"/>
        </w:rPr>
      </w:pPr>
      <w:r>
        <w:rPr>
          <w:lang w:val="fr-FR"/>
        </w:rPr>
        <w:t>A.</w:t>
      </w:r>
      <w:r>
        <w:rPr>
          <w:lang w:val="fr-FR"/>
        </w:rPr>
        <w:tab/>
      </w:r>
      <w:r w:rsidR="00A04740">
        <w:rPr>
          <w:bCs/>
          <w:lang w:val="fr-FR"/>
        </w:rPr>
        <w:t>Directives pour l’utilisation du 5.4.0.2 dans le RID, l’ADR et l’ADN</w:t>
      </w:r>
      <w:r>
        <w:rPr>
          <w:lang w:val="fr-FR"/>
        </w:rPr>
        <w:tab/>
      </w:r>
      <w:r>
        <w:rPr>
          <w:lang w:val="fr-FR"/>
        </w:rPr>
        <w:tab/>
      </w:r>
      <w:r w:rsidR="00A04740">
        <w:rPr>
          <w:lang w:val="fr-FR"/>
        </w:rPr>
        <w:t>58</w:t>
      </w:r>
      <w:r>
        <w:rPr>
          <w:lang w:val="fr-FR"/>
        </w:rPr>
        <w:tab/>
        <w:t>1</w:t>
      </w:r>
      <w:r w:rsidR="008A0E08">
        <w:rPr>
          <w:lang w:val="fr-FR"/>
        </w:rPr>
        <w:t>4</w:t>
      </w:r>
    </w:p>
    <w:p w14:paraId="15D82B6D" w14:textId="6DF8D107" w:rsidR="00A37F5C" w:rsidRDefault="00A37F5C" w:rsidP="005C2D0C">
      <w:pPr>
        <w:tabs>
          <w:tab w:val="right" w:leader="dot" w:pos="7654"/>
          <w:tab w:val="right" w:pos="8929"/>
          <w:tab w:val="right" w:pos="9638"/>
        </w:tabs>
        <w:spacing w:after="120"/>
        <w:ind w:left="1701" w:hanging="567"/>
        <w:rPr>
          <w:lang w:val="fr-FR"/>
        </w:rPr>
      </w:pPr>
      <w:r w:rsidRPr="006350CF">
        <w:rPr>
          <w:lang w:val="fr-FR"/>
        </w:rPr>
        <w:t>B.</w:t>
      </w:r>
      <w:r w:rsidRPr="006350CF">
        <w:rPr>
          <w:lang w:val="fr-FR"/>
        </w:rPr>
        <w:tab/>
      </w:r>
      <w:r w:rsidR="00876860">
        <w:rPr>
          <w:bCs/>
          <w:lang w:val="fr-FR"/>
        </w:rPr>
        <w:t>Économie circulaire et objectifs de développement durable</w:t>
      </w:r>
      <w:r>
        <w:rPr>
          <w:lang w:val="fr-FR"/>
        </w:rPr>
        <w:tab/>
      </w:r>
      <w:r>
        <w:rPr>
          <w:lang w:val="fr-FR"/>
        </w:rPr>
        <w:tab/>
        <w:t>5</w:t>
      </w:r>
      <w:r w:rsidR="00876860">
        <w:rPr>
          <w:lang w:val="fr-FR"/>
        </w:rPr>
        <w:t>9</w:t>
      </w:r>
      <w:r>
        <w:rPr>
          <w:lang w:val="fr-FR"/>
        </w:rPr>
        <w:t>-</w:t>
      </w:r>
      <w:r w:rsidR="00876860">
        <w:rPr>
          <w:lang w:val="fr-FR"/>
        </w:rPr>
        <w:t>60</w:t>
      </w:r>
      <w:r>
        <w:rPr>
          <w:lang w:val="fr-FR"/>
        </w:rPr>
        <w:tab/>
        <w:t>1</w:t>
      </w:r>
      <w:r w:rsidR="008A0E08">
        <w:rPr>
          <w:lang w:val="fr-FR"/>
        </w:rPr>
        <w:t>4</w:t>
      </w:r>
    </w:p>
    <w:p w14:paraId="6C1C153A" w14:textId="0AADD00A" w:rsidR="00483071" w:rsidRPr="00DE6539" w:rsidRDefault="003F52B0" w:rsidP="00DE489F">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rPr>
          <w:lang w:eastAsia="fr-FR"/>
        </w:rPr>
      </w:pPr>
      <w:r>
        <w:rPr>
          <w:lang w:val="fr-FR"/>
        </w:rPr>
        <w:tab/>
      </w:r>
      <w:r>
        <w:rPr>
          <w:lang w:val="fr-FR"/>
        </w:rPr>
        <w:tab/>
      </w:r>
      <w:r>
        <w:rPr>
          <w:lang w:val="fr-FR"/>
        </w:rPr>
        <w:tab/>
      </w:r>
      <w:r w:rsidRPr="003F52B0">
        <w:rPr>
          <w:lang w:val="fr-FR"/>
        </w:rPr>
        <w:t>1.</w:t>
      </w:r>
      <w:r w:rsidRPr="003F52B0">
        <w:rPr>
          <w:lang w:val="fr-FR"/>
        </w:rPr>
        <w:tab/>
        <w:t xml:space="preserve">Résultat de la table ronde sur l’économie circulaire organisée </w:t>
      </w:r>
      <w:r>
        <w:rPr>
          <w:lang w:val="fr-FR"/>
        </w:rPr>
        <w:br/>
      </w:r>
      <w:r>
        <w:rPr>
          <w:lang w:val="fr-FR"/>
        </w:rPr>
        <w:tab/>
      </w:r>
      <w:r w:rsidRPr="003F52B0">
        <w:rPr>
          <w:lang w:val="fr-FR"/>
        </w:rPr>
        <w:t xml:space="preserve">par le WP.15 et de l’atelier sur le </w:t>
      </w:r>
      <w:r w:rsidRPr="00DE6539">
        <w:rPr>
          <w:lang w:eastAsia="fr-FR"/>
        </w:rPr>
        <w:t xml:space="preserve">développement durable et les </w:t>
      </w:r>
      <w:r w:rsidRPr="00DE6539">
        <w:rPr>
          <w:lang w:eastAsia="fr-FR"/>
        </w:rPr>
        <w:br/>
      </w:r>
      <w:r w:rsidRPr="00DE6539">
        <w:rPr>
          <w:lang w:eastAsia="fr-FR"/>
        </w:rPr>
        <w:tab/>
        <w:t xml:space="preserve">changements climatiques organisé par le Comité de sécurité </w:t>
      </w:r>
      <w:r w:rsidR="00DE489F" w:rsidRPr="00DE6539">
        <w:rPr>
          <w:lang w:eastAsia="fr-FR"/>
        </w:rPr>
        <w:br/>
      </w:r>
      <w:r w:rsidR="00DE489F" w:rsidRPr="00DE6539">
        <w:rPr>
          <w:lang w:eastAsia="fr-FR"/>
        </w:rPr>
        <w:tab/>
      </w:r>
      <w:r w:rsidRPr="00DE6539">
        <w:rPr>
          <w:lang w:eastAsia="fr-FR"/>
        </w:rPr>
        <w:t>de l’ADN</w:t>
      </w:r>
      <w:r w:rsidRPr="00DE6539">
        <w:rPr>
          <w:lang w:eastAsia="fr-FR"/>
        </w:rPr>
        <w:tab/>
      </w:r>
      <w:r w:rsidR="00DE489F" w:rsidRPr="00DE6539">
        <w:rPr>
          <w:lang w:eastAsia="fr-FR"/>
        </w:rPr>
        <w:tab/>
        <w:t>59</w:t>
      </w:r>
      <w:r w:rsidR="00DE489F" w:rsidRPr="00DE6539">
        <w:rPr>
          <w:lang w:eastAsia="fr-FR"/>
        </w:rPr>
        <w:tab/>
        <w:t>14</w:t>
      </w:r>
    </w:p>
    <w:p w14:paraId="630B38FE" w14:textId="79D1E42C" w:rsidR="003F52B0" w:rsidRDefault="003F52B0" w:rsidP="003F52B0">
      <w:pPr>
        <w:tabs>
          <w:tab w:val="right" w:pos="850"/>
          <w:tab w:val="left" w:pos="1134"/>
          <w:tab w:val="left" w:pos="2268"/>
          <w:tab w:val="left" w:leader="dot" w:pos="7654"/>
          <w:tab w:val="right" w:pos="8929"/>
          <w:tab w:val="right" w:pos="9638"/>
        </w:tabs>
        <w:kinsoku/>
        <w:overflowPunct/>
        <w:autoSpaceDE/>
        <w:autoSpaceDN/>
        <w:adjustRightInd/>
        <w:snapToGrid/>
        <w:spacing w:after="120"/>
        <w:ind w:left="1701" w:hanging="1701"/>
      </w:pPr>
      <w:r w:rsidRPr="00DE6539">
        <w:rPr>
          <w:lang w:eastAsia="fr-FR"/>
        </w:rPr>
        <w:tab/>
      </w:r>
      <w:r w:rsidRPr="00DE6539">
        <w:rPr>
          <w:lang w:eastAsia="fr-FR"/>
        </w:rPr>
        <w:tab/>
      </w:r>
      <w:r w:rsidRPr="00DE6539">
        <w:rPr>
          <w:lang w:eastAsia="fr-FR"/>
        </w:rPr>
        <w:tab/>
        <w:t>2.</w:t>
      </w:r>
      <w:r w:rsidRPr="00DE6539">
        <w:rPr>
          <w:lang w:eastAsia="fr-FR"/>
        </w:rPr>
        <w:tab/>
        <w:t>Projet</w:t>
      </w:r>
      <w:r w:rsidRPr="003F52B0">
        <w:t xml:space="preserve"> de contribution au Programme de développement durable </w:t>
      </w:r>
      <w:r w:rsidR="00DE489F">
        <w:br/>
      </w:r>
      <w:r w:rsidR="00DE489F">
        <w:tab/>
      </w:r>
      <w:r w:rsidRPr="003F52B0">
        <w:t>à l’horizon 2030</w:t>
      </w:r>
      <w:r w:rsidR="00DE489F">
        <w:tab/>
      </w:r>
      <w:r w:rsidR="00DE489F">
        <w:tab/>
        <w:t>60</w:t>
      </w:r>
      <w:r w:rsidR="00DE489F">
        <w:tab/>
        <w:t>14</w:t>
      </w:r>
    </w:p>
    <w:p w14:paraId="35DFB459" w14:textId="6D5BEED2" w:rsidR="00506EC2" w:rsidRDefault="00506EC2" w:rsidP="00506EC2">
      <w:pPr>
        <w:tabs>
          <w:tab w:val="right" w:pos="850"/>
          <w:tab w:val="right" w:leader="dot" w:pos="7654"/>
          <w:tab w:val="right" w:pos="8929"/>
          <w:tab w:val="right" w:pos="9638"/>
        </w:tabs>
        <w:spacing w:after="120" w:line="230" w:lineRule="atLeast"/>
        <w:ind w:left="1134" w:hanging="1134"/>
      </w:pPr>
      <w:r>
        <w:tab/>
        <w:t>XI.</w:t>
      </w:r>
      <w:r>
        <w:tab/>
      </w:r>
      <w:r>
        <w:rPr>
          <w:lang w:val="fr-FR"/>
        </w:rPr>
        <w:t>Adoption du rapport (point 10 de l’ordre du jour)</w:t>
      </w:r>
      <w:r>
        <w:tab/>
      </w:r>
      <w:r>
        <w:tab/>
      </w:r>
      <w:r w:rsidR="00BD50D9">
        <w:t>61</w:t>
      </w:r>
      <w:r>
        <w:tab/>
      </w:r>
      <w:r w:rsidR="00204C00">
        <w:t>1</w:t>
      </w:r>
      <w:r w:rsidR="008A0E08">
        <w:t>4</w:t>
      </w:r>
    </w:p>
    <w:p w14:paraId="049ADA66" w14:textId="77777777" w:rsidR="00E86888" w:rsidRDefault="00E86888" w:rsidP="00506EC2">
      <w:pPr>
        <w:tabs>
          <w:tab w:val="right" w:pos="850"/>
        </w:tabs>
        <w:spacing w:after="120" w:line="230" w:lineRule="atLeast"/>
      </w:pPr>
    </w:p>
    <w:p w14:paraId="621688B5" w14:textId="5315C106" w:rsidR="00506EC2" w:rsidRDefault="00506EC2" w:rsidP="00506EC2">
      <w:pPr>
        <w:tabs>
          <w:tab w:val="right" w:pos="850"/>
        </w:tabs>
        <w:spacing w:after="120" w:line="230" w:lineRule="atLeast"/>
      </w:pPr>
      <w:r>
        <w:tab/>
        <w:t>Annexes</w:t>
      </w:r>
    </w:p>
    <w:p w14:paraId="7F3D9856" w14:textId="3A5AE870" w:rsidR="00BC4FDE" w:rsidRDefault="00BC4FDE" w:rsidP="00BC4FDE">
      <w:pPr>
        <w:tabs>
          <w:tab w:val="right" w:pos="850"/>
          <w:tab w:val="right" w:leader="dot" w:pos="8929"/>
          <w:tab w:val="right" w:pos="9638"/>
        </w:tabs>
        <w:snapToGrid/>
        <w:spacing w:after="120" w:line="230" w:lineRule="atLeast"/>
        <w:ind w:left="1134" w:hanging="1134"/>
      </w:pPr>
      <w:r>
        <w:rPr>
          <w:lang w:val="fr-FR"/>
        </w:rPr>
        <w:tab/>
        <w:t>I.</w:t>
      </w:r>
      <w:r>
        <w:rPr>
          <w:lang w:val="fr-FR"/>
        </w:rPr>
        <w:tab/>
        <w:t>Rapport du Groupe de travail des citernes</w:t>
      </w:r>
      <w:r w:rsidR="005B10DD" w:rsidRPr="00192EB8">
        <w:rPr>
          <w:rStyle w:val="Appelnotedebasdep"/>
        </w:rPr>
        <w:footnoteReference w:customMarkFollows="1" w:id="3"/>
        <w:t>**</w:t>
      </w:r>
      <w:r>
        <w:tab/>
      </w:r>
      <w:r>
        <w:tab/>
      </w:r>
      <w:r w:rsidR="00E86888">
        <w:t>1</w:t>
      </w:r>
      <w:r w:rsidR="008A0E08">
        <w:t>5</w:t>
      </w:r>
    </w:p>
    <w:p w14:paraId="121F940D" w14:textId="7EF3605B" w:rsidR="00A82249" w:rsidRDefault="00506EC2" w:rsidP="00776BBD">
      <w:pPr>
        <w:tabs>
          <w:tab w:val="right" w:pos="850"/>
          <w:tab w:val="right" w:leader="dot" w:pos="8929"/>
          <w:tab w:val="right" w:pos="9638"/>
        </w:tabs>
        <w:snapToGrid/>
        <w:spacing w:after="120" w:line="230" w:lineRule="atLeast"/>
        <w:ind w:left="1134" w:hanging="1134"/>
      </w:pPr>
      <w:r>
        <w:tab/>
        <w:t>I</w:t>
      </w:r>
      <w:r w:rsidR="00BC4FDE">
        <w:t>I</w:t>
      </w:r>
      <w:r>
        <w:t>.</w:t>
      </w:r>
      <w:r>
        <w:tab/>
      </w:r>
      <w:r w:rsidR="00E86888" w:rsidRPr="00E86888">
        <w:t>Projet d’amendements au RID, à l’ADR et à l’ADN pour entrée en vigueur le 1er janvier 2025</w:t>
      </w:r>
      <w:r w:rsidR="00804F8E">
        <w:tab/>
      </w:r>
      <w:r w:rsidR="00EB19A0">
        <w:tab/>
        <w:t>1</w:t>
      </w:r>
      <w:r w:rsidR="008A0E08">
        <w:t>6</w:t>
      </w:r>
    </w:p>
    <w:p w14:paraId="1AEFF9E0" w14:textId="0351C432" w:rsidR="001A404F" w:rsidRDefault="001A404F">
      <w:pPr>
        <w:suppressAutoHyphens w:val="0"/>
        <w:kinsoku/>
        <w:overflowPunct/>
        <w:autoSpaceDE/>
        <w:autoSpaceDN/>
        <w:adjustRightInd/>
        <w:snapToGrid/>
        <w:spacing w:after="200" w:line="276" w:lineRule="auto"/>
      </w:pPr>
      <w:r>
        <w:br w:type="page"/>
      </w:r>
    </w:p>
    <w:p w14:paraId="15B66E18" w14:textId="55929187" w:rsidR="00D97343" w:rsidRDefault="00D97343" w:rsidP="00D97343">
      <w:pPr>
        <w:pStyle w:val="HChG"/>
        <w:rPr>
          <w:lang w:val="fr-FR"/>
        </w:rPr>
      </w:pPr>
      <w:r>
        <w:rPr>
          <w:lang w:val="fr-FR"/>
        </w:rPr>
        <w:lastRenderedPageBreak/>
        <w:tab/>
        <w:t>I.</w:t>
      </w:r>
      <w:r>
        <w:rPr>
          <w:lang w:val="fr-FR"/>
        </w:rPr>
        <w:tab/>
        <w:t>Participation</w:t>
      </w:r>
    </w:p>
    <w:p w14:paraId="12AA590D" w14:textId="16282943" w:rsidR="00D97343" w:rsidRDefault="00D97343" w:rsidP="00D97343">
      <w:pPr>
        <w:pStyle w:val="SingleTxtG"/>
        <w:rPr>
          <w:lang w:val="fr-FR"/>
        </w:rPr>
      </w:pPr>
      <w:r>
        <w:rPr>
          <w:lang w:val="fr-FR"/>
        </w:rPr>
        <w:t>1.</w:t>
      </w:r>
      <w:r>
        <w:rPr>
          <w:lang w:val="fr-FR"/>
        </w:rPr>
        <w:tab/>
      </w:r>
      <w:r w:rsidR="009C4EB8" w:rsidRPr="00B975BA">
        <w:rPr>
          <w:lang w:val="fr-FR"/>
        </w:rPr>
        <w:t>La Réunion commune de la Commission d</w:t>
      </w:r>
      <w:r w:rsidR="009C4EB8">
        <w:rPr>
          <w:lang w:val="fr-FR"/>
        </w:rPr>
        <w:t>’</w:t>
      </w:r>
      <w:r w:rsidR="009C4EB8" w:rsidRPr="00B975BA">
        <w:rPr>
          <w:lang w:val="fr-FR"/>
        </w:rPr>
        <w:t>experts du RID et du Groupe de travail des transports de marchandises dangereuses de la Commission économique pour l</w:t>
      </w:r>
      <w:r w:rsidR="009C4EB8">
        <w:rPr>
          <w:lang w:val="fr-FR"/>
        </w:rPr>
        <w:t>’</w:t>
      </w:r>
      <w:r w:rsidR="009C4EB8" w:rsidRPr="00B975BA">
        <w:rPr>
          <w:lang w:val="fr-FR"/>
        </w:rPr>
        <w:t>Europe s</w:t>
      </w:r>
      <w:r w:rsidR="009C4EB8">
        <w:rPr>
          <w:lang w:val="fr-FR"/>
        </w:rPr>
        <w:t>’</w:t>
      </w:r>
      <w:r w:rsidR="009C4EB8" w:rsidRPr="00B975BA">
        <w:rPr>
          <w:lang w:val="fr-FR"/>
        </w:rPr>
        <w:t>est tenue à Berne du 20 au 24 mars 2023 sous la présidence de M. C. Pfauvadel (France) et la vice-présidence de M</w:t>
      </w:r>
      <w:r w:rsidR="009C4EB8" w:rsidRPr="00606D01">
        <w:rPr>
          <w:vertAlign w:val="superscript"/>
          <w:lang w:val="fr-FR"/>
        </w:rPr>
        <w:t>me</w:t>
      </w:r>
      <w:r w:rsidR="009C4EB8" w:rsidRPr="00B975BA">
        <w:rPr>
          <w:lang w:val="fr-FR"/>
        </w:rPr>
        <w:t> S. Garcia Wolfrum (Espagne).</w:t>
      </w:r>
    </w:p>
    <w:p w14:paraId="7A3DBDC7" w14:textId="1AB62AAE" w:rsidR="00FD4B57" w:rsidRPr="00B975BA" w:rsidRDefault="00FD4B57" w:rsidP="00FD4B57">
      <w:pPr>
        <w:pStyle w:val="SingleTxtG"/>
        <w:rPr>
          <w:lang w:val="fr-FR"/>
        </w:rPr>
      </w:pPr>
      <w:r w:rsidRPr="00B975BA">
        <w:rPr>
          <w:lang w:val="fr-FR"/>
        </w:rPr>
        <w:t>2.</w:t>
      </w:r>
      <w:r w:rsidRPr="00B975BA">
        <w:rPr>
          <w:lang w:val="fr-FR"/>
        </w:rPr>
        <w:tab/>
        <w:t>Conformément au paragraphe</w:t>
      </w:r>
      <w:r>
        <w:rPr>
          <w:lang w:val="fr-FR"/>
        </w:rPr>
        <w:t> </w:t>
      </w:r>
      <w:r w:rsidRPr="00B975BA">
        <w:rPr>
          <w:lang w:val="fr-FR"/>
        </w:rPr>
        <w:t>a) de l</w:t>
      </w:r>
      <w:r>
        <w:rPr>
          <w:lang w:val="fr-FR"/>
        </w:rPr>
        <w:t>’</w:t>
      </w:r>
      <w:r w:rsidRPr="00B975BA">
        <w:rPr>
          <w:lang w:val="fr-FR"/>
        </w:rPr>
        <w:t>article</w:t>
      </w:r>
      <w:r>
        <w:rPr>
          <w:lang w:val="fr-FR"/>
        </w:rPr>
        <w:t> </w:t>
      </w:r>
      <w:r w:rsidRPr="00B975BA">
        <w:rPr>
          <w:lang w:val="fr-FR"/>
        </w:rPr>
        <w:t xml:space="preserve">1 du </w:t>
      </w:r>
      <w:r w:rsidR="006C5B52">
        <w:rPr>
          <w:lang w:val="fr-FR"/>
        </w:rPr>
        <w:t>R</w:t>
      </w:r>
      <w:r w:rsidRPr="00B975BA">
        <w:rPr>
          <w:lang w:val="fr-FR"/>
        </w:rPr>
        <w:t>èglement intérieur de la Réunion commune (ECE/TRANS/WP.15/AC.1/112/Add.2), les représentants des pays suivants ont participé de plein droit à la session</w:t>
      </w:r>
      <w:r>
        <w:rPr>
          <w:lang w:val="fr-FR"/>
        </w:rPr>
        <w:t> </w:t>
      </w:r>
      <w:r w:rsidRPr="00B975BA">
        <w:rPr>
          <w:lang w:val="fr-FR"/>
        </w:rPr>
        <w:t>: Allemagne, Autriche, Belgique, Danemark, Espagne, États-Unis d</w:t>
      </w:r>
      <w:r>
        <w:rPr>
          <w:lang w:val="fr-FR"/>
        </w:rPr>
        <w:t>’</w:t>
      </w:r>
      <w:r w:rsidRPr="00B975BA">
        <w:rPr>
          <w:lang w:val="fr-FR"/>
        </w:rPr>
        <w:t>Amérique, Finlande, France, Géorgie, Irlande, Italie, Lettonie, Luxembourg, Pays-Bas, Pologne, Portugal, Royaume</w:t>
      </w:r>
      <w:r>
        <w:rPr>
          <w:lang w:val="fr-FR"/>
        </w:rPr>
        <w:noBreakHyphen/>
      </w:r>
      <w:r w:rsidRPr="00B975BA">
        <w:rPr>
          <w:lang w:val="fr-FR"/>
        </w:rPr>
        <w:t>Uni, Slovaquie, Slovénie, Suède, Suisse, Tchéquie et Türkiye.</w:t>
      </w:r>
    </w:p>
    <w:p w14:paraId="2DA66B9D" w14:textId="77777777" w:rsidR="00FD4B57" w:rsidRPr="00B975BA" w:rsidRDefault="00FD4B57" w:rsidP="00FD4B57">
      <w:pPr>
        <w:pStyle w:val="SingleTxtG"/>
        <w:rPr>
          <w:lang w:val="fr-FR"/>
        </w:rPr>
      </w:pPr>
      <w:r w:rsidRPr="00B975BA">
        <w:rPr>
          <w:lang w:val="fr-FR"/>
        </w:rPr>
        <w:t>3.</w:t>
      </w:r>
      <w:r w:rsidRPr="00B975BA">
        <w:rPr>
          <w:lang w:val="fr-FR"/>
        </w:rPr>
        <w:tab/>
        <w:t>Conformément aux alinéas c) et d) de l</w:t>
      </w:r>
      <w:r>
        <w:rPr>
          <w:lang w:val="fr-FR"/>
        </w:rPr>
        <w:t>’</w:t>
      </w:r>
      <w:r w:rsidRPr="00B975BA">
        <w:rPr>
          <w:lang w:val="fr-FR"/>
        </w:rPr>
        <w:t>article premier du Règlement intérieur, étaient représentées à titre consultatif</w:t>
      </w:r>
      <w:r>
        <w:rPr>
          <w:lang w:val="fr-FR"/>
        </w:rPr>
        <w:t> </w:t>
      </w:r>
      <w:r w:rsidRPr="00B975BA">
        <w:rPr>
          <w:lang w:val="fr-FR"/>
        </w:rPr>
        <w:t>:</w:t>
      </w:r>
    </w:p>
    <w:p w14:paraId="647B244C" w14:textId="77777777" w:rsidR="00FD4B57" w:rsidRPr="00B975BA" w:rsidRDefault="00FD4B57" w:rsidP="00FD4B57">
      <w:pPr>
        <w:pStyle w:val="SingleTxtG"/>
        <w:ind w:firstLine="567"/>
        <w:rPr>
          <w:lang w:val="fr-FR"/>
        </w:rPr>
      </w:pPr>
      <w:r w:rsidRPr="00B975BA">
        <w:rPr>
          <w:lang w:val="fr-FR"/>
        </w:rPr>
        <w:t>a)</w:t>
      </w:r>
      <w:r w:rsidRPr="00B975BA">
        <w:rPr>
          <w:lang w:val="fr-FR"/>
        </w:rPr>
        <w:tab/>
        <w:t>L</w:t>
      </w:r>
      <w:r>
        <w:rPr>
          <w:lang w:val="fr-FR"/>
        </w:rPr>
        <w:t>’</w:t>
      </w:r>
      <w:r w:rsidRPr="00B975BA">
        <w:rPr>
          <w:lang w:val="fr-FR"/>
        </w:rPr>
        <w:t>Union européenne (Commission européenne et Agence de l</w:t>
      </w:r>
      <w:r>
        <w:rPr>
          <w:lang w:val="fr-FR"/>
        </w:rPr>
        <w:t>’</w:t>
      </w:r>
      <w:r w:rsidRPr="00B975BA">
        <w:rPr>
          <w:lang w:val="fr-FR"/>
        </w:rPr>
        <w:t>Union européenne pour les chemins de fer (ERA)), la Communauté des transports et l</w:t>
      </w:r>
      <w:r>
        <w:rPr>
          <w:lang w:val="fr-FR"/>
        </w:rPr>
        <w:t>’</w:t>
      </w:r>
      <w:r w:rsidRPr="00B975BA">
        <w:rPr>
          <w:lang w:val="fr-FR"/>
        </w:rPr>
        <w:t>Organisation pour la coopération des chemins de fer (OSJD)</w:t>
      </w:r>
      <w:r>
        <w:rPr>
          <w:lang w:val="fr-FR"/>
        </w:rPr>
        <w:t> </w:t>
      </w:r>
      <w:r w:rsidRPr="00B975BA">
        <w:rPr>
          <w:lang w:val="fr-FR"/>
        </w:rPr>
        <w:t>;</w:t>
      </w:r>
    </w:p>
    <w:p w14:paraId="632C75A3" w14:textId="5E7BC15F" w:rsidR="00FD4B57" w:rsidRPr="00B975BA" w:rsidRDefault="00FD4B57" w:rsidP="00FD4B57">
      <w:pPr>
        <w:pStyle w:val="SingleTxtG"/>
        <w:ind w:firstLine="567"/>
        <w:rPr>
          <w:lang w:val="fr-FR"/>
        </w:rPr>
      </w:pPr>
      <w:r w:rsidRPr="00B975BA">
        <w:rPr>
          <w:lang w:val="fr-FR"/>
        </w:rPr>
        <w:t>b)</w:t>
      </w:r>
      <w:r w:rsidRPr="00B975BA">
        <w:rPr>
          <w:lang w:val="fr-FR"/>
        </w:rPr>
        <w:tab/>
        <w:t>Les organisations non gouvernementales internationales suivantes</w:t>
      </w:r>
      <w:r>
        <w:rPr>
          <w:lang w:val="fr-FR"/>
        </w:rPr>
        <w:t> </w:t>
      </w:r>
      <w:r w:rsidRPr="00B975BA">
        <w:rPr>
          <w:lang w:val="fr-FR"/>
        </w:rPr>
        <w:t xml:space="preserve">: Association </w:t>
      </w:r>
      <w:r w:rsidR="008822D5">
        <w:rPr>
          <w:lang w:val="fr-FR"/>
        </w:rPr>
        <w:t>internationale</w:t>
      </w:r>
      <w:r w:rsidR="008822D5" w:rsidRPr="00B975BA">
        <w:rPr>
          <w:lang w:val="fr-FR"/>
        </w:rPr>
        <w:t xml:space="preserve"> </w:t>
      </w:r>
      <w:r w:rsidRPr="00B975BA">
        <w:rPr>
          <w:lang w:val="fr-FR"/>
        </w:rPr>
        <w:t>des conseillers à la sécurité pour matières dangereuses (</w:t>
      </w:r>
      <w:r w:rsidR="008822D5">
        <w:rPr>
          <w:lang w:val="fr-FR"/>
        </w:rPr>
        <w:t>I</w:t>
      </w:r>
      <w:r w:rsidRPr="00B975BA">
        <w:rPr>
          <w:lang w:val="fr-FR"/>
        </w:rPr>
        <w:t>ASA), Association européenne des gaz industriels (EIGA), Comité de liaison de la construction de carrosseries et de remorques (CLCCR), Comité européen de normalisation (CEN), Conférence européenne des négociants en combustibles et carburants (ECFD), Conseil européen de l</w:t>
      </w:r>
      <w:r>
        <w:rPr>
          <w:lang w:val="fr-FR"/>
        </w:rPr>
        <w:t>’</w:t>
      </w:r>
      <w:r w:rsidRPr="00B975BA">
        <w:rPr>
          <w:lang w:val="fr-FR"/>
        </w:rPr>
        <w:t xml:space="preserve">industrie chimique (Cefic), Council on Safe Transportation of Hazardous Articles (COSTHA), </w:t>
      </w:r>
      <w:r w:rsidR="00CD6F6B">
        <w:t xml:space="preserve">Fédération Européenne Aérosol (FEA), </w:t>
      </w:r>
      <w:r w:rsidRPr="00B975BA">
        <w:rPr>
          <w:lang w:val="fr-FR"/>
        </w:rPr>
        <w:t>Fédération européenne des activités de la dépollution et de l</w:t>
      </w:r>
      <w:r>
        <w:rPr>
          <w:lang w:val="fr-FR"/>
        </w:rPr>
        <w:t>’</w:t>
      </w:r>
      <w:r w:rsidRPr="00B975BA">
        <w:rPr>
          <w:lang w:val="fr-FR"/>
        </w:rPr>
        <w:t xml:space="preserve">environnement (FEAD), </w:t>
      </w:r>
      <w:r w:rsidR="00AD47FC" w:rsidRPr="00FE69E6">
        <w:t>Confédération International</w:t>
      </w:r>
      <w:r w:rsidR="00F4793D">
        <w:t>e</w:t>
      </w:r>
      <w:r w:rsidR="00AD47FC" w:rsidRPr="00FE69E6">
        <w:t xml:space="preserve"> </w:t>
      </w:r>
      <w:r w:rsidR="00F4793D">
        <w:t>des</w:t>
      </w:r>
      <w:r w:rsidR="00AD47FC" w:rsidRPr="00FE69E6">
        <w:t xml:space="preserve"> Cont</w:t>
      </w:r>
      <w:r w:rsidR="00F4793D">
        <w:t>e</w:t>
      </w:r>
      <w:r w:rsidR="00AD47FC" w:rsidRPr="00FE69E6">
        <w:t>ne</w:t>
      </w:r>
      <w:r w:rsidR="00F4793D">
        <w:t>u</w:t>
      </w:r>
      <w:r w:rsidR="00AD47FC" w:rsidRPr="00FE69E6">
        <w:t>r</w:t>
      </w:r>
      <w:r w:rsidR="00F4793D">
        <w:t>s</w:t>
      </w:r>
      <w:r w:rsidR="00AD47FC" w:rsidRPr="00FE69E6">
        <w:t xml:space="preserve"> </w:t>
      </w:r>
      <w:r w:rsidR="00F4793D" w:rsidRPr="00FE69E6">
        <w:t>Reconditionn</w:t>
      </w:r>
      <w:r w:rsidR="00F4793D">
        <w:t>és</w:t>
      </w:r>
      <w:r w:rsidR="00AD47FC" w:rsidRPr="00FE69E6">
        <w:t xml:space="preserve"> (ICCR), </w:t>
      </w:r>
      <w:r w:rsidRPr="00313FEB">
        <w:rPr>
          <w:lang w:val="fr-FR"/>
        </w:rPr>
        <w:t>Liquid Gas Europe,</w:t>
      </w:r>
      <w:r w:rsidRPr="00B975BA">
        <w:rPr>
          <w:lang w:val="fr-FR"/>
        </w:rPr>
        <w:t xml:space="preserve"> Union internationale des chemins de fer (UIC), Union internationale des transports routiers (IRU)</w:t>
      </w:r>
      <w:r w:rsidR="00A00DA4">
        <w:rPr>
          <w:lang w:val="fr-FR"/>
        </w:rPr>
        <w:t xml:space="preserve">, </w:t>
      </w:r>
      <w:r w:rsidR="00A00DA4" w:rsidRPr="00DE6539">
        <w:t xml:space="preserve">Sporting Arms and Ammunition Manufacturers’ Institute </w:t>
      </w:r>
      <w:r w:rsidR="00A00DA4">
        <w:t>(SAAMI)</w:t>
      </w:r>
      <w:r w:rsidRPr="00B975BA">
        <w:rPr>
          <w:lang w:val="fr-FR"/>
        </w:rPr>
        <w:t xml:space="preserve"> et Union internationale des wagons privés (UIP).</w:t>
      </w:r>
    </w:p>
    <w:p w14:paraId="6A8026D4" w14:textId="77777777" w:rsidR="00EC0D79" w:rsidRPr="00B975BA" w:rsidRDefault="00EC0D79" w:rsidP="00EC0D79">
      <w:pPr>
        <w:pStyle w:val="HChG"/>
        <w:rPr>
          <w:lang w:val="fr-FR"/>
        </w:rPr>
      </w:pPr>
      <w:r>
        <w:rPr>
          <w:lang w:val="fr-FR"/>
        </w:rPr>
        <w:tab/>
      </w:r>
      <w:r w:rsidRPr="00B975BA">
        <w:rPr>
          <w:lang w:val="fr-FR"/>
        </w:rPr>
        <w:t>II.</w:t>
      </w:r>
      <w:r w:rsidRPr="00B975BA">
        <w:rPr>
          <w:lang w:val="fr-FR"/>
        </w:rPr>
        <w:tab/>
        <w:t>Adoption de l</w:t>
      </w:r>
      <w:r>
        <w:rPr>
          <w:lang w:val="fr-FR"/>
        </w:rPr>
        <w:t>’</w:t>
      </w:r>
      <w:r w:rsidRPr="00B975BA">
        <w:rPr>
          <w:lang w:val="fr-FR"/>
        </w:rPr>
        <w:t>ordre du jour (point 1 de l</w:t>
      </w:r>
      <w:r>
        <w:rPr>
          <w:lang w:val="fr-FR"/>
        </w:rPr>
        <w:t>’</w:t>
      </w:r>
      <w:r w:rsidRPr="00B975BA">
        <w:rPr>
          <w:lang w:val="fr-FR"/>
        </w:rPr>
        <w:t>ordre du jour)</w:t>
      </w:r>
    </w:p>
    <w:p w14:paraId="515E7B9D" w14:textId="77777777" w:rsidR="00EC0D79" w:rsidRPr="00B975BA" w:rsidRDefault="00EC0D79" w:rsidP="00EC0D79">
      <w:pPr>
        <w:pStyle w:val="SingleTxtG"/>
        <w:tabs>
          <w:tab w:val="left" w:pos="3402"/>
        </w:tabs>
        <w:spacing w:after="0"/>
        <w:rPr>
          <w:lang w:val="fr-FR"/>
        </w:rPr>
      </w:pPr>
      <w:r w:rsidRPr="00B975BA">
        <w:rPr>
          <w:i/>
          <w:iCs/>
          <w:lang w:val="fr-FR"/>
        </w:rPr>
        <w:t>Documents</w:t>
      </w:r>
      <w:r>
        <w:rPr>
          <w:i/>
          <w:iCs/>
          <w:lang w:val="fr-FR"/>
        </w:rPr>
        <w:t> </w:t>
      </w:r>
      <w:r w:rsidRPr="00B975BA">
        <w:rPr>
          <w:i/>
          <w:iCs/>
          <w:lang w:val="fr-FR"/>
        </w:rPr>
        <w:t>:</w:t>
      </w:r>
      <w:r w:rsidRPr="00B975BA">
        <w:rPr>
          <w:lang w:val="fr-FR"/>
        </w:rPr>
        <w:tab/>
        <w:t>ECE/TRANS/WP.15/AC.1/167 et Add.1</w:t>
      </w:r>
    </w:p>
    <w:p w14:paraId="30B925C1" w14:textId="77777777" w:rsidR="00EC0D79" w:rsidRPr="00B975BA" w:rsidRDefault="00EC0D79" w:rsidP="00EC0D79">
      <w:pPr>
        <w:pStyle w:val="SingleTxtG"/>
        <w:ind w:left="3402"/>
        <w:rPr>
          <w:lang w:val="fr-FR"/>
        </w:rPr>
      </w:pPr>
      <w:r w:rsidRPr="00B975BA">
        <w:rPr>
          <w:lang w:val="fr-FR"/>
        </w:rPr>
        <w:t>RID-23001-RC</w:t>
      </w:r>
    </w:p>
    <w:p w14:paraId="49EA3049" w14:textId="77777777" w:rsidR="00EC0D79" w:rsidRPr="00B975BA" w:rsidRDefault="00EC0D79" w:rsidP="00EC0D79">
      <w:pPr>
        <w:pStyle w:val="SingleTxtG"/>
        <w:rPr>
          <w:lang w:val="fr-FR"/>
        </w:rPr>
      </w:pPr>
      <w:r w:rsidRPr="00B975BA">
        <w:rPr>
          <w:i/>
          <w:iCs/>
          <w:lang w:val="fr-FR"/>
        </w:rPr>
        <w:t>Documents informels</w:t>
      </w:r>
      <w:r>
        <w:rPr>
          <w:i/>
          <w:iCs/>
          <w:lang w:val="fr-FR"/>
        </w:rPr>
        <w:t> </w:t>
      </w:r>
      <w:r w:rsidRPr="00B975BA">
        <w:rPr>
          <w:i/>
          <w:iCs/>
          <w:lang w:val="fr-FR"/>
        </w:rPr>
        <w:t>:</w:t>
      </w:r>
      <w:r w:rsidRPr="00B975BA">
        <w:rPr>
          <w:lang w:val="fr-FR"/>
        </w:rPr>
        <w:tab/>
        <w:t>INF.2/Rev.1 et INF.34 (secrétariats)</w:t>
      </w:r>
    </w:p>
    <w:p w14:paraId="384B2BD3" w14:textId="4CB6397F" w:rsidR="00EC0D79" w:rsidRPr="00B975BA" w:rsidRDefault="00EC0D79" w:rsidP="00EC0D79">
      <w:pPr>
        <w:pStyle w:val="SingleTxtG"/>
        <w:rPr>
          <w:lang w:val="fr-FR"/>
        </w:rPr>
      </w:pPr>
      <w:r w:rsidRPr="00B975BA">
        <w:rPr>
          <w:lang w:val="fr-FR"/>
        </w:rPr>
        <w:t>4.</w:t>
      </w:r>
      <w:r w:rsidRPr="00B975BA">
        <w:rPr>
          <w:lang w:val="fr-FR"/>
        </w:rPr>
        <w:tab/>
        <w:t>La Réunion commune a adopté l</w:t>
      </w:r>
      <w:r>
        <w:rPr>
          <w:lang w:val="fr-FR"/>
        </w:rPr>
        <w:t>’</w:t>
      </w:r>
      <w:r w:rsidRPr="00B975BA">
        <w:rPr>
          <w:lang w:val="fr-FR"/>
        </w:rPr>
        <w:t>ordre du jour proposé par les secrétariats dans les documents ECE/TRANS/WP.15/AC.1/167 et Add.1 (RID-23001-RC) tels qu</w:t>
      </w:r>
      <w:r>
        <w:rPr>
          <w:lang w:val="fr-FR"/>
        </w:rPr>
        <w:t>’</w:t>
      </w:r>
      <w:r w:rsidRPr="00B975BA">
        <w:rPr>
          <w:lang w:val="fr-FR"/>
        </w:rPr>
        <w:t>actualisés par le document informel INF.2/Rev.1, après l</w:t>
      </w:r>
      <w:r>
        <w:rPr>
          <w:lang w:val="fr-FR"/>
        </w:rPr>
        <w:t>’</w:t>
      </w:r>
      <w:r w:rsidRPr="00B975BA">
        <w:rPr>
          <w:lang w:val="fr-FR"/>
        </w:rPr>
        <w:t>avoir modifié afin de prendre en compte les documents informels INF.1 à INF.</w:t>
      </w:r>
      <w:r w:rsidR="006C403F">
        <w:rPr>
          <w:lang w:val="fr-FR"/>
        </w:rPr>
        <w:t>44</w:t>
      </w:r>
      <w:r w:rsidRPr="00B975BA">
        <w:rPr>
          <w:lang w:val="fr-FR"/>
        </w:rPr>
        <w:t>.</w:t>
      </w:r>
    </w:p>
    <w:p w14:paraId="2E8AD912" w14:textId="2870E134" w:rsidR="00D97343" w:rsidRDefault="00D97343" w:rsidP="00D97343">
      <w:pPr>
        <w:pStyle w:val="HChG"/>
        <w:rPr>
          <w:lang w:val="fr-FR"/>
        </w:rPr>
      </w:pPr>
      <w:r>
        <w:rPr>
          <w:lang w:val="fr-FR"/>
        </w:rPr>
        <w:tab/>
        <w:t>I</w:t>
      </w:r>
      <w:r w:rsidR="00C425BD">
        <w:rPr>
          <w:lang w:val="fr-FR"/>
        </w:rPr>
        <w:t>II</w:t>
      </w:r>
      <w:r>
        <w:rPr>
          <w:lang w:val="fr-FR"/>
        </w:rPr>
        <w:t>.</w:t>
      </w:r>
      <w:r>
        <w:rPr>
          <w:lang w:val="fr-FR"/>
        </w:rPr>
        <w:tab/>
        <w:t>Citernes (point 2 de l’ordre du jour)</w:t>
      </w:r>
    </w:p>
    <w:p w14:paraId="7E55E0A5" w14:textId="77777777" w:rsidR="0035605B" w:rsidRPr="00B975BA" w:rsidRDefault="0035605B" w:rsidP="0035605B">
      <w:pPr>
        <w:pStyle w:val="SingleTxtG"/>
        <w:tabs>
          <w:tab w:val="left" w:pos="3402"/>
        </w:tabs>
        <w:spacing w:after="0"/>
        <w:rPr>
          <w:lang w:val="fr-FR"/>
        </w:rPr>
      </w:pPr>
      <w:r w:rsidRPr="00B975BA">
        <w:rPr>
          <w:i/>
          <w:iCs/>
          <w:lang w:val="fr-FR"/>
        </w:rPr>
        <w:t>Documents</w:t>
      </w:r>
      <w:r>
        <w:rPr>
          <w:i/>
          <w:iCs/>
          <w:lang w:val="fr-FR"/>
        </w:rPr>
        <w:t> </w:t>
      </w:r>
      <w:r w:rsidRPr="00B975BA">
        <w:rPr>
          <w:i/>
          <w:iCs/>
          <w:lang w:val="fr-FR"/>
        </w:rPr>
        <w:t>:</w:t>
      </w:r>
      <w:r w:rsidRPr="00B975BA">
        <w:rPr>
          <w:lang w:val="fr-FR"/>
        </w:rPr>
        <w:tab/>
        <w:t>ECE/TRANS/WP.15/AC.1/164/Add.1 (secrétariat)</w:t>
      </w:r>
    </w:p>
    <w:p w14:paraId="3F981E1E" w14:textId="77777777" w:rsidR="0035605B" w:rsidRPr="00B975BA" w:rsidRDefault="0035605B" w:rsidP="0035605B">
      <w:pPr>
        <w:pStyle w:val="SingleTxtG"/>
        <w:spacing w:after="0"/>
        <w:ind w:left="3402"/>
        <w:rPr>
          <w:lang w:val="fr-FR"/>
        </w:rPr>
      </w:pPr>
      <w:r w:rsidRPr="00B975BA">
        <w:rPr>
          <w:lang w:val="fr-FR"/>
        </w:rPr>
        <w:t>ECE/TRANS/WP.15/AC.1/2023/3 (secrétariat de l</w:t>
      </w:r>
      <w:r>
        <w:rPr>
          <w:lang w:val="fr-FR"/>
        </w:rPr>
        <w:t>’</w:t>
      </w:r>
      <w:r w:rsidRPr="00B975BA">
        <w:rPr>
          <w:lang w:val="fr-FR"/>
        </w:rPr>
        <w:t>OTIF)</w:t>
      </w:r>
    </w:p>
    <w:p w14:paraId="49C82842" w14:textId="77777777" w:rsidR="0035605B" w:rsidRPr="00B975BA" w:rsidRDefault="0035605B" w:rsidP="0035605B">
      <w:pPr>
        <w:pStyle w:val="SingleTxtG"/>
        <w:ind w:left="3402"/>
        <w:rPr>
          <w:lang w:val="fr-FR"/>
        </w:rPr>
      </w:pPr>
      <w:r w:rsidRPr="00B975BA">
        <w:rPr>
          <w:lang w:val="fr-FR"/>
        </w:rPr>
        <w:t>ECE/TRANS/WP.15/AC.1/2023/16 (Pologne)</w:t>
      </w:r>
    </w:p>
    <w:p w14:paraId="1EBD5122" w14:textId="77777777" w:rsidR="0035605B" w:rsidRPr="00B975BA" w:rsidRDefault="0035605B" w:rsidP="0035605B">
      <w:pPr>
        <w:pStyle w:val="SingleTxtG"/>
        <w:tabs>
          <w:tab w:val="left" w:pos="3402"/>
        </w:tabs>
        <w:spacing w:after="0"/>
        <w:rPr>
          <w:lang w:val="fr-FR"/>
        </w:rPr>
      </w:pPr>
      <w:r w:rsidRPr="00B975BA">
        <w:rPr>
          <w:i/>
          <w:iCs/>
          <w:lang w:val="fr-FR"/>
        </w:rPr>
        <w:t>Documents informels</w:t>
      </w:r>
      <w:r>
        <w:rPr>
          <w:i/>
          <w:iCs/>
          <w:lang w:val="fr-FR"/>
        </w:rPr>
        <w:t> </w:t>
      </w:r>
      <w:r w:rsidRPr="00B975BA">
        <w:rPr>
          <w:i/>
          <w:iCs/>
          <w:lang w:val="fr-FR"/>
        </w:rPr>
        <w:t>:</w:t>
      </w:r>
      <w:r w:rsidRPr="00B975BA">
        <w:rPr>
          <w:lang w:val="fr-FR"/>
        </w:rPr>
        <w:tab/>
        <w:t>INF.5 (secrétariat de l</w:t>
      </w:r>
      <w:r>
        <w:rPr>
          <w:lang w:val="fr-FR"/>
        </w:rPr>
        <w:t>’</w:t>
      </w:r>
      <w:r w:rsidRPr="00B975BA">
        <w:rPr>
          <w:lang w:val="fr-FR"/>
        </w:rPr>
        <w:t>OTIF)</w:t>
      </w:r>
    </w:p>
    <w:p w14:paraId="5FDE4111" w14:textId="77777777" w:rsidR="0035605B" w:rsidRPr="00B975BA" w:rsidRDefault="0035605B" w:rsidP="0035605B">
      <w:pPr>
        <w:pStyle w:val="SingleTxtG"/>
        <w:spacing w:after="0"/>
        <w:ind w:left="3402"/>
        <w:rPr>
          <w:lang w:val="fr-FR"/>
        </w:rPr>
      </w:pPr>
      <w:r>
        <w:rPr>
          <w:lang w:val="fr-FR"/>
        </w:rPr>
        <w:t>I</w:t>
      </w:r>
      <w:r w:rsidRPr="00B975BA">
        <w:rPr>
          <w:lang w:val="fr-FR"/>
        </w:rPr>
        <w:t>NF.7 (secrétariat de l</w:t>
      </w:r>
      <w:r>
        <w:rPr>
          <w:lang w:val="fr-FR"/>
        </w:rPr>
        <w:t>’</w:t>
      </w:r>
      <w:r w:rsidRPr="00B975BA">
        <w:rPr>
          <w:lang w:val="fr-FR"/>
        </w:rPr>
        <w:t>OTIF)</w:t>
      </w:r>
    </w:p>
    <w:p w14:paraId="6C732076" w14:textId="77777777" w:rsidR="0035605B" w:rsidRPr="00B975BA" w:rsidRDefault="0035605B" w:rsidP="0035605B">
      <w:pPr>
        <w:pStyle w:val="SingleTxtG"/>
        <w:spacing w:after="0"/>
        <w:ind w:left="3402"/>
        <w:rPr>
          <w:lang w:val="fr-FR"/>
        </w:rPr>
      </w:pPr>
      <w:r w:rsidRPr="00B975BA">
        <w:rPr>
          <w:lang w:val="fr-FR"/>
        </w:rPr>
        <w:t>INF.21 (Pays-Bas)</w:t>
      </w:r>
    </w:p>
    <w:p w14:paraId="17B12F4D" w14:textId="77777777" w:rsidR="0035605B" w:rsidRPr="00B975BA" w:rsidRDefault="0035605B" w:rsidP="0035605B">
      <w:pPr>
        <w:pStyle w:val="SingleTxtG"/>
        <w:spacing w:after="0"/>
        <w:ind w:left="3402"/>
        <w:rPr>
          <w:lang w:val="fr-FR"/>
        </w:rPr>
      </w:pPr>
      <w:r w:rsidRPr="00B975BA">
        <w:rPr>
          <w:lang w:val="fr-FR"/>
        </w:rPr>
        <w:t>INF.26 (France)</w:t>
      </w:r>
    </w:p>
    <w:p w14:paraId="03706E20" w14:textId="77777777" w:rsidR="0035605B" w:rsidRPr="00B975BA" w:rsidRDefault="0035605B" w:rsidP="0035605B">
      <w:pPr>
        <w:pStyle w:val="SingleTxtG"/>
        <w:spacing w:after="0"/>
        <w:ind w:left="3402"/>
        <w:rPr>
          <w:lang w:val="fr-FR"/>
        </w:rPr>
      </w:pPr>
      <w:r w:rsidRPr="00B975BA">
        <w:rPr>
          <w:lang w:val="fr-FR"/>
        </w:rPr>
        <w:t>INF.33 (France)</w:t>
      </w:r>
    </w:p>
    <w:p w14:paraId="0B3D6A3D" w14:textId="77777777" w:rsidR="0035605B" w:rsidRPr="00B975BA" w:rsidRDefault="0035605B" w:rsidP="0035605B">
      <w:pPr>
        <w:pStyle w:val="SingleTxtG"/>
        <w:ind w:left="3402"/>
        <w:rPr>
          <w:lang w:val="fr-FR"/>
        </w:rPr>
      </w:pPr>
      <w:r w:rsidRPr="00B975BA">
        <w:rPr>
          <w:lang w:val="fr-FR"/>
        </w:rPr>
        <w:t>INF.38 (Royaume-Uni)</w:t>
      </w:r>
    </w:p>
    <w:p w14:paraId="4E216ADE" w14:textId="77777777" w:rsidR="0035605B" w:rsidRPr="00B975BA" w:rsidRDefault="0035605B" w:rsidP="0035605B">
      <w:pPr>
        <w:pStyle w:val="SingleTxtG"/>
        <w:rPr>
          <w:lang w:val="fr-FR"/>
        </w:rPr>
      </w:pPr>
      <w:r w:rsidRPr="00B975BA">
        <w:rPr>
          <w:lang w:val="fr-FR"/>
        </w:rPr>
        <w:lastRenderedPageBreak/>
        <w:t>5.</w:t>
      </w:r>
      <w:r w:rsidRPr="00B975BA">
        <w:rPr>
          <w:lang w:val="fr-FR"/>
        </w:rPr>
        <w:tab/>
        <w:t>L</w:t>
      </w:r>
      <w:r>
        <w:rPr>
          <w:lang w:val="fr-FR"/>
        </w:rPr>
        <w:t>’</w:t>
      </w:r>
      <w:r w:rsidRPr="00B975BA">
        <w:rPr>
          <w:lang w:val="fr-FR"/>
        </w:rPr>
        <w:t>examen des documents soumis au titre du point 2 de l</w:t>
      </w:r>
      <w:r>
        <w:rPr>
          <w:lang w:val="fr-FR"/>
        </w:rPr>
        <w:t>’</w:t>
      </w:r>
      <w:r w:rsidRPr="00B975BA">
        <w:rPr>
          <w:lang w:val="fr-FR"/>
        </w:rPr>
        <w:t>ordre du jour a été confié au Groupe de travail des citernes, qui s</w:t>
      </w:r>
      <w:r>
        <w:rPr>
          <w:lang w:val="fr-FR"/>
        </w:rPr>
        <w:t>’</w:t>
      </w:r>
      <w:r w:rsidRPr="00B975BA">
        <w:rPr>
          <w:lang w:val="fr-FR"/>
        </w:rPr>
        <w:t>est réuni selon des modalités hybrides du 20 au 22 mars, sous la présidence de M. A. Bale (Royaume-Uni).</w:t>
      </w:r>
    </w:p>
    <w:p w14:paraId="61FFB102" w14:textId="258C5BB3" w:rsidR="00964EC8" w:rsidRPr="005048E9" w:rsidRDefault="00964EC8" w:rsidP="00964EC8">
      <w:pPr>
        <w:pStyle w:val="H1G"/>
        <w:rPr>
          <w:lang w:val="fr-FR"/>
        </w:rPr>
      </w:pPr>
      <w:r>
        <w:rPr>
          <w:lang w:val="fr-FR"/>
        </w:rPr>
        <w:tab/>
      </w:r>
      <w:r w:rsidRPr="005048E9">
        <w:rPr>
          <w:lang w:val="fr-FR"/>
        </w:rPr>
        <w:tab/>
        <w:t>Rapport du Groupe de travail des citernes</w:t>
      </w:r>
    </w:p>
    <w:p w14:paraId="29368F5E" w14:textId="79803B92" w:rsidR="00964EC8" w:rsidRPr="005048E9" w:rsidRDefault="00964EC8" w:rsidP="00964EC8">
      <w:pPr>
        <w:pStyle w:val="SingleTxtG"/>
        <w:tabs>
          <w:tab w:val="left" w:pos="3119"/>
        </w:tabs>
        <w:rPr>
          <w:lang w:val="fr-FR"/>
        </w:rPr>
      </w:pPr>
      <w:r w:rsidRPr="005048E9">
        <w:rPr>
          <w:i/>
          <w:iCs/>
          <w:lang w:val="fr-FR"/>
        </w:rPr>
        <w:t>Document informel</w:t>
      </w:r>
      <w:r w:rsidRPr="00460C3D">
        <w:rPr>
          <w:lang w:val="fr-FR"/>
        </w:rPr>
        <w:t> :</w:t>
      </w:r>
      <w:r w:rsidRPr="005048E9">
        <w:rPr>
          <w:lang w:val="fr-FR"/>
        </w:rPr>
        <w:tab/>
        <w:t>INF.42 (Rapport du Groupe de travail des citernes)</w:t>
      </w:r>
    </w:p>
    <w:p w14:paraId="2D26C35F" w14:textId="2124DC6B" w:rsidR="00964EC8" w:rsidRPr="005048E9" w:rsidRDefault="004419AF" w:rsidP="00964EC8">
      <w:pPr>
        <w:pStyle w:val="SingleTxtG"/>
        <w:rPr>
          <w:lang w:val="fr-FR"/>
        </w:rPr>
      </w:pPr>
      <w:r>
        <w:rPr>
          <w:lang w:val="fr-FR"/>
        </w:rPr>
        <w:t>6</w:t>
      </w:r>
      <w:r w:rsidR="00964EC8" w:rsidRPr="005048E9">
        <w:rPr>
          <w:lang w:val="fr-FR"/>
        </w:rPr>
        <w:t>.</w:t>
      </w:r>
      <w:r w:rsidR="00964EC8" w:rsidRPr="005048E9">
        <w:rPr>
          <w:lang w:val="fr-FR"/>
        </w:rPr>
        <w:tab/>
        <w:t>La Réunion commune a adopté les conclusions et les recommandations du Groupe de travail, dont le rapport figure à l</w:t>
      </w:r>
      <w:r w:rsidR="00964EC8">
        <w:rPr>
          <w:lang w:val="fr-FR"/>
        </w:rPr>
        <w:t>’</w:t>
      </w:r>
      <w:r w:rsidR="00964EC8" w:rsidRPr="005048E9">
        <w:rPr>
          <w:lang w:val="fr-FR"/>
        </w:rPr>
        <w:t>annexe</w:t>
      </w:r>
      <w:r w:rsidR="00964EC8">
        <w:rPr>
          <w:lang w:val="fr-FR"/>
        </w:rPr>
        <w:t> </w:t>
      </w:r>
      <w:r w:rsidR="00964EC8" w:rsidRPr="005048E9">
        <w:rPr>
          <w:lang w:val="fr-FR"/>
        </w:rPr>
        <w:t>I en tant qu</w:t>
      </w:r>
      <w:r w:rsidR="00964EC8">
        <w:rPr>
          <w:lang w:val="fr-FR"/>
        </w:rPr>
        <w:t>’</w:t>
      </w:r>
      <w:r w:rsidR="00964EC8" w:rsidRPr="005048E9">
        <w:rPr>
          <w:lang w:val="fr-FR"/>
        </w:rPr>
        <w:t>additif</w:t>
      </w:r>
      <w:r w:rsidR="00964EC8">
        <w:rPr>
          <w:lang w:val="fr-FR"/>
        </w:rPr>
        <w:t> </w:t>
      </w:r>
      <w:r w:rsidR="00964EC8" w:rsidRPr="005048E9">
        <w:rPr>
          <w:lang w:val="fr-FR"/>
        </w:rPr>
        <w:t>1 au présent rapport. Les</w:t>
      </w:r>
      <w:r w:rsidR="00964EC8">
        <w:rPr>
          <w:lang w:val="fr-FR"/>
        </w:rPr>
        <w:t> </w:t>
      </w:r>
      <w:r w:rsidR="00964EC8" w:rsidRPr="005048E9">
        <w:rPr>
          <w:lang w:val="fr-FR"/>
        </w:rPr>
        <w:t>propositions</w:t>
      </w:r>
      <w:r w:rsidR="00964EC8">
        <w:rPr>
          <w:lang w:val="fr-FR"/>
        </w:rPr>
        <w:t> </w:t>
      </w:r>
      <w:r w:rsidR="00964EC8" w:rsidRPr="005048E9">
        <w:rPr>
          <w:lang w:val="fr-FR"/>
        </w:rPr>
        <w:t>1 à 6 énoncées aux points</w:t>
      </w:r>
      <w:r w:rsidR="00964EC8">
        <w:rPr>
          <w:lang w:val="fr-FR"/>
        </w:rPr>
        <w:t> </w:t>
      </w:r>
      <w:r w:rsidR="00964EC8" w:rsidRPr="005048E9">
        <w:rPr>
          <w:lang w:val="fr-FR"/>
        </w:rPr>
        <w:t xml:space="preserve">1, 2, 3, 4 et 5 ont été adoptées (voir annexe </w:t>
      </w:r>
      <w:r>
        <w:rPr>
          <w:lang w:val="fr-FR"/>
        </w:rPr>
        <w:t>II</w:t>
      </w:r>
      <w:r w:rsidR="00964EC8" w:rsidRPr="005048E9">
        <w:rPr>
          <w:lang w:val="fr-FR"/>
        </w:rPr>
        <w:t>).</w:t>
      </w:r>
    </w:p>
    <w:p w14:paraId="4321CC28" w14:textId="6A654912" w:rsidR="00964EC8" w:rsidRPr="005048E9" w:rsidRDefault="00093F53" w:rsidP="00964EC8">
      <w:pPr>
        <w:pStyle w:val="SingleTxtG"/>
        <w:rPr>
          <w:lang w:val="fr-FR"/>
        </w:rPr>
      </w:pPr>
      <w:r>
        <w:rPr>
          <w:lang w:val="fr-FR"/>
        </w:rPr>
        <w:t>7</w:t>
      </w:r>
      <w:r w:rsidR="00964EC8" w:rsidRPr="005048E9">
        <w:rPr>
          <w:lang w:val="fr-FR"/>
        </w:rPr>
        <w:t>.</w:t>
      </w:r>
      <w:r w:rsidR="00964EC8" w:rsidRPr="005048E9">
        <w:rPr>
          <w:lang w:val="fr-FR"/>
        </w:rPr>
        <w:tab/>
        <w:t>En ce qui concerne le point</w:t>
      </w:r>
      <w:r w:rsidR="00964EC8">
        <w:rPr>
          <w:lang w:val="fr-FR"/>
        </w:rPr>
        <w:t> </w:t>
      </w:r>
      <w:r w:rsidR="00964EC8" w:rsidRPr="005048E9">
        <w:rPr>
          <w:lang w:val="fr-FR"/>
        </w:rPr>
        <w:t>5, à savoir les propositions</w:t>
      </w:r>
      <w:r w:rsidR="00964EC8">
        <w:rPr>
          <w:lang w:val="fr-FR"/>
        </w:rPr>
        <w:t> </w:t>
      </w:r>
      <w:r w:rsidR="00964EC8" w:rsidRPr="005048E9">
        <w:rPr>
          <w:lang w:val="fr-FR"/>
        </w:rPr>
        <w:t xml:space="preserve">5 et 6, la Réunion commune </w:t>
      </w:r>
      <w:r w:rsidR="006E50C0">
        <w:rPr>
          <w:lang w:val="fr-FR"/>
        </w:rPr>
        <w:t>est</w:t>
      </w:r>
      <w:r w:rsidR="00453B04" w:rsidRPr="007D6648">
        <w:rPr>
          <w:lang w:val="fr-FR"/>
        </w:rPr>
        <w:t xml:space="preserve"> convenu</w:t>
      </w:r>
      <w:r w:rsidR="006E50C0">
        <w:rPr>
          <w:lang w:val="fr-FR"/>
        </w:rPr>
        <w:t>e</w:t>
      </w:r>
      <w:r w:rsidR="00453B04" w:rsidRPr="007D6648">
        <w:rPr>
          <w:lang w:val="fr-FR"/>
        </w:rPr>
        <w:t xml:space="preserve"> </w:t>
      </w:r>
      <w:r w:rsidR="007F53E7">
        <w:rPr>
          <w:lang w:val="fr-FR"/>
        </w:rPr>
        <w:t>avec le</w:t>
      </w:r>
      <w:r w:rsidR="007F53E7" w:rsidRPr="005048E9">
        <w:rPr>
          <w:lang w:val="fr-FR"/>
        </w:rPr>
        <w:t xml:space="preserve"> Groupe de travail</w:t>
      </w:r>
      <w:r w:rsidR="007F53E7">
        <w:rPr>
          <w:lang w:val="fr-FR"/>
        </w:rPr>
        <w:t xml:space="preserve"> des citernes </w:t>
      </w:r>
      <w:r w:rsidR="001E1D24">
        <w:rPr>
          <w:lang w:val="fr-FR"/>
        </w:rPr>
        <w:t xml:space="preserve">de </w:t>
      </w:r>
      <w:r w:rsidR="001E1D24" w:rsidRPr="005048E9">
        <w:rPr>
          <w:lang w:val="fr-FR"/>
        </w:rPr>
        <w:t>maintenir</w:t>
      </w:r>
      <w:r w:rsidR="00964EC8" w:rsidRPr="005048E9">
        <w:rPr>
          <w:lang w:val="fr-FR"/>
        </w:rPr>
        <w:t xml:space="preserve"> les amendements proposés entre crochets, certaines délégations souhaitant procéder à des vérifications supplémentaires.</w:t>
      </w:r>
    </w:p>
    <w:p w14:paraId="02A200AA" w14:textId="08C047B6" w:rsidR="00964EC8" w:rsidRPr="005048E9" w:rsidRDefault="00066DC7" w:rsidP="00964EC8">
      <w:pPr>
        <w:pStyle w:val="SingleTxtG"/>
        <w:rPr>
          <w:lang w:val="fr-FR"/>
        </w:rPr>
      </w:pPr>
      <w:r>
        <w:rPr>
          <w:lang w:val="fr-FR"/>
        </w:rPr>
        <w:t>8</w:t>
      </w:r>
      <w:r w:rsidR="00964EC8" w:rsidRPr="005048E9">
        <w:rPr>
          <w:lang w:val="fr-FR"/>
        </w:rPr>
        <w:t>.</w:t>
      </w:r>
      <w:r w:rsidR="00964EC8" w:rsidRPr="005048E9">
        <w:rPr>
          <w:lang w:val="fr-FR"/>
        </w:rPr>
        <w:tab/>
        <w:t>S</w:t>
      </w:r>
      <w:r w:rsidR="00964EC8">
        <w:rPr>
          <w:lang w:val="fr-FR"/>
        </w:rPr>
        <w:t>’</w:t>
      </w:r>
      <w:r w:rsidR="00964EC8" w:rsidRPr="005048E9">
        <w:rPr>
          <w:lang w:val="fr-FR"/>
        </w:rPr>
        <w:t>agissant du point</w:t>
      </w:r>
      <w:r w:rsidR="00964EC8">
        <w:rPr>
          <w:lang w:val="fr-FR"/>
        </w:rPr>
        <w:t> </w:t>
      </w:r>
      <w:r w:rsidR="00964EC8" w:rsidRPr="005048E9">
        <w:rPr>
          <w:lang w:val="fr-FR"/>
        </w:rPr>
        <w:t xml:space="preserve">6, la Réunion commune a noté que le Groupe de travail des citernes </w:t>
      </w:r>
      <w:r w:rsidR="006E50C0">
        <w:rPr>
          <w:lang w:val="fr-FR"/>
        </w:rPr>
        <w:t>ét</w:t>
      </w:r>
      <w:r w:rsidR="00964EC8" w:rsidRPr="005048E9">
        <w:rPr>
          <w:lang w:val="fr-FR"/>
        </w:rPr>
        <w:t xml:space="preserve">ait convenu de la nécessité de modifier les définitions de </w:t>
      </w:r>
      <w:r w:rsidR="00964EC8">
        <w:rPr>
          <w:lang w:val="fr-FR"/>
        </w:rPr>
        <w:t>« </w:t>
      </w:r>
      <w:r w:rsidR="00964EC8" w:rsidRPr="005048E9">
        <w:rPr>
          <w:lang w:val="fr-FR"/>
        </w:rPr>
        <w:t>réservoir en PRF</w:t>
      </w:r>
      <w:r w:rsidR="00964EC8">
        <w:rPr>
          <w:lang w:val="fr-FR"/>
        </w:rPr>
        <w:t> »</w:t>
      </w:r>
      <w:r w:rsidR="00964EC8" w:rsidRPr="005048E9">
        <w:rPr>
          <w:lang w:val="fr-FR"/>
        </w:rPr>
        <w:t xml:space="preserve"> et </w:t>
      </w:r>
      <w:r w:rsidR="00964EC8">
        <w:rPr>
          <w:lang w:val="fr-FR"/>
        </w:rPr>
        <w:t>« </w:t>
      </w:r>
      <w:r w:rsidR="00964EC8" w:rsidRPr="005048E9">
        <w:rPr>
          <w:lang w:val="fr-FR"/>
        </w:rPr>
        <w:t>citerne en PRF</w:t>
      </w:r>
      <w:r w:rsidR="00964EC8">
        <w:rPr>
          <w:lang w:val="fr-FR"/>
        </w:rPr>
        <w:t> »</w:t>
      </w:r>
      <w:r w:rsidR="00964EC8" w:rsidRPr="005048E9">
        <w:rPr>
          <w:lang w:val="fr-FR"/>
        </w:rPr>
        <w:t>, comme indiqué au paragraphe</w:t>
      </w:r>
      <w:r w:rsidR="00964EC8">
        <w:rPr>
          <w:lang w:val="fr-FR"/>
        </w:rPr>
        <w:t> </w:t>
      </w:r>
      <w:r w:rsidR="00964EC8" w:rsidRPr="005048E9">
        <w:rPr>
          <w:lang w:val="fr-FR"/>
        </w:rPr>
        <w:t>11 du document informel</w:t>
      </w:r>
      <w:r w:rsidR="00964EC8">
        <w:rPr>
          <w:lang w:val="fr-FR"/>
        </w:rPr>
        <w:t> </w:t>
      </w:r>
      <w:r w:rsidR="00964EC8" w:rsidRPr="005048E9">
        <w:rPr>
          <w:lang w:val="fr-FR"/>
        </w:rPr>
        <w:t>INF.42. Le</w:t>
      </w:r>
      <w:r w:rsidR="00964EC8">
        <w:rPr>
          <w:lang w:val="fr-FR"/>
        </w:rPr>
        <w:t> </w:t>
      </w:r>
      <w:r w:rsidR="00964EC8" w:rsidRPr="005048E9">
        <w:rPr>
          <w:lang w:val="fr-FR"/>
        </w:rPr>
        <w:t>représentant de la Pologne s</w:t>
      </w:r>
      <w:r w:rsidR="00964EC8">
        <w:rPr>
          <w:lang w:val="fr-FR"/>
        </w:rPr>
        <w:t>’</w:t>
      </w:r>
      <w:r w:rsidR="00964EC8" w:rsidRPr="005048E9">
        <w:rPr>
          <w:lang w:val="fr-FR"/>
        </w:rPr>
        <w:t>est porté volontaire pour soumettre un document officiel à la session du juillet du Sous-Comité d</w:t>
      </w:r>
      <w:r w:rsidR="00964EC8">
        <w:rPr>
          <w:lang w:val="fr-FR"/>
        </w:rPr>
        <w:t>’</w:t>
      </w:r>
      <w:r w:rsidR="00964EC8" w:rsidRPr="005048E9">
        <w:rPr>
          <w:lang w:val="fr-FR"/>
        </w:rPr>
        <w:t>experts du transport des marchandises dangereuses.</w:t>
      </w:r>
    </w:p>
    <w:p w14:paraId="1C001CFA" w14:textId="538BCDCF" w:rsidR="00964EC8" w:rsidRPr="005048E9" w:rsidRDefault="00A0754D" w:rsidP="00964EC8">
      <w:pPr>
        <w:pStyle w:val="SingleTxtG"/>
        <w:rPr>
          <w:lang w:val="fr-FR"/>
        </w:rPr>
      </w:pPr>
      <w:r>
        <w:rPr>
          <w:lang w:val="fr-FR"/>
        </w:rPr>
        <w:t>9</w:t>
      </w:r>
      <w:r w:rsidR="00964EC8" w:rsidRPr="005048E9">
        <w:rPr>
          <w:lang w:val="fr-FR"/>
        </w:rPr>
        <w:t>.</w:t>
      </w:r>
      <w:r w:rsidR="00964EC8" w:rsidRPr="005048E9">
        <w:rPr>
          <w:lang w:val="fr-FR"/>
        </w:rPr>
        <w:tab/>
        <w:t>En ce qui concerne le point</w:t>
      </w:r>
      <w:r w:rsidR="00964EC8">
        <w:rPr>
          <w:lang w:val="fr-FR"/>
        </w:rPr>
        <w:t> </w:t>
      </w:r>
      <w:r w:rsidR="00964EC8" w:rsidRPr="005048E9">
        <w:rPr>
          <w:lang w:val="fr-FR"/>
        </w:rPr>
        <w:t>7, la Réunion commune a pris acte de la complexité du sujet et a décidé d</w:t>
      </w:r>
      <w:r w:rsidR="00964EC8">
        <w:rPr>
          <w:lang w:val="fr-FR"/>
        </w:rPr>
        <w:t>’</w:t>
      </w:r>
      <w:r w:rsidR="00964EC8" w:rsidRPr="005048E9">
        <w:rPr>
          <w:lang w:val="fr-FR"/>
        </w:rPr>
        <w:t>en poursuivre l</w:t>
      </w:r>
      <w:r w:rsidR="00964EC8">
        <w:rPr>
          <w:lang w:val="fr-FR"/>
        </w:rPr>
        <w:t>’</w:t>
      </w:r>
      <w:r w:rsidR="00964EC8" w:rsidRPr="005048E9">
        <w:rPr>
          <w:lang w:val="fr-FR"/>
        </w:rPr>
        <w:t>examen à la session suivante en s</w:t>
      </w:r>
      <w:r w:rsidR="00964EC8">
        <w:rPr>
          <w:lang w:val="fr-FR"/>
        </w:rPr>
        <w:t>’</w:t>
      </w:r>
      <w:r w:rsidR="00964EC8" w:rsidRPr="005048E9">
        <w:rPr>
          <w:lang w:val="fr-FR"/>
        </w:rPr>
        <w:t>appuyant sur de nouveaux documents qui seraient soumis par les Pays-Bas et l</w:t>
      </w:r>
      <w:r w:rsidR="00964EC8">
        <w:rPr>
          <w:lang w:val="fr-FR"/>
        </w:rPr>
        <w:t>’</w:t>
      </w:r>
      <w:r w:rsidR="00964EC8" w:rsidRPr="005048E9">
        <w:rPr>
          <w:lang w:val="fr-FR"/>
        </w:rPr>
        <w:t>UIC.</w:t>
      </w:r>
    </w:p>
    <w:p w14:paraId="4B646489" w14:textId="35635CFC" w:rsidR="00964EC8" w:rsidRPr="005048E9" w:rsidRDefault="00B202E3" w:rsidP="00964EC8">
      <w:pPr>
        <w:pStyle w:val="SingleTxtG"/>
        <w:rPr>
          <w:lang w:val="fr-FR"/>
        </w:rPr>
      </w:pPr>
      <w:r>
        <w:rPr>
          <w:lang w:val="fr-FR"/>
        </w:rPr>
        <w:t>10</w:t>
      </w:r>
      <w:r w:rsidR="00964EC8" w:rsidRPr="005048E9">
        <w:rPr>
          <w:lang w:val="fr-FR"/>
        </w:rPr>
        <w:t>.</w:t>
      </w:r>
      <w:r w:rsidR="00964EC8" w:rsidRPr="005048E9">
        <w:rPr>
          <w:lang w:val="fr-FR"/>
        </w:rPr>
        <w:tab/>
        <w:t>Pour ce qui est du point</w:t>
      </w:r>
      <w:r w:rsidR="00964EC8">
        <w:rPr>
          <w:lang w:val="fr-FR"/>
        </w:rPr>
        <w:t> </w:t>
      </w:r>
      <w:r w:rsidR="00964EC8" w:rsidRPr="005048E9">
        <w:rPr>
          <w:lang w:val="fr-FR"/>
        </w:rPr>
        <w:t>8, la Réunion commune a pris note des résultats des discussions et a approuvé la décision du Groupe de travail de confier à la France l</w:t>
      </w:r>
      <w:r w:rsidR="00964EC8">
        <w:rPr>
          <w:lang w:val="fr-FR"/>
        </w:rPr>
        <w:t>’</w:t>
      </w:r>
      <w:r w:rsidR="00964EC8" w:rsidRPr="005048E9">
        <w:rPr>
          <w:lang w:val="fr-FR"/>
        </w:rPr>
        <w:t>élaboration d</w:t>
      </w:r>
      <w:r w:rsidR="00964EC8">
        <w:rPr>
          <w:lang w:val="fr-FR"/>
        </w:rPr>
        <w:t>’</w:t>
      </w:r>
      <w:r w:rsidR="00964EC8" w:rsidRPr="005048E9">
        <w:rPr>
          <w:lang w:val="fr-FR"/>
        </w:rPr>
        <w:t>une future proposition sur cette base.</w:t>
      </w:r>
    </w:p>
    <w:p w14:paraId="6571B1B6" w14:textId="0A9A4B6B" w:rsidR="00964EC8" w:rsidRPr="005048E9" w:rsidRDefault="00B202E3" w:rsidP="00964EC8">
      <w:pPr>
        <w:pStyle w:val="SingleTxtG"/>
        <w:rPr>
          <w:lang w:val="fr-FR"/>
        </w:rPr>
      </w:pPr>
      <w:r>
        <w:rPr>
          <w:lang w:val="fr-FR"/>
        </w:rPr>
        <w:t>11</w:t>
      </w:r>
      <w:r w:rsidR="00964EC8" w:rsidRPr="005048E9">
        <w:rPr>
          <w:lang w:val="fr-FR"/>
        </w:rPr>
        <w:t>.</w:t>
      </w:r>
      <w:r w:rsidR="00964EC8" w:rsidRPr="005048E9">
        <w:rPr>
          <w:lang w:val="fr-FR"/>
        </w:rPr>
        <w:tab/>
      </w:r>
      <w:r w:rsidR="00E242D8" w:rsidRPr="005048E9">
        <w:rPr>
          <w:lang w:val="fr-FR"/>
        </w:rPr>
        <w:t>Pour ce qui est du point</w:t>
      </w:r>
      <w:r w:rsidR="00E242D8">
        <w:rPr>
          <w:lang w:val="fr-FR"/>
        </w:rPr>
        <w:t> 9</w:t>
      </w:r>
      <w:r w:rsidR="00E242D8" w:rsidRPr="005048E9">
        <w:rPr>
          <w:lang w:val="fr-FR"/>
        </w:rPr>
        <w:t>, l</w:t>
      </w:r>
      <w:r w:rsidR="00964EC8" w:rsidRPr="005048E9">
        <w:rPr>
          <w:lang w:val="fr-FR"/>
        </w:rPr>
        <w:t xml:space="preserve">a Réunion commune </w:t>
      </w:r>
      <w:r w:rsidR="00471214">
        <w:rPr>
          <w:lang w:val="fr-FR"/>
        </w:rPr>
        <w:t xml:space="preserve">a confirmé </w:t>
      </w:r>
      <w:r w:rsidR="00AD790E">
        <w:rPr>
          <w:lang w:val="fr-FR"/>
        </w:rPr>
        <w:t xml:space="preserve">la position du </w:t>
      </w:r>
      <w:r w:rsidR="00AD790E" w:rsidRPr="005048E9">
        <w:rPr>
          <w:lang w:val="fr-FR"/>
        </w:rPr>
        <w:t>Groupe de travail</w:t>
      </w:r>
      <w:r w:rsidR="00AD790E">
        <w:rPr>
          <w:lang w:val="fr-FR"/>
        </w:rPr>
        <w:t xml:space="preserve"> des citernes</w:t>
      </w:r>
      <w:r w:rsidR="00AD790E" w:rsidRPr="005048E9">
        <w:rPr>
          <w:lang w:val="fr-FR"/>
        </w:rPr>
        <w:t xml:space="preserve"> </w:t>
      </w:r>
      <w:r w:rsidR="00964EC8" w:rsidRPr="005048E9">
        <w:rPr>
          <w:lang w:val="fr-FR"/>
        </w:rPr>
        <w:t xml:space="preserve">au sujet des marques relatives aux soupapes de sécurité et </w:t>
      </w:r>
      <w:r w:rsidR="00EF610E" w:rsidRPr="005048E9">
        <w:rPr>
          <w:lang w:val="fr-FR"/>
        </w:rPr>
        <w:t xml:space="preserve">a pris note </w:t>
      </w:r>
      <w:r w:rsidR="00964EC8" w:rsidRPr="005048E9">
        <w:rPr>
          <w:lang w:val="fr-FR"/>
        </w:rPr>
        <w:t>d</w:t>
      </w:r>
      <w:r w:rsidR="00964EC8">
        <w:rPr>
          <w:lang w:val="fr-FR"/>
        </w:rPr>
        <w:t>’</w:t>
      </w:r>
      <w:r w:rsidR="00964EC8" w:rsidRPr="005048E9">
        <w:rPr>
          <w:lang w:val="fr-FR"/>
        </w:rPr>
        <w:t>un accident de la route survenu en Afrique du Sud.</w:t>
      </w:r>
    </w:p>
    <w:p w14:paraId="6C80F280" w14:textId="77777777" w:rsidR="005216D6" w:rsidRPr="00B975BA" w:rsidRDefault="005216D6" w:rsidP="005216D6">
      <w:pPr>
        <w:pStyle w:val="HChG"/>
        <w:rPr>
          <w:lang w:val="fr-FR"/>
        </w:rPr>
      </w:pPr>
      <w:r>
        <w:rPr>
          <w:lang w:val="fr-FR"/>
        </w:rPr>
        <w:tab/>
      </w:r>
      <w:r w:rsidRPr="00B975BA">
        <w:rPr>
          <w:lang w:val="fr-FR"/>
        </w:rPr>
        <w:t>IV.</w:t>
      </w:r>
      <w:r w:rsidRPr="00B975BA">
        <w:rPr>
          <w:lang w:val="fr-FR"/>
        </w:rPr>
        <w:tab/>
        <w:t>Normes (point 3 de l</w:t>
      </w:r>
      <w:r>
        <w:rPr>
          <w:lang w:val="fr-FR"/>
        </w:rPr>
        <w:t>’</w:t>
      </w:r>
      <w:r w:rsidRPr="00B975BA">
        <w:rPr>
          <w:lang w:val="fr-FR"/>
        </w:rPr>
        <w:t>ordre du jour)</w:t>
      </w:r>
    </w:p>
    <w:p w14:paraId="29E3FE7B" w14:textId="77777777" w:rsidR="005216D6" w:rsidRPr="00B975BA" w:rsidRDefault="005216D6" w:rsidP="005216D6">
      <w:pPr>
        <w:pStyle w:val="SingleTxtG"/>
        <w:tabs>
          <w:tab w:val="left" w:pos="3402"/>
        </w:tabs>
        <w:rPr>
          <w:lang w:val="fr-FR"/>
        </w:rPr>
      </w:pPr>
      <w:r w:rsidRPr="00B975BA">
        <w:rPr>
          <w:i/>
          <w:iCs/>
          <w:lang w:val="fr-FR"/>
        </w:rPr>
        <w:t>Document :</w:t>
      </w:r>
      <w:r w:rsidRPr="00B975BA">
        <w:rPr>
          <w:lang w:val="fr-FR"/>
        </w:rPr>
        <w:tab/>
        <w:t>ECE/TRANS/WP.15/AC.1/2023/12 (CEN)</w:t>
      </w:r>
    </w:p>
    <w:p w14:paraId="2AA67067" w14:textId="5C4C1126" w:rsidR="005216D6" w:rsidRPr="00B975BA" w:rsidRDefault="005216D6" w:rsidP="005216D6">
      <w:pPr>
        <w:pStyle w:val="SingleTxtG"/>
        <w:tabs>
          <w:tab w:val="left" w:pos="3402"/>
        </w:tabs>
        <w:spacing w:after="0"/>
        <w:rPr>
          <w:lang w:val="fr-FR"/>
        </w:rPr>
      </w:pPr>
      <w:r w:rsidRPr="00B975BA">
        <w:rPr>
          <w:i/>
          <w:iCs/>
          <w:lang w:val="fr-FR"/>
        </w:rPr>
        <w:t>Documents informels</w:t>
      </w:r>
      <w:r>
        <w:rPr>
          <w:i/>
          <w:iCs/>
          <w:lang w:val="fr-FR"/>
        </w:rPr>
        <w:t> </w:t>
      </w:r>
      <w:r w:rsidRPr="00B975BA">
        <w:rPr>
          <w:i/>
          <w:iCs/>
          <w:lang w:val="fr-FR"/>
        </w:rPr>
        <w:t>:</w:t>
      </w:r>
      <w:r w:rsidRPr="00B975BA">
        <w:rPr>
          <w:lang w:val="fr-FR"/>
        </w:rPr>
        <w:tab/>
        <w:t>INF.12 (</w:t>
      </w:r>
      <w:r w:rsidR="007F444F">
        <w:rPr>
          <w:lang w:val="fr-FR"/>
        </w:rPr>
        <w:t xml:space="preserve">Président </w:t>
      </w:r>
      <w:r w:rsidR="00743EC0" w:rsidRPr="00B975BA">
        <w:rPr>
          <w:lang w:val="fr-FR"/>
        </w:rPr>
        <w:t>du Groupe de travail des normes</w:t>
      </w:r>
      <w:r w:rsidRPr="00B975BA">
        <w:rPr>
          <w:lang w:val="fr-FR"/>
        </w:rPr>
        <w:t>)</w:t>
      </w:r>
    </w:p>
    <w:p w14:paraId="4E32F057" w14:textId="77777777" w:rsidR="005216D6" w:rsidRPr="00B975BA" w:rsidRDefault="005216D6" w:rsidP="005216D6">
      <w:pPr>
        <w:pStyle w:val="SingleTxtG"/>
        <w:ind w:left="3402"/>
        <w:rPr>
          <w:lang w:val="fr-FR"/>
        </w:rPr>
      </w:pPr>
      <w:r w:rsidRPr="00B975BA">
        <w:rPr>
          <w:lang w:val="fr-FR"/>
        </w:rPr>
        <w:t>INF.13 (CEN)</w:t>
      </w:r>
    </w:p>
    <w:p w14:paraId="133B1A0B" w14:textId="6D3AD15E" w:rsidR="005216D6" w:rsidRPr="00B975BA" w:rsidRDefault="00743EC0" w:rsidP="005216D6">
      <w:pPr>
        <w:pStyle w:val="SingleTxtG"/>
        <w:rPr>
          <w:lang w:val="fr-FR"/>
        </w:rPr>
      </w:pPr>
      <w:r>
        <w:rPr>
          <w:lang w:val="fr-FR"/>
        </w:rPr>
        <w:t>12</w:t>
      </w:r>
      <w:r w:rsidR="005216D6" w:rsidRPr="00B975BA">
        <w:rPr>
          <w:lang w:val="fr-FR"/>
        </w:rPr>
        <w:t>.</w:t>
      </w:r>
      <w:r w:rsidR="005216D6" w:rsidRPr="00B975BA">
        <w:rPr>
          <w:lang w:val="fr-FR"/>
        </w:rPr>
        <w:tab/>
        <w:t>La Réunion commune a accueilli favorablement le document informel INF.12 contenant le rapport du Groupe de travail des normes sur les résultats de sa réunion du 30</w:t>
      </w:r>
      <w:r w:rsidR="005216D6">
        <w:rPr>
          <w:lang w:val="fr-FR"/>
        </w:rPr>
        <w:t> </w:t>
      </w:r>
      <w:r w:rsidR="005216D6" w:rsidRPr="00B975BA">
        <w:rPr>
          <w:lang w:val="fr-FR"/>
        </w:rPr>
        <w:t>janvier 2023 consacrée à l</w:t>
      </w:r>
      <w:r w:rsidR="005216D6">
        <w:rPr>
          <w:lang w:val="fr-FR"/>
        </w:rPr>
        <w:t>’</w:t>
      </w:r>
      <w:r w:rsidR="005216D6" w:rsidRPr="00B975BA">
        <w:rPr>
          <w:lang w:val="fr-FR"/>
        </w:rPr>
        <w:t>examen des normes énumérées dans le document ECE/TRANS/WP.15/AC.1/2023/12. Il a pris note de la décision du Groupe de travail d</w:t>
      </w:r>
      <w:r w:rsidR="005216D6">
        <w:rPr>
          <w:lang w:val="fr-FR"/>
        </w:rPr>
        <w:t>’</w:t>
      </w:r>
      <w:r w:rsidR="005216D6" w:rsidRPr="00B975BA">
        <w:rPr>
          <w:lang w:val="fr-FR"/>
        </w:rPr>
        <w:t>attendre la session d</w:t>
      </w:r>
      <w:r w:rsidR="005216D6">
        <w:rPr>
          <w:lang w:val="fr-FR"/>
        </w:rPr>
        <w:t>’</w:t>
      </w:r>
      <w:r w:rsidR="005216D6" w:rsidRPr="00B975BA">
        <w:rPr>
          <w:lang w:val="fr-FR"/>
        </w:rPr>
        <w:t xml:space="preserve">automne 2023 avant de se prononcer sur la proposition </w:t>
      </w:r>
      <w:r w:rsidR="005216D6">
        <w:rPr>
          <w:lang w:val="fr-FR"/>
        </w:rPr>
        <w:t>visant</w:t>
      </w:r>
      <w:r w:rsidR="005216D6" w:rsidRPr="00B975BA">
        <w:rPr>
          <w:lang w:val="fr-FR"/>
        </w:rPr>
        <w:t xml:space="preserve"> à </w:t>
      </w:r>
      <w:r w:rsidR="005216D6">
        <w:rPr>
          <w:lang w:val="fr-FR"/>
        </w:rPr>
        <w:t xml:space="preserve">inclure des renvois </w:t>
      </w:r>
      <w:r w:rsidR="005216D6" w:rsidRPr="00B975BA">
        <w:rPr>
          <w:lang w:val="fr-FR"/>
        </w:rPr>
        <w:t xml:space="preserve">à la norme </w:t>
      </w:r>
      <w:r w:rsidR="00BA4646">
        <w:rPr>
          <w:lang w:val="fr-FR"/>
        </w:rPr>
        <w:t xml:space="preserve">EN </w:t>
      </w:r>
      <w:r w:rsidR="005216D6" w:rsidRPr="00B975BA">
        <w:rPr>
          <w:lang w:val="fr-FR"/>
        </w:rPr>
        <w:t>ISO 21011.</w:t>
      </w:r>
    </w:p>
    <w:p w14:paraId="5D62C2B4" w14:textId="1F0DD355" w:rsidR="005216D6" w:rsidRDefault="00BA4646" w:rsidP="005216D6">
      <w:pPr>
        <w:pStyle w:val="SingleTxtG"/>
        <w:rPr>
          <w:lang w:val="fr-FR"/>
        </w:rPr>
      </w:pPr>
      <w:r>
        <w:rPr>
          <w:lang w:val="fr-FR"/>
        </w:rPr>
        <w:t>13</w:t>
      </w:r>
      <w:r w:rsidR="005216D6" w:rsidRPr="00B975BA">
        <w:rPr>
          <w:lang w:val="fr-FR"/>
        </w:rPr>
        <w:t>.</w:t>
      </w:r>
      <w:r w:rsidR="005216D6" w:rsidRPr="00B975BA">
        <w:rPr>
          <w:lang w:val="fr-FR"/>
        </w:rPr>
        <w:tab/>
        <w:t>La Réunion commune a adopté les propositions d</w:t>
      </w:r>
      <w:r w:rsidR="005216D6">
        <w:rPr>
          <w:lang w:val="fr-FR"/>
        </w:rPr>
        <w:t>’</w:t>
      </w:r>
      <w:r w:rsidR="005216D6" w:rsidRPr="00B975BA">
        <w:rPr>
          <w:lang w:val="fr-FR"/>
        </w:rPr>
        <w:t xml:space="preserve">amendements </w:t>
      </w:r>
      <w:r w:rsidR="005216D6">
        <w:rPr>
          <w:lang w:val="fr-FR"/>
        </w:rPr>
        <w:t>formulées</w:t>
      </w:r>
      <w:r w:rsidR="005216D6" w:rsidRPr="00B975BA">
        <w:rPr>
          <w:lang w:val="fr-FR"/>
        </w:rPr>
        <w:t xml:space="preserve"> aux points</w:t>
      </w:r>
      <w:r w:rsidR="005216D6">
        <w:rPr>
          <w:lang w:val="fr-FR"/>
        </w:rPr>
        <w:t> </w:t>
      </w:r>
      <w:r w:rsidR="005216D6" w:rsidRPr="00B975BA">
        <w:rPr>
          <w:lang w:val="fr-FR"/>
        </w:rPr>
        <w:t>3.1, 3.2 et 3.3 du document informel INF.1</w:t>
      </w:r>
      <w:r>
        <w:rPr>
          <w:lang w:val="fr-FR"/>
        </w:rPr>
        <w:t>2</w:t>
      </w:r>
      <w:r w:rsidR="005216D6" w:rsidRPr="00B975BA">
        <w:rPr>
          <w:lang w:val="fr-FR"/>
        </w:rPr>
        <w:t>, tels que modifiées (voir annexe</w:t>
      </w:r>
      <w:r w:rsidR="00354B4A">
        <w:rPr>
          <w:lang w:val="fr-FR"/>
        </w:rPr>
        <w:t xml:space="preserve"> II</w:t>
      </w:r>
      <w:r w:rsidR="005216D6" w:rsidRPr="00B975BA">
        <w:rPr>
          <w:lang w:val="fr-FR"/>
        </w:rPr>
        <w:t>), sous réserve d</w:t>
      </w:r>
      <w:r w:rsidR="005216D6">
        <w:rPr>
          <w:lang w:val="fr-FR"/>
        </w:rPr>
        <w:t>’</w:t>
      </w:r>
      <w:r w:rsidR="005216D6" w:rsidRPr="00B975BA">
        <w:rPr>
          <w:lang w:val="fr-FR"/>
        </w:rPr>
        <w:t>un dernier examen par le Groupe de travail des citernes de la proposition d</w:t>
      </w:r>
      <w:r w:rsidR="005216D6">
        <w:rPr>
          <w:lang w:val="fr-FR"/>
        </w:rPr>
        <w:t>’</w:t>
      </w:r>
      <w:r w:rsidR="005216D6" w:rsidRPr="00B975BA">
        <w:rPr>
          <w:lang w:val="fr-FR"/>
        </w:rPr>
        <w:t>amendement au 6.8.2.6.1 (voir par.</w:t>
      </w:r>
      <w:r w:rsidR="005216D6">
        <w:rPr>
          <w:lang w:val="fr-FR"/>
        </w:rPr>
        <w:t> </w:t>
      </w:r>
      <w:r w:rsidR="002B100D">
        <w:rPr>
          <w:lang w:val="fr-FR"/>
        </w:rPr>
        <w:t>6</w:t>
      </w:r>
      <w:r w:rsidR="00577164">
        <w:rPr>
          <w:lang w:val="fr-FR"/>
        </w:rPr>
        <w:t xml:space="preserve"> </w:t>
      </w:r>
      <w:r w:rsidR="005216D6" w:rsidRPr="00B975BA">
        <w:rPr>
          <w:lang w:val="fr-FR"/>
        </w:rPr>
        <w:t>ci-dessus</w:t>
      </w:r>
      <w:r w:rsidR="00577164" w:rsidRPr="00577164">
        <w:rPr>
          <w:lang w:val="fr-FR"/>
        </w:rPr>
        <w:t xml:space="preserve"> </w:t>
      </w:r>
      <w:r w:rsidR="00577164">
        <w:rPr>
          <w:lang w:val="fr-FR"/>
        </w:rPr>
        <w:t>et point 3 de l’additif 1</w:t>
      </w:r>
      <w:r w:rsidR="005216D6" w:rsidRPr="00B975BA">
        <w:rPr>
          <w:lang w:val="fr-FR"/>
        </w:rPr>
        <w:t>).</w:t>
      </w:r>
    </w:p>
    <w:p w14:paraId="2A4499F6" w14:textId="42990A34" w:rsidR="00080984" w:rsidRPr="006350CF" w:rsidRDefault="00080984" w:rsidP="00DA1AD3">
      <w:pPr>
        <w:pStyle w:val="HChG"/>
        <w:rPr>
          <w:lang w:val="fr-FR"/>
        </w:rPr>
      </w:pPr>
      <w:r>
        <w:rPr>
          <w:lang w:val="fr-FR"/>
        </w:rPr>
        <w:lastRenderedPageBreak/>
        <w:tab/>
      </w:r>
      <w:r w:rsidR="00A5205C">
        <w:rPr>
          <w:lang w:val="fr-FR"/>
        </w:rPr>
        <w:t>V</w:t>
      </w:r>
      <w:r>
        <w:rPr>
          <w:lang w:val="fr-FR"/>
        </w:rPr>
        <w:t>.</w:t>
      </w:r>
      <w:r>
        <w:rPr>
          <w:lang w:val="fr-FR"/>
        </w:rPr>
        <w:tab/>
        <w:t xml:space="preserve">Interprétation du RID, de l’ADR et de l’ADN (point </w:t>
      </w:r>
      <w:r w:rsidR="00A5205C">
        <w:rPr>
          <w:lang w:val="fr-FR"/>
        </w:rPr>
        <w:t>4</w:t>
      </w:r>
      <w:r>
        <w:rPr>
          <w:lang w:val="fr-FR"/>
        </w:rPr>
        <w:t xml:space="preserve"> de l’ordre du jour)</w:t>
      </w:r>
    </w:p>
    <w:p w14:paraId="74630853" w14:textId="77777777" w:rsidR="008D0DBA" w:rsidRPr="00A3253E" w:rsidRDefault="008D0DBA" w:rsidP="00DA1AD3">
      <w:pPr>
        <w:pStyle w:val="H1G"/>
        <w:rPr>
          <w:lang w:val="fr-FR"/>
        </w:rPr>
      </w:pPr>
      <w:r>
        <w:rPr>
          <w:lang w:val="fr-FR"/>
        </w:rPr>
        <w:tab/>
      </w:r>
      <w:r w:rsidRPr="00A3253E">
        <w:rPr>
          <w:lang w:val="fr-FR"/>
        </w:rPr>
        <w:t>A.</w:t>
      </w:r>
      <w:r w:rsidRPr="00A3253E">
        <w:rPr>
          <w:lang w:val="fr-FR"/>
        </w:rPr>
        <w:tab/>
        <w:t xml:space="preserve">Interprétation du terme </w:t>
      </w:r>
      <w:r>
        <w:rPr>
          <w:lang w:val="fr-FR"/>
        </w:rPr>
        <w:t>« </w:t>
      </w:r>
      <w:r w:rsidRPr="00A3253E">
        <w:rPr>
          <w:lang w:val="fr-FR"/>
        </w:rPr>
        <w:t>contenance</w:t>
      </w:r>
      <w:r>
        <w:rPr>
          <w:lang w:val="fr-FR"/>
        </w:rPr>
        <w:t> »</w:t>
      </w:r>
      <w:r w:rsidRPr="00A3253E">
        <w:rPr>
          <w:lang w:val="fr-FR"/>
        </w:rPr>
        <w:t xml:space="preserve"> aux fins de la détermination </w:t>
      </w:r>
      <w:r>
        <w:rPr>
          <w:lang w:val="fr-FR"/>
        </w:rPr>
        <w:br/>
      </w:r>
      <w:r w:rsidRPr="00A3253E">
        <w:rPr>
          <w:lang w:val="fr-FR"/>
        </w:rPr>
        <w:t>du taux de remplissage maximal conformément au 4.1.1.4</w:t>
      </w:r>
    </w:p>
    <w:p w14:paraId="1643537D" w14:textId="77777777" w:rsidR="008D0DBA" w:rsidRPr="00A3253E" w:rsidRDefault="008D0DBA" w:rsidP="00DA1AD3">
      <w:pPr>
        <w:pStyle w:val="SingleTxtG"/>
        <w:keepNext/>
        <w:keepLines/>
        <w:tabs>
          <w:tab w:val="left" w:pos="3119"/>
        </w:tabs>
        <w:jc w:val="left"/>
        <w:rPr>
          <w:lang w:val="fr-FR"/>
        </w:rPr>
      </w:pPr>
      <w:r w:rsidRPr="00A3253E">
        <w:rPr>
          <w:i/>
          <w:iCs/>
          <w:lang w:val="fr-FR"/>
        </w:rPr>
        <w:t xml:space="preserve">Document informel </w:t>
      </w:r>
      <w:r w:rsidRPr="000C3D58">
        <w:rPr>
          <w:lang w:val="fr-FR"/>
        </w:rPr>
        <w:t>:</w:t>
      </w:r>
      <w:r w:rsidRPr="00A3253E">
        <w:rPr>
          <w:lang w:val="fr-FR"/>
        </w:rPr>
        <w:tab/>
        <w:t>INF.11 (Belgique)</w:t>
      </w:r>
    </w:p>
    <w:p w14:paraId="2FE6954A" w14:textId="0429416A" w:rsidR="008D0DBA" w:rsidRPr="00A3253E" w:rsidRDefault="00235200" w:rsidP="00DA1AD3">
      <w:pPr>
        <w:pStyle w:val="SingleTxtG"/>
        <w:keepNext/>
        <w:keepLines/>
        <w:rPr>
          <w:lang w:val="fr-FR"/>
        </w:rPr>
      </w:pPr>
      <w:r>
        <w:rPr>
          <w:lang w:val="fr-FR"/>
        </w:rPr>
        <w:t>14</w:t>
      </w:r>
      <w:r w:rsidR="008D0DBA" w:rsidRPr="00A3253E">
        <w:rPr>
          <w:lang w:val="fr-FR"/>
        </w:rPr>
        <w:t>.</w:t>
      </w:r>
      <w:r w:rsidR="008D0DBA" w:rsidRPr="00A3253E">
        <w:rPr>
          <w:lang w:val="fr-FR"/>
        </w:rPr>
        <w:tab/>
        <w:t xml:space="preserve">Compte tenu de la nouvelle définition du </w:t>
      </w:r>
      <w:r w:rsidR="008D0DBA">
        <w:rPr>
          <w:lang w:val="fr-FR"/>
        </w:rPr>
        <w:t>« </w:t>
      </w:r>
      <w:r w:rsidR="008D0DBA" w:rsidRPr="00A3253E">
        <w:rPr>
          <w:lang w:val="fr-FR"/>
        </w:rPr>
        <w:t>taux de remplissage</w:t>
      </w:r>
      <w:r w:rsidR="008D0DBA">
        <w:rPr>
          <w:lang w:val="fr-FR"/>
        </w:rPr>
        <w:t> »</w:t>
      </w:r>
      <w:r w:rsidR="008D0DBA" w:rsidRPr="00A3253E">
        <w:rPr>
          <w:lang w:val="fr-FR"/>
        </w:rPr>
        <w:t xml:space="preserve"> récemment adoptée par le Sous-Comité d</w:t>
      </w:r>
      <w:r w:rsidR="008D0DBA">
        <w:rPr>
          <w:lang w:val="fr-FR"/>
        </w:rPr>
        <w:t>’</w:t>
      </w:r>
      <w:r w:rsidR="008D0DBA" w:rsidRPr="00A3253E">
        <w:rPr>
          <w:lang w:val="fr-FR"/>
        </w:rPr>
        <w:t>experts du transport des marchandises dangereuses et qui sera bientôt publiée dans la vingt-troisième édition révisée du Règlement type, la Réunion commune a recommandé d</w:t>
      </w:r>
      <w:r w:rsidR="008D0DBA">
        <w:rPr>
          <w:lang w:val="fr-FR"/>
        </w:rPr>
        <w:t>’</w:t>
      </w:r>
      <w:r w:rsidR="008D0DBA" w:rsidRPr="00A3253E">
        <w:rPr>
          <w:lang w:val="fr-FR"/>
        </w:rPr>
        <w:t>inscrire le document informel INF.11 à l</w:t>
      </w:r>
      <w:r w:rsidR="008D0DBA">
        <w:rPr>
          <w:lang w:val="fr-FR"/>
        </w:rPr>
        <w:t>’</w:t>
      </w:r>
      <w:r w:rsidR="008D0DBA" w:rsidRPr="00A3253E">
        <w:rPr>
          <w:lang w:val="fr-FR"/>
        </w:rPr>
        <w:t>ordre du jour de la session à venir du Groupe de travail spécial de l</w:t>
      </w:r>
      <w:r w:rsidR="008D0DBA">
        <w:rPr>
          <w:lang w:val="fr-FR"/>
        </w:rPr>
        <w:t>’</w:t>
      </w:r>
      <w:r w:rsidR="008D0DBA" w:rsidRPr="00A3253E">
        <w:rPr>
          <w:lang w:val="fr-FR"/>
        </w:rPr>
        <w:t>harmonisation des Règlements RID, ADR et ADN avec les Recommandations de l</w:t>
      </w:r>
      <w:r w:rsidR="008D0DBA">
        <w:rPr>
          <w:lang w:val="fr-FR"/>
        </w:rPr>
        <w:t>’</w:t>
      </w:r>
      <w:r w:rsidR="008D0DBA" w:rsidRPr="00A3253E">
        <w:rPr>
          <w:lang w:val="fr-FR"/>
        </w:rPr>
        <w:t>ONU relatives au transport des marchandises dangereuses, pour que celui</w:t>
      </w:r>
      <w:r w:rsidR="008D0DBA">
        <w:rPr>
          <w:lang w:val="fr-FR"/>
        </w:rPr>
        <w:noBreakHyphen/>
      </w:r>
      <w:r w:rsidR="008D0DBA" w:rsidRPr="00A3253E">
        <w:rPr>
          <w:lang w:val="fr-FR"/>
        </w:rPr>
        <w:t>ci l</w:t>
      </w:r>
      <w:r w:rsidR="008D0DBA">
        <w:rPr>
          <w:lang w:val="fr-FR"/>
        </w:rPr>
        <w:t>’</w:t>
      </w:r>
      <w:r w:rsidR="008D0DBA" w:rsidRPr="00A3253E">
        <w:rPr>
          <w:lang w:val="fr-FR"/>
        </w:rPr>
        <w:t>examine plus avant. Il a été décidé de reprendre l</w:t>
      </w:r>
      <w:r w:rsidR="008D0DBA">
        <w:rPr>
          <w:lang w:val="fr-FR"/>
        </w:rPr>
        <w:t>’</w:t>
      </w:r>
      <w:r w:rsidR="008D0DBA" w:rsidRPr="00A3253E">
        <w:rPr>
          <w:lang w:val="fr-FR"/>
        </w:rPr>
        <w:t>examen de cette question à la session suivante.</w:t>
      </w:r>
    </w:p>
    <w:p w14:paraId="3BF9F82C" w14:textId="06CE3F9D" w:rsidR="008D0DBA" w:rsidRPr="00A3253E" w:rsidRDefault="008D0DBA" w:rsidP="008D0DBA">
      <w:pPr>
        <w:pStyle w:val="H1G"/>
        <w:rPr>
          <w:lang w:val="fr-FR"/>
        </w:rPr>
      </w:pPr>
      <w:r>
        <w:rPr>
          <w:lang w:val="fr-FR"/>
        </w:rPr>
        <w:tab/>
      </w:r>
      <w:r w:rsidRPr="00A3253E">
        <w:rPr>
          <w:lang w:val="fr-FR"/>
        </w:rPr>
        <w:t>B.</w:t>
      </w:r>
      <w:r w:rsidRPr="00A3253E">
        <w:rPr>
          <w:lang w:val="fr-FR"/>
        </w:rPr>
        <w:tab/>
        <w:t xml:space="preserve">Placardage et signalisation orange des véhicules pour vrac </w:t>
      </w:r>
      <w:r>
        <w:rPr>
          <w:lang w:val="fr-FR"/>
        </w:rPr>
        <w:br/>
      </w:r>
      <w:r w:rsidRPr="00A3253E">
        <w:rPr>
          <w:lang w:val="fr-FR"/>
        </w:rPr>
        <w:t xml:space="preserve">et conteneurs pour </w:t>
      </w:r>
      <w:r w:rsidR="00A122F9">
        <w:rPr>
          <w:lang w:val="fr-FR"/>
        </w:rPr>
        <w:t xml:space="preserve">le transport en </w:t>
      </w:r>
      <w:r w:rsidRPr="00A3253E">
        <w:rPr>
          <w:lang w:val="fr-FR"/>
        </w:rPr>
        <w:t>vrac</w:t>
      </w:r>
    </w:p>
    <w:p w14:paraId="7FB283FA" w14:textId="77777777" w:rsidR="008D0DBA" w:rsidRPr="00A3253E" w:rsidRDefault="008D0DBA" w:rsidP="008D0DBA">
      <w:pPr>
        <w:pStyle w:val="SingleTxtG"/>
        <w:keepNext/>
        <w:tabs>
          <w:tab w:val="left" w:pos="3119"/>
        </w:tabs>
        <w:jc w:val="left"/>
        <w:rPr>
          <w:lang w:val="fr-FR"/>
        </w:rPr>
      </w:pPr>
      <w:r w:rsidRPr="00A3253E">
        <w:rPr>
          <w:i/>
          <w:iCs/>
          <w:lang w:val="fr-FR"/>
        </w:rPr>
        <w:t xml:space="preserve">Document informel </w:t>
      </w:r>
      <w:r w:rsidRPr="000C3D58">
        <w:rPr>
          <w:lang w:val="fr-FR"/>
        </w:rPr>
        <w:t>:</w:t>
      </w:r>
      <w:r w:rsidRPr="00A3253E">
        <w:rPr>
          <w:lang w:val="fr-FR"/>
        </w:rPr>
        <w:tab/>
        <w:t>INF.18 (France)</w:t>
      </w:r>
    </w:p>
    <w:p w14:paraId="7E7DFF68" w14:textId="3DBF2ECA" w:rsidR="008D0DBA" w:rsidRPr="00A3253E" w:rsidRDefault="0022131B" w:rsidP="008D0DBA">
      <w:pPr>
        <w:pStyle w:val="SingleTxtG"/>
        <w:rPr>
          <w:lang w:val="fr-FR"/>
        </w:rPr>
      </w:pPr>
      <w:r>
        <w:rPr>
          <w:lang w:val="fr-FR"/>
        </w:rPr>
        <w:t>15</w:t>
      </w:r>
      <w:r w:rsidR="008D0DBA" w:rsidRPr="00A3253E">
        <w:rPr>
          <w:lang w:val="fr-FR"/>
        </w:rPr>
        <w:t>.</w:t>
      </w:r>
      <w:r w:rsidR="008D0DBA" w:rsidRPr="00A3253E">
        <w:rPr>
          <w:lang w:val="fr-FR"/>
        </w:rPr>
        <w:tab/>
        <w:t>La plupart des délégations étaient d</w:t>
      </w:r>
      <w:r w:rsidR="008D0DBA">
        <w:rPr>
          <w:lang w:val="fr-FR"/>
        </w:rPr>
        <w:t>’</w:t>
      </w:r>
      <w:r w:rsidR="008D0DBA" w:rsidRPr="00A3253E">
        <w:rPr>
          <w:lang w:val="fr-FR"/>
        </w:rPr>
        <w:t>avis que cette question d</w:t>
      </w:r>
      <w:r w:rsidR="008D0DBA">
        <w:rPr>
          <w:lang w:val="fr-FR"/>
        </w:rPr>
        <w:t>’</w:t>
      </w:r>
      <w:r w:rsidR="008D0DBA" w:rsidRPr="00A3253E">
        <w:rPr>
          <w:lang w:val="fr-FR"/>
        </w:rPr>
        <w:t>interprétation ne concernait que l</w:t>
      </w:r>
      <w:r w:rsidR="008D0DBA">
        <w:rPr>
          <w:lang w:val="fr-FR"/>
        </w:rPr>
        <w:t>’</w:t>
      </w:r>
      <w:r w:rsidR="008D0DBA" w:rsidRPr="00A3253E">
        <w:rPr>
          <w:lang w:val="fr-FR"/>
        </w:rPr>
        <w:t>ADR et que les dispositions pourraient être clarifiées en indiquant que le</w:t>
      </w:r>
      <w:r w:rsidR="008D0DBA">
        <w:rPr>
          <w:lang w:val="fr-FR"/>
        </w:rPr>
        <w:t> </w:t>
      </w:r>
      <w:r w:rsidR="008D0DBA" w:rsidRPr="00A3253E">
        <w:rPr>
          <w:lang w:val="fr-FR"/>
        </w:rPr>
        <w:t>5.3.1.4 ne s</w:t>
      </w:r>
      <w:r w:rsidR="008D0DBA">
        <w:rPr>
          <w:lang w:val="fr-FR"/>
        </w:rPr>
        <w:t>’</w:t>
      </w:r>
      <w:r w:rsidR="008D0DBA" w:rsidRPr="00A3253E">
        <w:rPr>
          <w:lang w:val="fr-FR"/>
        </w:rPr>
        <w:t>applique aux véhicules que lorsqu</w:t>
      </w:r>
      <w:r w:rsidR="008D0DBA">
        <w:rPr>
          <w:lang w:val="fr-FR"/>
        </w:rPr>
        <w:t>’</w:t>
      </w:r>
      <w:r w:rsidR="008D0DBA" w:rsidRPr="00A3253E">
        <w:rPr>
          <w:lang w:val="fr-FR"/>
        </w:rPr>
        <w:t>ils sont effectivement utilisés pour le transport en vrac. Le représentant de la France a proposé de soumettre un document officiel à la session suivante.</w:t>
      </w:r>
    </w:p>
    <w:p w14:paraId="0D351D5B" w14:textId="77777777" w:rsidR="00C73424" w:rsidRPr="00661211" w:rsidRDefault="00C73424" w:rsidP="00C73424">
      <w:pPr>
        <w:pStyle w:val="H1G"/>
      </w:pPr>
      <w:r>
        <w:rPr>
          <w:bCs/>
          <w:lang w:val="fr-FR"/>
        </w:rPr>
        <w:tab/>
        <w:t>C.</w:t>
      </w:r>
      <w:r>
        <w:rPr>
          <w:lang w:val="fr-FR"/>
        </w:rPr>
        <w:tab/>
      </w:r>
      <w:r>
        <w:rPr>
          <w:bCs/>
          <w:lang w:val="fr-FR"/>
        </w:rPr>
        <w:t>Transport en vrac d’emballages vides, non nettoyés, ayant contenu des marchandises dangereuses</w:t>
      </w:r>
    </w:p>
    <w:p w14:paraId="49B3D378" w14:textId="65F13749" w:rsidR="00C73424" w:rsidRPr="00661211" w:rsidRDefault="00C73424" w:rsidP="00C73424">
      <w:pPr>
        <w:pStyle w:val="SingleTxtG"/>
        <w:tabs>
          <w:tab w:val="left" w:pos="3119"/>
        </w:tabs>
        <w:jc w:val="left"/>
      </w:pPr>
      <w:r>
        <w:rPr>
          <w:i/>
          <w:iCs/>
          <w:lang w:val="fr-FR"/>
        </w:rPr>
        <w:t>Document informel</w:t>
      </w:r>
      <w:r w:rsidRPr="00534BB0">
        <w:rPr>
          <w:lang w:val="fr-FR"/>
        </w:rPr>
        <w:t> :</w:t>
      </w:r>
      <w:r>
        <w:rPr>
          <w:lang w:val="fr-FR"/>
        </w:rPr>
        <w:tab/>
        <w:t>INF.19 (France)</w:t>
      </w:r>
    </w:p>
    <w:p w14:paraId="12C49144" w14:textId="6A72C675" w:rsidR="00C73424" w:rsidRPr="00661211" w:rsidRDefault="00A67A21" w:rsidP="00C73424">
      <w:pPr>
        <w:pStyle w:val="SingleTxtG"/>
      </w:pPr>
      <w:r>
        <w:rPr>
          <w:lang w:val="fr-FR"/>
        </w:rPr>
        <w:t>16</w:t>
      </w:r>
      <w:r w:rsidR="00C73424">
        <w:rPr>
          <w:lang w:val="fr-FR"/>
        </w:rPr>
        <w:t>.</w:t>
      </w:r>
      <w:r w:rsidR="00C73424">
        <w:rPr>
          <w:lang w:val="fr-FR"/>
        </w:rPr>
        <w:tab/>
        <w:t>La Réunion commune a pris note de plusieurs contributions aux questions soulevées dans le document informel INF.19. En outre, elle a relevé que la dernière phrase du 7.3.1.1 était sans doute issue de la restructuration passée du RID et de l’ADR et pourrait éventuellement être supprimée. Le représentant de la France a offert de mener des recherches de fond, de concert avec l’ICCR, et de soumettre un document officiel à la session suivante.</w:t>
      </w:r>
    </w:p>
    <w:p w14:paraId="7066897A" w14:textId="77777777" w:rsidR="00721FEC" w:rsidRPr="007D6648" w:rsidRDefault="00721FEC" w:rsidP="00721FEC">
      <w:pPr>
        <w:pStyle w:val="HChG"/>
        <w:rPr>
          <w:lang w:val="fr-FR"/>
        </w:rPr>
      </w:pPr>
      <w:r>
        <w:rPr>
          <w:lang w:val="fr-FR"/>
        </w:rPr>
        <w:tab/>
      </w:r>
      <w:r w:rsidRPr="007D6648">
        <w:rPr>
          <w:lang w:val="fr-FR"/>
        </w:rPr>
        <w:t>VI.</w:t>
      </w:r>
      <w:r w:rsidRPr="007D6648">
        <w:rPr>
          <w:lang w:val="fr-FR"/>
        </w:rPr>
        <w:tab/>
        <w:t>Propositions d</w:t>
      </w:r>
      <w:r>
        <w:rPr>
          <w:lang w:val="fr-FR"/>
        </w:rPr>
        <w:t>’</w:t>
      </w:r>
      <w:r w:rsidRPr="007D6648">
        <w:rPr>
          <w:lang w:val="fr-FR"/>
        </w:rPr>
        <w:t>amendements au RID, à l</w:t>
      </w:r>
      <w:r>
        <w:rPr>
          <w:lang w:val="fr-FR"/>
        </w:rPr>
        <w:t>’</w:t>
      </w:r>
      <w:r w:rsidRPr="007D6648">
        <w:rPr>
          <w:lang w:val="fr-FR"/>
        </w:rPr>
        <w:t>ADR et à l</w:t>
      </w:r>
      <w:r>
        <w:rPr>
          <w:lang w:val="fr-FR"/>
        </w:rPr>
        <w:t>’</w:t>
      </w:r>
      <w:r w:rsidRPr="007D6648">
        <w:rPr>
          <w:lang w:val="fr-FR"/>
        </w:rPr>
        <w:t>ADN</w:t>
      </w:r>
      <w:r>
        <w:rPr>
          <w:lang w:val="fr-FR"/>
        </w:rPr>
        <w:t xml:space="preserve"> </w:t>
      </w:r>
      <w:r>
        <w:rPr>
          <w:lang w:val="fr-FR"/>
        </w:rPr>
        <w:br/>
      </w:r>
      <w:r w:rsidRPr="007D6648">
        <w:rPr>
          <w:lang w:val="fr-FR"/>
        </w:rPr>
        <w:t>(point 5 de l</w:t>
      </w:r>
      <w:r>
        <w:rPr>
          <w:lang w:val="fr-FR"/>
        </w:rPr>
        <w:t>’</w:t>
      </w:r>
      <w:r w:rsidRPr="007D6648">
        <w:rPr>
          <w:lang w:val="fr-FR"/>
        </w:rPr>
        <w:t>ordre du jour)</w:t>
      </w:r>
    </w:p>
    <w:p w14:paraId="28B50C53" w14:textId="77777777" w:rsidR="00721FEC" w:rsidRPr="007D6648" w:rsidRDefault="00721FEC" w:rsidP="00721FEC">
      <w:pPr>
        <w:pStyle w:val="H23G"/>
        <w:rPr>
          <w:lang w:val="fr-FR"/>
        </w:rPr>
      </w:pPr>
      <w:r>
        <w:rPr>
          <w:lang w:val="fr-FR"/>
        </w:rPr>
        <w:tab/>
      </w:r>
      <w:r w:rsidRPr="007D6648">
        <w:rPr>
          <w:lang w:val="fr-FR"/>
        </w:rPr>
        <w:t>1.</w:t>
      </w:r>
      <w:r w:rsidRPr="007D6648">
        <w:rPr>
          <w:lang w:val="fr-FR"/>
        </w:rPr>
        <w:tab/>
        <w:t>Amendement à la disposition spéciale 668</w:t>
      </w:r>
    </w:p>
    <w:p w14:paraId="44A6A17F" w14:textId="77777777" w:rsidR="00721FEC" w:rsidRPr="007D6648" w:rsidRDefault="00721FEC" w:rsidP="00721FEC">
      <w:pPr>
        <w:pStyle w:val="SingleTxtG"/>
        <w:tabs>
          <w:tab w:val="left" w:pos="3119"/>
        </w:tabs>
        <w:rPr>
          <w:lang w:val="fr-FR"/>
        </w:rPr>
      </w:pPr>
      <w:r w:rsidRPr="007D6648">
        <w:rPr>
          <w:i/>
          <w:iCs/>
          <w:lang w:val="fr-FR"/>
        </w:rPr>
        <w:t>Document </w:t>
      </w:r>
      <w:r w:rsidRPr="00FE7092">
        <w:rPr>
          <w:lang w:val="fr-FR"/>
        </w:rPr>
        <w:t>:</w:t>
      </w:r>
      <w:r w:rsidRPr="007D6648">
        <w:rPr>
          <w:lang w:val="fr-FR"/>
        </w:rPr>
        <w:tab/>
        <w:t>ECE/TRANS/WP.15/AC.1/2023/4 (IASA)</w:t>
      </w:r>
    </w:p>
    <w:p w14:paraId="215943DB" w14:textId="7FF9AD61" w:rsidR="002026D0" w:rsidRPr="00661211" w:rsidRDefault="002026D0" w:rsidP="002026D0">
      <w:pPr>
        <w:pStyle w:val="SingleTxtG"/>
        <w:tabs>
          <w:tab w:val="left" w:pos="3119"/>
        </w:tabs>
        <w:jc w:val="left"/>
      </w:pPr>
      <w:r>
        <w:rPr>
          <w:i/>
          <w:iCs/>
          <w:lang w:val="fr-FR"/>
        </w:rPr>
        <w:t>Document informel</w:t>
      </w:r>
      <w:r w:rsidRPr="00534BB0">
        <w:rPr>
          <w:lang w:val="fr-FR"/>
        </w:rPr>
        <w:t> :</w:t>
      </w:r>
      <w:r>
        <w:rPr>
          <w:lang w:val="fr-FR"/>
        </w:rPr>
        <w:tab/>
        <w:t>INF.40 (Secrétariat)</w:t>
      </w:r>
    </w:p>
    <w:p w14:paraId="478E5AB4" w14:textId="07C08F2C" w:rsidR="00721FEC" w:rsidRPr="007D6648" w:rsidRDefault="00196B35" w:rsidP="00721FEC">
      <w:pPr>
        <w:pStyle w:val="SingleTxtG"/>
        <w:rPr>
          <w:lang w:val="fr-FR"/>
        </w:rPr>
      </w:pPr>
      <w:r>
        <w:rPr>
          <w:lang w:val="fr-FR"/>
        </w:rPr>
        <w:t>17</w:t>
      </w:r>
      <w:r w:rsidR="00721FEC" w:rsidRPr="007D6648">
        <w:rPr>
          <w:lang w:val="fr-FR"/>
        </w:rPr>
        <w:t>.</w:t>
      </w:r>
      <w:r w:rsidR="00721FEC" w:rsidRPr="007D6648">
        <w:rPr>
          <w:lang w:val="fr-FR"/>
        </w:rPr>
        <w:tab/>
        <w:t>La Réunion commune a adopté l</w:t>
      </w:r>
      <w:r w:rsidR="00721FEC">
        <w:rPr>
          <w:lang w:val="fr-FR"/>
        </w:rPr>
        <w:t>’</w:t>
      </w:r>
      <w:r w:rsidR="00721FEC" w:rsidRPr="007D6648">
        <w:rPr>
          <w:lang w:val="fr-FR"/>
        </w:rPr>
        <w:t xml:space="preserve">amendement proposé dans le document ECE/TRANS/WP.15/AC.1/2023/4, tel que modifié </w:t>
      </w:r>
      <w:r w:rsidR="00AC0C4E">
        <w:rPr>
          <w:lang w:val="fr-FR"/>
        </w:rPr>
        <w:t xml:space="preserve">par </w:t>
      </w:r>
      <w:r w:rsidR="004C047F">
        <w:rPr>
          <w:lang w:val="fr-FR"/>
        </w:rPr>
        <w:t xml:space="preserve">le </w:t>
      </w:r>
      <w:r w:rsidR="00AC0C4E">
        <w:rPr>
          <w:lang w:val="fr-FR"/>
        </w:rPr>
        <w:t xml:space="preserve">document informel INF.40 </w:t>
      </w:r>
      <w:r w:rsidR="00721FEC" w:rsidRPr="007D6648">
        <w:rPr>
          <w:lang w:val="fr-FR"/>
        </w:rPr>
        <w:t>(voir annexe</w:t>
      </w:r>
      <w:r w:rsidR="00AC0C4E">
        <w:rPr>
          <w:lang w:val="fr-FR"/>
        </w:rPr>
        <w:t xml:space="preserve"> II</w:t>
      </w:r>
      <w:r w:rsidR="00721FEC" w:rsidRPr="007D6648">
        <w:rPr>
          <w:lang w:val="fr-FR"/>
        </w:rPr>
        <w:t>).</w:t>
      </w:r>
    </w:p>
    <w:p w14:paraId="3B3A95DD" w14:textId="77777777" w:rsidR="00721FEC" w:rsidRPr="007D6648" w:rsidRDefault="00721FEC" w:rsidP="00721FEC">
      <w:pPr>
        <w:pStyle w:val="H23G"/>
        <w:rPr>
          <w:lang w:val="fr-FR"/>
        </w:rPr>
      </w:pPr>
      <w:r>
        <w:rPr>
          <w:bCs/>
          <w:lang w:val="fr-FR"/>
        </w:rPr>
        <w:tab/>
      </w:r>
      <w:r w:rsidRPr="007D6648">
        <w:rPr>
          <w:bCs/>
          <w:lang w:val="fr-FR"/>
        </w:rPr>
        <w:t>2.</w:t>
      </w:r>
      <w:r w:rsidRPr="007D6648">
        <w:rPr>
          <w:lang w:val="fr-FR"/>
        </w:rPr>
        <w:tab/>
      </w:r>
      <w:r w:rsidRPr="007D6648">
        <w:rPr>
          <w:bCs/>
          <w:lang w:val="fr-FR"/>
        </w:rPr>
        <w:t>Indication de l</w:t>
      </w:r>
      <w:r>
        <w:rPr>
          <w:bCs/>
          <w:lang w:val="fr-FR"/>
        </w:rPr>
        <w:t>’</w:t>
      </w:r>
      <w:r w:rsidRPr="007D6648">
        <w:rPr>
          <w:bCs/>
          <w:lang w:val="fr-FR"/>
        </w:rPr>
        <w:t>année sur les consignes écrites</w:t>
      </w:r>
    </w:p>
    <w:p w14:paraId="51941D65" w14:textId="77777777" w:rsidR="00721FEC" w:rsidRPr="007D6648" w:rsidRDefault="00721FEC" w:rsidP="00721FEC">
      <w:pPr>
        <w:pStyle w:val="SingleTxtG"/>
        <w:tabs>
          <w:tab w:val="left" w:pos="3119"/>
        </w:tabs>
        <w:rPr>
          <w:lang w:val="fr-FR"/>
        </w:rPr>
      </w:pPr>
      <w:r w:rsidRPr="007D6648">
        <w:rPr>
          <w:i/>
          <w:iCs/>
          <w:lang w:val="fr-FR"/>
        </w:rPr>
        <w:t>Document </w:t>
      </w:r>
      <w:r w:rsidRPr="00FE7092">
        <w:rPr>
          <w:lang w:val="fr-FR"/>
        </w:rPr>
        <w:t>:</w:t>
      </w:r>
      <w:r w:rsidRPr="007D6648">
        <w:rPr>
          <w:lang w:val="fr-FR"/>
        </w:rPr>
        <w:tab/>
        <w:t>ECE/TRANS/WP.15/AC.1/2023/5 (IASA)</w:t>
      </w:r>
    </w:p>
    <w:p w14:paraId="3A388AED" w14:textId="014135C6" w:rsidR="00721FEC" w:rsidRPr="007D6648" w:rsidRDefault="00155BA1" w:rsidP="00721FEC">
      <w:pPr>
        <w:pStyle w:val="SingleTxtG"/>
        <w:rPr>
          <w:lang w:val="fr-FR"/>
        </w:rPr>
      </w:pPr>
      <w:r>
        <w:rPr>
          <w:lang w:val="fr-FR"/>
        </w:rPr>
        <w:t>18</w:t>
      </w:r>
      <w:r w:rsidR="00721FEC" w:rsidRPr="007D6648">
        <w:rPr>
          <w:lang w:val="fr-FR"/>
        </w:rPr>
        <w:t>.</w:t>
      </w:r>
      <w:r w:rsidR="00721FEC" w:rsidRPr="007D6648">
        <w:rPr>
          <w:lang w:val="fr-FR"/>
        </w:rPr>
        <w:tab/>
        <w:t>La Réunion commune a pris note de la différence constatée dans l</w:t>
      </w:r>
      <w:r w:rsidR="00721FEC">
        <w:rPr>
          <w:lang w:val="fr-FR"/>
        </w:rPr>
        <w:t>’</w:t>
      </w:r>
      <w:r w:rsidR="00721FEC" w:rsidRPr="007D6648">
        <w:rPr>
          <w:lang w:val="fr-FR"/>
        </w:rPr>
        <w:t>application du</w:t>
      </w:r>
      <w:r w:rsidR="00721FEC">
        <w:rPr>
          <w:lang w:val="fr-FR"/>
        </w:rPr>
        <w:t> </w:t>
      </w:r>
      <w:r w:rsidR="00721FEC" w:rsidRPr="007D6648">
        <w:rPr>
          <w:lang w:val="fr-FR"/>
        </w:rPr>
        <w:t>5.4.3.4 dans le RID, d</w:t>
      </w:r>
      <w:r w:rsidR="00721FEC">
        <w:rPr>
          <w:lang w:val="fr-FR"/>
        </w:rPr>
        <w:t>’</w:t>
      </w:r>
      <w:r w:rsidR="00721FEC" w:rsidRPr="007D6648">
        <w:rPr>
          <w:lang w:val="fr-FR"/>
        </w:rPr>
        <w:t>une part, et dans l</w:t>
      </w:r>
      <w:r w:rsidR="00721FEC">
        <w:rPr>
          <w:lang w:val="fr-FR"/>
        </w:rPr>
        <w:t>’</w:t>
      </w:r>
      <w:r w:rsidR="00721FEC" w:rsidRPr="007D6648">
        <w:rPr>
          <w:lang w:val="fr-FR"/>
        </w:rPr>
        <w:t>ADR et l</w:t>
      </w:r>
      <w:r w:rsidR="00721FEC">
        <w:rPr>
          <w:lang w:val="fr-FR"/>
        </w:rPr>
        <w:t>’</w:t>
      </w:r>
      <w:r w:rsidR="00721FEC" w:rsidRPr="007D6648">
        <w:rPr>
          <w:lang w:val="fr-FR"/>
        </w:rPr>
        <w:t>ADN, d</w:t>
      </w:r>
      <w:r w:rsidR="00721FEC">
        <w:rPr>
          <w:lang w:val="fr-FR"/>
        </w:rPr>
        <w:t>’</w:t>
      </w:r>
      <w:r w:rsidR="00721FEC" w:rsidRPr="007D6648">
        <w:rPr>
          <w:lang w:val="fr-FR"/>
        </w:rPr>
        <w:t xml:space="preserve">autre part, en ce qui concerne les instructions écrites. Certaines délégations ont dit apprécier la flexibilité du RID, qui </w:t>
      </w:r>
      <w:r w:rsidR="00721FEC" w:rsidRPr="007D6648">
        <w:rPr>
          <w:lang w:val="fr-FR"/>
        </w:rPr>
        <w:lastRenderedPageBreak/>
        <w:t>permet d</w:t>
      </w:r>
      <w:r w:rsidR="00721FEC">
        <w:rPr>
          <w:lang w:val="fr-FR"/>
        </w:rPr>
        <w:t>’</w:t>
      </w:r>
      <w:r w:rsidR="00721FEC" w:rsidRPr="007D6648">
        <w:rPr>
          <w:lang w:val="fr-FR"/>
        </w:rPr>
        <w:t>ajouter des informations supplémentaires telles que la version du RID ou l</w:t>
      </w:r>
      <w:r w:rsidR="00721FEC">
        <w:rPr>
          <w:lang w:val="fr-FR"/>
        </w:rPr>
        <w:t>’</w:t>
      </w:r>
      <w:r w:rsidR="00721FEC" w:rsidRPr="007D6648">
        <w:rPr>
          <w:lang w:val="fr-FR"/>
        </w:rPr>
        <w:t>année de publication. D</w:t>
      </w:r>
      <w:r w:rsidR="00721FEC">
        <w:rPr>
          <w:lang w:val="fr-FR"/>
        </w:rPr>
        <w:t>’</w:t>
      </w:r>
      <w:r w:rsidR="00721FEC" w:rsidRPr="007D6648">
        <w:rPr>
          <w:lang w:val="fr-FR"/>
        </w:rPr>
        <w:t>autres ont fait valoir qu</w:t>
      </w:r>
      <w:r w:rsidR="00721FEC">
        <w:rPr>
          <w:lang w:val="fr-FR"/>
        </w:rPr>
        <w:t>’</w:t>
      </w:r>
      <w:r w:rsidR="00721FEC" w:rsidRPr="007D6648">
        <w:rPr>
          <w:lang w:val="fr-FR"/>
        </w:rPr>
        <w:t>un amendement n</w:t>
      </w:r>
      <w:r w:rsidR="00721FEC">
        <w:rPr>
          <w:lang w:val="fr-FR"/>
        </w:rPr>
        <w:t>’</w:t>
      </w:r>
      <w:r w:rsidR="00721FEC" w:rsidRPr="007D6648">
        <w:rPr>
          <w:lang w:val="fr-FR"/>
        </w:rPr>
        <w:t>était pas nécessaire en l</w:t>
      </w:r>
      <w:r w:rsidR="00721FEC">
        <w:rPr>
          <w:lang w:val="fr-FR"/>
        </w:rPr>
        <w:t>’</w:t>
      </w:r>
      <w:r w:rsidR="00721FEC" w:rsidRPr="007D6648">
        <w:rPr>
          <w:lang w:val="fr-FR"/>
        </w:rPr>
        <w:t>absence de motif de sécurité et que cela pourrait même créer des problèmes d</w:t>
      </w:r>
      <w:r w:rsidR="00721FEC">
        <w:rPr>
          <w:lang w:val="fr-FR"/>
        </w:rPr>
        <w:t>’</w:t>
      </w:r>
      <w:r w:rsidR="00721FEC" w:rsidRPr="007D6648">
        <w:rPr>
          <w:lang w:val="fr-FR"/>
        </w:rPr>
        <w:t>interprétation à l</w:t>
      </w:r>
      <w:r w:rsidR="00721FEC">
        <w:rPr>
          <w:lang w:val="fr-FR"/>
        </w:rPr>
        <w:t>’</w:t>
      </w:r>
      <w:r w:rsidR="00721FEC" w:rsidRPr="007D6648">
        <w:rPr>
          <w:lang w:val="fr-FR"/>
        </w:rPr>
        <w:t>avenir. Le représentant de l</w:t>
      </w:r>
      <w:r w:rsidR="00721FEC">
        <w:rPr>
          <w:lang w:val="fr-FR"/>
        </w:rPr>
        <w:t>’</w:t>
      </w:r>
      <w:r w:rsidR="00721FEC" w:rsidRPr="007D6648">
        <w:rPr>
          <w:lang w:val="fr-FR"/>
        </w:rPr>
        <w:t>IASA a retiré sa proposition et a proposé d</w:t>
      </w:r>
      <w:r w:rsidR="00721FEC">
        <w:rPr>
          <w:lang w:val="fr-FR"/>
        </w:rPr>
        <w:t>’</w:t>
      </w:r>
      <w:r w:rsidR="00721FEC" w:rsidRPr="007D6648">
        <w:rPr>
          <w:lang w:val="fr-FR"/>
        </w:rPr>
        <w:t>étudier plus en détail les commentaires reçus et d</w:t>
      </w:r>
      <w:r w:rsidR="00721FEC">
        <w:rPr>
          <w:lang w:val="fr-FR"/>
        </w:rPr>
        <w:t>’</w:t>
      </w:r>
      <w:r w:rsidR="00721FEC" w:rsidRPr="007D6648">
        <w:rPr>
          <w:lang w:val="fr-FR"/>
        </w:rPr>
        <w:t>élaborer une proposition révisée à un stade ultérieur, si nécessaire, lorsque d</w:t>
      </w:r>
      <w:r w:rsidR="00721FEC">
        <w:rPr>
          <w:lang w:val="fr-FR"/>
        </w:rPr>
        <w:t>’</w:t>
      </w:r>
      <w:r w:rsidR="00721FEC" w:rsidRPr="007D6648">
        <w:rPr>
          <w:lang w:val="fr-FR"/>
        </w:rPr>
        <w:t>autres modifications aux instructions écrites seraient examinées.</w:t>
      </w:r>
    </w:p>
    <w:p w14:paraId="26367AC5" w14:textId="77777777" w:rsidR="00721FEC" w:rsidRPr="007D6648" w:rsidRDefault="00721FEC" w:rsidP="00721FEC">
      <w:pPr>
        <w:pStyle w:val="H23G"/>
        <w:rPr>
          <w:lang w:val="fr-FR"/>
        </w:rPr>
      </w:pPr>
      <w:r>
        <w:rPr>
          <w:lang w:val="fr-FR"/>
        </w:rPr>
        <w:tab/>
      </w:r>
      <w:r w:rsidRPr="007D6648">
        <w:rPr>
          <w:lang w:val="fr-FR"/>
        </w:rPr>
        <w:t>3.</w:t>
      </w:r>
      <w:r w:rsidRPr="007D6648">
        <w:rPr>
          <w:lang w:val="fr-FR"/>
        </w:rPr>
        <w:tab/>
        <w:t>Prescriptions de l</w:t>
      </w:r>
      <w:r>
        <w:rPr>
          <w:lang w:val="fr-FR"/>
        </w:rPr>
        <w:t>’</w:t>
      </w:r>
      <w:r w:rsidRPr="007D6648">
        <w:rPr>
          <w:lang w:val="fr-FR"/>
        </w:rPr>
        <w:t>ADR et de l</w:t>
      </w:r>
      <w:r>
        <w:rPr>
          <w:lang w:val="fr-FR"/>
        </w:rPr>
        <w:t>’</w:t>
      </w:r>
      <w:r w:rsidRPr="007D6648">
        <w:rPr>
          <w:lang w:val="fr-FR"/>
        </w:rPr>
        <w:t>ADN concernant la langue du document de transport</w:t>
      </w:r>
    </w:p>
    <w:p w14:paraId="131094C9" w14:textId="77777777" w:rsidR="00721FEC" w:rsidRPr="007D6648" w:rsidRDefault="00721FEC" w:rsidP="00721FEC">
      <w:pPr>
        <w:pStyle w:val="SingleTxtG"/>
        <w:tabs>
          <w:tab w:val="left" w:pos="3119"/>
        </w:tabs>
        <w:rPr>
          <w:lang w:val="fr-FR"/>
        </w:rPr>
      </w:pPr>
      <w:r w:rsidRPr="007D6648">
        <w:rPr>
          <w:i/>
          <w:iCs/>
          <w:lang w:val="fr-FR"/>
        </w:rPr>
        <w:t>Document </w:t>
      </w:r>
      <w:r w:rsidRPr="00FE7092">
        <w:rPr>
          <w:lang w:val="fr-FR"/>
        </w:rPr>
        <w:t>:</w:t>
      </w:r>
      <w:r w:rsidRPr="007D6648">
        <w:rPr>
          <w:lang w:val="fr-FR"/>
        </w:rPr>
        <w:tab/>
        <w:t>ECE/TRANS/WP.15/AC.1/2023/6 (IASA)</w:t>
      </w:r>
    </w:p>
    <w:p w14:paraId="7E28A5DA" w14:textId="3DB8958B" w:rsidR="00721FEC" w:rsidRPr="007D6648" w:rsidRDefault="00530C61" w:rsidP="00721FEC">
      <w:pPr>
        <w:pStyle w:val="SingleTxtG"/>
        <w:spacing w:line="242" w:lineRule="atLeast"/>
        <w:rPr>
          <w:lang w:val="fr-FR"/>
        </w:rPr>
      </w:pPr>
      <w:r>
        <w:rPr>
          <w:lang w:val="fr-FR"/>
        </w:rPr>
        <w:t>19</w:t>
      </w:r>
      <w:r w:rsidR="00721FEC" w:rsidRPr="007D6648">
        <w:rPr>
          <w:lang w:val="fr-FR"/>
        </w:rPr>
        <w:t>.</w:t>
      </w:r>
      <w:r w:rsidR="00721FEC" w:rsidRPr="007D6648">
        <w:rPr>
          <w:lang w:val="fr-FR"/>
        </w:rPr>
        <w:tab/>
        <w:t>Certaines délégations se sont dites favorables au premier paragraphe proposé dans le document ECE/TRANS/WP.15/AC.1/2023/6. Toutefois, la plupart d</w:t>
      </w:r>
      <w:r w:rsidR="00721FEC">
        <w:rPr>
          <w:lang w:val="fr-FR"/>
        </w:rPr>
        <w:t>’</w:t>
      </w:r>
      <w:r w:rsidR="00721FEC" w:rsidRPr="007D6648">
        <w:rPr>
          <w:lang w:val="fr-FR"/>
        </w:rPr>
        <w:t>entre elles, soulignant l</w:t>
      </w:r>
      <w:r w:rsidR="00721FEC">
        <w:rPr>
          <w:lang w:val="fr-FR"/>
        </w:rPr>
        <w:t>’</w:t>
      </w:r>
      <w:r w:rsidR="00721FEC" w:rsidRPr="007D6648">
        <w:rPr>
          <w:lang w:val="fr-FR"/>
        </w:rPr>
        <w:t>importance de rédiger le document de transport dans une langue officielle du pays d</w:t>
      </w:r>
      <w:r w:rsidR="00721FEC">
        <w:rPr>
          <w:lang w:val="fr-FR"/>
        </w:rPr>
        <w:t>’</w:t>
      </w:r>
      <w:r w:rsidR="00721FEC" w:rsidRPr="007D6648">
        <w:rPr>
          <w:lang w:val="fr-FR"/>
        </w:rPr>
        <w:t>expédition, préféraient conserver les dispositions actuelles. La Réunion commune n</w:t>
      </w:r>
      <w:r w:rsidR="00721FEC">
        <w:rPr>
          <w:lang w:val="fr-FR"/>
        </w:rPr>
        <w:t>’</w:t>
      </w:r>
      <w:r w:rsidR="00721FEC" w:rsidRPr="007D6648">
        <w:rPr>
          <w:lang w:val="fr-FR"/>
        </w:rPr>
        <w:t>a pas appuyé l</w:t>
      </w:r>
      <w:r w:rsidR="00721FEC">
        <w:rPr>
          <w:lang w:val="fr-FR"/>
        </w:rPr>
        <w:t>’</w:t>
      </w:r>
      <w:r w:rsidR="00721FEC" w:rsidRPr="007D6648">
        <w:rPr>
          <w:lang w:val="fr-FR"/>
        </w:rPr>
        <w:t>ajout du deuxième paragraphe sur les transports nationaux car la disposition proposée ne relevait pas du champ d</w:t>
      </w:r>
      <w:r w:rsidR="00721FEC">
        <w:rPr>
          <w:lang w:val="fr-FR"/>
        </w:rPr>
        <w:t>’</w:t>
      </w:r>
      <w:r w:rsidR="00721FEC" w:rsidRPr="007D6648">
        <w:rPr>
          <w:lang w:val="fr-FR"/>
        </w:rPr>
        <w:t>application du RID, de l</w:t>
      </w:r>
      <w:r w:rsidR="00721FEC">
        <w:rPr>
          <w:lang w:val="fr-FR"/>
        </w:rPr>
        <w:t>’</w:t>
      </w:r>
      <w:r w:rsidR="00721FEC" w:rsidRPr="007D6648">
        <w:rPr>
          <w:lang w:val="fr-FR"/>
        </w:rPr>
        <w:t>ADR et de l</w:t>
      </w:r>
      <w:r w:rsidR="00721FEC">
        <w:rPr>
          <w:lang w:val="fr-FR"/>
        </w:rPr>
        <w:t>’</w:t>
      </w:r>
      <w:r w:rsidR="00721FEC" w:rsidRPr="007D6648">
        <w:rPr>
          <w:lang w:val="fr-FR"/>
        </w:rPr>
        <w:t>ADN. Le</w:t>
      </w:r>
      <w:r w:rsidR="00721FEC">
        <w:rPr>
          <w:lang w:val="fr-FR"/>
        </w:rPr>
        <w:t> </w:t>
      </w:r>
      <w:r w:rsidR="00721FEC" w:rsidRPr="007D6648">
        <w:rPr>
          <w:lang w:val="fr-FR"/>
        </w:rPr>
        <w:t>représentant de l</w:t>
      </w:r>
      <w:r w:rsidR="00721FEC">
        <w:rPr>
          <w:lang w:val="fr-FR"/>
        </w:rPr>
        <w:t>’</w:t>
      </w:r>
      <w:r w:rsidR="00721FEC" w:rsidRPr="007D6648">
        <w:rPr>
          <w:lang w:val="fr-FR"/>
        </w:rPr>
        <w:t>IASA a proposé de soumettre une proposition actualisée à la prochaine session, si cela était toujours nécessaire.</w:t>
      </w:r>
    </w:p>
    <w:p w14:paraId="786F9D4B" w14:textId="77777777" w:rsidR="00721FEC" w:rsidRPr="007D6648" w:rsidRDefault="00721FEC" w:rsidP="00721FEC">
      <w:pPr>
        <w:pStyle w:val="H23G"/>
        <w:spacing w:before="200"/>
        <w:rPr>
          <w:lang w:val="fr-FR"/>
        </w:rPr>
      </w:pPr>
      <w:r>
        <w:rPr>
          <w:lang w:val="fr-FR"/>
        </w:rPr>
        <w:tab/>
      </w:r>
      <w:r w:rsidRPr="007D6648">
        <w:rPr>
          <w:lang w:val="fr-FR"/>
        </w:rPr>
        <w:t>4.</w:t>
      </w:r>
      <w:r w:rsidRPr="007D6648">
        <w:rPr>
          <w:lang w:val="fr-FR"/>
        </w:rPr>
        <w:tab/>
        <w:t>Harmonisation des définitions de «</w:t>
      </w:r>
      <w:r>
        <w:rPr>
          <w:lang w:val="fr-FR"/>
        </w:rPr>
        <w:t> </w:t>
      </w:r>
      <w:r w:rsidRPr="007D6648">
        <w:rPr>
          <w:lang w:val="fr-FR"/>
        </w:rPr>
        <w:t>wagon couvert</w:t>
      </w:r>
      <w:r>
        <w:rPr>
          <w:lang w:val="fr-FR"/>
        </w:rPr>
        <w:t> </w:t>
      </w:r>
      <w:r w:rsidRPr="007D6648">
        <w:rPr>
          <w:lang w:val="fr-FR"/>
        </w:rPr>
        <w:t>», «</w:t>
      </w:r>
      <w:r>
        <w:rPr>
          <w:lang w:val="fr-FR"/>
        </w:rPr>
        <w:t> </w:t>
      </w:r>
      <w:r w:rsidRPr="007D6648">
        <w:rPr>
          <w:lang w:val="fr-FR"/>
        </w:rPr>
        <w:t>véhicule couvert</w:t>
      </w:r>
      <w:r>
        <w:rPr>
          <w:lang w:val="fr-FR"/>
        </w:rPr>
        <w:t> </w:t>
      </w:r>
      <w:r w:rsidRPr="007D6648">
        <w:rPr>
          <w:lang w:val="fr-FR"/>
        </w:rPr>
        <w:t xml:space="preserve">» </w:t>
      </w:r>
      <w:r>
        <w:rPr>
          <w:lang w:val="fr-FR"/>
        </w:rPr>
        <w:br/>
      </w:r>
      <w:r w:rsidRPr="007D6648">
        <w:rPr>
          <w:lang w:val="fr-FR"/>
        </w:rPr>
        <w:t>et «</w:t>
      </w:r>
      <w:r>
        <w:rPr>
          <w:lang w:val="fr-FR"/>
        </w:rPr>
        <w:t> </w:t>
      </w:r>
      <w:r w:rsidRPr="007D6648">
        <w:rPr>
          <w:lang w:val="fr-FR"/>
        </w:rPr>
        <w:t>conteneur fermé</w:t>
      </w:r>
      <w:r>
        <w:rPr>
          <w:lang w:val="fr-FR"/>
        </w:rPr>
        <w:t> </w:t>
      </w:r>
      <w:r w:rsidRPr="007D6648">
        <w:rPr>
          <w:lang w:val="fr-FR"/>
        </w:rPr>
        <w:t>»</w:t>
      </w:r>
    </w:p>
    <w:p w14:paraId="6CF2453F" w14:textId="77777777" w:rsidR="00721FEC" w:rsidRPr="007D6648" w:rsidRDefault="00721FEC" w:rsidP="00721FEC">
      <w:pPr>
        <w:pStyle w:val="SingleTxtG"/>
        <w:tabs>
          <w:tab w:val="left" w:pos="3119"/>
        </w:tabs>
        <w:jc w:val="left"/>
        <w:rPr>
          <w:lang w:val="fr-FR"/>
        </w:rPr>
      </w:pPr>
      <w:r w:rsidRPr="007D6648">
        <w:rPr>
          <w:i/>
          <w:iCs/>
          <w:lang w:val="fr-FR"/>
        </w:rPr>
        <w:t>Document </w:t>
      </w:r>
      <w:r w:rsidRPr="00FE7092">
        <w:rPr>
          <w:lang w:val="fr-FR"/>
        </w:rPr>
        <w:t>:</w:t>
      </w:r>
      <w:r w:rsidRPr="007D6648">
        <w:rPr>
          <w:lang w:val="fr-FR"/>
        </w:rPr>
        <w:tab/>
        <w:t>ECE/TRANS/WP.15/AC.1/2023/7 (IASA)</w:t>
      </w:r>
    </w:p>
    <w:p w14:paraId="25577D98" w14:textId="6D4DBA34" w:rsidR="00721FEC" w:rsidRPr="007D6648" w:rsidRDefault="00530C61" w:rsidP="00721FEC">
      <w:pPr>
        <w:pStyle w:val="SingleTxtG"/>
        <w:rPr>
          <w:lang w:val="fr-FR"/>
        </w:rPr>
      </w:pPr>
      <w:r>
        <w:rPr>
          <w:lang w:val="fr-FR"/>
        </w:rPr>
        <w:t>20</w:t>
      </w:r>
      <w:r w:rsidR="00721FEC" w:rsidRPr="007D6648">
        <w:rPr>
          <w:lang w:val="fr-FR"/>
        </w:rPr>
        <w:t>.</w:t>
      </w:r>
      <w:r w:rsidR="00721FEC" w:rsidRPr="007D6648">
        <w:rPr>
          <w:lang w:val="fr-FR"/>
        </w:rPr>
        <w:tab/>
        <w:t>Les délégations qui se sont exprimées ont fait valoir que l</w:t>
      </w:r>
      <w:r w:rsidR="00721FEC">
        <w:rPr>
          <w:lang w:val="fr-FR"/>
        </w:rPr>
        <w:t>’</w:t>
      </w:r>
      <w:r w:rsidR="00721FEC" w:rsidRPr="007D6648">
        <w:rPr>
          <w:lang w:val="fr-FR"/>
        </w:rPr>
        <w:t>application des nouvelles définitions proposées dans le document ECE/TRANS/WP.15/AC.1/2023/7 aurait des conséquences considérables dans la pratique car plusieurs types de wagons et de véhicules servant actuellement au transport de marchandises dangereuses ne pourraient plus être utilisés. Par conséquent, elles n</w:t>
      </w:r>
      <w:r w:rsidR="00721FEC">
        <w:rPr>
          <w:lang w:val="fr-FR"/>
        </w:rPr>
        <w:t>’</w:t>
      </w:r>
      <w:r w:rsidR="00721FEC" w:rsidRPr="007D6648">
        <w:rPr>
          <w:lang w:val="fr-FR"/>
        </w:rPr>
        <w:t>étaient pas favorables aux amendements proposés. Le</w:t>
      </w:r>
      <w:r w:rsidR="00721FEC">
        <w:rPr>
          <w:lang w:val="fr-FR"/>
        </w:rPr>
        <w:t> </w:t>
      </w:r>
      <w:r w:rsidR="00721FEC" w:rsidRPr="007D6648">
        <w:rPr>
          <w:lang w:val="fr-FR"/>
        </w:rPr>
        <w:t>représentant de l</w:t>
      </w:r>
      <w:r w:rsidR="00721FEC">
        <w:rPr>
          <w:lang w:val="fr-FR"/>
        </w:rPr>
        <w:t>’</w:t>
      </w:r>
      <w:r w:rsidR="00721FEC" w:rsidRPr="007D6648">
        <w:rPr>
          <w:lang w:val="fr-FR"/>
        </w:rPr>
        <w:t>IASA a retiré sa proposition.</w:t>
      </w:r>
    </w:p>
    <w:p w14:paraId="287A05DD" w14:textId="77777777" w:rsidR="00721FEC" w:rsidRPr="007D6648" w:rsidRDefault="00721FEC" w:rsidP="00721FEC">
      <w:pPr>
        <w:pStyle w:val="H23G"/>
        <w:spacing w:before="200"/>
        <w:rPr>
          <w:lang w:val="fr-FR"/>
        </w:rPr>
      </w:pPr>
      <w:r>
        <w:rPr>
          <w:lang w:val="fr-FR"/>
        </w:rPr>
        <w:tab/>
      </w:r>
      <w:r w:rsidRPr="007D6648">
        <w:rPr>
          <w:lang w:val="fr-FR"/>
        </w:rPr>
        <w:t>5.</w:t>
      </w:r>
      <w:r w:rsidRPr="007D6648">
        <w:rPr>
          <w:lang w:val="fr-FR"/>
        </w:rPr>
        <w:tab/>
        <w:t xml:space="preserve">Conseiller à la sécurité pour le transport de certains types de marchandises </w:t>
      </w:r>
      <w:r>
        <w:rPr>
          <w:lang w:val="fr-FR"/>
        </w:rPr>
        <w:br/>
      </w:r>
      <w:r w:rsidRPr="007D6648">
        <w:rPr>
          <w:lang w:val="fr-FR"/>
        </w:rPr>
        <w:t xml:space="preserve">dangereuses − </w:t>
      </w:r>
      <w:r>
        <w:rPr>
          <w:lang w:val="fr-FR"/>
        </w:rPr>
        <w:t>P</w:t>
      </w:r>
      <w:r w:rsidRPr="007D6648">
        <w:rPr>
          <w:lang w:val="fr-FR"/>
        </w:rPr>
        <w:t>aragraphe 1.8.3.13 du RID et de l</w:t>
      </w:r>
      <w:r>
        <w:rPr>
          <w:lang w:val="fr-FR"/>
        </w:rPr>
        <w:t>’</w:t>
      </w:r>
      <w:r w:rsidRPr="007D6648">
        <w:rPr>
          <w:lang w:val="fr-FR"/>
        </w:rPr>
        <w:t>ADR</w:t>
      </w:r>
    </w:p>
    <w:p w14:paraId="6C3FBA5C" w14:textId="77777777" w:rsidR="00721FEC" w:rsidRPr="007D6648" w:rsidRDefault="00721FEC" w:rsidP="00721FEC">
      <w:pPr>
        <w:pStyle w:val="SingleTxtG"/>
        <w:tabs>
          <w:tab w:val="left" w:pos="3119"/>
        </w:tabs>
        <w:jc w:val="left"/>
        <w:rPr>
          <w:lang w:val="fr-FR"/>
        </w:rPr>
      </w:pPr>
      <w:r w:rsidRPr="007D6648">
        <w:rPr>
          <w:i/>
          <w:iCs/>
          <w:lang w:val="fr-FR"/>
        </w:rPr>
        <w:t>Document </w:t>
      </w:r>
      <w:r w:rsidRPr="00FE7092">
        <w:rPr>
          <w:lang w:val="fr-FR"/>
        </w:rPr>
        <w:t>:</w:t>
      </w:r>
      <w:r w:rsidRPr="007D6648">
        <w:rPr>
          <w:lang w:val="fr-FR"/>
        </w:rPr>
        <w:tab/>
        <w:t>ECE/TRANS/WP.15/AC.1/2023/8 (IASA)</w:t>
      </w:r>
    </w:p>
    <w:p w14:paraId="63DD5BC6" w14:textId="7497483D" w:rsidR="00721FEC" w:rsidRPr="007D6648" w:rsidRDefault="00530C61" w:rsidP="00721FEC">
      <w:pPr>
        <w:pStyle w:val="SingleTxtG"/>
        <w:rPr>
          <w:lang w:val="fr-FR"/>
        </w:rPr>
      </w:pPr>
      <w:r>
        <w:rPr>
          <w:lang w:val="fr-FR"/>
        </w:rPr>
        <w:t>21</w:t>
      </w:r>
      <w:r w:rsidR="00721FEC" w:rsidRPr="007D6648">
        <w:rPr>
          <w:lang w:val="fr-FR"/>
        </w:rPr>
        <w:t>.</w:t>
      </w:r>
      <w:r w:rsidR="00721FEC" w:rsidRPr="007D6648">
        <w:rPr>
          <w:lang w:val="fr-FR"/>
        </w:rPr>
        <w:tab/>
        <w:t>La plupart des délégations qui ont pris la parole n</w:t>
      </w:r>
      <w:r w:rsidR="00721FEC">
        <w:rPr>
          <w:lang w:val="fr-FR"/>
        </w:rPr>
        <w:t>’</w:t>
      </w:r>
      <w:r w:rsidR="00721FEC" w:rsidRPr="007D6648">
        <w:rPr>
          <w:lang w:val="fr-FR"/>
        </w:rPr>
        <w:t>ont pas appuyé la proposition de modification du 1.8.3.13 du RID et de l</w:t>
      </w:r>
      <w:r w:rsidR="00721FEC">
        <w:rPr>
          <w:lang w:val="fr-FR"/>
        </w:rPr>
        <w:t>’</w:t>
      </w:r>
      <w:r w:rsidR="00721FEC" w:rsidRPr="007D6648">
        <w:rPr>
          <w:lang w:val="fr-FR"/>
        </w:rPr>
        <w:t xml:space="preserve">ADR. Il a été précisé que les dispositions actuelles étaient principalement liées à la spécificité des exigences de formation pour les conseillers à la sécurité et pour les conducteurs de véhicules-citernes transportant des </w:t>
      </w:r>
      <w:r w:rsidR="004A3499">
        <w:rPr>
          <w:lang w:val="fr-FR"/>
        </w:rPr>
        <w:t>carburants</w:t>
      </w:r>
      <w:r w:rsidR="00721FEC" w:rsidRPr="007D6648">
        <w:rPr>
          <w:lang w:val="fr-FR"/>
        </w:rPr>
        <w:t xml:space="preserve"> de la classe 3, et que l</w:t>
      </w:r>
      <w:r w:rsidR="00721FEC">
        <w:rPr>
          <w:lang w:val="fr-FR"/>
        </w:rPr>
        <w:t>’</w:t>
      </w:r>
      <w:r w:rsidR="00721FEC" w:rsidRPr="007D6648">
        <w:rPr>
          <w:lang w:val="fr-FR"/>
        </w:rPr>
        <w:t>amendement proposé élargirait le champ d</w:t>
      </w:r>
      <w:r w:rsidR="00721FEC">
        <w:rPr>
          <w:lang w:val="fr-FR"/>
        </w:rPr>
        <w:t>’</w:t>
      </w:r>
      <w:r w:rsidR="00721FEC" w:rsidRPr="007D6648">
        <w:rPr>
          <w:lang w:val="fr-FR"/>
        </w:rPr>
        <w:t xml:space="preserve">application de ces dispositions à de nombreuses autres </w:t>
      </w:r>
      <w:r w:rsidR="004A3499">
        <w:rPr>
          <w:lang w:val="fr-FR"/>
        </w:rPr>
        <w:t>matières</w:t>
      </w:r>
      <w:r w:rsidR="004A3499" w:rsidRPr="007D6648">
        <w:rPr>
          <w:lang w:val="fr-FR"/>
        </w:rPr>
        <w:t xml:space="preserve"> </w:t>
      </w:r>
      <w:r w:rsidR="00721FEC" w:rsidRPr="007D6648">
        <w:rPr>
          <w:lang w:val="fr-FR"/>
        </w:rPr>
        <w:t xml:space="preserve">relevant de la rubrique n.s.a. ONU 1268. </w:t>
      </w:r>
    </w:p>
    <w:p w14:paraId="3E169A9D" w14:textId="77777777" w:rsidR="00721FEC" w:rsidRPr="007D6648" w:rsidRDefault="00721FEC" w:rsidP="00721FEC">
      <w:pPr>
        <w:pStyle w:val="H1G"/>
        <w:spacing w:before="320" w:after="200"/>
        <w:rPr>
          <w:lang w:val="fr-FR"/>
        </w:rPr>
      </w:pPr>
      <w:r>
        <w:rPr>
          <w:lang w:val="fr-FR"/>
        </w:rPr>
        <w:tab/>
      </w:r>
      <w:r w:rsidRPr="007D6648">
        <w:rPr>
          <w:lang w:val="fr-FR"/>
        </w:rPr>
        <w:t>A.</w:t>
      </w:r>
      <w:r w:rsidRPr="007D6648">
        <w:rPr>
          <w:lang w:val="fr-FR"/>
        </w:rPr>
        <w:tab/>
        <w:t>Questions en suspens</w:t>
      </w:r>
    </w:p>
    <w:p w14:paraId="04365128" w14:textId="77777777" w:rsidR="00721FEC" w:rsidRPr="007D6648" w:rsidRDefault="00721FEC" w:rsidP="00721FEC">
      <w:pPr>
        <w:pStyle w:val="H23G"/>
        <w:spacing w:before="200"/>
        <w:rPr>
          <w:lang w:val="fr-FR"/>
        </w:rPr>
      </w:pPr>
      <w:r>
        <w:rPr>
          <w:lang w:val="fr-FR"/>
        </w:rPr>
        <w:tab/>
      </w:r>
      <w:r w:rsidRPr="007D6648">
        <w:rPr>
          <w:lang w:val="fr-FR"/>
        </w:rPr>
        <w:t>1.</w:t>
      </w:r>
      <w:r w:rsidRPr="007D6648">
        <w:rPr>
          <w:lang w:val="fr-FR"/>
        </w:rPr>
        <w:tab/>
        <w:t>Dispositions spéciales 532 et 543 dans le RID, l</w:t>
      </w:r>
      <w:r>
        <w:rPr>
          <w:lang w:val="fr-FR"/>
        </w:rPr>
        <w:t>’</w:t>
      </w:r>
      <w:r w:rsidRPr="007D6648">
        <w:rPr>
          <w:lang w:val="fr-FR"/>
        </w:rPr>
        <w:t>ADR et l</w:t>
      </w:r>
      <w:r>
        <w:rPr>
          <w:lang w:val="fr-FR"/>
        </w:rPr>
        <w:t>’</w:t>
      </w:r>
      <w:r w:rsidRPr="007D6648">
        <w:rPr>
          <w:lang w:val="fr-FR"/>
        </w:rPr>
        <w:t>ADN</w:t>
      </w:r>
    </w:p>
    <w:p w14:paraId="32D41006" w14:textId="77777777" w:rsidR="00721FEC" w:rsidRPr="007D6648" w:rsidRDefault="00721FEC" w:rsidP="00721FEC">
      <w:pPr>
        <w:pStyle w:val="SingleTxtG"/>
        <w:tabs>
          <w:tab w:val="left" w:pos="3119"/>
        </w:tabs>
        <w:jc w:val="left"/>
        <w:rPr>
          <w:lang w:val="fr-FR"/>
        </w:rPr>
      </w:pPr>
      <w:r w:rsidRPr="007D6648">
        <w:rPr>
          <w:i/>
          <w:iCs/>
          <w:lang w:val="fr-FR"/>
        </w:rPr>
        <w:t>Document </w:t>
      </w:r>
      <w:r w:rsidRPr="00FE7092">
        <w:rPr>
          <w:lang w:val="fr-FR"/>
        </w:rPr>
        <w:t>:</w:t>
      </w:r>
      <w:r w:rsidRPr="007D6648">
        <w:rPr>
          <w:lang w:val="fr-FR"/>
        </w:rPr>
        <w:tab/>
        <w:t>ECE/TRANS/WP.15/AC.1/2023/1 (secrétariat)</w:t>
      </w:r>
    </w:p>
    <w:p w14:paraId="0C777B44" w14:textId="4682EB64" w:rsidR="00721FEC" w:rsidRPr="007D6648" w:rsidRDefault="00BD1514" w:rsidP="00721FEC">
      <w:pPr>
        <w:pStyle w:val="SingleTxtG"/>
        <w:rPr>
          <w:lang w:val="fr-FR"/>
        </w:rPr>
      </w:pPr>
      <w:r>
        <w:rPr>
          <w:lang w:val="fr-FR"/>
        </w:rPr>
        <w:t>22</w:t>
      </w:r>
      <w:r w:rsidR="00721FEC" w:rsidRPr="007D6648">
        <w:rPr>
          <w:lang w:val="fr-FR"/>
        </w:rPr>
        <w:t>.</w:t>
      </w:r>
      <w:r w:rsidR="00721FEC" w:rsidRPr="007D6648">
        <w:rPr>
          <w:lang w:val="fr-FR"/>
        </w:rPr>
        <w:tab/>
        <w:t>Certaines délégations ont appuyé la proposition 1 visant à remplacer les deux dispositions spéciales existantes par une disposition spéciale unique regroupant toutes les notes explicatives, tandis que d</w:t>
      </w:r>
      <w:r w:rsidR="00721FEC">
        <w:rPr>
          <w:lang w:val="fr-FR"/>
        </w:rPr>
        <w:t>’</w:t>
      </w:r>
      <w:r w:rsidR="00721FEC" w:rsidRPr="007D6648">
        <w:rPr>
          <w:lang w:val="fr-FR"/>
        </w:rPr>
        <w:t>autres étaient plutôt favorables à la proposition 2 visant à supprimer purement et simplement les deux dispositions spéciales. La Réunion commune a adopté à la majorité les modifications correspondant à la proposition 2, afin d</w:t>
      </w:r>
      <w:r w:rsidR="00721FEC">
        <w:rPr>
          <w:lang w:val="fr-FR"/>
        </w:rPr>
        <w:t>’</w:t>
      </w:r>
      <w:r w:rsidR="00721FEC" w:rsidRPr="007D6648">
        <w:rPr>
          <w:lang w:val="fr-FR"/>
        </w:rPr>
        <w:t>aligner le RID, l</w:t>
      </w:r>
      <w:r w:rsidR="00721FEC">
        <w:rPr>
          <w:lang w:val="fr-FR"/>
        </w:rPr>
        <w:t>’</w:t>
      </w:r>
      <w:r w:rsidR="00721FEC" w:rsidRPr="007D6648">
        <w:rPr>
          <w:lang w:val="fr-FR"/>
        </w:rPr>
        <w:t>ADR et l</w:t>
      </w:r>
      <w:r w:rsidR="00721FEC">
        <w:rPr>
          <w:lang w:val="fr-FR"/>
        </w:rPr>
        <w:t>’</w:t>
      </w:r>
      <w:r w:rsidR="00721FEC" w:rsidRPr="007D6648">
        <w:rPr>
          <w:lang w:val="fr-FR"/>
        </w:rPr>
        <w:t>ADN sur le Règlement type de l</w:t>
      </w:r>
      <w:r w:rsidR="00721FEC">
        <w:rPr>
          <w:lang w:val="fr-FR"/>
        </w:rPr>
        <w:t>’</w:t>
      </w:r>
      <w:r w:rsidR="00721FEC" w:rsidRPr="007D6648">
        <w:rPr>
          <w:lang w:val="fr-FR"/>
        </w:rPr>
        <w:t>ONU (voir annexe</w:t>
      </w:r>
      <w:r w:rsidR="00C22458">
        <w:rPr>
          <w:lang w:val="fr-FR"/>
        </w:rPr>
        <w:t xml:space="preserve"> II</w:t>
      </w:r>
      <w:r w:rsidR="00721FEC" w:rsidRPr="007D6648">
        <w:rPr>
          <w:lang w:val="fr-FR"/>
        </w:rPr>
        <w:t>). Le secrétariat a été prié d</w:t>
      </w:r>
      <w:r w:rsidR="00721FEC">
        <w:rPr>
          <w:lang w:val="fr-FR"/>
        </w:rPr>
        <w:t>’</w:t>
      </w:r>
      <w:r w:rsidR="00721FEC" w:rsidRPr="007D6648">
        <w:rPr>
          <w:lang w:val="fr-FR"/>
        </w:rPr>
        <w:t>analyser d</w:t>
      </w:r>
      <w:r w:rsidR="00721FEC">
        <w:rPr>
          <w:lang w:val="fr-FR"/>
        </w:rPr>
        <w:t>’</w:t>
      </w:r>
      <w:r w:rsidR="00721FEC" w:rsidRPr="007D6648">
        <w:rPr>
          <w:lang w:val="fr-FR"/>
        </w:rPr>
        <w:t>autres dispositions spéciales similaires résultant de la réorganisation des marginaux du RID et de l</w:t>
      </w:r>
      <w:r w:rsidR="00721FEC">
        <w:rPr>
          <w:lang w:val="fr-FR"/>
        </w:rPr>
        <w:t>’</w:t>
      </w:r>
      <w:r w:rsidR="00721FEC" w:rsidRPr="007D6648">
        <w:rPr>
          <w:lang w:val="fr-FR"/>
        </w:rPr>
        <w:t>ADR et de soumettre une proposition s</w:t>
      </w:r>
      <w:r w:rsidR="00721FEC">
        <w:rPr>
          <w:lang w:val="fr-FR"/>
        </w:rPr>
        <w:t>’</w:t>
      </w:r>
      <w:r w:rsidR="00721FEC" w:rsidRPr="007D6648">
        <w:rPr>
          <w:lang w:val="fr-FR"/>
        </w:rPr>
        <w:t>il le jugeait utile.</w:t>
      </w:r>
    </w:p>
    <w:p w14:paraId="5EC0A54F" w14:textId="77777777" w:rsidR="00721FEC" w:rsidRPr="007D6648" w:rsidRDefault="00721FEC" w:rsidP="00A94228">
      <w:pPr>
        <w:pStyle w:val="H23G"/>
        <w:spacing w:before="200"/>
        <w:rPr>
          <w:lang w:val="fr-FR"/>
        </w:rPr>
      </w:pPr>
      <w:r>
        <w:rPr>
          <w:lang w:val="fr-FR"/>
        </w:rPr>
        <w:lastRenderedPageBreak/>
        <w:tab/>
      </w:r>
      <w:r w:rsidRPr="007D6648">
        <w:rPr>
          <w:lang w:val="fr-FR"/>
        </w:rPr>
        <w:t>2.</w:t>
      </w:r>
      <w:r w:rsidRPr="007D6648">
        <w:rPr>
          <w:lang w:val="fr-FR"/>
        </w:rPr>
        <w:tab/>
        <w:t>Amendements de conséquence à l</w:t>
      </w:r>
      <w:r>
        <w:rPr>
          <w:lang w:val="fr-FR"/>
        </w:rPr>
        <w:t>’</w:t>
      </w:r>
      <w:r w:rsidRPr="007D6648">
        <w:rPr>
          <w:lang w:val="fr-FR"/>
        </w:rPr>
        <w:t xml:space="preserve">introduction des </w:t>
      </w:r>
      <w:r>
        <w:rPr>
          <w:lang w:val="fr-FR"/>
        </w:rPr>
        <w:t>« </w:t>
      </w:r>
      <w:r w:rsidRPr="007D6648">
        <w:rPr>
          <w:lang w:val="fr-FR"/>
        </w:rPr>
        <w:t>cartouches à gaz mises au rebut</w:t>
      </w:r>
      <w:r>
        <w:rPr>
          <w:lang w:val="fr-FR"/>
        </w:rPr>
        <w:t> »</w:t>
      </w:r>
      <w:r w:rsidRPr="007D6648">
        <w:rPr>
          <w:lang w:val="fr-FR"/>
        </w:rPr>
        <w:t xml:space="preserve"> </w:t>
      </w:r>
      <w:r>
        <w:rPr>
          <w:lang w:val="fr-FR"/>
        </w:rPr>
        <w:br/>
      </w:r>
      <w:r w:rsidRPr="007D6648">
        <w:rPr>
          <w:lang w:val="fr-FR"/>
        </w:rPr>
        <w:t>dans la disposition spéciale 327 dans le cadre de la révision de 2021</w:t>
      </w:r>
    </w:p>
    <w:p w14:paraId="1F92BE17" w14:textId="77777777" w:rsidR="00721FEC" w:rsidRPr="007D6648" w:rsidRDefault="00721FEC" w:rsidP="00BA174B">
      <w:pPr>
        <w:pStyle w:val="SingleTxtG"/>
        <w:keepNext/>
        <w:keepLines/>
        <w:tabs>
          <w:tab w:val="left" w:pos="3119"/>
        </w:tabs>
        <w:jc w:val="left"/>
        <w:rPr>
          <w:lang w:val="fr-FR"/>
        </w:rPr>
      </w:pPr>
      <w:r w:rsidRPr="007D6648">
        <w:rPr>
          <w:i/>
          <w:iCs/>
          <w:lang w:val="fr-FR"/>
        </w:rPr>
        <w:t xml:space="preserve">Document informel </w:t>
      </w:r>
      <w:r w:rsidRPr="00FE7092">
        <w:rPr>
          <w:lang w:val="fr-FR"/>
        </w:rPr>
        <w:t>:</w:t>
      </w:r>
      <w:r w:rsidRPr="007D6648">
        <w:rPr>
          <w:lang w:val="fr-FR"/>
        </w:rPr>
        <w:tab/>
        <w:t>INF.10 (Allemagne)</w:t>
      </w:r>
    </w:p>
    <w:p w14:paraId="5B932B88" w14:textId="7170EAF1" w:rsidR="00721FEC" w:rsidRPr="007D6648" w:rsidRDefault="00C22458" w:rsidP="00BA174B">
      <w:pPr>
        <w:pStyle w:val="SingleTxtG"/>
        <w:keepNext/>
        <w:keepLines/>
        <w:rPr>
          <w:lang w:val="fr-FR"/>
        </w:rPr>
      </w:pPr>
      <w:r>
        <w:rPr>
          <w:lang w:val="fr-FR"/>
        </w:rPr>
        <w:t>23</w:t>
      </w:r>
      <w:r w:rsidR="00721FEC" w:rsidRPr="007D6648">
        <w:rPr>
          <w:lang w:val="fr-FR"/>
        </w:rPr>
        <w:t>.</w:t>
      </w:r>
      <w:r w:rsidR="00721FEC" w:rsidRPr="007D6648">
        <w:rPr>
          <w:lang w:val="fr-FR"/>
        </w:rPr>
        <w:tab/>
        <w:t>La Réunion commune a adopté les amendements de conséquence proposés par l</w:t>
      </w:r>
      <w:r w:rsidR="00721FEC">
        <w:rPr>
          <w:lang w:val="fr-FR"/>
        </w:rPr>
        <w:t>’</w:t>
      </w:r>
      <w:r w:rsidR="00721FEC" w:rsidRPr="007D6648">
        <w:rPr>
          <w:lang w:val="fr-FR"/>
        </w:rPr>
        <w:t xml:space="preserve">Allemagne (voir annexe </w:t>
      </w:r>
      <w:r w:rsidR="00EA3535">
        <w:rPr>
          <w:lang w:val="fr-FR"/>
        </w:rPr>
        <w:t>II</w:t>
      </w:r>
      <w:r w:rsidR="00721FEC" w:rsidRPr="007D6648">
        <w:rPr>
          <w:lang w:val="fr-FR"/>
        </w:rPr>
        <w:t>).</w:t>
      </w:r>
    </w:p>
    <w:p w14:paraId="37F9DC92" w14:textId="77777777" w:rsidR="00721FEC" w:rsidRPr="007D6648" w:rsidRDefault="00721FEC" w:rsidP="00721FEC">
      <w:pPr>
        <w:pStyle w:val="H23G"/>
        <w:spacing w:before="200"/>
        <w:rPr>
          <w:lang w:val="fr-FR"/>
        </w:rPr>
      </w:pPr>
      <w:r>
        <w:rPr>
          <w:lang w:val="fr-FR"/>
        </w:rPr>
        <w:tab/>
      </w:r>
      <w:r w:rsidRPr="007D6648">
        <w:rPr>
          <w:lang w:val="fr-FR"/>
        </w:rPr>
        <w:t>3.</w:t>
      </w:r>
      <w:r w:rsidRPr="007D6648">
        <w:rPr>
          <w:lang w:val="fr-FR"/>
        </w:rPr>
        <w:tab/>
      </w:r>
      <w:r w:rsidRPr="00486D15">
        <w:rPr>
          <w:spacing w:val="-2"/>
          <w:lang w:val="fr-FR"/>
        </w:rPr>
        <w:t xml:space="preserve">Amendement au document ECE/TRANS/WP.15/AC.1/2022/8 relatif au nota concernant </w:t>
      </w:r>
      <w:r>
        <w:rPr>
          <w:spacing w:val="-2"/>
          <w:lang w:val="fr-FR"/>
        </w:rPr>
        <w:br/>
      </w:r>
      <w:r w:rsidRPr="00486D15">
        <w:rPr>
          <w:spacing w:val="-2"/>
          <w:lang w:val="fr-FR"/>
        </w:rPr>
        <w:t>la norme EN ISO 18119:2018 au 6.2.3.5.1 et au 6.2.4.2 du RID et de l’ADR</w:t>
      </w:r>
    </w:p>
    <w:p w14:paraId="078F908E" w14:textId="77777777" w:rsidR="00721FEC" w:rsidRPr="007D6648" w:rsidRDefault="00721FEC" w:rsidP="00721FEC">
      <w:pPr>
        <w:pStyle w:val="SingleTxtG"/>
        <w:tabs>
          <w:tab w:val="left" w:pos="3119"/>
        </w:tabs>
        <w:jc w:val="left"/>
        <w:rPr>
          <w:lang w:val="fr-FR"/>
        </w:rPr>
      </w:pPr>
      <w:r w:rsidRPr="007D6648">
        <w:rPr>
          <w:i/>
          <w:iCs/>
          <w:lang w:val="fr-FR"/>
        </w:rPr>
        <w:t xml:space="preserve">Document informel </w:t>
      </w:r>
      <w:r w:rsidRPr="00FE7092">
        <w:rPr>
          <w:lang w:val="fr-FR"/>
        </w:rPr>
        <w:t>:</w:t>
      </w:r>
      <w:r w:rsidRPr="007D6648">
        <w:rPr>
          <w:lang w:val="fr-FR"/>
        </w:rPr>
        <w:tab/>
        <w:t>INF.32 (EIGA)</w:t>
      </w:r>
    </w:p>
    <w:p w14:paraId="29A93DF3" w14:textId="132EAFC0" w:rsidR="00721FEC" w:rsidRDefault="004518E9" w:rsidP="00721FEC">
      <w:pPr>
        <w:pStyle w:val="SingleTxtG"/>
        <w:rPr>
          <w:lang w:val="fr-FR"/>
        </w:rPr>
      </w:pPr>
      <w:r>
        <w:rPr>
          <w:lang w:val="fr-FR"/>
        </w:rPr>
        <w:t>24</w:t>
      </w:r>
      <w:r w:rsidR="00721FEC" w:rsidRPr="007D6648">
        <w:rPr>
          <w:lang w:val="fr-FR"/>
        </w:rPr>
        <w:t>.</w:t>
      </w:r>
      <w:r w:rsidR="00721FEC" w:rsidRPr="007D6648">
        <w:rPr>
          <w:lang w:val="fr-FR"/>
        </w:rPr>
        <w:tab/>
        <w:t>La Réunion commune a pris note des commentaires formulés concernant les modalités d</w:t>
      </w:r>
      <w:r w:rsidR="00721FEC">
        <w:rPr>
          <w:lang w:val="fr-FR"/>
        </w:rPr>
        <w:t>’</w:t>
      </w:r>
      <w:r w:rsidR="00721FEC" w:rsidRPr="007D6648">
        <w:rPr>
          <w:lang w:val="fr-FR"/>
        </w:rPr>
        <w:t>application de la tolérance absolue de 0,1 mm pour la valeur mesurée</w:t>
      </w:r>
      <w:r w:rsidR="000755C0">
        <w:rPr>
          <w:lang w:val="fr-FR"/>
        </w:rPr>
        <w:t xml:space="preserve"> </w:t>
      </w:r>
      <w:r w:rsidR="007E2F87">
        <w:rPr>
          <w:lang w:val="fr-FR"/>
        </w:rPr>
        <w:t xml:space="preserve">de </w:t>
      </w:r>
      <w:r w:rsidR="00C66BA5">
        <w:rPr>
          <w:lang w:val="fr-FR"/>
        </w:rPr>
        <w:t>l’épaisseur</w:t>
      </w:r>
      <w:r w:rsidR="007E2F87">
        <w:rPr>
          <w:lang w:val="fr-FR"/>
        </w:rPr>
        <w:t xml:space="preserve"> de</w:t>
      </w:r>
      <w:r w:rsidR="007E25A9" w:rsidRPr="007E25A9">
        <w:rPr>
          <w:lang w:val="fr-FR"/>
        </w:rPr>
        <w:t xml:space="preserve"> la paroi de la bouteille pendant l’inspection périodique</w:t>
      </w:r>
      <w:r w:rsidR="00721FEC" w:rsidRPr="007D6648">
        <w:rPr>
          <w:lang w:val="fr-FR"/>
        </w:rPr>
        <w:t>. Elle a convenu qu</w:t>
      </w:r>
      <w:r w:rsidR="00721FEC">
        <w:rPr>
          <w:lang w:val="fr-FR"/>
        </w:rPr>
        <w:t>’</w:t>
      </w:r>
      <w:r w:rsidR="00721FEC" w:rsidRPr="007D6648">
        <w:rPr>
          <w:lang w:val="fr-FR"/>
        </w:rPr>
        <w:t>une clarification s</w:t>
      </w:r>
      <w:r w:rsidR="00721FEC">
        <w:rPr>
          <w:lang w:val="fr-FR"/>
        </w:rPr>
        <w:t>’</w:t>
      </w:r>
      <w:r w:rsidR="00721FEC" w:rsidRPr="007D6648">
        <w:rPr>
          <w:lang w:val="fr-FR"/>
        </w:rPr>
        <w:t>imposait et a invité toutes les délégations intéressées à contacter le représentant de l</w:t>
      </w:r>
      <w:r w:rsidR="00721FEC">
        <w:rPr>
          <w:lang w:val="fr-FR"/>
        </w:rPr>
        <w:t>’</w:t>
      </w:r>
      <w:r w:rsidR="00721FEC" w:rsidRPr="007D6648">
        <w:rPr>
          <w:lang w:val="fr-FR"/>
        </w:rPr>
        <w:t>EIGA (</w:t>
      </w:r>
      <w:r w:rsidR="00313828">
        <w:t>j</w:t>
      </w:r>
      <w:r w:rsidR="00313828" w:rsidRPr="00D83D87">
        <w:t>.strybol@eiga.eu</w:t>
      </w:r>
      <w:r w:rsidR="00721FEC" w:rsidRPr="007D6648">
        <w:rPr>
          <w:lang w:val="fr-FR"/>
        </w:rPr>
        <w:t>). Le représentant de l</w:t>
      </w:r>
      <w:r w:rsidR="00721FEC">
        <w:rPr>
          <w:lang w:val="fr-FR"/>
        </w:rPr>
        <w:t>’</w:t>
      </w:r>
      <w:r w:rsidR="00721FEC" w:rsidRPr="007D6648">
        <w:rPr>
          <w:lang w:val="fr-FR"/>
        </w:rPr>
        <w:t>EIGA s</w:t>
      </w:r>
      <w:r w:rsidR="00721FEC">
        <w:rPr>
          <w:lang w:val="fr-FR"/>
        </w:rPr>
        <w:t>’</w:t>
      </w:r>
      <w:r w:rsidR="00721FEC" w:rsidRPr="007D6648">
        <w:rPr>
          <w:lang w:val="fr-FR"/>
        </w:rPr>
        <w:t>est porté volontaire pour organiser une réunion virtuelle et établir un document officiel pour la prochaine session, en tenant compte des commentaires reçus et des résultats des discussions informelles.</w:t>
      </w:r>
    </w:p>
    <w:p w14:paraId="700A747E" w14:textId="77777777" w:rsidR="00A306FD" w:rsidRPr="00EE5E70" w:rsidRDefault="00A306FD" w:rsidP="00A306FD">
      <w:pPr>
        <w:pStyle w:val="H23G"/>
      </w:pPr>
      <w:r>
        <w:rPr>
          <w:lang w:val="fr-FR"/>
        </w:rPr>
        <w:tab/>
        <w:t>4.</w:t>
      </w:r>
      <w:r>
        <w:rPr>
          <w:lang w:val="fr-FR"/>
        </w:rPr>
        <w:tab/>
        <w:t xml:space="preserve">Livraison directe de marchandises dangereuses aux consommateurs </w:t>
      </w:r>
      <w:r>
        <w:rPr>
          <w:lang w:val="fr-FR"/>
        </w:rPr>
        <w:br/>
        <w:t>finaux (suremballages)</w:t>
      </w:r>
    </w:p>
    <w:p w14:paraId="5C240872" w14:textId="77777777" w:rsidR="00A306FD" w:rsidRPr="00EE5E70" w:rsidRDefault="00A306FD" w:rsidP="00A306FD">
      <w:pPr>
        <w:pStyle w:val="SingleTxtG"/>
        <w:keepNext/>
        <w:keepLines/>
        <w:tabs>
          <w:tab w:val="left" w:pos="3119"/>
        </w:tabs>
        <w:spacing w:after="240"/>
        <w:jc w:val="left"/>
      </w:pPr>
      <w:r>
        <w:rPr>
          <w:i/>
          <w:iCs/>
          <w:lang w:val="fr-FR"/>
        </w:rPr>
        <w:t xml:space="preserve">Document informel </w:t>
      </w:r>
      <w:r w:rsidRPr="00711991">
        <w:rPr>
          <w:lang w:val="fr-FR"/>
        </w:rPr>
        <w:t>:</w:t>
      </w:r>
      <w:r>
        <w:rPr>
          <w:lang w:val="fr-FR"/>
        </w:rPr>
        <w:tab/>
        <w:t>INF.22 (COSTHA)</w:t>
      </w:r>
    </w:p>
    <w:p w14:paraId="6D64F539" w14:textId="01192003" w:rsidR="00A306FD" w:rsidRPr="00EE5E70" w:rsidRDefault="00713598" w:rsidP="00A306FD">
      <w:pPr>
        <w:pStyle w:val="SingleTxtG"/>
      </w:pPr>
      <w:r>
        <w:rPr>
          <w:lang w:val="fr-FR"/>
        </w:rPr>
        <w:t>25</w:t>
      </w:r>
      <w:r w:rsidR="00A306FD">
        <w:rPr>
          <w:lang w:val="fr-FR"/>
        </w:rPr>
        <w:t>.</w:t>
      </w:r>
      <w:r w:rsidR="00A306FD">
        <w:rPr>
          <w:lang w:val="fr-FR"/>
        </w:rPr>
        <w:tab/>
        <w:t>La Réunion commune a noté que le terme « suremballage » n’était pas défini dans le RID, l’ADR et l’ADN comme il l’était dans le Règlement type de l’ONU. Dans le document informel INF.22, le COSTHA propose une solution qui consisterait à aligner le RID, l’ADR et l’ADN sur le Règlement type et à définir un nouveau terme tel que « conteneur de groupage » désignant les unités qui regroupent certains colis pendant le transport de marchandises dangereuses. Plusieurs délégations ayant exprimé des préoccupations à ce sujet, la Réunion commune a estimé qu’il fallait analyser et justifier plus avant la nécessité d’introduire ce nouveau terme et préciser les responsabilités correspondantes en matière de marquage, d’étiquetage et de documentation pendant le transport. Elle a décidé de reprendre l’examen de cette question à la session suivante, sur la base d’un document officiel détaillé qui serait établi par le COSTHA.</w:t>
      </w:r>
    </w:p>
    <w:p w14:paraId="5520768E" w14:textId="77777777" w:rsidR="00A306FD" w:rsidRPr="00EE5E70" w:rsidRDefault="00A306FD" w:rsidP="00A306FD">
      <w:pPr>
        <w:pStyle w:val="H23G"/>
      </w:pPr>
      <w:r>
        <w:rPr>
          <w:lang w:val="fr-FR"/>
        </w:rPr>
        <w:tab/>
        <w:t>5.</w:t>
      </w:r>
      <w:r>
        <w:rPr>
          <w:lang w:val="fr-FR"/>
        </w:rPr>
        <w:tab/>
        <w:t>Définition révisée du terme « gaz de pétrole liquéfié »</w:t>
      </w:r>
    </w:p>
    <w:p w14:paraId="59710053" w14:textId="77777777" w:rsidR="00A306FD" w:rsidRPr="00EE5E70" w:rsidRDefault="00A306FD" w:rsidP="00A306FD">
      <w:pPr>
        <w:pStyle w:val="SingleTxtG"/>
        <w:keepNext/>
        <w:keepLines/>
        <w:tabs>
          <w:tab w:val="left" w:pos="3119"/>
        </w:tabs>
        <w:spacing w:after="240"/>
        <w:jc w:val="left"/>
      </w:pPr>
      <w:r>
        <w:rPr>
          <w:i/>
          <w:iCs/>
          <w:lang w:val="fr-FR"/>
        </w:rPr>
        <w:t xml:space="preserve">Document informel </w:t>
      </w:r>
      <w:r w:rsidRPr="00711991">
        <w:rPr>
          <w:lang w:val="fr-FR"/>
        </w:rPr>
        <w:t>:</w:t>
      </w:r>
      <w:r>
        <w:rPr>
          <w:lang w:val="fr-FR"/>
        </w:rPr>
        <w:tab/>
        <w:t>INF.35 (Liquid Gas Europe)</w:t>
      </w:r>
    </w:p>
    <w:p w14:paraId="5F2648B7" w14:textId="1FB889BB" w:rsidR="00A306FD" w:rsidRDefault="00713598" w:rsidP="00A306FD">
      <w:pPr>
        <w:pStyle w:val="SingleTxtG"/>
        <w:rPr>
          <w:lang w:val="fr-FR"/>
        </w:rPr>
      </w:pPr>
      <w:r>
        <w:rPr>
          <w:lang w:val="fr-FR"/>
        </w:rPr>
        <w:t>26</w:t>
      </w:r>
      <w:r w:rsidR="00A306FD">
        <w:rPr>
          <w:lang w:val="fr-FR"/>
        </w:rPr>
        <w:t>.</w:t>
      </w:r>
      <w:r w:rsidR="00A306FD">
        <w:rPr>
          <w:lang w:val="fr-FR"/>
        </w:rPr>
        <w:tab/>
        <w:t xml:space="preserve">La Réunion commune a accueilli favorablement les informations sur l’état d’avancement de la révision de la définition actuelle du terme « gaz de pétrole liquéfié » (GPL). Le représentant des États-Unis d’Amérique a exprimé le soutien de son pays aux travaux menés par Liquid Gas Europe et a souligné que ceux-ci pouvaient contribuer à l’utilisation durable des ressources naturelles au titre du Programme 2030. Par la voix de son représentant, Liquid Gas Europe a annoncé </w:t>
      </w:r>
      <w:r w:rsidR="007016E5">
        <w:rPr>
          <w:lang w:val="fr-FR"/>
        </w:rPr>
        <w:t>son intention d’</w:t>
      </w:r>
      <w:r w:rsidR="00A306FD">
        <w:rPr>
          <w:lang w:val="fr-FR"/>
        </w:rPr>
        <w:t xml:space="preserve">établir, pour la prochaine session, un document officiel </w:t>
      </w:r>
      <w:r w:rsidR="00DA1632" w:rsidRPr="00DA1632">
        <w:rPr>
          <w:lang w:val="fr-FR"/>
        </w:rPr>
        <w:t>sur les résultats des essais et des enquêtes</w:t>
      </w:r>
      <w:r w:rsidR="00886753">
        <w:rPr>
          <w:lang w:val="fr-FR"/>
        </w:rPr>
        <w:t xml:space="preserve"> qu’ils m</w:t>
      </w:r>
      <w:r w:rsidR="00150B57">
        <w:rPr>
          <w:lang w:val="fr-FR"/>
        </w:rPr>
        <w:t>è</w:t>
      </w:r>
      <w:r w:rsidR="00886753">
        <w:rPr>
          <w:lang w:val="fr-FR"/>
        </w:rPr>
        <w:t>nent</w:t>
      </w:r>
      <w:r w:rsidR="00A306FD">
        <w:rPr>
          <w:lang w:val="fr-FR"/>
        </w:rPr>
        <w:t>.</w:t>
      </w:r>
    </w:p>
    <w:p w14:paraId="501B7B9E" w14:textId="77777777" w:rsidR="00073263" w:rsidRPr="009C704A" w:rsidRDefault="00073263" w:rsidP="00073263">
      <w:pPr>
        <w:pStyle w:val="H23G"/>
        <w:rPr>
          <w:lang w:val="fr-FR"/>
        </w:rPr>
      </w:pPr>
      <w:r w:rsidRPr="009C704A">
        <w:rPr>
          <w:lang w:val="fr-FR"/>
        </w:rPr>
        <w:tab/>
        <w:t>6.</w:t>
      </w:r>
      <w:r w:rsidRPr="009C704A">
        <w:rPr>
          <w:lang w:val="fr-FR"/>
        </w:rPr>
        <w:tab/>
        <w:t>Services en ligne de livraison de produits de consommation courante</w:t>
      </w:r>
    </w:p>
    <w:p w14:paraId="49622BAC" w14:textId="77777777" w:rsidR="00073263" w:rsidRPr="009C704A" w:rsidRDefault="00073263" w:rsidP="00073263">
      <w:pPr>
        <w:pStyle w:val="SingleTxtG"/>
        <w:keepNext/>
        <w:tabs>
          <w:tab w:val="left" w:pos="3402"/>
        </w:tabs>
        <w:ind w:left="3402" w:hanging="2268"/>
        <w:jc w:val="left"/>
        <w:rPr>
          <w:lang w:val="fr-FR"/>
        </w:rPr>
      </w:pPr>
      <w:r w:rsidRPr="009C704A">
        <w:rPr>
          <w:i/>
          <w:iCs/>
          <w:lang w:val="fr-FR"/>
        </w:rPr>
        <w:t>Document</w:t>
      </w:r>
      <w:r w:rsidRPr="000137D7">
        <w:rPr>
          <w:lang w:val="fr-FR"/>
        </w:rPr>
        <w:t> :</w:t>
      </w:r>
      <w:r w:rsidRPr="009C704A">
        <w:rPr>
          <w:lang w:val="fr-FR"/>
        </w:rPr>
        <w:tab/>
        <w:t>ECE/TRANS/WP.15/AC.1/2023/22 (COSTHA)</w:t>
      </w:r>
    </w:p>
    <w:p w14:paraId="56324611" w14:textId="77777777" w:rsidR="00073263" w:rsidRPr="009C704A" w:rsidRDefault="00073263" w:rsidP="00073263">
      <w:pPr>
        <w:pStyle w:val="SingleTxtG"/>
        <w:keepNext/>
        <w:tabs>
          <w:tab w:val="left" w:pos="3402"/>
        </w:tabs>
        <w:ind w:left="3402" w:hanging="2268"/>
        <w:jc w:val="left"/>
        <w:rPr>
          <w:lang w:val="fr-FR"/>
        </w:rPr>
      </w:pPr>
      <w:r w:rsidRPr="009C704A">
        <w:rPr>
          <w:i/>
          <w:iCs/>
          <w:lang w:val="fr-FR"/>
        </w:rPr>
        <w:t>Documents informels</w:t>
      </w:r>
      <w:r w:rsidRPr="000137D7">
        <w:rPr>
          <w:lang w:val="fr-FR"/>
        </w:rPr>
        <w:t> :</w:t>
      </w:r>
      <w:r w:rsidRPr="009C704A">
        <w:rPr>
          <w:lang w:val="fr-FR"/>
        </w:rPr>
        <w:tab/>
        <w:t>INF.20 (France)</w:t>
      </w:r>
      <w:r>
        <w:rPr>
          <w:lang w:val="fr-FR"/>
        </w:rPr>
        <w:br/>
      </w:r>
      <w:r w:rsidRPr="009C704A">
        <w:rPr>
          <w:lang w:val="fr-FR"/>
        </w:rPr>
        <w:t>INF.31 (FEA)</w:t>
      </w:r>
    </w:p>
    <w:p w14:paraId="61B6D92F" w14:textId="058885AE" w:rsidR="00073263" w:rsidRPr="009C704A" w:rsidRDefault="00426545" w:rsidP="00073263">
      <w:pPr>
        <w:pStyle w:val="SingleTxtG"/>
        <w:rPr>
          <w:lang w:val="fr-FR"/>
        </w:rPr>
      </w:pPr>
      <w:r>
        <w:rPr>
          <w:lang w:val="fr-FR"/>
        </w:rPr>
        <w:t>27</w:t>
      </w:r>
      <w:r w:rsidR="00073263" w:rsidRPr="009C704A">
        <w:rPr>
          <w:lang w:val="fr-FR"/>
        </w:rPr>
        <w:t>.</w:t>
      </w:r>
      <w:r w:rsidR="00073263" w:rsidRPr="009C704A">
        <w:rPr>
          <w:lang w:val="fr-FR"/>
        </w:rPr>
        <w:tab/>
        <w:t xml:space="preserve">Dans le document ECE/TRANS/WP.15/AC.1/2023/22, le représentant du COSTHA a proposé que l’ADR et l’ADN prévoient une exemption pour le transport, par le détaillant, de marchandises dangereuses dans leur emballage de vente au détail dans certaines conditions semblables à la vente au détail traditionnelle. Le représentant de la France a suggéré quelques modifications supplémentaires, répertoriées dans le document informel INF.20, qui ont été approuvées par certaines délégations. Le représentant de la FEA a présenté d’autres concepts de livraison de petits colis ou articles, décrits dans le document informel INF.31, et a suggéré </w:t>
      </w:r>
      <w:r w:rsidR="00073263" w:rsidRPr="009C704A">
        <w:rPr>
          <w:lang w:val="fr-FR"/>
        </w:rPr>
        <w:lastRenderedPageBreak/>
        <w:t>d’apporter plusieurs autres modifications destinées à tenir également compte de ces livraisons dans le cadre des livraisons du dernier kilomètre.</w:t>
      </w:r>
    </w:p>
    <w:p w14:paraId="3EB6C634" w14:textId="617D2745" w:rsidR="00073263" w:rsidRPr="009C704A" w:rsidRDefault="00A81D8B" w:rsidP="00073263">
      <w:pPr>
        <w:pStyle w:val="SingleTxtG"/>
        <w:rPr>
          <w:rFonts w:ascii="TimesNewRomanPSMT" w:hAnsi="TimesNewRomanPSMT" w:cs="TimesNewRomanPSMT"/>
          <w:lang w:val="fr-FR"/>
        </w:rPr>
      </w:pPr>
      <w:r>
        <w:rPr>
          <w:lang w:val="fr-FR"/>
        </w:rPr>
        <w:t>28</w:t>
      </w:r>
      <w:r w:rsidR="00073263" w:rsidRPr="009C704A">
        <w:rPr>
          <w:lang w:val="fr-FR"/>
        </w:rPr>
        <w:t>.</w:t>
      </w:r>
      <w:r w:rsidR="00073263" w:rsidRPr="009C704A">
        <w:rPr>
          <w:lang w:val="fr-FR"/>
        </w:rPr>
        <w:tab/>
        <w:t>Plusieurs délégations ayant exprimé des préoccupations à ce sujet, la Réunion commune a estimé qu’il fallait poursuivre les débats au cours d’une réunion informelle qui se tiendrait à l’heure du déjeuner. À l’issue de cette réunion, il a été relevé que les exemptions prévues au 1.1.3.6 concernant les quantités transportées par unité de transport devaient être revues à la lumière des problèmes pratiques, en particulier ceux liés à l’emballage, à l’étiquetage, au marquage et aux documents de transport.</w:t>
      </w:r>
      <w:r w:rsidR="00D97C42">
        <w:rPr>
          <w:lang w:val="fr-FR"/>
        </w:rPr>
        <w:t xml:space="preserve"> </w:t>
      </w:r>
      <w:r w:rsidR="00D97C42" w:rsidRPr="00D97C42">
        <w:rPr>
          <w:lang w:val="fr-FR"/>
        </w:rPr>
        <w:t>Néanmoins, plusieurs délégations ont indiqué qu’elles restaient préoccupées par le principe des amendements proposés.</w:t>
      </w:r>
    </w:p>
    <w:p w14:paraId="04DE8279" w14:textId="195871B6" w:rsidR="00073263" w:rsidRPr="009C704A" w:rsidRDefault="00C31286" w:rsidP="00073263">
      <w:pPr>
        <w:pStyle w:val="SingleTxtG"/>
        <w:rPr>
          <w:lang w:val="fr-FR"/>
        </w:rPr>
      </w:pPr>
      <w:r>
        <w:rPr>
          <w:lang w:val="fr-FR"/>
        </w:rPr>
        <w:t>29</w:t>
      </w:r>
      <w:r w:rsidR="00073263" w:rsidRPr="009C704A">
        <w:rPr>
          <w:lang w:val="fr-FR"/>
        </w:rPr>
        <w:t>.</w:t>
      </w:r>
      <w:r w:rsidR="00073263" w:rsidRPr="009C704A">
        <w:rPr>
          <w:lang w:val="fr-FR"/>
        </w:rPr>
        <w:tab/>
        <w:t>La Réunion commune a décidé de reprendre l’examen de cette question à sa prochaine session, sur la base d’un document officiel dans lequel le COSTHA présenterait des solutions envisageables et une justification détaillée.</w:t>
      </w:r>
    </w:p>
    <w:p w14:paraId="5AC08924" w14:textId="77777777" w:rsidR="00A306FD" w:rsidRPr="00EE5E70" w:rsidRDefault="00A306FD" w:rsidP="00A306FD">
      <w:pPr>
        <w:pStyle w:val="H1G"/>
      </w:pPr>
      <w:r>
        <w:rPr>
          <w:lang w:val="fr-FR"/>
        </w:rPr>
        <w:tab/>
        <w:t>B.</w:t>
      </w:r>
      <w:r>
        <w:rPr>
          <w:lang w:val="fr-FR"/>
        </w:rPr>
        <w:tab/>
        <w:t>Nouvelles propositions</w:t>
      </w:r>
    </w:p>
    <w:p w14:paraId="275A232A" w14:textId="77777777" w:rsidR="00A306FD" w:rsidRPr="00EE5E70" w:rsidRDefault="00A306FD" w:rsidP="00A306FD">
      <w:pPr>
        <w:pStyle w:val="H23G"/>
      </w:pPr>
      <w:r>
        <w:rPr>
          <w:lang w:val="fr-FR"/>
        </w:rPr>
        <w:tab/>
        <w:t>1.</w:t>
      </w:r>
      <w:r>
        <w:rPr>
          <w:lang w:val="fr-FR"/>
        </w:rPr>
        <w:tab/>
        <w:t>Tableau A du RID et de l’ADR : N</w:t>
      </w:r>
      <w:r w:rsidRPr="00711991">
        <w:rPr>
          <w:vertAlign w:val="superscript"/>
          <w:lang w:val="fr-FR"/>
        </w:rPr>
        <w:t>o</w:t>
      </w:r>
      <w:r>
        <w:rPr>
          <w:lang w:val="fr-FR"/>
        </w:rPr>
        <w:t> ONU 3550, code manquant pour l’emballage en commun dans la colonne (9b)</w:t>
      </w:r>
    </w:p>
    <w:p w14:paraId="4803CA1D" w14:textId="77777777" w:rsidR="00A306FD" w:rsidRPr="00EE5E70" w:rsidRDefault="00A306FD" w:rsidP="00A306FD">
      <w:pPr>
        <w:pStyle w:val="SingleTxtG"/>
        <w:tabs>
          <w:tab w:val="left" w:pos="3119"/>
        </w:tabs>
        <w:jc w:val="left"/>
      </w:pPr>
      <w:r>
        <w:rPr>
          <w:i/>
          <w:iCs/>
          <w:lang w:val="fr-FR"/>
        </w:rPr>
        <w:t xml:space="preserve">Document </w:t>
      </w:r>
      <w:r w:rsidRPr="00711991">
        <w:rPr>
          <w:lang w:val="fr-FR"/>
        </w:rPr>
        <w:t>:</w:t>
      </w:r>
      <w:r>
        <w:rPr>
          <w:lang w:val="fr-FR"/>
        </w:rPr>
        <w:tab/>
        <w:t>ECE/TRANS/WP.15/AC.1/2023/2 (Allemagne)</w:t>
      </w:r>
    </w:p>
    <w:p w14:paraId="546D9BCB" w14:textId="6C315C36" w:rsidR="00A306FD" w:rsidRPr="00EE5E70" w:rsidRDefault="004A7DD7" w:rsidP="00A306FD">
      <w:pPr>
        <w:pStyle w:val="SingleTxtG"/>
      </w:pPr>
      <w:r>
        <w:rPr>
          <w:lang w:val="fr-FR"/>
        </w:rPr>
        <w:t>30</w:t>
      </w:r>
      <w:r w:rsidR="00A306FD">
        <w:rPr>
          <w:lang w:val="fr-FR"/>
        </w:rPr>
        <w:t>.</w:t>
      </w:r>
      <w:r w:rsidR="00A306FD">
        <w:rPr>
          <w:lang w:val="fr-FR"/>
        </w:rPr>
        <w:tab/>
        <w:t xml:space="preserve">La Réunion commune a adopté les amendements au RID et à l’ADR proposés par l’Allemagne (voir annexe </w:t>
      </w:r>
      <w:r w:rsidR="0039224B">
        <w:rPr>
          <w:lang w:val="fr-FR"/>
        </w:rPr>
        <w:t>II</w:t>
      </w:r>
      <w:r w:rsidR="00A306FD">
        <w:rPr>
          <w:lang w:val="fr-FR"/>
        </w:rPr>
        <w:t>).</w:t>
      </w:r>
    </w:p>
    <w:p w14:paraId="0BFE8BBF" w14:textId="77777777" w:rsidR="00A306FD" w:rsidRPr="00EE5E70" w:rsidRDefault="00A306FD" w:rsidP="00A306FD">
      <w:pPr>
        <w:pStyle w:val="H23G"/>
      </w:pPr>
      <w:r>
        <w:rPr>
          <w:bCs/>
          <w:lang w:val="fr-FR"/>
        </w:rPr>
        <w:tab/>
        <w:t>2.</w:t>
      </w:r>
      <w:r>
        <w:rPr>
          <w:lang w:val="fr-FR"/>
        </w:rPr>
        <w:tab/>
      </w:r>
      <w:r>
        <w:rPr>
          <w:bCs/>
          <w:lang w:val="fr-FR"/>
        </w:rPr>
        <w:t xml:space="preserve">Harmonisation du 1.4.2.1.1 e) dans les différentes versions linguistiques du RID, </w:t>
      </w:r>
      <w:r>
        <w:rPr>
          <w:bCs/>
          <w:lang w:val="fr-FR"/>
        </w:rPr>
        <w:br/>
        <w:t>de l’ADR et de l’ADN</w:t>
      </w:r>
    </w:p>
    <w:p w14:paraId="3F43DF6D" w14:textId="77777777" w:rsidR="00A306FD" w:rsidRPr="00EE5E70" w:rsidRDefault="00A306FD" w:rsidP="00A306FD">
      <w:pPr>
        <w:pStyle w:val="SingleTxtG"/>
        <w:tabs>
          <w:tab w:val="left" w:pos="3119"/>
        </w:tabs>
        <w:ind w:left="3119" w:hanging="1985"/>
        <w:jc w:val="left"/>
      </w:pPr>
      <w:r>
        <w:rPr>
          <w:i/>
          <w:iCs/>
          <w:lang w:val="fr-FR"/>
        </w:rPr>
        <w:t xml:space="preserve">Document </w:t>
      </w:r>
      <w:r w:rsidRPr="00711991">
        <w:rPr>
          <w:lang w:val="fr-FR"/>
        </w:rPr>
        <w:t>:</w:t>
      </w:r>
      <w:r>
        <w:rPr>
          <w:lang w:val="fr-FR"/>
        </w:rPr>
        <w:tab/>
        <w:t>ECE/TRANS/WP.15/AC.1/2023/9 (secrétariats de l’OTIF et de la CCNR)</w:t>
      </w:r>
    </w:p>
    <w:p w14:paraId="29DF258D" w14:textId="18467F8F" w:rsidR="00A306FD" w:rsidRDefault="008564B9" w:rsidP="00A306FD">
      <w:pPr>
        <w:pStyle w:val="SingleTxtG"/>
        <w:rPr>
          <w:lang w:val="fr-FR"/>
        </w:rPr>
      </w:pPr>
      <w:r>
        <w:rPr>
          <w:lang w:val="fr-FR"/>
        </w:rPr>
        <w:t>31</w:t>
      </w:r>
      <w:r w:rsidR="00A306FD">
        <w:rPr>
          <w:lang w:val="fr-FR"/>
        </w:rPr>
        <w:t>.</w:t>
      </w:r>
      <w:r w:rsidR="00A306FD">
        <w:rPr>
          <w:lang w:val="fr-FR"/>
        </w:rPr>
        <w:tab/>
        <w:t>La Réunion commune a adopté les amendements proposés aux paragraphes 7 à 9 du document ECE/TRANS/WP.15/AC.1/2023/9 (voir annexe</w:t>
      </w:r>
      <w:r>
        <w:rPr>
          <w:lang w:val="fr-FR"/>
        </w:rPr>
        <w:t xml:space="preserve"> II</w:t>
      </w:r>
      <w:r w:rsidR="00A306FD">
        <w:rPr>
          <w:lang w:val="fr-FR"/>
        </w:rPr>
        <w:t>).</w:t>
      </w:r>
    </w:p>
    <w:p w14:paraId="36068563" w14:textId="77777777" w:rsidR="00A43D30" w:rsidRPr="009C704A" w:rsidRDefault="00A43D30" w:rsidP="00A43D30">
      <w:pPr>
        <w:pStyle w:val="H23G"/>
        <w:rPr>
          <w:lang w:val="fr-FR"/>
        </w:rPr>
      </w:pPr>
      <w:r w:rsidRPr="009C704A">
        <w:rPr>
          <w:lang w:val="fr-FR"/>
        </w:rPr>
        <w:tab/>
        <w:t>3.</w:t>
      </w:r>
      <w:r w:rsidRPr="009C704A">
        <w:rPr>
          <w:lang w:val="fr-FR"/>
        </w:rPr>
        <w:tab/>
        <w:t>Tirets ou cases vides dans la colonne (15) du tableau A</w:t>
      </w:r>
    </w:p>
    <w:p w14:paraId="333800BB"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w:t>
      </w:r>
      <w:r>
        <w:rPr>
          <w:i/>
          <w:iCs/>
          <w:lang w:val="fr-FR"/>
        </w:rPr>
        <w:t> </w:t>
      </w:r>
      <w:r w:rsidRPr="000137D7">
        <w:rPr>
          <w:lang w:val="fr-FR"/>
        </w:rPr>
        <w:t>:</w:t>
      </w:r>
      <w:r w:rsidRPr="009C704A">
        <w:rPr>
          <w:lang w:val="fr-FR"/>
        </w:rPr>
        <w:tab/>
        <w:t>ECE/TRANS/WP.15/AC.1/2023/13 (Espagne)</w:t>
      </w:r>
    </w:p>
    <w:p w14:paraId="0680D0A4" w14:textId="300A5FDE" w:rsidR="00A43D30" w:rsidRPr="009C704A" w:rsidRDefault="002C503B" w:rsidP="00A43D30">
      <w:pPr>
        <w:pStyle w:val="SingleTxtG"/>
        <w:rPr>
          <w:lang w:val="fr-FR"/>
        </w:rPr>
      </w:pPr>
      <w:r>
        <w:rPr>
          <w:lang w:val="fr-FR"/>
        </w:rPr>
        <w:t>32</w:t>
      </w:r>
      <w:r w:rsidR="00A43D30" w:rsidRPr="009C704A">
        <w:rPr>
          <w:lang w:val="fr-FR"/>
        </w:rPr>
        <w:t>.</w:t>
      </w:r>
      <w:r w:rsidR="00A43D30" w:rsidRPr="009C704A">
        <w:rPr>
          <w:lang w:val="fr-FR"/>
        </w:rPr>
        <w:tab/>
        <w:t xml:space="preserve">La plupart des délégations qui se sont exprimées ont estimé que les modifications proposées laisseraient moins de souplesse dans l’application des dispositions du 1.1.3.6.3 au cas par cas et ont donc préféré conserver les dispositions du RID et de l’ADR sous leur forme actuelle. </w:t>
      </w:r>
      <w:r w:rsidR="00415487" w:rsidRPr="00415487">
        <w:rPr>
          <w:lang w:val="fr-FR"/>
        </w:rPr>
        <w:t>Certaines délégations ont néanmoins reconnu qu’il était peut-être nécessaire de clarifier l’utilisation du trait d’union</w:t>
      </w:r>
      <w:r w:rsidR="00FB495E">
        <w:rPr>
          <w:lang w:val="fr-FR"/>
        </w:rPr>
        <w:t>.</w:t>
      </w:r>
      <w:r w:rsidR="00415487" w:rsidRPr="00415487">
        <w:rPr>
          <w:lang w:val="fr-FR"/>
        </w:rPr>
        <w:t xml:space="preserve"> </w:t>
      </w:r>
      <w:r w:rsidR="00A43D30" w:rsidRPr="009C704A">
        <w:rPr>
          <w:lang w:val="fr-FR"/>
        </w:rPr>
        <w:t>L</w:t>
      </w:r>
      <w:r w:rsidR="006F0D09">
        <w:rPr>
          <w:lang w:val="fr-FR"/>
        </w:rPr>
        <w:t>a</w:t>
      </w:r>
      <w:r w:rsidR="00A43D30" w:rsidRPr="009C704A">
        <w:rPr>
          <w:lang w:val="fr-FR"/>
        </w:rPr>
        <w:t xml:space="preserve"> représentant</w:t>
      </w:r>
      <w:r w:rsidR="006F0D09">
        <w:rPr>
          <w:lang w:val="fr-FR"/>
        </w:rPr>
        <w:t>e</w:t>
      </w:r>
      <w:r w:rsidR="00A43D30" w:rsidRPr="009C704A">
        <w:rPr>
          <w:lang w:val="fr-FR"/>
        </w:rPr>
        <w:t xml:space="preserve"> de l’Espagne </w:t>
      </w:r>
      <w:r w:rsidR="00323E94" w:rsidRPr="00323E94">
        <w:rPr>
          <w:lang w:val="fr-FR"/>
        </w:rPr>
        <w:t>a indiqué qu’elle préparerait un document révisé pour la prochaine session</w:t>
      </w:r>
      <w:r w:rsidR="00A43D30" w:rsidRPr="009C704A">
        <w:rPr>
          <w:lang w:val="fr-FR"/>
        </w:rPr>
        <w:t>.</w:t>
      </w:r>
    </w:p>
    <w:p w14:paraId="16D0DABA" w14:textId="77777777" w:rsidR="00A43D30" w:rsidRPr="009C704A" w:rsidRDefault="00A43D30" w:rsidP="00A43D30">
      <w:pPr>
        <w:pStyle w:val="H23G"/>
        <w:rPr>
          <w:lang w:val="fr-FR"/>
        </w:rPr>
      </w:pPr>
      <w:r w:rsidRPr="009C704A">
        <w:rPr>
          <w:lang w:val="fr-FR"/>
        </w:rPr>
        <w:tab/>
        <w:t>4.</w:t>
      </w:r>
      <w:r w:rsidRPr="009C704A">
        <w:rPr>
          <w:lang w:val="fr-FR"/>
        </w:rPr>
        <w:tab/>
        <w:t xml:space="preserve">Utilisation des grands récipients pour vrac pour l’ammoniac en solution </w:t>
      </w:r>
      <w:r>
        <w:rPr>
          <w:lang w:val="fr-FR"/>
        </w:rPr>
        <w:br/>
      </w:r>
      <w:r w:rsidRPr="009C704A">
        <w:rPr>
          <w:lang w:val="fr-FR"/>
        </w:rPr>
        <w:t>(No ONU 2672) à des concentrations plus élevées</w:t>
      </w:r>
    </w:p>
    <w:p w14:paraId="6563DF6B"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w:t>
      </w:r>
      <w:r w:rsidRPr="000137D7">
        <w:rPr>
          <w:lang w:val="fr-FR"/>
        </w:rPr>
        <w:t> :</w:t>
      </w:r>
      <w:r w:rsidRPr="009C704A">
        <w:rPr>
          <w:lang w:val="fr-FR"/>
        </w:rPr>
        <w:tab/>
        <w:t>ECE/TRANS/WP.15/AC.1/2023/18 (Royaume-Uni)</w:t>
      </w:r>
    </w:p>
    <w:p w14:paraId="437F0182" w14:textId="190CA636" w:rsidR="00A43D30" w:rsidRPr="009C704A" w:rsidRDefault="000F1B3F" w:rsidP="00A43D30">
      <w:pPr>
        <w:pStyle w:val="SingleTxtG"/>
        <w:rPr>
          <w:lang w:val="fr-FR"/>
        </w:rPr>
      </w:pPr>
      <w:r>
        <w:rPr>
          <w:lang w:val="fr-FR"/>
        </w:rPr>
        <w:t>33</w:t>
      </w:r>
      <w:r w:rsidR="00A43D30" w:rsidRPr="009C704A">
        <w:rPr>
          <w:lang w:val="fr-FR"/>
        </w:rPr>
        <w:t>.</w:t>
      </w:r>
      <w:r w:rsidR="00A43D30" w:rsidRPr="009C704A">
        <w:rPr>
          <w:lang w:val="fr-FR"/>
        </w:rPr>
        <w:tab/>
        <w:t>Certains des représentants qui ont pris la parole n’étaient pas favorables aux modifications proposées au motif qu’elles soulevaient des questions de sécurité. Le représentant du Royaume-Uni a retiré le document ECE/TRANS/WP.15/AC.1/2023/18. Il a été relevé que les Parties contractantes à l’ADR intéressées avaient toutefois la possibilité de signer l’accord multilatéral M345, qui portait sur le même sujet et avait été établi en 2022 par le Royaume-Uni.</w:t>
      </w:r>
    </w:p>
    <w:p w14:paraId="7A69B8CE" w14:textId="77777777" w:rsidR="00A43D30" w:rsidRPr="009C704A" w:rsidRDefault="00A43D30" w:rsidP="00A43D30">
      <w:pPr>
        <w:pStyle w:val="H23G"/>
        <w:rPr>
          <w:lang w:val="fr-FR"/>
        </w:rPr>
      </w:pPr>
      <w:r w:rsidRPr="009C704A">
        <w:rPr>
          <w:lang w:val="fr-FR"/>
        </w:rPr>
        <w:tab/>
        <w:t>5.</w:t>
      </w:r>
      <w:r w:rsidRPr="009C704A">
        <w:rPr>
          <w:lang w:val="fr-FR"/>
        </w:rPr>
        <w:tab/>
        <w:t xml:space="preserve">Modification de la disposition spéciale 653 dans le chapitre 3.3 du RID, de l’ADR </w:t>
      </w:r>
      <w:r>
        <w:rPr>
          <w:lang w:val="fr-FR"/>
        </w:rPr>
        <w:br/>
      </w:r>
      <w:r w:rsidRPr="009C704A">
        <w:rPr>
          <w:lang w:val="fr-FR"/>
        </w:rPr>
        <w:t>et de l’ADN</w:t>
      </w:r>
    </w:p>
    <w:p w14:paraId="44E3BC35"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 informel</w:t>
      </w:r>
      <w:r w:rsidRPr="000137D7">
        <w:rPr>
          <w:lang w:val="fr-FR"/>
        </w:rPr>
        <w:t> :</w:t>
      </w:r>
      <w:r w:rsidRPr="009C704A">
        <w:rPr>
          <w:lang w:val="fr-FR"/>
        </w:rPr>
        <w:tab/>
        <w:t>INF.6 (EIGA)</w:t>
      </w:r>
    </w:p>
    <w:p w14:paraId="6FB82361" w14:textId="7764C7D0" w:rsidR="00A43D30" w:rsidRPr="009C704A" w:rsidRDefault="003112F1" w:rsidP="00A43D30">
      <w:pPr>
        <w:pStyle w:val="SingleTxtG"/>
        <w:rPr>
          <w:lang w:val="fr-FR"/>
        </w:rPr>
      </w:pPr>
      <w:r>
        <w:rPr>
          <w:lang w:val="fr-FR"/>
        </w:rPr>
        <w:t>34</w:t>
      </w:r>
      <w:r w:rsidR="00A43D30" w:rsidRPr="009C704A">
        <w:rPr>
          <w:lang w:val="fr-FR"/>
        </w:rPr>
        <w:t>.</w:t>
      </w:r>
      <w:r w:rsidR="00A43D30" w:rsidRPr="009C704A">
        <w:rPr>
          <w:lang w:val="fr-FR"/>
        </w:rPr>
        <w:tab/>
        <w:t xml:space="preserve">La Réunion commune a noté que le Sous-Comité d’experts du transport des marchandises dangereuses avait adopté, à sa dernière session, tenue en novembre et décembre 2022, une nouvelle disposition spéciale 406 </w:t>
      </w:r>
      <w:r w:rsidR="003251D1" w:rsidRPr="003251D1">
        <w:rPr>
          <w:lang w:val="fr-FR"/>
        </w:rPr>
        <w:t>trait</w:t>
      </w:r>
      <w:r w:rsidR="003251D1">
        <w:rPr>
          <w:lang w:val="fr-FR"/>
        </w:rPr>
        <w:t>ant</w:t>
      </w:r>
      <w:r w:rsidR="003251D1" w:rsidRPr="003251D1">
        <w:rPr>
          <w:lang w:val="fr-FR"/>
        </w:rPr>
        <w:t xml:space="preserve"> de questions semblables</w:t>
      </w:r>
      <w:r w:rsidR="004C5E4D">
        <w:rPr>
          <w:lang w:val="fr-FR"/>
        </w:rPr>
        <w:t xml:space="preserve"> et</w:t>
      </w:r>
      <w:r w:rsidR="003251D1" w:rsidRPr="003251D1">
        <w:rPr>
          <w:lang w:val="fr-FR"/>
        </w:rPr>
        <w:t xml:space="preserve"> </w:t>
      </w:r>
      <w:r w:rsidR="00A43D30" w:rsidRPr="009C704A">
        <w:rPr>
          <w:lang w:val="fr-FR"/>
        </w:rPr>
        <w:t xml:space="preserve">qui pourrait </w:t>
      </w:r>
      <w:r w:rsidR="00A43D30" w:rsidRPr="009C704A">
        <w:rPr>
          <w:lang w:val="fr-FR"/>
        </w:rPr>
        <w:lastRenderedPageBreak/>
        <w:t>remplacer l’actuelle disposition spéciale 653 dans le RID, l’ADR et l’ADN. Il a été recommandé d’attendre l’issue de la prochaine session du Groupe de travail spécial de l’harmonisation des Règlements RID, ADR et ADN avec les Recommandations de l’ONU relatives au transport des marchandises dangereuses, prévue en avril. En fonction de ce qui en ressortirait, le représentant de l’EIGA souhaiterait peut-être présenter un document actualisé à la prochaine session de la Réunion commune, en septembre 2023.</w:t>
      </w:r>
    </w:p>
    <w:p w14:paraId="0632302F" w14:textId="77777777" w:rsidR="00A43D30" w:rsidRPr="009C704A" w:rsidRDefault="00A43D30" w:rsidP="00A43D30">
      <w:pPr>
        <w:pStyle w:val="H23G"/>
        <w:rPr>
          <w:lang w:val="fr-FR"/>
        </w:rPr>
      </w:pPr>
      <w:r w:rsidRPr="009C704A">
        <w:rPr>
          <w:lang w:val="fr-FR"/>
        </w:rPr>
        <w:tab/>
        <w:t>6.</w:t>
      </w:r>
      <w:r w:rsidRPr="009C704A">
        <w:rPr>
          <w:lang w:val="fr-FR"/>
        </w:rPr>
        <w:tab/>
        <w:t>Modification du 1.1.3.1 du RID, de l’ADR et de l’ADN</w:t>
      </w:r>
    </w:p>
    <w:p w14:paraId="4E6F3CF0" w14:textId="77777777" w:rsidR="00A43D30" w:rsidRPr="009C704A" w:rsidRDefault="00A43D30" w:rsidP="00A43D30">
      <w:pPr>
        <w:pStyle w:val="SingleTxtG"/>
        <w:keepNext/>
        <w:tabs>
          <w:tab w:val="left" w:pos="3402"/>
        </w:tabs>
        <w:rPr>
          <w:lang w:val="fr-FR"/>
        </w:rPr>
      </w:pPr>
      <w:r w:rsidRPr="009C704A">
        <w:rPr>
          <w:i/>
          <w:iCs/>
          <w:lang w:val="fr-FR"/>
        </w:rPr>
        <w:t>Document informel</w:t>
      </w:r>
      <w:r w:rsidRPr="000137D7">
        <w:rPr>
          <w:lang w:val="fr-FR"/>
        </w:rPr>
        <w:t> :</w:t>
      </w:r>
      <w:r w:rsidRPr="009C704A">
        <w:rPr>
          <w:lang w:val="fr-FR"/>
        </w:rPr>
        <w:tab/>
        <w:t>INF.14 (Pays-Bas)</w:t>
      </w:r>
    </w:p>
    <w:p w14:paraId="1C819011" w14:textId="705270FE" w:rsidR="00A43D30" w:rsidRPr="009C704A" w:rsidRDefault="002A378B" w:rsidP="00A43D30">
      <w:pPr>
        <w:pStyle w:val="SingleTxtG"/>
        <w:rPr>
          <w:lang w:val="fr-FR"/>
        </w:rPr>
      </w:pPr>
      <w:r>
        <w:rPr>
          <w:lang w:val="fr-FR"/>
        </w:rPr>
        <w:t>35</w:t>
      </w:r>
      <w:r w:rsidR="00A43D30" w:rsidRPr="009C704A">
        <w:rPr>
          <w:lang w:val="fr-FR"/>
        </w:rPr>
        <w:t>.</w:t>
      </w:r>
      <w:r w:rsidR="00A43D30" w:rsidRPr="009C704A">
        <w:rPr>
          <w:lang w:val="fr-FR"/>
        </w:rPr>
        <w:tab/>
        <w:t>La plupart des représentants qui ont pris la parole ont estimé que tous les modes de transport intérieur pouvaient être concernés et que les activités et mesures décrites dans le document informel INF.14 relevaient des exemptions 1.1.3.1</w:t>
      </w:r>
      <w:r w:rsidR="00A43D30">
        <w:rPr>
          <w:lang w:val="fr-FR"/>
        </w:rPr>
        <w:t> </w:t>
      </w:r>
      <w:r w:rsidR="00A43D30" w:rsidRPr="009C704A">
        <w:rPr>
          <w:lang w:val="fr-FR"/>
        </w:rPr>
        <w:t>d) et e) du RID, de l’ADR et de l’ADN.</w:t>
      </w:r>
    </w:p>
    <w:p w14:paraId="31809D97" w14:textId="2D566700" w:rsidR="00A43D30" w:rsidRPr="009C704A" w:rsidRDefault="002A378B" w:rsidP="00A43D30">
      <w:pPr>
        <w:pStyle w:val="SingleTxtG"/>
        <w:rPr>
          <w:lang w:val="fr-FR"/>
        </w:rPr>
      </w:pPr>
      <w:r>
        <w:rPr>
          <w:lang w:val="fr-FR"/>
        </w:rPr>
        <w:t>36</w:t>
      </w:r>
      <w:r w:rsidR="00A43D30" w:rsidRPr="009C704A">
        <w:rPr>
          <w:lang w:val="fr-FR"/>
        </w:rPr>
        <w:t>.</w:t>
      </w:r>
      <w:r w:rsidR="00A43D30" w:rsidRPr="009C704A">
        <w:rPr>
          <w:lang w:val="fr-FR"/>
        </w:rPr>
        <w:tab/>
        <w:t>La Réunion commune était d’avis que les dispositions</w:t>
      </w:r>
      <w:r w:rsidR="006B3E69">
        <w:rPr>
          <w:lang w:val="fr-FR"/>
        </w:rPr>
        <w:t xml:space="preserve"> du</w:t>
      </w:r>
      <w:r w:rsidR="00A43D30" w:rsidRPr="009C704A">
        <w:rPr>
          <w:lang w:val="fr-FR"/>
        </w:rPr>
        <w:t xml:space="preserve"> 1.1.3.1</w:t>
      </w:r>
      <w:r w:rsidR="00A43D30">
        <w:rPr>
          <w:lang w:val="fr-FR"/>
        </w:rPr>
        <w:t> </w:t>
      </w:r>
      <w:r w:rsidR="00A43D30" w:rsidRPr="009C704A">
        <w:rPr>
          <w:lang w:val="fr-FR"/>
        </w:rPr>
        <w:t>d) et e) permettaient aux services publics (par exemple, la police, les forces de l’ordre en général, les douanes) de transporter des marchandises dangereuses dans le cadre de leurs missions de protection du public. Elle a également estimé que les dispositions du RID, de l’ADR et de l’ADN étaient suffisamment claires sous leur forme actuelle et qu’il n’était pas nécessaire de les modifier.</w:t>
      </w:r>
    </w:p>
    <w:p w14:paraId="2E2A7349" w14:textId="77777777" w:rsidR="00A43D30" w:rsidRPr="009C704A" w:rsidRDefault="00A43D30" w:rsidP="00A43D30">
      <w:pPr>
        <w:pStyle w:val="H23G"/>
        <w:rPr>
          <w:lang w:val="fr-FR"/>
        </w:rPr>
      </w:pPr>
      <w:r w:rsidRPr="009C704A">
        <w:rPr>
          <w:lang w:val="fr-FR"/>
        </w:rPr>
        <w:tab/>
        <w:t>7.</w:t>
      </w:r>
      <w:r w:rsidRPr="009C704A">
        <w:rPr>
          <w:lang w:val="fr-FR"/>
        </w:rPr>
        <w:tab/>
        <w:t>Modification du 4.1.1.21.6 (Liste des matières assimilées) pour le No ONU 1779</w:t>
      </w:r>
    </w:p>
    <w:p w14:paraId="2D9591A9"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 informel</w:t>
      </w:r>
      <w:r>
        <w:rPr>
          <w:i/>
          <w:iCs/>
          <w:lang w:val="fr-FR"/>
        </w:rPr>
        <w:t> </w:t>
      </w:r>
      <w:r w:rsidRPr="000137D7">
        <w:rPr>
          <w:lang w:val="fr-FR"/>
        </w:rPr>
        <w:t>:</w:t>
      </w:r>
      <w:r w:rsidRPr="009C704A">
        <w:rPr>
          <w:lang w:val="fr-FR"/>
        </w:rPr>
        <w:tab/>
        <w:t>INF.15 (France)</w:t>
      </w:r>
    </w:p>
    <w:p w14:paraId="5E01C793" w14:textId="126E639A" w:rsidR="00A43D30" w:rsidRPr="009C704A" w:rsidRDefault="001E12B2" w:rsidP="00A43D30">
      <w:pPr>
        <w:pStyle w:val="SingleTxtG"/>
        <w:rPr>
          <w:lang w:val="fr-FR"/>
        </w:rPr>
      </w:pPr>
      <w:r>
        <w:rPr>
          <w:lang w:val="fr-FR"/>
        </w:rPr>
        <w:t>37</w:t>
      </w:r>
      <w:r w:rsidR="00A43D30" w:rsidRPr="009C704A">
        <w:rPr>
          <w:lang w:val="fr-FR"/>
        </w:rPr>
        <w:t>.</w:t>
      </w:r>
      <w:r w:rsidR="00A43D30" w:rsidRPr="009C704A">
        <w:rPr>
          <w:lang w:val="fr-FR"/>
        </w:rPr>
        <w:tab/>
        <w:t>La Réunion commune a adopté les amendements au 4.1.1.21.6 proposés (voir annexe</w:t>
      </w:r>
      <w:r w:rsidR="009712D6">
        <w:rPr>
          <w:lang w:val="fr-FR"/>
        </w:rPr>
        <w:t> </w:t>
      </w:r>
      <w:r>
        <w:rPr>
          <w:lang w:val="fr-FR"/>
        </w:rPr>
        <w:t>II</w:t>
      </w:r>
      <w:r w:rsidR="00A43D30" w:rsidRPr="009C704A">
        <w:rPr>
          <w:lang w:val="fr-FR"/>
        </w:rPr>
        <w:t>).</w:t>
      </w:r>
    </w:p>
    <w:p w14:paraId="055241AD" w14:textId="77777777" w:rsidR="00A43D30" w:rsidRPr="009C704A" w:rsidRDefault="00A43D30" w:rsidP="00A43D30">
      <w:pPr>
        <w:pStyle w:val="H23G"/>
        <w:rPr>
          <w:lang w:val="fr-FR"/>
        </w:rPr>
      </w:pPr>
      <w:r w:rsidRPr="009C704A">
        <w:rPr>
          <w:lang w:val="fr-FR"/>
        </w:rPr>
        <w:tab/>
        <w:t>8.</w:t>
      </w:r>
      <w:r w:rsidRPr="009C704A">
        <w:rPr>
          <w:lang w:val="fr-FR"/>
        </w:rPr>
        <w:tab/>
        <w:t>Placardage des bennes amovibles</w:t>
      </w:r>
    </w:p>
    <w:p w14:paraId="3FAE3335"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 informel</w:t>
      </w:r>
      <w:r>
        <w:rPr>
          <w:i/>
          <w:iCs/>
          <w:lang w:val="fr-FR"/>
        </w:rPr>
        <w:t> </w:t>
      </w:r>
      <w:r w:rsidRPr="000137D7">
        <w:rPr>
          <w:lang w:val="fr-FR"/>
        </w:rPr>
        <w:t>:</w:t>
      </w:r>
      <w:r w:rsidRPr="009C704A">
        <w:rPr>
          <w:lang w:val="fr-FR"/>
        </w:rPr>
        <w:tab/>
        <w:t>INF.17 (France)</w:t>
      </w:r>
    </w:p>
    <w:p w14:paraId="18EF5C49" w14:textId="2FEFB79B" w:rsidR="00A43D30" w:rsidRPr="009C704A" w:rsidRDefault="005079FB" w:rsidP="00A43D30">
      <w:pPr>
        <w:pStyle w:val="SingleTxtG"/>
        <w:rPr>
          <w:lang w:val="fr-FR"/>
        </w:rPr>
      </w:pPr>
      <w:r>
        <w:rPr>
          <w:lang w:val="fr-FR"/>
        </w:rPr>
        <w:t>38</w:t>
      </w:r>
      <w:r w:rsidR="00A43D30" w:rsidRPr="009C704A">
        <w:rPr>
          <w:lang w:val="fr-FR"/>
        </w:rPr>
        <w:t>.</w:t>
      </w:r>
      <w:r w:rsidR="00A43D30" w:rsidRPr="009C704A">
        <w:rPr>
          <w:lang w:val="fr-FR"/>
        </w:rPr>
        <w:tab/>
        <w:t>L’amendement proposé par la France a reçu l’appui de principe de certaines délégations. La Réunion commune a décidé d’examiner cette question à sa prochaine session sur la base d’un document officiel actualisé qui comprendrait une justification détaillée.</w:t>
      </w:r>
    </w:p>
    <w:p w14:paraId="31B422CE" w14:textId="77777777" w:rsidR="00A43D30" w:rsidRPr="009C704A" w:rsidRDefault="00A43D30" w:rsidP="00A43D30">
      <w:pPr>
        <w:pStyle w:val="H23G"/>
        <w:rPr>
          <w:lang w:val="fr-FR"/>
        </w:rPr>
      </w:pPr>
      <w:r w:rsidRPr="009C704A">
        <w:rPr>
          <w:lang w:val="fr-FR"/>
        </w:rPr>
        <w:tab/>
        <w:t>9.</w:t>
      </w:r>
      <w:r w:rsidRPr="009C704A">
        <w:rPr>
          <w:lang w:val="fr-FR"/>
        </w:rPr>
        <w:tab/>
        <w:t>Mention de l’expéditeur au 5.4.1.1.1</w:t>
      </w:r>
    </w:p>
    <w:p w14:paraId="66A7FAD9" w14:textId="77777777" w:rsidR="00A43D30" w:rsidRPr="009C704A" w:rsidRDefault="00A43D30" w:rsidP="00A43D30">
      <w:pPr>
        <w:pStyle w:val="SingleTxtG"/>
        <w:keepNext/>
        <w:tabs>
          <w:tab w:val="left" w:pos="3402"/>
        </w:tabs>
        <w:ind w:left="3402" w:hanging="2268"/>
        <w:jc w:val="left"/>
        <w:rPr>
          <w:lang w:val="fr-FR"/>
        </w:rPr>
      </w:pPr>
      <w:r w:rsidRPr="009C704A">
        <w:rPr>
          <w:i/>
          <w:iCs/>
          <w:lang w:val="fr-FR"/>
        </w:rPr>
        <w:t>Document informel</w:t>
      </w:r>
      <w:r>
        <w:rPr>
          <w:i/>
          <w:iCs/>
          <w:lang w:val="fr-FR"/>
        </w:rPr>
        <w:t> </w:t>
      </w:r>
      <w:r w:rsidRPr="000137D7">
        <w:rPr>
          <w:lang w:val="fr-FR"/>
        </w:rPr>
        <w:t>:</w:t>
      </w:r>
      <w:r w:rsidRPr="009C704A">
        <w:rPr>
          <w:lang w:val="fr-FR"/>
        </w:rPr>
        <w:tab/>
        <w:t>INF.24 (Espagne)</w:t>
      </w:r>
    </w:p>
    <w:p w14:paraId="554F31A5" w14:textId="7433279E" w:rsidR="00A43D30" w:rsidRPr="009C704A" w:rsidRDefault="002D4E90" w:rsidP="00A43D30">
      <w:pPr>
        <w:pStyle w:val="SingleTxtG"/>
        <w:rPr>
          <w:lang w:val="fr-FR"/>
        </w:rPr>
      </w:pPr>
      <w:r>
        <w:rPr>
          <w:lang w:val="fr-FR"/>
        </w:rPr>
        <w:t>39</w:t>
      </w:r>
      <w:r w:rsidR="00A43D30" w:rsidRPr="009C704A">
        <w:rPr>
          <w:lang w:val="fr-FR"/>
        </w:rPr>
        <w:t>.</w:t>
      </w:r>
      <w:r w:rsidR="00A43D30" w:rsidRPr="009C704A">
        <w:rPr>
          <w:lang w:val="fr-FR"/>
        </w:rPr>
        <w:tab/>
        <w:t>La Réunion commune a adopté l’amendement au 5.4.1.1.1</w:t>
      </w:r>
      <w:r w:rsidR="00A43D30">
        <w:rPr>
          <w:lang w:val="fr-FR"/>
        </w:rPr>
        <w:t> </w:t>
      </w:r>
      <w:r w:rsidR="00A43D30" w:rsidRPr="009C704A">
        <w:rPr>
          <w:lang w:val="fr-FR"/>
        </w:rPr>
        <w:t>g) de la version française de l’ADR (voir annexe</w:t>
      </w:r>
      <w:r>
        <w:rPr>
          <w:lang w:val="fr-FR"/>
        </w:rPr>
        <w:t xml:space="preserve"> II</w:t>
      </w:r>
      <w:r w:rsidR="00A43D30" w:rsidRPr="009C704A">
        <w:rPr>
          <w:lang w:val="fr-FR"/>
        </w:rPr>
        <w:t>).</w:t>
      </w:r>
    </w:p>
    <w:p w14:paraId="5A306679" w14:textId="77777777" w:rsidR="00A43D30" w:rsidRPr="009C704A" w:rsidRDefault="00A43D30" w:rsidP="00A43D30">
      <w:pPr>
        <w:pStyle w:val="H23G"/>
        <w:rPr>
          <w:lang w:val="fr-FR"/>
        </w:rPr>
      </w:pPr>
      <w:r w:rsidRPr="009C704A">
        <w:rPr>
          <w:lang w:val="fr-FR"/>
        </w:rPr>
        <w:tab/>
        <w:t>10.</w:t>
      </w:r>
      <w:r w:rsidRPr="009C704A">
        <w:rPr>
          <w:lang w:val="fr-FR"/>
        </w:rPr>
        <w:tab/>
        <w:t>Obligations de l’expéditeur visées au 4.1.3.6.7 et au 4.1.6.5</w:t>
      </w:r>
    </w:p>
    <w:p w14:paraId="0DD82081" w14:textId="77777777" w:rsidR="00A43D30" w:rsidRPr="009C704A" w:rsidRDefault="00A43D30" w:rsidP="00A43D30">
      <w:pPr>
        <w:pStyle w:val="SingleTxtG"/>
        <w:keepNext/>
        <w:tabs>
          <w:tab w:val="left" w:pos="3402"/>
        </w:tabs>
        <w:ind w:left="3402" w:hanging="2268"/>
        <w:jc w:val="left"/>
        <w:rPr>
          <w:lang w:val="fr-FR"/>
        </w:rPr>
      </w:pPr>
      <w:r w:rsidRPr="000137D7">
        <w:rPr>
          <w:i/>
          <w:iCs/>
          <w:lang w:val="fr-FR"/>
        </w:rPr>
        <w:t>Document informel</w:t>
      </w:r>
      <w:r>
        <w:rPr>
          <w:lang w:val="fr-FR"/>
        </w:rPr>
        <w:t> :</w:t>
      </w:r>
      <w:r w:rsidRPr="009C704A">
        <w:rPr>
          <w:lang w:val="fr-FR"/>
        </w:rPr>
        <w:tab/>
        <w:t>INF.28 (Espagne)</w:t>
      </w:r>
    </w:p>
    <w:p w14:paraId="3763A199" w14:textId="6983D141" w:rsidR="00A43D30" w:rsidRPr="009C704A" w:rsidRDefault="002D4E90" w:rsidP="00A43D30">
      <w:pPr>
        <w:pStyle w:val="SingleTxtG"/>
        <w:rPr>
          <w:lang w:val="fr-FR"/>
        </w:rPr>
      </w:pPr>
      <w:r>
        <w:rPr>
          <w:lang w:val="fr-FR"/>
        </w:rPr>
        <w:t>40</w:t>
      </w:r>
      <w:r w:rsidR="00A43D30" w:rsidRPr="009C704A">
        <w:rPr>
          <w:lang w:val="fr-FR"/>
        </w:rPr>
        <w:t>.</w:t>
      </w:r>
      <w:r w:rsidR="00A43D30" w:rsidRPr="009C704A">
        <w:rPr>
          <w:lang w:val="fr-FR"/>
        </w:rPr>
        <w:tab/>
        <w:t>La Réunion commune a accueilli favorablement la modification proposée dans le document informel INF.28 et a pris note de plusieurs observations. Le représentant de l’Espagne a proposé de revoir la proposition et la soumettre en tant que document officiel pour examen à la session de l’automne 2023.</w:t>
      </w:r>
    </w:p>
    <w:p w14:paraId="7D872A6D" w14:textId="77777777" w:rsidR="00224615" w:rsidRPr="00A3253E" w:rsidRDefault="00224615" w:rsidP="00224615">
      <w:pPr>
        <w:pStyle w:val="H23G"/>
        <w:rPr>
          <w:lang w:val="fr-FR"/>
        </w:rPr>
      </w:pPr>
      <w:r>
        <w:rPr>
          <w:lang w:val="fr-FR"/>
        </w:rPr>
        <w:tab/>
      </w:r>
      <w:r w:rsidRPr="00A3253E">
        <w:rPr>
          <w:lang w:val="fr-FR"/>
        </w:rPr>
        <w:t>11.</w:t>
      </w:r>
      <w:r w:rsidRPr="00A3253E">
        <w:rPr>
          <w:lang w:val="fr-FR"/>
        </w:rPr>
        <w:tab/>
        <w:t>6.2.3 du RID et de l</w:t>
      </w:r>
      <w:r>
        <w:rPr>
          <w:lang w:val="fr-FR"/>
        </w:rPr>
        <w:t>’</w:t>
      </w:r>
      <w:r w:rsidRPr="00A3253E">
        <w:rPr>
          <w:lang w:val="fr-FR"/>
        </w:rPr>
        <w:t xml:space="preserve">ADR − Prescriptions applicables aux dispositifs de décompression </w:t>
      </w:r>
      <w:r>
        <w:rPr>
          <w:lang w:val="fr-FR"/>
        </w:rPr>
        <w:br/>
      </w:r>
      <w:r w:rsidRPr="00A3253E">
        <w:rPr>
          <w:lang w:val="fr-FR"/>
        </w:rPr>
        <w:t>pour récipients à pression «</w:t>
      </w:r>
      <w:r>
        <w:rPr>
          <w:lang w:val="fr-FR"/>
        </w:rPr>
        <w:t> </w:t>
      </w:r>
      <w:r w:rsidRPr="00A3253E">
        <w:rPr>
          <w:lang w:val="fr-FR"/>
        </w:rPr>
        <w:t>non UN</w:t>
      </w:r>
      <w:r>
        <w:rPr>
          <w:lang w:val="fr-FR"/>
        </w:rPr>
        <w:t> </w:t>
      </w:r>
      <w:r w:rsidRPr="00A3253E">
        <w:rPr>
          <w:lang w:val="fr-FR"/>
        </w:rPr>
        <w:t>» qui se déclenchent en fonction de la pression</w:t>
      </w:r>
    </w:p>
    <w:p w14:paraId="457383A5" w14:textId="77777777" w:rsidR="00224615" w:rsidRPr="00A3253E" w:rsidRDefault="00224615" w:rsidP="00224615">
      <w:pPr>
        <w:pStyle w:val="SingleTxtG"/>
        <w:tabs>
          <w:tab w:val="left" w:pos="3119"/>
        </w:tabs>
        <w:rPr>
          <w:lang w:val="fr-FR"/>
        </w:rPr>
      </w:pPr>
      <w:r w:rsidRPr="00A3253E">
        <w:rPr>
          <w:i/>
          <w:iCs/>
          <w:lang w:val="fr-FR"/>
        </w:rPr>
        <w:t>Document </w:t>
      </w:r>
      <w:r w:rsidRPr="0031745A">
        <w:rPr>
          <w:lang w:val="fr-FR"/>
        </w:rPr>
        <w:t>:</w:t>
      </w:r>
      <w:r w:rsidRPr="00A3253E">
        <w:rPr>
          <w:lang w:val="fr-FR"/>
        </w:rPr>
        <w:tab/>
        <w:t>ECE/TRANS/WP.15/AC.1/2023/10 (Allemagne)</w:t>
      </w:r>
    </w:p>
    <w:p w14:paraId="7B8E2814" w14:textId="77777777" w:rsidR="00224615" w:rsidRPr="00A3253E" w:rsidRDefault="00224615" w:rsidP="00224615">
      <w:pPr>
        <w:pStyle w:val="SingleTxtG"/>
        <w:tabs>
          <w:tab w:val="left" w:pos="3119"/>
        </w:tabs>
        <w:jc w:val="left"/>
        <w:rPr>
          <w:lang w:val="fr-FR"/>
        </w:rPr>
      </w:pPr>
      <w:r w:rsidRPr="00A3253E">
        <w:rPr>
          <w:i/>
          <w:iCs/>
          <w:lang w:val="fr-FR"/>
        </w:rPr>
        <w:t xml:space="preserve">Document informel </w:t>
      </w:r>
      <w:r w:rsidRPr="0031745A">
        <w:rPr>
          <w:lang w:val="fr-FR"/>
        </w:rPr>
        <w:t>:</w:t>
      </w:r>
      <w:r w:rsidRPr="00A3253E">
        <w:rPr>
          <w:lang w:val="fr-FR"/>
        </w:rPr>
        <w:tab/>
        <w:t>INF.8 (EIGA)</w:t>
      </w:r>
    </w:p>
    <w:p w14:paraId="17A490FD" w14:textId="50F67CA1" w:rsidR="00224615" w:rsidRPr="00A3253E" w:rsidRDefault="00747DBF" w:rsidP="00224615">
      <w:pPr>
        <w:pStyle w:val="SingleTxtG"/>
        <w:rPr>
          <w:lang w:val="fr-FR"/>
        </w:rPr>
      </w:pPr>
      <w:r>
        <w:rPr>
          <w:lang w:val="fr-FR"/>
        </w:rPr>
        <w:t>41</w:t>
      </w:r>
      <w:r w:rsidR="00224615" w:rsidRPr="00A3253E">
        <w:rPr>
          <w:lang w:val="fr-FR"/>
        </w:rPr>
        <w:t>.</w:t>
      </w:r>
      <w:r w:rsidR="00224615" w:rsidRPr="00A3253E">
        <w:rPr>
          <w:lang w:val="fr-FR"/>
        </w:rPr>
        <w:tab/>
        <w:t>Certains représentants n</w:t>
      </w:r>
      <w:r w:rsidR="00224615">
        <w:rPr>
          <w:lang w:val="fr-FR"/>
        </w:rPr>
        <w:t>’</w:t>
      </w:r>
      <w:r w:rsidR="00224615" w:rsidRPr="00A3253E">
        <w:rPr>
          <w:lang w:val="fr-FR"/>
        </w:rPr>
        <w:t>étaient pas favorables aux amendements proposés dans le document ECE/TRANS/WP.15/AC.1/2023/10, en l</w:t>
      </w:r>
      <w:r w:rsidR="00224615">
        <w:rPr>
          <w:lang w:val="fr-FR"/>
        </w:rPr>
        <w:t>’</w:t>
      </w:r>
      <w:r w:rsidR="00224615" w:rsidRPr="00A3253E">
        <w:rPr>
          <w:lang w:val="fr-FR"/>
        </w:rPr>
        <w:t>absence de préoccupations relatives à la sécurité. D</w:t>
      </w:r>
      <w:r w:rsidR="00224615">
        <w:rPr>
          <w:lang w:val="fr-FR"/>
        </w:rPr>
        <w:t>’</w:t>
      </w:r>
      <w:r w:rsidR="00224615" w:rsidRPr="00A3253E">
        <w:rPr>
          <w:lang w:val="fr-FR"/>
        </w:rPr>
        <w:t>autres ont jugé préférable d</w:t>
      </w:r>
      <w:r w:rsidR="00224615">
        <w:rPr>
          <w:lang w:val="fr-FR"/>
        </w:rPr>
        <w:t>’</w:t>
      </w:r>
      <w:r w:rsidR="00224615" w:rsidRPr="00A3253E">
        <w:rPr>
          <w:lang w:val="fr-FR"/>
        </w:rPr>
        <w:t>ajouter un renvoi à une norme internationale plutôt qu</w:t>
      </w:r>
      <w:r w:rsidR="00224615">
        <w:rPr>
          <w:lang w:val="fr-FR"/>
        </w:rPr>
        <w:t>’</w:t>
      </w:r>
      <w:r w:rsidR="00224615" w:rsidRPr="00A3253E">
        <w:rPr>
          <w:lang w:val="fr-FR"/>
        </w:rPr>
        <w:t>à une publication de la CGA. La Réunion commune a invité l</w:t>
      </w:r>
      <w:r w:rsidR="00224615">
        <w:rPr>
          <w:lang w:val="fr-FR"/>
        </w:rPr>
        <w:t>’</w:t>
      </w:r>
      <w:r w:rsidR="00224615" w:rsidRPr="00A3253E">
        <w:rPr>
          <w:lang w:val="fr-FR"/>
        </w:rPr>
        <w:t>Allemagne et l</w:t>
      </w:r>
      <w:r w:rsidR="00224615">
        <w:rPr>
          <w:lang w:val="fr-FR"/>
        </w:rPr>
        <w:t>’</w:t>
      </w:r>
      <w:r w:rsidR="00224615" w:rsidRPr="00A3253E">
        <w:rPr>
          <w:lang w:val="fr-FR"/>
        </w:rPr>
        <w:t>EIGA à organiser une réunion informelle afin d</w:t>
      </w:r>
      <w:r w:rsidR="00224615">
        <w:rPr>
          <w:lang w:val="fr-FR"/>
        </w:rPr>
        <w:t>’</w:t>
      </w:r>
      <w:r w:rsidR="00224615" w:rsidRPr="00A3253E">
        <w:rPr>
          <w:lang w:val="fr-FR"/>
        </w:rPr>
        <w:t xml:space="preserve">affiner la proposition en vue de la soumettre à la </w:t>
      </w:r>
      <w:r w:rsidR="00224615" w:rsidRPr="00A3253E">
        <w:rPr>
          <w:lang w:val="fr-FR"/>
        </w:rPr>
        <w:lastRenderedPageBreak/>
        <w:t xml:space="preserve">session suivante. Les délégations intéressées </w:t>
      </w:r>
      <w:r w:rsidR="00224615">
        <w:rPr>
          <w:lang w:val="fr-FR"/>
        </w:rPr>
        <w:t>ont été</w:t>
      </w:r>
      <w:r w:rsidR="00224615" w:rsidRPr="00A3253E">
        <w:rPr>
          <w:lang w:val="fr-FR"/>
        </w:rPr>
        <w:t xml:space="preserve"> invitées à contacter le représentant de l</w:t>
      </w:r>
      <w:r w:rsidR="00224615">
        <w:rPr>
          <w:lang w:val="fr-FR"/>
        </w:rPr>
        <w:t>’</w:t>
      </w:r>
      <w:r w:rsidR="00224615" w:rsidRPr="00A3253E">
        <w:rPr>
          <w:lang w:val="fr-FR"/>
        </w:rPr>
        <w:t>A</w:t>
      </w:r>
      <w:r w:rsidR="00B343D0">
        <w:rPr>
          <w:lang w:val="fr-FR"/>
        </w:rPr>
        <w:t>llemagne</w:t>
      </w:r>
      <w:r w:rsidR="00224615" w:rsidRPr="00A3253E">
        <w:rPr>
          <w:lang w:val="fr-FR"/>
        </w:rPr>
        <w:t xml:space="preserve"> (</w:t>
      </w:r>
      <w:r w:rsidR="00CE4A26">
        <w:t>stephan.aris@bam.de</w:t>
      </w:r>
      <w:r w:rsidR="00224615" w:rsidRPr="00A3253E">
        <w:rPr>
          <w:lang w:val="fr-FR"/>
        </w:rPr>
        <w:t>).</w:t>
      </w:r>
    </w:p>
    <w:p w14:paraId="1F5AE7FE" w14:textId="77777777" w:rsidR="00224615" w:rsidRPr="00A3253E" w:rsidRDefault="00224615" w:rsidP="00224615">
      <w:pPr>
        <w:pStyle w:val="H23G"/>
        <w:rPr>
          <w:lang w:val="fr-FR"/>
        </w:rPr>
      </w:pPr>
      <w:r>
        <w:rPr>
          <w:bCs/>
          <w:lang w:val="fr-FR"/>
        </w:rPr>
        <w:tab/>
      </w:r>
      <w:r w:rsidRPr="00A3253E">
        <w:rPr>
          <w:bCs/>
          <w:lang w:val="fr-FR"/>
        </w:rPr>
        <w:t>12.</w:t>
      </w:r>
      <w:r w:rsidRPr="00A3253E">
        <w:rPr>
          <w:lang w:val="fr-FR"/>
        </w:rPr>
        <w:tab/>
      </w:r>
      <w:r w:rsidRPr="00A3253E">
        <w:rPr>
          <w:bCs/>
          <w:lang w:val="fr-FR"/>
        </w:rPr>
        <w:t>Modification de l</w:t>
      </w:r>
      <w:r>
        <w:rPr>
          <w:bCs/>
          <w:lang w:val="fr-FR"/>
        </w:rPr>
        <w:t>’</w:t>
      </w:r>
      <w:r w:rsidRPr="00A3253E">
        <w:rPr>
          <w:bCs/>
          <w:lang w:val="fr-FR"/>
        </w:rPr>
        <w:t>instruction d</w:t>
      </w:r>
      <w:r>
        <w:rPr>
          <w:bCs/>
          <w:lang w:val="fr-FR"/>
        </w:rPr>
        <w:t>’</w:t>
      </w:r>
      <w:r w:rsidRPr="00A3253E">
        <w:rPr>
          <w:bCs/>
          <w:lang w:val="fr-FR"/>
        </w:rPr>
        <w:t>emballage P200 au 4.1.4.1</w:t>
      </w:r>
      <w:r>
        <w:rPr>
          <w:bCs/>
          <w:lang w:val="fr-FR"/>
        </w:rPr>
        <w:t> </w:t>
      </w:r>
      <w:r w:rsidRPr="00A3253E">
        <w:rPr>
          <w:bCs/>
          <w:lang w:val="fr-FR"/>
        </w:rPr>
        <w:t xml:space="preserve">: dispositifs </w:t>
      </w:r>
      <w:r>
        <w:rPr>
          <w:bCs/>
          <w:lang w:val="fr-FR"/>
        </w:rPr>
        <w:br/>
      </w:r>
      <w:r w:rsidRPr="00A3253E">
        <w:rPr>
          <w:bCs/>
          <w:lang w:val="fr-FR"/>
        </w:rPr>
        <w:t>de décompression interdits pour les bouteilles d</w:t>
      </w:r>
      <w:r>
        <w:rPr>
          <w:bCs/>
          <w:lang w:val="fr-FR"/>
        </w:rPr>
        <w:t>’</w:t>
      </w:r>
      <w:r w:rsidRPr="00A3253E">
        <w:rPr>
          <w:bCs/>
          <w:lang w:val="fr-FR"/>
        </w:rPr>
        <w:t>acétylène «</w:t>
      </w:r>
      <w:r>
        <w:rPr>
          <w:bCs/>
          <w:lang w:val="fr-FR"/>
        </w:rPr>
        <w:t> </w:t>
      </w:r>
      <w:r w:rsidRPr="00A3253E">
        <w:rPr>
          <w:bCs/>
          <w:lang w:val="fr-FR"/>
        </w:rPr>
        <w:t>non UN</w:t>
      </w:r>
      <w:r>
        <w:rPr>
          <w:bCs/>
          <w:lang w:val="fr-FR"/>
        </w:rPr>
        <w:t> </w:t>
      </w:r>
      <w:r w:rsidRPr="00A3253E">
        <w:rPr>
          <w:bCs/>
          <w:lang w:val="fr-FR"/>
        </w:rPr>
        <w:t>»</w:t>
      </w:r>
    </w:p>
    <w:p w14:paraId="7D82C9F2" w14:textId="77777777" w:rsidR="00224615" w:rsidRPr="00A3253E" w:rsidRDefault="00224615" w:rsidP="00224615">
      <w:pPr>
        <w:pStyle w:val="SingleTxtG"/>
        <w:tabs>
          <w:tab w:val="left" w:pos="3119"/>
        </w:tabs>
        <w:rPr>
          <w:lang w:val="fr-FR"/>
        </w:rPr>
      </w:pPr>
      <w:r w:rsidRPr="00A3253E">
        <w:rPr>
          <w:i/>
          <w:iCs/>
          <w:lang w:val="fr-FR"/>
        </w:rPr>
        <w:t>Document </w:t>
      </w:r>
      <w:r w:rsidRPr="0031745A">
        <w:rPr>
          <w:lang w:val="fr-FR"/>
        </w:rPr>
        <w:t>:</w:t>
      </w:r>
      <w:r w:rsidRPr="00A3253E">
        <w:rPr>
          <w:lang w:val="fr-FR"/>
        </w:rPr>
        <w:tab/>
        <w:t>ECE/TRANS/WP.15/AC.1/2023/11 (Allemagne)</w:t>
      </w:r>
    </w:p>
    <w:p w14:paraId="1D8A3E7B" w14:textId="03615A12" w:rsidR="00224615" w:rsidRPr="00A3253E" w:rsidRDefault="00C369D4" w:rsidP="00224615">
      <w:pPr>
        <w:pStyle w:val="SingleTxtG"/>
        <w:rPr>
          <w:lang w:val="fr-FR"/>
        </w:rPr>
      </w:pPr>
      <w:r>
        <w:rPr>
          <w:lang w:val="fr-FR"/>
        </w:rPr>
        <w:t>42</w:t>
      </w:r>
      <w:r w:rsidR="00224615" w:rsidRPr="00A3253E">
        <w:rPr>
          <w:lang w:val="fr-FR"/>
        </w:rPr>
        <w:t>.</w:t>
      </w:r>
      <w:r w:rsidR="00224615" w:rsidRPr="00A3253E">
        <w:rPr>
          <w:lang w:val="fr-FR"/>
        </w:rPr>
        <w:tab/>
        <w:t>La Réunion commune a adopté la proposition d</w:t>
      </w:r>
      <w:r w:rsidR="00224615">
        <w:rPr>
          <w:lang w:val="fr-FR"/>
        </w:rPr>
        <w:t>’</w:t>
      </w:r>
      <w:r w:rsidR="00224615" w:rsidRPr="00A3253E">
        <w:rPr>
          <w:lang w:val="fr-FR"/>
        </w:rPr>
        <w:t>amendement à l</w:t>
      </w:r>
      <w:r w:rsidR="00224615">
        <w:rPr>
          <w:lang w:val="fr-FR"/>
        </w:rPr>
        <w:t>’</w:t>
      </w:r>
      <w:r w:rsidR="00224615" w:rsidRPr="00A3253E">
        <w:rPr>
          <w:lang w:val="fr-FR"/>
        </w:rPr>
        <w:t>instruction d</w:t>
      </w:r>
      <w:r w:rsidR="00224615">
        <w:rPr>
          <w:lang w:val="fr-FR"/>
        </w:rPr>
        <w:t>’</w:t>
      </w:r>
      <w:r w:rsidR="00224615" w:rsidRPr="00A3253E">
        <w:rPr>
          <w:lang w:val="fr-FR"/>
        </w:rPr>
        <w:t>emballage P200 ainsi qu</w:t>
      </w:r>
      <w:r w:rsidR="00224615">
        <w:rPr>
          <w:lang w:val="fr-FR"/>
        </w:rPr>
        <w:t>’</w:t>
      </w:r>
      <w:r w:rsidR="00224615" w:rsidRPr="00A3253E">
        <w:rPr>
          <w:lang w:val="fr-FR"/>
        </w:rPr>
        <w:t>un amendement supplémentaire proposé oralement (voir annexe</w:t>
      </w:r>
      <w:r>
        <w:rPr>
          <w:lang w:val="fr-FR"/>
        </w:rPr>
        <w:t> II</w:t>
      </w:r>
      <w:r w:rsidR="00224615" w:rsidRPr="00A3253E">
        <w:rPr>
          <w:lang w:val="fr-FR"/>
        </w:rPr>
        <w:t>).</w:t>
      </w:r>
    </w:p>
    <w:p w14:paraId="5B8BA802" w14:textId="77777777" w:rsidR="00224615" w:rsidRPr="00A3253E" w:rsidRDefault="00224615" w:rsidP="00224615">
      <w:pPr>
        <w:pStyle w:val="H23G"/>
        <w:rPr>
          <w:lang w:val="fr-FR"/>
        </w:rPr>
      </w:pPr>
      <w:r>
        <w:rPr>
          <w:lang w:val="fr-FR"/>
        </w:rPr>
        <w:tab/>
      </w:r>
      <w:r w:rsidRPr="00A3253E">
        <w:rPr>
          <w:lang w:val="fr-FR"/>
        </w:rPr>
        <w:t>13.</w:t>
      </w:r>
      <w:r w:rsidRPr="00A3253E">
        <w:rPr>
          <w:lang w:val="fr-FR"/>
        </w:rPr>
        <w:tab/>
        <w:t xml:space="preserve">Proposition de modification de la définition des termes </w:t>
      </w:r>
      <w:r>
        <w:rPr>
          <w:lang w:val="fr-FR"/>
        </w:rPr>
        <w:t>« </w:t>
      </w:r>
      <w:r w:rsidRPr="00A3253E">
        <w:rPr>
          <w:lang w:val="fr-FR"/>
        </w:rPr>
        <w:t>véhicule-batterie</w:t>
      </w:r>
      <w:r>
        <w:rPr>
          <w:lang w:val="fr-FR"/>
        </w:rPr>
        <w:t> »</w:t>
      </w:r>
      <w:r>
        <w:rPr>
          <w:lang w:val="fr-FR"/>
        </w:rPr>
        <w:br/>
      </w:r>
      <w:r w:rsidRPr="00A3253E">
        <w:rPr>
          <w:lang w:val="fr-FR"/>
        </w:rPr>
        <w:t xml:space="preserve">et </w:t>
      </w:r>
      <w:r>
        <w:rPr>
          <w:lang w:val="fr-FR"/>
        </w:rPr>
        <w:t>« </w:t>
      </w:r>
      <w:r w:rsidRPr="00A3253E">
        <w:rPr>
          <w:lang w:val="fr-FR"/>
        </w:rPr>
        <w:t>wagon-batterie</w:t>
      </w:r>
      <w:r>
        <w:rPr>
          <w:lang w:val="fr-FR"/>
        </w:rPr>
        <w:t> »</w:t>
      </w:r>
    </w:p>
    <w:p w14:paraId="17B93ED4" w14:textId="77777777" w:rsidR="00224615" w:rsidRPr="00A3253E" w:rsidRDefault="00224615" w:rsidP="00224615">
      <w:pPr>
        <w:pStyle w:val="SingleTxtG"/>
        <w:tabs>
          <w:tab w:val="left" w:pos="3119"/>
        </w:tabs>
        <w:ind w:left="3119" w:hanging="1985"/>
        <w:jc w:val="left"/>
        <w:rPr>
          <w:lang w:val="fr-FR"/>
        </w:rPr>
      </w:pPr>
      <w:r w:rsidRPr="00A3253E">
        <w:rPr>
          <w:i/>
          <w:iCs/>
          <w:lang w:val="fr-FR"/>
        </w:rPr>
        <w:t xml:space="preserve">Documents informels </w:t>
      </w:r>
      <w:r w:rsidRPr="0031745A">
        <w:rPr>
          <w:lang w:val="fr-FR"/>
        </w:rPr>
        <w:t>:</w:t>
      </w:r>
      <w:r w:rsidRPr="00A3253E">
        <w:rPr>
          <w:lang w:val="fr-FR"/>
        </w:rPr>
        <w:tab/>
        <w:t>INF.4/Rev.1 (Royaume-Uni)</w:t>
      </w:r>
      <w:r>
        <w:rPr>
          <w:lang w:val="fr-FR"/>
        </w:rPr>
        <w:br/>
      </w:r>
      <w:r w:rsidRPr="00A3253E">
        <w:rPr>
          <w:lang w:val="fr-FR"/>
        </w:rPr>
        <w:t>INF.37 (EIGA)</w:t>
      </w:r>
    </w:p>
    <w:p w14:paraId="38AC0649" w14:textId="48C9201B" w:rsidR="00224615" w:rsidRPr="00A3253E" w:rsidRDefault="00C369D4" w:rsidP="00224615">
      <w:pPr>
        <w:pStyle w:val="SingleTxtG"/>
        <w:rPr>
          <w:lang w:val="fr-FR"/>
        </w:rPr>
      </w:pPr>
      <w:r>
        <w:rPr>
          <w:lang w:val="fr-FR"/>
        </w:rPr>
        <w:t>43</w:t>
      </w:r>
      <w:r w:rsidR="00224615" w:rsidRPr="00A3253E">
        <w:rPr>
          <w:lang w:val="fr-FR"/>
        </w:rPr>
        <w:t>.</w:t>
      </w:r>
      <w:r w:rsidR="00224615" w:rsidRPr="00A3253E">
        <w:rPr>
          <w:lang w:val="fr-FR"/>
        </w:rPr>
        <w:tab/>
        <w:t>Certains représentants ont fait valoir qu</w:t>
      </w:r>
      <w:r w:rsidR="00224615">
        <w:rPr>
          <w:lang w:val="fr-FR"/>
        </w:rPr>
        <w:t>’</w:t>
      </w:r>
      <w:r w:rsidR="00224615" w:rsidRPr="00A3253E">
        <w:rPr>
          <w:lang w:val="fr-FR"/>
        </w:rPr>
        <w:t>il n</w:t>
      </w:r>
      <w:r w:rsidR="00224615">
        <w:rPr>
          <w:lang w:val="fr-FR"/>
        </w:rPr>
        <w:t>’</w:t>
      </w:r>
      <w:r w:rsidR="00224615" w:rsidRPr="00A3253E">
        <w:rPr>
          <w:lang w:val="fr-FR"/>
        </w:rPr>
        <w:t>était pas nécessaire de modifier les définitions, tandis que d</w:t>
      </w:r>
      <w:r w:rsidR="00224615">
        <w:rPr>
          <w:lang w:val="fr-FR"/>
        </w:rPr>
        <w:t>’</w:t>
      </w:r>
      <w:r w:rsidR="00224615" w:rsidRPr="00A3253E">
        <w:rPr>
          <w:lang w:val="fr-FR"/>
        </w:rPr>
        <w:t>autres ont exprimé leur soutien à la solution de compromis proposée dans le document informel INF.37. Le représentant du Royaume-Uni a retiré son document et a proposé d</w:t>
      </w:r>
      <w:r w:rsidR="00224615">
        <w:rPr>
          <w:lang w:val="fr-FR"/>
        </w:rPr>
        <w:t>’</w:t>
      </w:r>
      <w:r w:rsidR="00224615" w:rsidRPr="00A3253E">
        <w:rPr>
          <w:lang w:val="fr-FR"/>
        </w:rPr>
        <w:t>en soumettre un nouveau, assorti de dispositions transitoires, à la session suivante.</w:t>
      </w:r>
    </w:p>
    <w:p w14:paraId="4B3B44FA" w14:textId="77777777" w:rsidR="00D874D4" w:rsidRPr="00661211" w:rsidRDefault="00D874D4" w:rsidP="00D874D4">
      <w:pPr>
        <w:pStyle w:val="H23G"/>
      </w:pPr>
      <w:r>
        <w:rPr>
          <w:bCs/>
          <w:lang w:val="fr-FR"/>
        </w:rPr>
        <w:tab/>
        <w:t>14.</w:t>
      </w:r>
      <w:r>
        <w:rPr>
          <w:lang w:val="fr-FR"/>
        </w:rPr>
        <w:tab/>
      </w:r>
      <w:r>
        <w:rPr>
          <w:bCs/>
          <w:lang w:val="fr-FR"/>
        </w:rPr>
        <w:t>Mention au chapitre 5.4 des prescriptions, concernant la documentation, définies par des dispositions spéciales du chapitre 3.3</w:t>
      </w:r>
    </w:p>
    <w:p w14:paraId="3BD2173E" w14:textId="77777777" w:rsidR="00D874D4" w:rsidRPr="00661211" w:rsidRDefault="00D874D4" w:rsidP="00D874D4">
      <w:pPr>
        <w:pStyle w:val="SingleTxtG"/>
        <w:tabs>
          <w:tab w:val="left" w:pos="3119"/>
        </w:tabs>
      </w:pPr>
      <w:r>
        <w:rPr>
          <w:i/>
          <w:iCs/>
          <w:lang w:val="fr-FR"/>
        </w:rPr>
        <w:t>Document</w:t>
      </w:r>
      <w:r w:rsidRPr="00534BB0">
        <w:rPr>
          <w:lang w:val="fr-FR"/>
        </w:rPr>
        <w:t> :</w:t>
      </w:r>
      <w:r>
        <w:rPr>
          <w:lang w:val="fr-FR"/>
        </w:rPr>
        <w:tab/>
        <w:t>ECE/TRANS/WP.15/AC.1/2023/15 (France).</w:t>
      </w:r>
    </w:p>
    <w:p w14:paraId="05D278FF" w14:textId="77777777" w:rsidR="00D874D4" w:rsidRPr="00661211" w:rsidRDefault="00D874D4" w:rsidP="00D874D4">
      <w:pPr>
        <w:pStyle w:val="SingleTxtG"/>
        <w:tabs>
          <w:tab w:val="left" w:pos="3119"/>
        </w:tabs>
        <w:spacing w:after="0"/>
        <w:ind w:left="3119" w:hanging="1985"/>
        <w:jc w:val="left"/>
      </w:pPr>
      <w:r>
        <w:rPr>
          <w:i/>
          <w:iCs/>
          <w:lang w:val="fr-FR"/>
        </w:rPr>
        <w:t>Documents informels</w:t>
      </w:r>
      <w:r w:rsidRPr="00534BB0">
        <w:rPr>
          <w:lang w:val="fr-FR"/>
        </w:rPr>
        <w:t> :</w:t>
      </w:r>
      <w:r>
        <w:rPr>
          <w:lang w:val="fr-FR"/>
        </w:rPr>
        <w:tab/>
        <w:t xml:space="preserve">INF.36/Rev.1 (France), </w:t>
      </w:r>
      <w:r>
        <w:rPr>
          <w:lang w:val="fr-FR"/>
        </w:rPr>
        <w:br/>
        <w:t>INF.43 (Finlande et France).</w:t>
      </w:r>
    </w:p>
    <w:p w14:paraId="76788F72" w14:textId="3C5BA994" w:rsidR="00D874D4" w:rsidRPr="00661211" w:rsidRDefault="0049682B" w:rsidP="00D874D4">
      <w:pPr>
        <w:pStyle w:val="SingleTxtG"/>
        <w:spacing w:before="120"/>
      </w:pPr>
      <w:r>
        <w:rPr>
          <w:lang w:val="fr-FR"/>
        </w:rPr>
        <w:t>44</w:t>
      </w:r>
      <w:r w:rsidR="00D874D4">
        <w:rPr>
          <w:lang w:val="fr-FR"/>
        </w:rPr>
        <w:t>.</w:t>
      </w:r>
      <w:r w:rsidR="00D874D4">
        <w:rPr>
          <w:lang w:val="fr-FR"/>
        </w:rPr>
        <w:tab/>
        <w:t xml:space="preserve">La Réunion commune a </w:t>
      </w:r>
      <w:r w:rsidR="00D874D4" w:rsidRPr="00534BB0">
        <w:t>examiné</w:t>
      </w:r>
      <w:r w:rsidR="00D874D4">
        <w:rPr>
          <w:lang w:val="fr-FR"/>
        </w:rPr>
        <w:t xml:space="preserve"> les documents et adopté les amendements proposés dans le document informel INF.43 moyennant des modifications supplémentaires (voir annexe</w:t>
      </w:r>
      <w:r>
        <w:rPr>
          <w:lang w:val="fr-FR"/>
        </w:rPr>
        <w:t> II</w:t>
      </w:r>
      <w:r w:rsidR="00D874D4">
        <w:rPr>
          <w:lang w:val="fr-FR"/>
        </w:rPr>
        <w:t xml:space="preserve">). La phase ajoutée au 5.4.0.1 </w:t>
      </w:r>
      <w:r w:rsidR="00A0318E">
        <w:rPr>
          <w:lang w:val="fr-FR"/>
        </w:rPr>
        <w:t xml:space="preserve">a été maintenue </w:t>
      </w:r>
      <w:r w:rsidR="00D874D4">
        <w:rPr>
          <w:lang w:val="fr-FR"/>
        </w:rPr>
        <w:t>entre crochets.</w:t>
      </w:r>
    </w:p>
    <w:p w14:paraId="0A240D31" w14:textId="77777777" w:rsidR="00D874D4" w:rsidRPr="00661211" w:rsidRDefault="00D874D4" w:rsidP="00D874D4">
      <w:pPr>
        <w:pStyle w:val="H23G"/>
      </w:pPr>
      <w:r>
        <w:rPr>
          <w:bCs/>
          <w:lang w:val="fr-FR"/>
        </w:rPr>
        <w:tab/>
        <w:t>15.</w:t>
      </w:r>
      <w:r>
        <w:rPr>
          <w:lang w:val="fr-FR"/>
        </w:rPr>
        <w:tab/>
      </w:r>
      <w:r>
        <w:rPr>
          <w:bCs/>
          <w:lang w:val="fr-FR"/>
        </w:rPr>
        <w:t>Modifications proposées au 5.4.1.1.3.2 concernant les renseignements sur la quantité transportée qui figurent dans le document de transport</w:t>
      </w:r>
    </w:p>
    <w:p w14:paraId="241ABF2F" w14:textId="238561D1" w:rsidR="00D874D4" w:rsidRPr="00661211" w:rsidRDefault="00D874D4" w:rsidP="00D874D4">
      <w:pPr>
        <w:pStyle w:val="SingleTxtG"/>
        <w:keepNext/>
        <w:keepLines/>
        <w:tabs>
          <w:tab w:val="left" w:pos="3119"/>
        </w:tabs>
      </w:pPr>
      <w:r>
        <w:rPr>
          <w:i/>
          <w:iCs/>
          <w:lang w:val="fr-FR"/>
        </w:rPr>
        <w:t>Document informel</w:t>
      </w:r>
      <w:r w:rsidRPr="00534BB0">
        <w:rPr>
          <w:lang w:val="fr-FR"/>
        </w:rPr>
        <w:t> :</w:t>
      </w:r>
      <w:r>
        <w:rPr>
          <w:lang w:val="fr-FR"/>
        </w:rPr>
        <w:tab/>
        <w:t>INF.30 (Irlande)</w:t>
      </w:r>
    </w:p>
    <w:p w14:paraId="31253243" w14:textId="7D5B311A" w:rsidR="00D874D4" w:rsidRPr="00661211" w:rsidRDefault="00A91D4E" w:rsidP="00D874D4">
      <w:pPr>
        <w:pStyle w:val="SingleTxtG"/>
        <w:keepNext/>
        <w:keepLines/>
      </w:pPr>
      <w:r>
        <w:rPr>
          <w:lang w:val="fr-FR"/>
        </w:rPr>
        <w:t>45</w:t>
      </w:r>
      <w:r w:rsidR="00D874D4">
        <w:rPr>
          <w:lang w:val="fr-FR"/>
        </w:rPr>
        <w:t>.</w:t>
      </w:r>
      <w:r w:rsidR="00D874D4">
        <w:rPr>
          <w:lang w:val="fr-FR"/>
        </w:rPr>
        <w:tab/>
      </w:r>
      <w:r w:rsidR="00DD2F80" w:rsidRPr="00DD2F80">
        <w:rPr>
          <w:lang w:val="fr-FR"/>
        </w:rPr>
        <w:t xml:space="preserve">La plupart des délégués ont exprimé des doutes sur </w:t>
      </w:r>
      <w:r w:rsidR="00DD2F80">
        <w:rPr>
          <w:lang w:val="fr-FR"/>
        </w:rPr>
        <w:t>les</w:t>
      </w:r>
      <w:r w:rsidR="00D874D4">
        <w:rPr>
          <w:lang w:val="fr-FR"/>
        </w:rPr>
        <w:t xml:space="preserve"> modifications qu’il était proposé d’apporter au 5.4.1.1.3.2 du RID et de l’ADR. </w:t>
      </w:r>
      <w:r w:rsidR="000F02C8" w:rsidRPr="000F02C8">
        <w:rPr>
          <w:lang w:val="fr-FR"/>
        </w:rPr>
        <w:t>Toutefois, la proposition sur les déchets cliniques pourrait être examinée plus à fond.</w:t>
      </w:r>
      <w:r w:rsidR="000F02C8">
        <w:rPr>
          <w:lang w:val="fr-FR"/>
        </w:rPr>
        <w:t xml:space="preserve"> </w:t>
      </w:r>
      <w:r w:rsidR="00D874D4">
        <w:rPr>
          <w:lang w:val="fr-FR"/>
        </w:rPr>
        <w:t>Le représentant de l’Irlande a offert de revoir la proposition en vue de soumettre un nouveau document à la session suivante.</w:t>
      </w:r>
    </w:p>
    <w:p w14:paraId="53092114" w14:textId="0E508D49" w:rsidR="007C1906" w:rsidRDefault="007C1906" w:rsidP="007C1906">
      <w:pPr>
        <w:pStyle w:val="HChG"/>
        <w:rPr>
          <w:lang w:val="fr-FR"/>
        </w:rPr>
      </w:pPr>
      <w:r>
        <w:rPr>
          <w:lang w:val="fr-FR"/>
        </w:rPr>
        <w:tab/>
        <w:t>VII.</w:t>
      </w:r>
      <w:r>
        <w:rPr>
          <w:lang w:val="fr-FR"/>
        </w:rPr>
        <w:tab/>
        <w:t>Rapports des groupes de travail informels (point 6 de l’ordre du jour)</w:t>
      </w:r>
      <w:bookmarkStart w:id="1" w:name="_Hlk51257359"/>
      <w:bookmarkEnd w:id="1"/>
    </w:p>
    <w:p w14:paraId="272C94D4" w14:textId="77777777" w:rsidR="00E46FCA" w:rsidRPr="00A3253E" w:rsidRDefault="00E46FCA" w:rsidP="00E46FCA">
      <w:pPr>
        <w:pStyle w:val="H1G"/>
        <w:rPr>
          <w:lang w:val="fr-FR"/>
        </w:rPr>
      </w:pPr>
      <w:bookmarkStart w:id="2" w:name="_Hlk51257529"/>
      <w:r>
        <w:rPr>
          <w:lang w:val="fr-FR"/>
        </w:rPr>
        <w:tab/>
      </w:r>
      <w:r w:rsidRPr="00A3253E">
        <w:rPr>
          <w:lang w:val="fr-FR"/>
        </w:rPr>
        <w:t>A.</w:t>
      </w:r>
      <w:r w:rsidRPr="00A3253E">
        <w:rPr>
          <w:lang w:val="fr-FR"/>
        </w:rPr>
        <w:tab/>
        <w:t>Ajout de dispositions relatives au transport d</w:t>
      </w:r>
      <w:r>
        <w:rPr>
          <w:lang w:val="fr-FR"/>
        </w:rPr>
        <w:t>’</w:t>
      </w:r>
      <w:r w:rsidRPr="00A3253E">
        <w:rPr>
          <w:lang w:val="fr-FR"/>
        </w:rPr>
        <w:t xml:space="preserve">aluminium fondu </w:t>
      </w:r>
      <w:r>
        <w:rPr>
          <w:lang w:val="fr-FR"/>
        </w:rPr>
        <w:br/>
      </w:r>
      <w:r w:rsidRPr="00A3253E">
        <w:rPr>
          <w:lang w:val="fr-FR"/>
        </w:rPr>
        <w:t>sous le No</w:t>
      </w:r>
      <w:r>
        <w:rPr>
          <w:lang w:val="fr-FR"/>
        </w:rPr>
        <w:t> </w:t>
      </w:r>
      <w:r w:rsidRPr="00A3253E">
        <w:rPr>
          <w:lang w:val="fr-FR"/>
        </w:rPr>
        <w:t>ONU 3257</w:t>
      </w:r>
    </w:p>
    <w:p w14:paraId="74565284" w14:textId="77777777" w:rsidR="00E46FCA" w:rsidRPr="00A3253E" w:rsidRDefault="00E46FCA" w:rsidP="00E46FCA">
      <w:pPr>
        <w:pStyle w:val="SingleTxtG"/>
        <w:tabs>
          <w:tab w:val="left" w:pos="3119"/>
        </w:tabs>
        <w:rPr>
          <w:lang w:val="fr-FR"/>
        </w:rPr>
      </w:pPr>
      <w:r w:rsidRPr="00A3253E">
        <w:rPr>
          <w:i/>
          <w:iCs/>
          <w:lang w:val="fr-FR"/>
        </w:rPr>
        <w:t>Document </w:t>
      </w:r>
      <w:r w:rsidRPr="00673C64">
        <w:rPr>
          <w:lang w:val="fr-FR"/>
        </w:rPr>
        <w:t>:</w:t>
      </w:r>
      <w:r w:rsidRPr="00A3253E">
        <w:rPr>
          <w:lang w:val="fr-FR"/>
        </w:rPr>
        <w:tab/>
        <w:t>ECE/TRANS/WP.15/AC.1/2023/14 (Allemagne)</w:t>
      </w:r>
    </w:p>
    <w:p w14:paraId="2EA8996D" w14:textId="4BFA1EE1" w:rsidR="00E46FCA" w:rsidRPr="00A3253E" w:rsidRDefault="00F10D2D" w:rsidP="00E46FCA">
      <w:pPr>
        <w:pStyle w:val="SingleTxtG"/>
        <w:rPr>
          <w:lang w:val="fr-FR"/>
        </w:rPr>
      </w:pPr>
      <w:r>
        <w:rPr>
          <w:lang w:val="fr-FR"/>
        </w:rPr>
        <w:t>46</w:t>
      </w:r>
      <w:r w:rsidR="00E46FCA" w:rsidRPr="00A3253E">
        <w:rPr>
          <w:lang w:val="fr-FR"/>
        </w:rPr>
        <w:t>.</w:t>
      </w:r>
      <w:r w:rsidR="00E46FCA" w:rsidRPr="00A3253E">
        <w:rPr>
          <w:lang w:val="fr-FR"/>
        </w:rPr>
        <w:tab/>
        <w:t>Les propositions formulées dans le document ECE/TRANS/WP.15/AC.1/2023/</w:t>
      </w:r>
      <w:r w:rsidR="00E46FCA">
        <w:rPr>
          <w:lang w:val="fr-FR"/>
        </w:rPr>
        <w:t>1</w:t>
      </w:r>
      <w:r w:rsidR="00E46FCA" w:rsidRPr="00A3253E">
        <w:rPr>
          <w:lang w:val="fr-FR"/>
        </w:rPr>
        <w:t>4 ne s</w:t>
      </w:r>
      <w:r w:rsidR="00E46FCA">
        <w:rPr>
          <w:lang w:val="fr-FR"/>
        </w:rPr>
        <w:t>’</w:t>
      </w:r>
      <w:r w:rsidR="00E46FCA" w:rsidRPr="00A3253E">
        <w:rPr>
          <w:lang w:val="fr-FR"/>
        </w:rPr>
        <w:t>appliquent qu</w:t>
      </w:r>
      <w:r w:rsidR="00E46FCA">
        <w:rPr>
          <w:lang w:val="fr-FR"/>
        </w:rPr>
        <w:t>’</w:t>
      </w:r>
      <w:r w:rsidR="00E46FCA" w:rsidRPr="00A3253E">
        <w:rPr>
          <w:lang w:val="fr-FR"/>
        </w:rPr>
        <w:t>à l</w:t>
      </w:r>
      <w:r w:rsidR="00E46FCA">
        <w:rPr>
          <w:lang w:val="fr-FR"/>
        </w:rPr>
        <w:t>’</w:t>
      </w:r>
      <w:r w:rsidR="00E46FCA" w:rsidRPr="00A3253E">
        <w:rPr>
          <w:lang w:val="fr-FR"/>
        </w:rPr>
        <w:t xml:space="preserve">ADR. </w:t>
      </w:r>
      <w:r w:rsidR="008860D9">
        <w:rPr>
          <w:lang w:val="fr-FR"/>
        </w:rPr>
        <w:t>La Réunion commune</w:t>
      </w:r>
      <w:r w:rsidR="008860D9" w:rsidRPr="00A3253E">
        <w:rPr>
          <w:lang w:val="fr-FR"/>
        </w:rPr>
        <w:t xml:space="preserve"> </w:t>
      </w:r>
      <w:r w:rsidR="00E46FCA" w:rsidRPr="00A3253E">
        <w:rPr>
          <w:lang w:val="fr-FR"/>
        </w:rPr>
        <w:t>a adopté les amendements proposés tels que modifiés (voir annexe</w:t>
      </w:r>
      <w:r>
        <w:rPr>
          <w:lang w:val="fr-FR"/>
        </w:rPr>
        <w:t xml:space="preserve"> II</w:t>
      </w:r>
      <w:r w:rsidR="00E46FCA" w:rsidRPr="00A3253E">
        <w:rPr>
          <w:lang w:val="fr-FR"/>
        </w:rPr>
        <w:t>) et a décidé de maintenir le texte entre crochets, dans l</w:t>
      </w:r>
      <w:r w:rsidR="00E46FCA">
        <w:rPr>
          <w:lang w:val="fr-FR"/>
        </w:rPr>
        <w:t>’</w:t>
      </w:r>
      <w:r w:rsidR="00E46FCA" w:rsidRPr="00A3253E">
        <w:rPr>
          <w:lang w:val="fr-FR"/>
        </w:rPr>
        <w:t>attente d</w:t>
      </w:r>
      <w:r w:rsidR="00E46FCA">
        <w:rPr>
          <w:lang w:val="fr-FR"/>
        </w:rPr>
        <w:t>’</w:t>
      </w:r>
      <w:r w:rsidR="00E46FCA" w:rsidRPr="00A3253E">
        <w:rPr>
          <w:lang w:val="fr-FR"/>
        </w:rPr>
        <w:t>une décision finale du Groupe de travail des transports de marchandises dangereuses (WP.15) à sa session suivante.</w:t>
      </w:r>
    </w:p>
    <w:p w14:paraId="1512ADA9" w14:textId="77777777" w:rsidR="00E46FCA" w:rsidRPr="00A3253E" w:rsidRDefault="00E46FCA" w:rsidP="00E46FCA">
      <w:pPr>
        <w:pStyle w:val="H1G"/>
        <w:rPr>
          <w:lang w:val="fr-FR"/>
        </w:rPr>
      </w:pPr>
      <w:r>
        <w:rPr>
          <w:lang w:val="fr-FR"/>
        </w:rPr>
        <w:lastRenderedPageBreak/>
        <w:tab/>
      </w:r>
      <w:r w:rsidRPr="00A3253E">
        <w:rPr>
          <w:lang w:val="fr-FR"/>
        </w:rPr>
        <w:t>B.</w:t>
      </w:r>
      <w:r w:rsidRPr="00A3253E">
        <w:rPr>
          <w:lang w:val="fr-FR"/>
        </w:rPr>
        <w:tab/>
        <w:t xml:space="preserve">Compatibilité chimique des emballages en matières plastiques </w:t>
      </w:r>
      <w:r>
        <w:rPr>
          <w:lang w:val="fr-FR"/>
        </w:rPr>
        <w:br/>
      </w:r>
      <w:r w:rsidRPr="00A3253E">
        <w:rPr>
          <w:lang w:val="fr-FR"/>
        </w:rPr>
        <w:t>contenant des déchets liquides</w:t>
      </w:r>
    </w:p>
    <w:p w14:paraId="089CF5AE" w14:textId="77777777" w:rsidR="00E46FCA" w:rsidRPr="00A3253E" w:rsidRDefault="00E46FCA" w:rsidP="00E46FCA">
      <w:pPr>
        <w:pStyle w:val="SingleTxtG"/>
        <w:keepNext/>
        <w:tabs>
          <w:tab w:val="left" w:pos="3119"/>
        </w:tabs>
        <w:rPr>
          <w:lang w:val="fr-FR"/>
        </w:rPr>
      </w:pPr>
      <w:r w:rsidRPr="00A3253E">
        <w:rPr>
          <w:i/>
          <w:iCs/>
          <w:lang w:val="fr-FR"/>
        </w:rPr>
        <w:t>Document </w:t>
      </w:r>
      <w:r w:rsidRPr="00673C64">
        <w:rPr>
          <w:lang w:val="fr-FR"/>
        </w:rPr>
        <w:t>:</w:t>
      </w:r>
      <w:r w:rsidRPr="00A3253E">
        <w:rPr>
          <w:lang w:val="fr-FR"/>
        </w:rPr>
        <w:tab/>
        <w:t>ECE/TRANS/WP.15/AC.1/2023/19 (FEAD)</w:t>
      </w:r>
    </w:p>
    <w:p w14:paraId="0889BA0E" w14:textId="77777777" w:rsidR="00E46FCA" w:rsidRPr="00A3253E" w:rsidRDefault="00E46FCA" w:rsidP="00E46FCA">
      <w:pPr>
        <w:pStyle w:val="SingleTxtG"/>
        <w:tabs>
          <w:tab w:val="left" w:pos="3119"/>
        </w:tabs>
        <w:jc w:val="left"/>
        <w:rPr>
          <w:lang w:val="fr-FR"/>
        </w:rPr>
      </w:pPr>
      <w:r w:rsidRPr="00A3253E">
        <w:rPr>
          <w:i/>
          <w:iCs/>
          <w:lang w:val="fr-FR"/>
        </w:rPr>
        <w:t xml:space="preserve">Document informel </w:t>
      </w:r>
      <w:r w:rsidRPr="00673C64">
        <w:rPr>
          <w:lang w:val="fr-FR"/>
        </w:rPr>
        <w:t>:</w:t>
      </w:r>
      <w:r w:rsidRPr="00A3253E">
        <w:rPr>
          <w:lang w:val="fr-FR"/>
        </w:rPr>
        <w:tab/>
        <w:t>INF.41 (FEAD)</w:t>
      </w:r>
    </w:p>
    <w:p w14:paraId="26B35426" w14:textId="169F747E" w:rsidR="00E46FCA" w:rsidRPr="00A3253E" w:rsidRDefault="00A0227F" w:rsidP="00E46FCA">
      <w:pPr>
        <w:pStyle w:val="SingleTxtG"/>
        <w:rPr>
          <w:lang w:val="fr-FR"/>
        </w:rPr>
      </w:pPr>
      <w:r>
        <w:rPr>
          <w:lang w:val="fr-FR"/>
        </w:rPr>
        <w:t>47</w:t>
      </w:r>
      <w:r w:rsidR="00E46FCA" w:rsidRPr="00A3253E">
        <w:rPr>
          <w:lang w:val="fr-FR"/>
        </w:rPr>
        <w:t>.</w:t>
      </w:r>
      <w:r w:rsidR="00E46FCA" w:rsidRPr="00A3253E">
        <w:rPr>
          <w:lang w:val="fr-FR"/>
        </w:rPr>
        <w:tab/>
        <w:t>La plupart des représentants qui se sont exprimés ont apporté leur soutien de principe à la proposition, tout en s</w:t>
      </w:r>
      <w:r w:rsidR="00E46FCA">
        <w:rPr>
          <w:lang w:val="fr-FR"/>
        </w:rPr>
        <w:t>’</w:t>
      </w:r>
      <w:r w:rsidR="00E46FCA" w:rsidRPr="00A3253E">
        <w:rPr>
          <w:lang w:val="fr-FR"/>
        </w:rPr>
        <w:t>interrogeant sur la rareté de ces emballages. D</w:t>
      </w:r>
      <w:r w:rsidR="00E46FCA">
        <w:rPr>
          <w:lang w:val="fr-FR"/>
        </w:rPr>
        <w:t>’</w:t>
      </w:r>
      <w:r w:rsidR="00E46FCA" w:rsidRPr="00A3253E">
        <w:rPr>
          <w:lang w:val="fr-FR"/>
        </w:rPr>
        <w:t>autres préféraient que le libellé soit clarifié en ce qui concerne le niveau d</w:t>
      </w:r>
      <w:r w:rsidR="00E46FCA">
        <w:rPr>
          <w:lang w:val="fr-FR"/>
        </w:rPr>
        <w:t>’</w:t>
      </w:r>
      <w:r w:rsidR="00E46FCA" w:rsidRPr="00A3253E">
        <w:rPr>
          <w:lang w:val="fr-FR"/>
        </w:rPr>
        <w:t xml:space="preserve">épreuve requis </w:t>
      </w:r>
      <w:r w:rsidR="00E46FCA">
        <w:rPr>
          <w:lang w:val="fr-FR"/>
        </w:rPr>
        <w:t xml:space="preserve">et le groupe d’emballage correspondant, ainsi que </w:t>
      </w:r>
      <w:r w:rsidR="00E46FCA" w:rsidRPr="00A3253E">
        <w:rPr>
          <w:lang w:val="fr-FR"/>
        </w:rPr>
        <w:t>les épreuves de compatibilité. Le représentant de la FEAD a présenté le document informel INF.41, élaboré en tenant compte des commentaires reçus et dans lequel étaient proposées deux options pour la modification du 4.1.1.21.7. Il a été convenu de poursuivre l</w:t>
      </w:r>
      <w:r w:rsidR="00E46FCA">
        <w:rPr>
          <w:lang w:val="fr-FR"/>
        </w:rPr>
        <w:t>’</w:t>
      </w:r>
      <w:r w:rsidR="00E46FCA" w:rsidRPr="00A3253E">
        <w:rPr>
          <w:lang w:val="fr-FR"/>
        </w:rPr>
        <w:t xml:space="preserve">examen de cette question dans le cadre de la réunion informelle mentionnée au paragraphe </w:t>
      </w:r>
      <w:r w:rsidR="004959A6">
        <w:rPr>
          <w:lang w:val="fr-FR"/>
        </w:rPr>
        <w:t>48</w:t>
      </w:r>
      <w:r w:rsidR="00E46FCA" w:rsidRPr="00A3253E">
        <w:rPr>
          <w:lang w:val="fr-FR"/>
        </w:rPr>
        <w:t>.</w:t>
      </w:r>
    </w:p>
    <w:p w14:paraId="48AFFDF6" w14:textId="77777777" w:rsidR="00E46FCA" w:rsidRPr="00A3253E" w:rsidRDefault="00E46FCA" w:rsidP="00E46FCA">
      <w:pPr>
        <w:pStyle w:val="H1G"/>
        <w:rPr>
          <w:lang w:val="fr-FR"/>
        </w:rPr>
      </w:pPr>
      <w:r>
        <w:rPr>
          <w:lang w:val="fr-FR"/>
        </w:rPr>
        <w:tab/>
      </w:r>
      <w:r w:rsidRPr="00A3253E">
        <w:rPr>
          <w:lang w:val="fr-FR"/>
        </w:rPr>
        <w:t>C.</w:t>
      </w:r>
      <w:r w:rsidRPr="00A3253E">
        <w:rPr>
          <w:lang w:val="fr-FR"/>
        </w:rPr>
        <w:tab/>
        <w:t>Transport de déchets dans un emballage combiné</w:t>
      </w:r>
    </w:p>
    <w:p w14:paraId="22AE9D23" w14:textId="77777777" w:rsidR="00E46FCA" w:rsidRPr="00A3253E" w:rsidRDefault="00E46FCA" w:rsidP="00E46FCA">
      <w:pPr>
        <w:pStyle w:val="SingleTxtG"/>
        <w:tabs>
          <w:tab w:val="left" w:pos="3119"/>
        </w:tabs>
        <w:rPr>
          <w:lang w:val="fr-FR"/>
        </w:rPr>
      </w:pPr>
      <w:r w:rsidRPr="00A3253E">
        <w:rPr>
          <w:i/>
          <w:iCs/>
          <w:lang w:val="fr-FR"/>
        </w:rPr>
        <w:t>Document </w:t>
      </w:r>
      <w:r w:rsidRPr="00673C64">
        <w:rPr>
          <w:lang w:val="fr-FR"/>
        </w:rPr>
        <w:t>:</w:t>
      </w:r>
      <w:r w:rsidRPr="00A3253E">
        <w:rPr>
          <w:lang w:val="fr-FR"/>
        </w:rPr>
        <w:tab/>
        <w:t>ECE/TRANS/WP.15/AC.1/2023/20 (FEAD)</w:t>
      </w:r>
    </w:p>
    <w:p w14:paraId="1FCF083B" w14:textId="77777777" w:rsidR="00E46FCA" w:rsidRPr="00A3253E" w:rsidRDefault="00E46FCA" w:rsidP="00E46FCA">
      <w:pPr>
        <w:pStyle w:val="SingleTxtG"/>
        <w:tabs>
          <w:tab w:val="left" w:pos="3119"/>
        </w:tabs>
        <w:jc w:val="left"/>
        <w:rPr>
          <w:lang w:val="fr-FR"/>
        </w:rPr>
      </w:pPr>
      <w:r w:rsidRPr="00A3253E">
        <w:rPr>
          <w:i/>
          <w:iCs/>
          <w:lang w:val="fr-FR"/>
        </w:rPr>
        <w:t xml:space="preserve">Document informel </w:t>
      </w:r>
      <w:r w:rsidRPr="00673C64">
        <w:rPr>
          <w:lang w:val="fr-FR"/>
        </w:rPr>
        <w:t>:</w:t>
      </w:r>
      <w:r w:rsidRPr="00A3253E">
        <w:rPr>
          <w:lang w:val="fr-FR"/>
        </w:rPr>
        <w:tab/>
        <w:t>INF.29 (Irlande)</w:t>
      </w:r>
    </w:p>
    <w:p w14:paraId="647B81F8" w14:textId="2DC89AD2" w:rsidR="00E46FCA" w:rsidRPr="00A3253E" w:rsidRDefault="0042114E" w:rsidP="00E46FCA">
      <w:pPr>
        <w:pStyle w:val="SingleTxtG"/>
        <w:rPr>
          <w:lang w:val="fr-FR"/>
        </w:rPr>
      </w:pPr>
      <w:r>
        <w:rPr>
          <w:lang w:val="fr-FR"/>
        </w:rPr>
        <w:t>48</w:t>
      </w:r>
      <w:r w:rsidR="00E46FCA" w:rsidRPr="00A3253E">
        <w:rPr>
          <w:lang w:val="fr-FR"/>
        </w:rPr>
        <w:t>.</w:t>
      </w:r>
      <w:r w:rsidR="00E46FCA" w:rsidRPr="00A3253E">
        <w:rPr>
          <w:lang w:val="fr-FR"/>
        </w:rPr>
        <w:tab/>
        <w:t>En ce qui concerne les amendements proposés par la FEAD pour le transport de déchets dans un emballage combiné, la Réunion commune a constaté que la proposition bénéficiait d</w:t>
      </w:r>
      <w:r w:rsidR="00E46FCA">
        <w:rPr>
          <w:lang w:val="fr-FR"/>
        </w:rPr>
        <w:t>’</w:t>
      </w:r>
      <w:r w:rsidR="00E46FCA" w:rsidRPr="00A3253E">
        <w:rPr>
          <w:lang w:val="fr-FR"/>
        </w:rPr>
        <w:t xml:space="preserve">un appui général mais </w:t>
      </w:r>
      <w:r w:rsidR="00E46FCA">
        <w:rPr>
          <w:lang w:val="fr-FR"/>
        </w:rPr>
        <w:t>qu’elle méritait d’être clarifiée</w:t>
      </w:r>
      <w:r w:rsidR="00E46FCA" w:rsidRPr="00A3253E">
        <w:rPr>
          <w:lang w:val="fr-FR"/>
        </w:rPr>
        <w:t>. L</w:t>
      </w:r>
      <w:r w:rsidR="005F2CA4">
        <w:rPr>
          <w:lang w:val="fr-FR"/>
        </w:rPr>
        <w:t>a</w:t>
      </w:r>
      <w:r w:rsidR="00E46FCA" w:rsidRPr="00A3253E">
        <w:rPr>
          <w:lang w:val="fr-FR"/>
        </w:rPr>
        <w:t xml:space="preserve"> représentant</w:t>
      </w:r>
      <w:r w:rsidR="005F2CA4">
        <w:rPr>
          <w:lang w:val="fr-FR"/>
        </w:rPr>
        <w:t>e</w:t>
      </w:r>
      <w:r w:rsidR="00E46FCA" w:rsidRPr="00A3253E">
        <w:rPr>
          <w:lang w:val="fr-FR"/>
        </w:rPr>
        <w:t xml:space="preserve"> de l</w:t>
      </w:r>
      <w:r w:rsidR="00E46FCA">
        <w:rPr>
          <w:lang w:val="fr-FR"/>
        </w:rPr>
        <w:t>’</w:t>
      </w:r>
      <w:r w:rsidR="00E46FCA" w:rsidRPr="00A3253E">
        <w:rPr>
          <w:lang w:val="fr-FR"/>
        </w:rPr>
        <w:t>Irlande a proposé, dans le document informel INF.29, des modifications supplémentaires relatives aux emballages intérieurs et extérieurs. À l</w:t>
      </w:r>
      <w:r w:rsidR="00E46FCA">
        <w:rPr>
          <w:lang w:val="fr-FR"/>
        </w:rPr>
        <w:t>’</w:t>
      </w:r>
      <w:r w:rsidR="00E46FCA" w:rsidRPr="00A3253E">
        <w:rPr>
          <w:lang w:val="fr-FR"/>
        </w:rPr>
        <w:t>issue de la discussion, la Réunion commune a invité la FEAD à organiser une réunion du groupe de travail informel, pendant la période intersessions, afin de poursuivre l</w:t>
      </w:r>
      <w:r w:rsidR="00E46FCA">
        <w:rPr>
          <w:lang w:val="fr-FR"/>
        </w:rPr>
        <w:t>’</w:t>
      </w:r>
      <w:r w:rsidR="00E46FCA" w:rsidRPr="00A3253E">
        <w:rPr>
          <w:lang w:val="fr-FR"/>
        </w:rPr>
        <w:t>examen des propositions contenues dans les documents ECE/TRANS/WP.15/AC.1/2023/19 et ECE/TRANS/WP.15/AC.1/2023/20 et d</w:t>
      </w:r>
      <w:r w:rsidR="00E46FCA">
        <w:rPr>
          <w:lang w:val="fr-FR"/>
        </w:rPr>
        <w:t>’</w:t>
      </w:r>
      <w:r w:rsidR="00E46FCA" w:rsidRPr="00A3253E">
        <w:rPr>
          <w:lang w:val="fr-FR"/>
        </w:rPr>
        <w:t>en établir les versions définitives en vue de leur soumission en tant que documents officiels à la session suivante.</w:t>
      </w:r>
    </w:p>
    <w:p w14:paraId="7135EC52" w14:textId="77777777" w:rsidR="00E46FCA" w:rsidRPr="00A3253E" w:rsidRDefault="00E46FCA" w:rsidP="00E46FCA">
      <w:pPr>
        <w:pStyle w:val="H1G"/>
        <w:rPr>
          <w:lang w:val="fr-FR"/>
        </w:rPr>
      </w:pPr>
      <w:r>
        <w:rPr>
          <w:lang w:val="fr-FR"/>
        </w:rPr>
        <w:tab/>
      </w:r>
      <w:r w:rsidRPr="00A3253E">
        <w:rPr>
          <w:lang w:val="fr-FR"/>
        </w:rPr>
        <w:t>D.</w:t>
      </w:r>
      <w:r w:rsidRPr="00A3253E">
        <w:rPr>
          <w:lang w:val="fr-FR"/>
        </w:rPr>
        <w:tab/>
        <w:t xml:space="preserve">Transport de marchandises dangereuses en tant que déchets </w:t>
      </w:r>
      <w:r>
        <w:rPr>
          <w:lang w:val="fr-FR"/>
        </w:rPr>
        <w:br/>
      </w:r>
      <w:r w:rsidRPr="00A3253E">
        <w:rPr>
          <w:lang w:val="fr-FR"/>
        </w:rPr>
        <w:t>par des particuliers</w:t>
      </w:r>
    </w:p>
    <w:p w14:paraId="3CB7EED7" w14:textId="77777777" w:rsidR="00E46FCA" w:rsidRPr="00A3253E" w:rsidRDefault="00E46FCA" w:rsidP="00E46FCA">
      <w:pPr>
        <w:pStyle w:val="SingleTxtG"/>
        <w:tabs>
          <w:tab w:val="left" w:pos="3119"/>
        </w:tabs>
        <w:rPr>
          <w:lang w:val="fr-FR"/>
        </w:rPr>
      </w:pPr>
      <w:r w:rsidRPr="00A3253E">
        <w:rPr>
          <w:i/>
          <w:iCs/>
          <w:lang w:val="fr-FR"/>
        </w:rPr>
        <w:t>Document </w:t>
      </w:r>
      <w:r w:rsidRPr="00673C64">
        <w:rPr>
          <w:lang w:val="fr-FR"/>
        </w:rPr>
        <w:t>:</w:t>
      </w:r>
      <w:r w:rsidRPr="00A3253E">
        <w:rPr>
          <w:lang w:val="fr-FR"/>
        </w:rPr>
        <w:tab/>
        <w:t>ECE/TRANS/WP.15/AC.1/2023/21 (FEAD)</w:t>
      </w:r>
    </w:p>
    <w:p w14:paraId="77527B0E" w14:textId="7D2C1E74" w:rsidR="00E46FCA" w:rsidRPr="00A3253E" w:rsidRDefault="00E46FCA" w:rsidP="00E46FCA">
      <w:pPr>
        <w:pStyle w:val="SingleTxtG"/>
        <w:rPr>
          <w:lang w:val="fr-FR"/>
        </w:rPr>
      </w:pPr>
      <w:r w:rsidRPr="00A3253E">
        <w:rPr>
          <w:lang w:val="fr-FR"/>
        </w:rPr>
        <w:t>4</w:t>
      </w:r>
      <w:r w:rsidR="00656B6F">
        <w:rPr>
          <w:lang w:val="fr-FR"/>
        </w:rPr>
        <w:t>9</w:t>
      </w:r>
      <w:r w:rsidRPr="00A3253E">
        <w:rPr>
          <w:lang w:val="fr-FR"/>
        </w:rPr>
        <w:t>.</w:t>
      </w:r>
      <w:r w:rsidRPr="00A3253E">
        <w:rPr>
          <w:lang w:val="fr-FR"/>
        </w:rPr>
        <w:tab/>
        <w:t>La Réunion commune a adopté la proposition d</w:t>
      </w:r>
      <w:r>
        <w:rPr>
          <w:lang w:val="fr-FR"/>
        </w:rPr>
        <w:t>’</w:t>
      </w:r>
      <w:r w:rsidRPr="00A3253E">
        <w:rPr>
          <w:lang w:val="fr-FR"/>
        </w:rPr>
        <w:t>amendement à l</w:t>
      </w:r>
      <w:r>
        <w:rPr>
          <w:lang w:val="fr-FR"/>
        </w:rPr>
        <w:t>’</w:t>
      </w:r>
      <w:r w:rsidRPr="00A3253E">
        <w:rPr>
          <w:lang w:val="fr-FR"/>
        </w:rPr>
        <w:t>alinéa a) du</w:t>
      </w:r>
      <w:r>
        <w:rPr>
          <w:lang w:val="fr-FR"/>
        </w:rPr>
        <w:t> </w:t>
      </w:r>
      <w:r w:rsidRPr="00A3253E">
        <w:rPr>
          <w:lang w:val="fr-FR"/>
        </w:rPr>
        <w:t>1.1.3.1 moyennant une modification supplémentaire (voir l</w:t>
      </w:r>
      <w:r>
        <w:rPr>
          <w:lang w:val="fr-FR"/>
        </w:rPr>
        <w:t>’</w:t>
      </w:r>
      <w:r w:rsidRPr="00A3253E">
        <w:rPr>
          <w:lang w:val="fr-FR"/>
        </w:rPr>
        <w:t xml:space="preserve">annexe </w:t>
      </w:r>
      <w:r w:rsidR="00656B6F">
        <w:rPr>
          <w:lang w:val="fr-FR"/>
        </w:rPr>
        <w:t>II</w:t>
      </w:r>
      <w:r w:rsidRPr="00A3253E">
        <w:rPr>
          <w:lang w:val="fr-FR"/>
        </w:rPr>
        <w:t>).</w:t>
      </w:r>
    </w:p>
    <w:p w14:paraId="3247B6D5" w14:textId="77777777" w:rsidR="00E46FCA" w:rsidRPr="00A3253E" w:rsidRDefault="00E46FCA" w:rsidP="00E46FCA">
      <w:pPr>
        <w:pStyle w:val="H1G"/>
        <w:rPr>
          <w:lang w:val="fr-FR"/>
        </w:rPr>
      </w:pPr>
      <w:r>
        <w:rPr>
          <w:lang w:val="fr-FR"/>
        </w:rPr>
        <w:tab/>
      </w:r>
      <w:r w:rsidRPr="00A3253E">
        <w:rPr>
          <w:lang w:val="fr-FR"/>
        </w:rPr>
        <w:t>E.</w:t>
      </w:r>
      <w:r w:rsidRPr="00A3253E">
        <w:rPr>
          <w:lang w:val="fr-FR"/>
        </w:rPr>
        <w:tab/>
        <w:t xml:space="preserve">Transport en vrac de catégories spécifiques de déchets </w:t>
      </w:r>
      <w:r>
        <w:rPr>
          <w:lang w:val="fr-FR"/>
        </w:rPr>
        <w:br/>
      </w:r>
      <w:r w:rsidRPr="00A3253E">
        <w:rPr>
          <w:lang w:val="fr-FR"/>
        </w:rPr>
        <w:t>contenant de l</w:t>
      </w:r>
      <w:r>
        <w:rPr>
          <w:lang w:val="fr-FR"/>
        </w:rPr>
        <w:t>’</w:t>
      </w:r>
      <w:r w:rsidRPr="00A3253E">
        <w:rPr>
          <w:lang w:val="fr-FR"/>
        </w:rPr>
        <w:t>amiante (Nos</w:t>
      </w:r>
      <w:r>
        <w:rPr>
          <w:lang w:val="fr-FR"/>
        </w:rPr>
        <w:t> </w:t>
      </w:r>
      <w:r w:rsidRPr="00A3253E">
        <w:rPr>
          <w:lang w:val="fr-FR"/>
        </w:rPr>
        <w:t>ONU 2590 et 2212)</w:t>
      </w:r>
    </w:p>
    <w:p w14:paraId="043DCED7" w14:textId="77777777" w:rsidR="00E46FCA" w:rsidRPr="00A3253E" w:rsidRDefault="00E46FCA" w:rsidP="00E46FCA">
      <w:pPr>
        <w:pStyle w:val="SingleTxtG"/>
        <w:tabs>
          <w:tab w:val="left" w:pos="3119"/>
        </w:tabs>
        <w:jc w:val="left"/>
        <w:rPr>
          <w:lang w:val="fr-FR"/>
        </w:rPr>
      </w:pPr>
      <w:r w:rsidRPr="00A3253E">
        <w:rPr>
          <w:i/>
          <w:iCs/>
          <w:lang w:val="fr-FR"/>
        </w:rPr>
        <w:t xml:space="preserve">Document informel </w:t>
      </w:r>
      <w:r w:rsidRPr="00673C64">
        <w:rPr>
          <w:lang w:val="fr-FR"/>
        </w:rPr>
        <w:t>:</w:t>
      </w:r>
      <w:r w:rsidRPr="00A3253E">
        <w:rPr>
          <w:lang w:val="fr-FR"/>
        </w:rPr>
        <w:tab/>
        <w:t>INF.16 (France)</w:t>
      </w:r>
    </w:p>
    <w:p w14:paraId="5234D031" w14:textId="53A75252" w:rsidR="00E46FCA" w:rsidRPr="00A3253E" w:rsidRDefault="002A0E60" w:rsidP="00E46FCA">
      <w:pPr>
        <w:pStyle w:val="SingleTxtG"/>
        <w:rPr>
          <w:lang w:val="fr-FR"/>
        </w:rPr>
      </w:pPr>
      <w:r>
        <w:rPr>
          <w:lang w:val="fr-FR"/>
        </w:rPr>
        <w:t>50</w:t>
      </w:r>
      <w:r w:rsidR="00E46FCA" w:rsidRPr="00A3253E">
        <w:rPr>
          <w:lang w:val="fr-FR"/>
        </w:rPr>
        <w:t>.</w:t>
      </w:r>
      <w:r w:rsidR="00E46FCA" w:rsidRPr="00A3253E">
        <w:rPr>
          <w:lang w:val="fr-FR"/>
        </w:rPr>
        <w:tab/>
        <w:t>L</w:t>
      </w:r>
      <w:r w:rsidR="008C6642">
        <w:rPr>
          <w:lang w:val="fr-FR"/>
        </w:rPr>
        <w:t>a</w:t>
      </w:r>
      <w:r w:rsidR="00E46FCA" w:rsidRPr="00A3253E">
        <w:rPr>
          <w:lang w:val="fr-FR"/>
        </w:rPr>
        <w:t xml:space="preserve"> proposition contenue dans le document informel INF.16 </w:t>
      </w:r>
      <w:r w:rsidR="00B77F86">
        <w:rPr>
          <w:lang w:val="fr-FR"/>
        </w:rPr>
        <w:t>a</w:t>
      </w:r>
      <w:r w:rsidR="00E46FCA" w:rsidRPr="00A3253E">
        <w:rPr>
          <w:lang w:val="fr-FR"/>
        </w:rPr>
        <w:t xml:space="preserve"> été </w:t>
      </w:r>
      <w:r w:rsidR="00E46FCA">
        <w:rPr>
          <w:lang w:val="fr-FR"/>
        </w:rPr>
        <w:t>appuyée</w:t>
      </w:r>
      <w:r w:rsidR="00E46FCA" w:rsidRPr="00A3253E">
        <w:rPr>
          <w:lang w:val="fr-FR"/>
        </w:rPr>
        <w:t xml:space="preserve"> </w:t>
      </w:r>
      <w:r w:rsidR="00BA55FE">
        <w:rPr>
          <w:lang w:val="fr-FR"/>
        </w:rPr>
        <w:t>en</w:t>
      </w:r>
      <w:r w:rsidR="00E46FCA" w:rsidRPr="00A3253E">
        <w:rPr>
          <w:lang w:val="fr-FR"/>
        </w:rPr>
        <w:t xml:space="preserve"> principe mais </w:t>
      </w:r>
      <w:r w:rsidR="00B77F86">
        <w:rPr>
          <w:lang w:val="fr-FR"/>
        </w:rPr>
        <w:t>a</w:t>
      </w:r>
      <w:r w:rsidR="00E46FCA" w:rsidRPr="00A3253E">
        <w:rPr>
          <w:lang w:val="fr-FR"/>
        </w:rPr>
        <w:t xml:space="preserve"> fait l</w:t>
      </w:r>
      <w:r w:rsidR="00E46FCA">
        <w:rPr>
          <w:lang w:val="fr-FR"/>
        </w:rPr>
        <w:t>’</w:t>
      </w:r>
      <w:r w:rsidR="00E46FCA" w:rsidRPr="00A3253E">
        <w:rPr>
          <w:lang w:val="fr-FR"/>
        </w:rPr>
        <w:t>objet d</w:t>
      </w:r>
      <w:r w:rsidR="00E46FCA">
        <w:rPr>
          <w:lang w:val="fr-FR"/>
        </w:rPr>
        <w:t>’</w:t>
      </w:r>
      <w:r w:rsidR="00E46FCA" w:rsidRPr="00A3253E">
        <w:rPr>
          <w:lang w:val="fr-FR"/>
        </w:rPr>
        <w:t>un certain nombre d</w:t>
      </w:r>
      <w:r w:rsidR="00E46FCA">
        <w:rPr>
          <w:lang w:val="fr-FR"/>
        </w:rPr>
        <w:t>’</w:t>
      </w:r>
      <w:r w:rsidR="00E46FCA" w:rsidRPr="00A3253E">
        <w:rPr>
          <w:lang w:val="fr-FR"/>
        </w:rPr>
        <w:t>observations. Le représentant de la France a proposé de revoir la proposition et de soumettre un document officiel à la session suivante.</w:t>
      </w:r>
    </w:p>
    <w:p w14:paraId="4F23C995" w14:textId="77777777" w:rsidR="00E46FCA" w:rsidRPr="00A3253E" w:rsidRDefault="00E46FCA" w:rsidP="00E46FCA">
      <w:pPr>
        <w:pStyle w:val="H1G"/>
        <w:rPr>
          <w:lang w:val="fr-FR"/>
        </w:rPr>
      </w:pPr>
      <w:r>
        <w:rPr>
          <w:lang w:val="fr-FR"/>
        </w:rPr>
        <w:tab/>
      </w:r>
      <w:r w:rsidRPr="00A3253E">
        <w:rPr>
          <w:lang w:val="fr-FR"/>
        </w:rPr>
        <w:t>F.</w:t>
      </w:r>
      <w:r w:rsidRPr="00A3253E">
        <w:rPr>
          <w:lang w:val="fr-FR"/>
        </w:rPr>
        <w:tab/>
        <w:t>Groupe de travail informel de l</w:t>
      </w:r>
      <w:r>
        <w:rPr>
          <w:lang w:val="fr-FR"/>
        </w:rPr>
        <w:t>’</w:t>
      </w:r>
      <w:r w:rsidRPr="00A3253E">
        <w:rPr>
          <w:lang w:val="fr-FR"/>
        </w:rPr>
        <w:t>apprentissage en ligne</w:t>
      </w:r>
    </w:p>
    <w:p w14:paraId="2AF9348B" w14:textId="77777777" w:rsidR="00E46FCA" w:rsidRPr="00A3253E" w:rsidRDefault="00E46FCA" w:rsidP="00E46FCA">
      <w:pPr>
        <w:pStyle w:val="SingleTxtG"/>
        <w:tabs>
          <w:tab w:val="left" w:pos="3119"/>
        </w:tabs>
        <w:jc w:val="left"/>
        <w:rPr>
          <w:lang w:val="fr-FR"/>
        </w:rPr>
      </w:pPr>
      <w:r w:rsidRPr="00A3253E">
        <w:rPr>
          <w:i/>
          <w:iCs/>
          <w:lang w:val="fr-FR"/>
        </w:rPr>
        <w:t xml:space="preserve">Document informel </w:t>
      </w:r>
      <w:r w:rsidRPr="00673C64">
        <w:rPr>
          <w:lang w:val="fr-FR"/>
        </w:rPr>
        <w:t>:</w:t>
      </w:r>
      <w:r w:rsidRPr="00A3253E">
        <w:rPr>
          <w:lang w:val="fr-FR"/>
        </w:rPr>
        <w:tab/>
        <w:t>INF.39 (IRU)</w:t>
      </w:r>
    </w:p>
    <w:p w14:paraId="3561830D" w14:textId="550DEE74" w:rsidR="00E46FCA" w:rsidRDefault="00C1350B" w:rsidP="00E46FCA">
      <w:pPr>
        <w:pStyle w:val="SingleTxtG"/>
        <w:rPr>
          <w:lang w:val="fr-FR"/>
        </w:rPr>
      </w:pPr>
      <w:r>
        <w:rPr>
          <w:lang w:val="fr-FR"/>
        </w:rPr>
        <w:t>51</w:t>
      </w:r>
      <w:r w:rsidR="00E46FCA" w:rsidRPr="00A3253E">
        <w:rPr>
          <w:lang w:val="fr-FR"/>
        </w:rPr>
        <w:t>.</w:t>
      </w:r>
      <w:r w:rsidR="00E46FCA" w:rsidRPr="00A3253E">
        <w:rPr>
          <w:lang w:val="fr-FR"/>
        </w:rPr>
        <w:tab/>
        <w:t>La Réunion commune a pris note de l</w:t>
      </w:r>
      <w:r w:rsidR="00E46FCA">
        <w:rPr>
          <w:lang w:val="fr-FR"/>
        </w:rPr>
        <w:t>’</w:t>
      </w:r>
      <w:r w:rsidR="00E46FCA" w:rsidRPr="00A3253E">
        <w:rPr>
          <w:lang w:val="fr-FR"/>
        </w:rPr>
        <w:t>invitation formulée dans le document informel INF.39 et a encouragé toutes les délégations intéressées à participer à la prochaine réunion du groupe de travail informel, organisée par l</w:t>
      </w:r>
      <w:r w:rsidR="00E46FCA">
        <w:rPr>
          <w:lang w:val="fr-FR"/>
        </w:rPr>
        <w:t>’</w:t>
      </w:r>
      <w:r w:rsidR="00E46FCA" w:rsidRPr="00A3253E">
        <w:rPr>
          <w:lang w:val="fr-FR"/>
        </w:rPr>
        <w:t>IRU.</w:t>
      </w:r>
    </w:p>
    <w:bookmarkEnd w:id="2"/>
    <w:p w14:paraId="1FD142D5" w14:textId="77777777" w:rsidR="00E76CD5" w:rsidRPr="005048E9" w:rsidRDefault="00E76CD5" w:rsidP="00E76CD5">
      <w:pPr>
        <w:pStyle w:val="HChG"/>
        <w:rPr>
          <w:lang w:val="fr-FR"/>
        </w:rPr>
      </w:pPr>
      <w:r>
        <w:rPr>
          <w:lang w:val="fr-FR"/>
        </w:rPr>
        <w:lastRenderedPageBreak/>
        <w:tab/>
      </w:r>
      <w:r w:rsidRPr="005048E9">
        <w:rPr>
          <w:lang w:val="fr-FR"/>
        </w:rPr>
        <w:t>VIII.</w:t>
      </w:r>
      <w:r w:rsidRPr="005048E9">
        <w:rPr>
          <w:lang w:val="fr-FR"/>
        </w:rPr>
        <w:tab/>
      </w:r>
      <w:r w:rsidRPr="00460C3D">
        <w:t>Accidents</w:t>
      </w:r>
      <w:r w:rsidRPr="005048E9">
        <w:rPr>
          <w:lang w:val="fr-FR"/>
        </w:rPr>
        <w:t xml:space="preserve"> et gestion des risques (point 7 de l</w:t>
      </w:r>
      <w:r>
        <w:rPr>
          <w:lang w:val="fr-FR"/>
        </w:rPr>
        <w:t>’</w:t>
      </w:r>
      <w:r w:rsidRPr="005048E9">
        <w:rPr>
          <w:lang w:val="fr-FR"/>
        </w:rPr>
        <w:t>ordre du jour)</w:t>
      </w:r>
    </w:p>
    <w:p w14:paraId="39FDB8A0" w14:textId="77777777" w:rsidR="00E76CD5" w:rsidRPr="005048E9" w:rsidRDefault="00E76CD5" w:rsidP="00E76CD5">
      <w:pPr>
        <w:pStyle w:val="H1G"/>
        <w:rPr>
          <w:lang w:val="fr-FR"/>
        </w:rPr>
      </w:pPr>
      <w:r>
        <w:rPr>
          <w:lang w:val="fr-FR"/>
        </w:rPr>
        <w:tab/>
      </w:r>
      <w:r w:rsidRPr="005048E9">
        <w:rPr>
          <w:lang w:val="fr-FR"/>
        </w:rPr>
        <w:t>A.</w:t>
      </w:r>
      <w:r w:rsidRPr="005048E9">
        <w:rPr>
          <w:lang w:val="fr-FR"/>
        </w:rPr>
        <w:tab/>
        <w:t>Rapport de la réunion de coordination tenue le 15</w:t>
      </w:r>
      <w:r>
        <w:rPr>
          <w:lang w:val="fr-FR"/>
        </w:rPr>
        <w:t> </w:t>
      </w:r>
      <w:r w:rsidRPr="005048E9">
        <w:rPr>
          <w:lang w:val="fr-FR"/>
        </w:rPr>
        <w:t xml:space="preserve">décembre 2022 </w:t>
      </w:r>
      <w:r>
        <w:rPr>
          <w:lang w:val="fr-FR"/>
        </w:rPr>
        <w:br/>
      </w:r>
      <w:r w:rsidRPr="005048E9">
        <w:rPr>
          <w:lang w:val="fr-FR"/>
        </w:rPr>
        <w:t>sur l</w:t>
      </w:r>
      <w:r>
        <w:rPr>
          <w:lang w:val="fr-FR"/>
        </w:rPr>
        <w:t>’</w:t>
      </w:r>
      <w:r w:rsidRPr="005048E9">
        <w:rPr>
          <w:lang w:val="fr-FR"/>
        </w:rPr>
        <w:t>amélioration du signalement d</w:t>
      </w:r>
      <w:r>
        <w:rPr>
          <w:lang w:val="fr-FR"/>
        </w:rPr>
        <w:t>’</w:t>
      </w:r>
      <w:r w:rsidRPr="005048E9">
        <w:rPr>
          <w:lang w:val="fr-FR"/>
        </w:rPr>
        <w:t>incidents de transport de marchandises dangereuses</w:t>
      </w:r>
    </w:p>
    <w:p w14:paraId="55A0A465" w14:textId="2196B7FF" w:rsidR="00E76CD5" w:rsidRPr="005048E9" w:rsidRDefault="00E76CD5" w:rsidP="00E76CD5">
      <w:pPr>
        <w:pStyle w:val="SingleTxtG"/>
        <w:tabs>
          <w:tab w:val="left" w:pos="3119"/>
        </w:tabs>
        <w:jc w:val="left"/>
        <w:rPr>
          <w:lang w:val="fr-FR"/>
        </w:rPr>
      </w:pPr>
      <w:r w:rsidRPr="005048E9">
        <w:rPr>
          <w:i/>
          <w:iCs/>
          <w:lang w:val="fr-FR"/>
        </w:rPr>
        <w:t>Document informel</w:t>
      </w:r>
      <w:r w:rsidRPr="00460C3D">
        <w:rPr>
          <w:lang w:val="fr-FR"/>
        </w:rPr>
        <w:t> :</w:t>
      </w:r>
      <w:r w:rsidRPr="005048E9">
        <w:rPr>
          <w:lang w:val="fr-FR"/>
        </w:rPr>
        <w:tab/>
        <w:t>INF.25 (ERA)</w:t>
      </w:r>
    </w:p>
    <w:p w14:paraId="0ECFA178" w14:textId="2E1D6EDB" w:rsidR="00E76CD5" w:rsidRPr="005048E9" w:rsidRDefault="00FB0147" w:rsidP="00E76CD5">
      <w:pPr>
        <w:pStyle w:val="SingleTxtG"/>
        <w:rPr>
          <w:lang w:val="fr-FR"/>
        </w:rPr>
      </w:pPr>
      <w:r>
        <w:rPr>
          <w:lang w:val="fr-FR"/>
        </w:rPr>
        <w:t>52</w:t>
      </w:r>
      <w:r w:rsidR="00E76CD5" w:rsidRPr="005048E9">
        <w:rPr>
          <w:lang w:val="fr-FR"/>
        </w:rPr>
        <w:t>.</w:t>
      </w:r>
      <w:r w:rsidR="00E76CD5" w:rsidRPr="005048E9">
        <w:rPr>
          <w:lang w:val="fr-FR"/>
        </w:rPr>
        <w:tab/>
        <w:t>La Réunion commune a pris note des informations fournies par l</w:t>
      </w:r>
      <w:r w:rsidR="00E76CD5">
        <w:rPr>
          <w:lang w:val="fr-FR"/>
        </w:rPr>
        <w:t>’</w:t>
      </w:r>
      <w:r w:rsidR="00E76CD5" w:rsidRPr="005048E9">
        <w:rPr>
          <w:lang w:val="fr-FR"/>
        </w:rPr>
        <w:t>ERA dans le document informel INF.25 et a convenu de la nécessité de poursuivre les travaux et d</w:t>
      </w:r>
      <w:r w:rsidR="00E76CD5">
        <w:rPr>
          <w:lang w:val="fr-FR"/>
        </w:rPr>
        <w:t>’</w:t>
      </w:r>
      <w:r w:rsidR="00E76CD5" w:rsidRPr="005048E9">
        <w:rPr>
          <w:lang w:val="fr-FR"/>
        </w:rPr>
        <w:t>organiser des réunions de coordination supplémentaires.</w:t>
      </w:r>
    </w:p>
    <w:p w14:paraId="4E7225DA" w14:textId="3A3298C8" w:rsidR="00E76CD5" w:rsidRPr="005048E9" w:rsidRDefault="00E76CD5" w:rsidP="00E76CD5">
      <w:pPr>
        <w:pStyle w:val="H1G"/>
        <w:rPr>
          <w:lang w:val="fr-FR"/>
        </w:rPr>
      </w:pPr>
      <w:r>
        <w:rPr>
          <w:lang w:val="fr-FR"/>
        </w:rPr>
        <w:tab/>
      </w:r>
      <w:r w:rsidRPr="005048E9">
        <w:rPr>
          <w:lang w:val="fr-FR"/>
        </w:rPr>
        <w:t>B.</w:t>
      </w:r>
      <w:r w:rsidRPr="005048E9">
        <w:rPr>
          <w:lang w:val="fr-FR"/>
        </w:rPr>
        <w:tab/>
        <w:t>Groupe de travail informel de l</w:t>
      </w:r>
      <w:r>
        <w:rPr>
          <w:lang w:val="fr-FR"/>
        </w:rPr>
        <w:t>’</w:t>
      </w:r>
      <w:r w:rsidRPr="005048E9">
        <w:rPr>
          <w:lang w:val="fr-FR"/>
        </w:rPr>
        <w:t>amélioration du rapport d</w:t>
      </w:r>
      <w:r>
        <w:rPr>
          <w:lang w:val="fr-FR"/>
        </w:rPr>
        <w:t>’</w:t>
      </w:r>
      <w:r w:rsidRPr="005048E9">
        <w:rPr>
          <w:lang w:val="fr-FR"/>
        </w:rPr>
        <w:t>incident</w:t>
      </w:r>
      <w:r>
        <w:rPr>
          <w:lang w:val="fr-FR"/>
        </w:rPr>
        <w:t> </w:t>
      </w:r>
      <w:r w:rsidRPr="005048E9">
        <w:rPr>
          <w:lang w:val="fr-FR"/>
        </w:rPr>
        <w:t>: informations en complément du document informel INF.25</w:t>
      </w:r>
    </w:p>
    <w:p w14:paraId="0C22EAF3" w14:textId="421C0699" w:rsidR="00E76CD5" w:rsidRPr="005048E9" w:rsidRDefault="00E76CD5" w:rsidP="00E76CD5">
      <w:pPr>
        <w:pStyle w:val="SingleTxtG"/>
        <w:tabs>
          <w:tab w:val="left" w:pos="3119"/>
        </w:tabs>
        <w:jc w:val="left"/>
        <w:rPr>
          <w:lang w:val="fr-FR"/>
        </w:rPr>
      </w:pPr>
      <w:r w:rsidRPr="005048E9">
        <w:rPr>
          <w:i/>
          <w:iCs/>
          <w:lang w:val="fr-FR"/>
        </w:rPr>
        <w:t>Document informel</w:t>
      </w:r>
      <w:r w:rsidRPr="00460C3D">
        <w:rPr>
          <w:lang w:val="fr-FR"/>
        </w:rPr>
        <w:t> :</w:t>
      </w:r>
      <w:r w:rsidRPr="005048E9">
        <w:rPr>
          <w:lang w:val="fr-FR"/>
        </w:rPr>
        <w:tab/>
        <w:t>INF.27 (France)</w:t>
      </w:r>
    </w:p>
    <w:p w14:paraId="329C1C15" w14:textId="48360289" w:rsidR="00E76CD5" w:rsidRPr="005048E9" w:rsidRDefault="00E76CD5" w:rsidP="00E76CD5">
      <w:pPr>
        <w:pStyle w:val="SingleTxtG"/>
        <w:rPr>
          <w:lang w:val="fr-FR"/>
        </w:rPr>
      </w:pPr>
      <w:r w:rsidRPr="005048E9">
        <w:rPr>
          <w:lang w:val="fr-FR"/>
        </w:rPr>
        <w:t>5</w:t>
      </w:r>
      <w:r w:rsidR="00292718">
        <w:rPr>
          <w:lang w:val="fr-FR"/>
        </w:rPr>
        <w:t>3</w:t>
      </w:r>
      <w:r w:rsidRPr="005048E9">
        <w:rPr>
          <w:lang w:val="fr-FR"/>
        </w:rPr>
        <w:t>.</w:t>
      </w:r>
      <w:r w:rsidRPr="005048E9">
        <w:rPr>
          <w:lang w:val="fr-FR"/>
        </w:rPr>
        <w:tab/>
        <w:t>La Réunion commune a pris note des informations fournies par la France dans le document informel INF.27 et a rappelé le mandat qui y est annexé. Elle a également pris note des projets de rapports d</w:t>
      </w:r>
      <w:r>
        <w:rPr>
          <w:lang w:val="fr-FR"/>
        </w:rPr>
        <w:t>’</w:t>
      </w:r>
      <w:r w:rsidRPr="005048E9">
        <w:rPr>
          <w:lang w:val="fr-FR"/>
        </w:rPr>
        <w:t>incident annexés au document</w:t>
      </w:r>
      <w:r>
        <w:rPr>
          <w:lang w:val="fr-FR"/>
        </w:rPr>
        <w:t xml:space="preserve"> et </w:t>
      </w:r>
      <w:r w:rsidRPr="005048E9">
        <w:rPr>
          <w:lang w:val="fr-FR"/>
        </w:rPr>
        <w:t>a remercié la France d</w:t>
      </w:r>
      <w:r>
        <w:rPr>
          <w:lang w:val="fr-FR"/>
        </w:rPr>
        <w:t>’</w:t>
      </w:r>
      <w:r w:rsidRPr="005048E9">
        <w:rPr>
          <w:lang w:val="fr-FR"/>
        </w:rPr>
        <w:t>avoir présenté son système de déclaration en ligne des incidents.</w:t>
      </w:r>
    </w:p>
    <w:p w14:paraId="29EE2720" w14:textId="5B0C0B46" w:rsidR="00E76CD5" w:rsidRPr="005048E9" w:rsidRDefault="00E76CD5" w:rsidP="00E76CD5">
      <w:pPr>
        <w:pStyle w:val="SingleTxtG"/>
        <w:rPr>
          <w:lang w:val="fr-FR"/>
        </w:rPr>
      </w:pPr>
      <w:r w:rsidRPr="005048E9">
        <w:rPr>
          <w:lang w:val="fr-FR"/>
        </w:rPr>
        <w:t>5</w:t>
      </w:r>
      <w:r w:rsidR="00001442">
        <w:rPr>
          <w:lang w:val="fr-FR"/>
        </w:rPr>
        <w:t>4</w:t>
      </w:r>
      <w:r w:rsidRPr="005048E9">
        <w:rPr>
          <w:lang w:val="fr-FR"/>
        </w:rPr>
        <w:t>.</w:t>
      </w:r>
      <w:r w:rsidRPr="005048E9">
        <w:rPr>
          <w:lang w:val="fr-FR"/>
        </w:rPr>
        <w:tab/>
        <w:t>La Réunion commune est convenue que les activités du groupe de travail devaient se poursuivre, en tenant compte des nouvelles circonstances et des nouveaux objectifs tels que la protection des données, la possibilité d</w:t>
      </w:r>
      <w:r>
        <w:rPr>
          <w:lang w:val="fr-FR"/>
        </w:rPr>
        <w:t>’</w:t>
      </w:r>
      <w:r w:rsidRPr="005048E9">
        <w:rPr>
          <w:lang w:val="fr-FR"/>
        </w:rPr>
        <w:t>élargir ou de réviser les incidents, la réalisation d</w:t>
      </w:r>
      <w:r>
        <w:rPr>
          <w:lang w:val="fr-FR"/>
        </w:rPr>
        <w:t>’</w:t>
      </w:r>
      <w:r w:rsidRPr="005048E9">
        <w:rPr>
          <w:lang w:val="fr-FR"/>
        </w:rPr>
        <w:t>analyses individuelles ou comparatives, et la création de systèmes nationaux, régionaux et mondiaux. Elle a salué l</w:t>
      </w:r>
      <w:r>
        <w:rPr>
          <w:lang w:val="fr-FR"/>
        </w:rPr>
        <w:t>’</w:t>
      </w:r>
      <w:r w:rsidRPr="005048E9">
        <w:rPr>
          <w:lang w:val="fr-FR"/>
        </w:rPr>
        <w:t>initiative de la France d</w:t>
      </w:r>
      <w:r>
        <w:rPr>
          <w:lang w:val="fr-FR"/>
        </w:rPr>
        <w:t>’</w:t>
      </w:r>
      <w:r w:rsidRPr="005048E9">
        <w:rPr>
          <w:lang w:val="fr-FR"/>
        </w:rPr>
        <w:t>organiser une nouvelle réunion en présentiel, qui se tiendra</w:t>
      </w:r>
      <w:r w:rsidR="00192372">
        <w:rPr>
          <w:lang w:val="fr-FR"/>
        </w:rPr>
        <w:t>it</w:t>
      </w:r>
      <w:r w:rsidRPr="005048E9">
        <w:rPr>
          <w:lang w:val="fr-FR"/>
        </w:rPr>
        <w:t xml:space="preserve"> en principe en octobre 2023.</w:t>
      </w:r>
    </w:p>
    <w:p w14:paraId="6280486F" w14:textId="77777777" w:rsidR="00E76CD5" w:rsidRPr="005048E9" w:rsidRDefault="00E76CD5" w:rsidP="00E76CD5">
      <w:pPr>
        <w:pStyle w:val="HChG"/>
        <w:rPr>
          <w:lang w:val="fr-FR"/>
        </w:rPr>
      </w:pPr>
      <w:r>
        <w:rPr>
          <w:lang w:val="fr-FR"/>
        </w:rPr>
        <w:tab/>
      </w:r>
      <w:r w:rsidRPr="005048E9">
        <w:rPr>
          <w:lang w:val="fr-FR"/>
        </w:rPr>
        <w:t>IX.</w:t>
      </w:r>
      <w:r w:rsidRPr="005048E9">
        <w:rPr>
          <w:lang w:val="fr-FR"/>
        </w:rPr>
        <w:tab/>
        <w:t>Travaux futurs (point 8 de l</w:t>
      </w:r>
      <w:r>
        <w:rPr>
          <w:lang w:val="fr-FR"/>
        </w:rPr>
        <w:t>’</w:t>
      </w:r>
      <w:r w:rsidRPr="005048E9">
        <w:rPr>
          <w:lang w:val="fr-FR"/>
        </w:rPr>
        <w:t>ordre du jour)</w:t>
      </w:r>
    </w:p>
    <w:p w14:paraId="6E67A92E" w14:textId="5EAA9735" w:rsidR="00E76CD5" w:rsidRPr="005048E9" w:rsidRDefault="00E76CD5" w:rsidP="00E76CD5">
      <w:pPr>
        <w:pStyle w:val="SingleTxtG"/>
        <w:rPr>
          <w:lang w:val="fr-FR"/>
        </w:rPr>
      </w:pPr>
      <w:r w:rsidRPr="005048E9">
        <w:rPr>
          <w:lang w:val="fr-FR"/>
        </w:rPr>
        <w:t>5</w:t>
      </w:r>
      <w:r w:rsidR="00E23F4D">
        <w:rPr>
          <w:lang w:val="fr-FR"/>
        </w:rPr>
        <w:t>5</w:t>
      </w:r>
      <w:r w:rsidRPr="005048E9">
        <w:rPr>
          <w:lang w:val="fr-FR"/>
        </w:rPr>
        <w:t>.</w:t>
      </w:r>
      <w:r w:rsidRPr="005048E9">
        <w:rPr>
          <w:lang w:val="fr-FR"/>
        </w:rPr>
        <w:tab/>
        <w:t>La Réunion commune a noté que la prochaine session du Groupe de travail spécial de l</w:t>
      </w:r>
      <w:r>
        <w:rPr>
          <w:lang w:val="fr-FR"/>
        </w:rPr>
        <w:t>’</w:t>
      </w:r>
      <w:r w:rsidRPr="005048E9">
        <w:rPr>
          <w:lang w:val="fr-FR"/>
        </w:rPr>
        <w:t>harmonisation des Règlements RID, ADR et ADN avec les Recommandations de l</w:t>
      </w:r>
      <w:r>
        <w:rPr>
          <w:lang w:val="fr-FR"/>
        </w:rPr>
        <w:t>’</w:t>
      </w:r>
      <w:r w:rsidRPr="005048E9">
        <w:rPr>
          <w:lang w:val="fr-FR"/>
        </w:rPr>
        <w:t>ONU relatives au transport des marchandises dangereuses se tiendrait du 26 au 27</w:t>
      </w:r>
      <w:r>
        <w:rPr>
          <w:lang w:val="fr-FR"/>
        </w:rPr>
        <w:t> </w:t>
      </w:r>
      <w:r w:rsidRPr="005048E9">
        <w:rPr>
          <w:lang w:val="fr-FR"/>
        </w:rPr>
        <w:t>avril 2023, uniquement en présentiel.</w:t>
      </w:r>
    </w:p>
    <w:p w14:paraId="19D24844" w14:textId="5177C171" w:rsidR="00E76CD5" w:rsidRPr="005048E9" w:rsidRDefault="00E76CD5" w:rsidP="00E76CD5">
      <w:pPr>
        <w:pStyle w:val="SingleTxtG"/>
        <w:rPr>
          <w:lang w:val="fr-FR"/>
        </w:rPr>
      </w:pPr>
      <w:r w:rsidRPr="005048E9">
        <w:rPr>
          <w:lang w:val="fr-FR"/>
        </w:rPr>
        <w:t>5</w:t>
      </w:r>
      <w:r w:rsidR="00033200">
        <w:rPr>
          <w:lang w:val="fr-FR"/>
        </w:rPr>
        <w:t>6</w:t>
      </w:r>
      <w:r w:rsidRPr="005048E9">
        <w:rPr>
          <w:lang w:val="fr-FR"/>
        </w:rPr>
        <w:t>.</w:t>
      </w:r>
      <w:r w:rsidRPr="005048E9">
        <w:rPr>
          <w:lang w:val="fr-FR"/>
        </w:rPr>
        <w:tab/>
        <w:t>L</w:t>
      </w:r>
      <w:r>
        <w:rPr>
          <w:lang w:val="fr-FR"/>
        </w:rPr>
        <w:t>’</w:t>
      </w:r>
      <w:r w:rsidRPr="005048E9">
        <w:rPr>
          <w:lang w:val="fr-FR"/>
        </w:rPr>
        <w:t>Office des Nations</w:t>
      </w:r>
      <w:r>
        <w:rPr>
          <w:lang w:val="fr-FR"/>
        </w:rPr>
        <w:t> </w:t>
      </w:r>
      <w:r w:rsidRPr="005048E9">
        <w:rPr>
          <w:lang w:val="fr-FR"/>
        </w:rPr>
        <w:t>Unies à Genève a souhaité reprendre ses activités habituelles dans le contexte de la reprise mondiale à la suite de la pandémie de COVID-19. Ainsi, la session suivante se tiendra du 19 au 29</w:t>
      </w:r>
      <w:r>
        <w:rPr>
          <w:lang w:val="fr-FR"/>
        </w:rPr>
        <w:t> </w:t>
      </w:r>
      <w:r w:rsidRPr="005048E9">
        <w:rPr>
          <w:lang w:val="fr-FR"/>
        </w:rPr>
        <w:t>septembre 2023, en présentiel uniquement. La date limite de soumission des documents officiels a été fixée au 23</w:t>
      </w:r>
      <w:r>
        <w:rPr>
          <w:lang w:val="fr-FR"/>
        </w:rPr>
        <w:t> </w:t>
      </w:r>
      <w:r w:rsidRPr="005048E9">
        <w:rPr>
          <w:lang w:val="fr-FR"/>
        </w:rPr>
        <w:t>juin 2023.</w:t>
      </w:r>
    </w:p>
    <w:p w14:paraId="332B2A9A" w14:textId="77777777" w:rsidR="00E76CD5" w:rsidRPr="005048E9" w:rsidRDefault="00E76CD5" w:rsidP="00E76CD5">
      <w:pPr>
        <w:pStyle w:val="H1G"/>
        <w:rPr>
          <w:lang w:val="fr-FR"/>
        </w:rPr>
      </w:pPr>
      <w:r w:rsidRPr="005048E9">
        <w:rPr>
          <w:lang w:val="fr-FR"/>
        </w:rPr>
        <w:tab/>
      </w:r>
      <w:r w:rsidRPr="005048E9">
        <w:rPr>
          <w:lang w:val="fr-FR"/>
        </w:rPr>
        <w:tab/>
        <w:t>Références à l</w:t>
      </w:r>
      <w:r>
        <w:rPr>
          <w:lang w:val="fr-FR"/>
        </w:rPr>
        <w:t>’</w:t>
      </w:r>
      <w:r w:rsidRPr="005048E9">
        <w:rPr>
          <w:lang w:val="fr-FR"/>
        </w:rPr>
        <w:t>autorité compétente dans le RID, l</w:t>
      </w:r>
      <w:r>
        <w:rPr>
          <w:lang w:val="fr-FR"/>
        </w:rPr>
        <w:t>’</w:t>
      </w:r>
      <w:r w:rsidRPr="005048E9">
        <w:rPr>
          <w:lang w:val="fr-FR"/>
        </w:rPr>
        <w:t>ADR et l</w:t>
      </w:r>
      <w:r>
        <w:rPr>
          <w:lang w:val="fr-FR"/>
        </w:rPr>
        <w:t>’</w:t>
      </w:r>
      <w:r w:rsidRPr="005048E9">
        <w:rPr>
          <w:lang w:val="fr-FR"/>
        </w:rPr>
        <w:t>ADN</w:t>
      </w:r>
      <w:r>
        <w:rPr>
          <w:lang w:val="fr-FR"/>
        </w:rPr>
        <w:t> </w:t>
      </w:r>
      <w:r w:rsidRPr="005048E9">
        <w:rPr>
          <w:lang w:val="fr-FR"/>
        </w:rPr>
        <w:t>: proposition de mandat d</w:t>
      </w:r>
      <w:r>
        <w:rPr>
          <w:lang w:val="fr-FR"/>
        </w:rPr>
        <w:t>’</w:t>
      </w:r>
      <w:r w:rsidRPr="005048E9">
        <w:rPr>
          <w:lang w:val="fr-FR"/>
        </w:rPr>
        <w:t>un groupe de travail informel</w:t>
      </w:r>
    </w:p>
    <w:p w14:paraId="1A0E1DE1" w14:textId="7A44E92F" w:rsidR="00E76CD5" w:rsidRPr="005048E9" w:rsidRDefault="00E76CD5" w:rsidP="00E76CD5">
      <w:pPr>
        <w:pStyle w:val="SingleTxtG"/>
        <w:tabs>
          <w:tab w:val="left" w:pos="3119"/>
        </w:tabs>
        <w:rPr>
          <w:lang w:val="fr-FR"/>
        </w:rPr>
      </w:pPr>
      <w:r w:rsidRPr="005048E9">
        <w:rPr>
          <w:i/>
          <w:iCs/>
          <w:lang w:val="fr-FR"/>
        </w:rPr>
        <w:t>Document</w:t>
      </w:r>
      <w:r w:rsidRPr="00460C3D">
        <w:rPr>
          <w:lang w:val="fr-FR"/>
        </w:rPr>
        <w:t> :</w:t>
      </w:r>
      <w:r w:rsidRPr="005048E9">
        <w:rPr>
          <w:lang w:val="fr-FR"/>
        </w:rPr>
        <w:tab/>
        <w:t>ECE/TRANS/WP.15/AC.1/2023/17 (Suisse)</w:t>
      </w:r>
    </w:p>
    <w:p w14:paraId="2A9D029A" w14:textId="40B2A7CF" w:rsidR="00E76CD5" w:rsidRPr="005048E9" w:rsidRDefault="00E76CD5" w:rsidP="00E76CD5">
      <w:pPr>
        <w:pStyle w:val="SingleTxtG"/>
        <w:tabs>
          <w:tab w:val="left" w:pos="3119"/>
        </w:tabs>
        <w:jc w:val="left"/>
        <w:rPr>
          <w:lang w:val="fr-FR"/>
        </w:rPr>
      </w:pPr>
      <w:r w:rsidRPr="005048E9">
        <w:rPr>
          <w:i/>
          <w:iCs/>
          <w:lang w:val="fr-FR"/>
        </w:rPr>
        <w:t>Document informel</w:t>
      </w:r>
      <w:r>
        <w:rPr>
          <w:lang w:val="fr-FR"/>
        </w:rPr>
        <w:t> </w:t>
      </w:r>
      <w:r w:rsidRPr="00460C3D">
        <w:rPr>
          <w:lang w:val="fr-FR"/>
        </w:rPr>
        <w:t>:</w:t>
      </w:r>
      <w:r w:rsidRPr="005048E9">
        <w:rPr>
          <w:lang w:val="fr-FR"/>
        </w:rPr>
        <w:tab/>
        <w:t>INF.3 (Suisse)</w:t>
      </w:r>
    </w:p>
    <w:p w14:paraId="64799AD2" w14:textId="39C491DB" w:rsidR="00E76CD5" w:rsidRDefault="00E76CD5" w:rsidP="00E76CD5">
      <w:pPr>
        <w:pStyle w:val="SingleTxtG"/>
        <w:rPr>
          <w:lang w:val="fr-FR"/>
        </w:rPr>
      </w:pPr>
      <w:r w:rsidRPr="005048E9">
        <w:rPr>
          <w:lang w:val="fr-FR"/>
        </w:rPr>
        <w:t>5</w:t>
      </w:r>
      <w:r w:rsidR="00EB6808">
        <w:rPr>
          <w:lang w:val="fr-FR"/>
        </w:rPr>
        <w:t>7</w:t>
      </w:r>
      <w:r w:rsidRPr="005048E9">
        <w:rPr>
          <w:lang w:val="fr-FR"/>
        </w:rPr>
        <w:t>.</w:t>
      </w:r>
      <w:r w:rsidRPr="005048E9">
        <w:rPr>
          <w:lang w:val="fr-FR"/>
        </w:rPr>
        <w:tab/>
        <w:t xml:space="preserve">La Réunion commune a décidé de créer un groupe de travail informel </w:t>
      </w:r>
      <w:r w:rsidR="00A93E08">
        <w:rPr>
          <w:lang w:val="fr-FR"/>
        </w:rPr>
        <w:t>sur les</w:t>
      </w:r>
      <w:r w:rsidRPr="005048E9">
        <w:rPr>
          <w:lang w:val="fr-FR"/>
        </w:rPr>
        <w:t xml:space="preserve"> références aux autorités compétentes et a adopté le mandat proposé au paragraphe</w:t>
      </w:r>
      <w:r>
        <w:rPr>
          <w:lang w:val="fr-FR"/>
        </w:rPr>
        <w:t> </w:t>
      </w:r>
      <w:r w:rsidRPr="005048E9">
        <w:rPr>
          <w:lang w:val="fr-FR"/>
        </w:rPr>
        <w:t>10 du document ECE/TRANS/WP.15/AC.1/2023/17. Elle a pris note des informations détaillées fournies dans le document informel INF.3, notamment une liste actualisée de toutes les références faites dans l</w:t>
      </w:r>
      <w:r>
        <w:rPr>
          <w:lang w:val="fr-FR"/>
        </w:rPr>
        <w:t>’</w:t>
      </w:r>
      <w:r w:rsidRPr="005048E9">
        <w:rPr>
          <w:lang w:val="fr-FR"/>
        </w:rPr>
        <w:t>ADR, afin de faciliter les discussions au sein du groupe de travail informel. La</w:t>
      </w:r>
      <w:r>
        <w:rPr>
          <w:lang w:val="fr-FR"/>
        </w:rPr>
        <w:t> </w:t>
      </w:r>
      <w:r w:rsidRPr="005048E9">
        <w:rPr>
          <w:lang w:val="fr-FR"/>
        </w:rPr>
        <w:t>Réunion commune a accueilli favorablement l</w:t>
      </w:r>
      <w:r>
        <w:rPr>
          <w:lang w:val="fr-FR"/>
        </w:rPr>
        <w:t>’</w:t>
      </w:r>
      <w:r w:rsidRPr="005048E9">
        <w:rPr>
          <w:lang w:val="fr-FR"/>
        </w:rPr>
        <w:t>offre de la Suisse d</w:t>
      </w:r>
      <w:r>
        <w:rPr>
          <w:lang w:val="fr-FR"/>
        </w:rPr>
        <w:t>’</w:t>
      </w:r>
      <w:r w:rsidRPr="005048E9">
        <w:rPr>
          <w:lang w:val="fr-FR"/>
        </w:rPr>
        <w:t>organiser prochainement une réunion virtuelle de lancement afin de discuter du règlement intérieur et de la meilleure façon de procéder. Tous les représentants ont été invités à participer aux réunions du groupes de travail informel et à faire part de leur intérêt à la représentante de la Suisse (</w:t>
      </w:r>
      <w:hyperlink r:id="rId12" w:history="1">
        <w:r w:rsidR="004673A6" w:rsidRPr="004673A6">
          <w:rPr>
            <w:rStyle w:val="Lienhypertexte"/>
            <w:lang w:val="fr-FR"/>
          </w:rPr>
          <w:t>valerie.blanchard@astra.admin.ch</w:t>
        </w:r>
      </w:hyperlink>
      <w:r w:rsidRPr="005048E9">
        <w:rPr>
          <w:lang w:val="fr-FR"/>
        </w:rPr>
        <w:t>). Il a été noté qu</w:t>
      </w:r>
      <w:r>
        <w:rPr>
          <w:lang w:val="fr-FR"/>
        </w:rPr>
        <w:t>’</w:t>
      </w:r>
      <w:r w:rsidRPr="005048E9">
        <w:rPr>
          <w:lang w:val="fr-FR"/>
        </w:rPr>
        <w:t>une nouvelle réunion en présentiel serait organisée à l</w:t>
      </w:r>
      <w:r>
        <w:rPr>
          <w:lang w:val="fr-FR"/>
        </w:rPr>
        <w:t>’</w:t>
      </w:r>
      <w:r w:rsidRPr="005048E9">
        <w:rPr>
          <w:lang w:val="fr-FR"/>
        </w:rPr>
        <w:t>occasion de la session d</w:t>
      </w:r>
      <w:r>
        <w:rPr>
          <w:lang w:val="fr-FR"/>
        </w:rPr>
        <w:t>’</w:t>
      </w:r>
      <w:r w:rsidRPr="005048E9">
        <w:rPr>
          <w:lang w:val="fr-FR"/>
        </w:rPr>
        <w:t>automne de la Réunion commune.</w:t>
      </w:r>
    </w:p>
    <w:p w14:paraId="418A4F4D" w14:textId="77777777" w:rsidR="00CE1D1A" w:rsidRPr="00661211" w:rsidRDefault="00CE1D1A" w:rsidP="00CE1D1A">
      <w:pPr>
        <w:pStyle w:val="HChG"/>
      </w:pPr>
      <w:r>
        <w:rPr>
          <w:bCs/>
          <w:lang w:val="fr-FR"/>
        </w:rPr>
        <w:lastRenderedPageBreak/>
        <w:tab/>
        <w:t>X.</w:t>
      </w:r>
      <w:r>
        <w:rPr>
          <w:lang w:val="fr-FR"/>
        </w:rPr>
        <w:tab/>
      </w:r>
      <w:r>
        <w:rPr>
          <w:bCs/>
          <w:lang w:val="fr-FR"/>
        </w:rPr>
        <w:t>Questions diverses (point 9 de l’ordre du jour)</w:t>
      </w:r>
    </w:p>
    <w:p w14:paraId="6E07BE0D" w14:textId="77777777" w:rsidR="0068033D" w:rsidRPr="00661211" w:rsidRDefault="0068033D" w:rsidP="0068033D">
      <w:pPr>
        <w:pStyle w:val="H1G"/>
      </w:pPr>
      <w:r>
        <w:rPr>
          <w:bCs/>
          <w:lang w:val="fr-FR"/>
        </w:rPr>
        <w:tab/>
        <w:t>A.</w:t>
      </w:r>
      <w:r>
        <w:rPr>
          <w:lang w:val="fr-FR"/>
        </w:rPr>
        <w:tab/>
      </w:r>
      <w:r>
        <w:rPr>
          <w:bCs/>
          <w:lang w:val="fr-FR"/>
        </w:rPr>
        <w:t>Directives pour l’utilisation du 5.4.0.2 dans le RID, l’ADR et l’ADN</w:t>
      </w:r>
    </w:p>
    <w:p w14:paraId="3A12EA8A" w14:textId="451C595F" w:rsidR="0068033D" w:rsidRPr="00661211" w:rsidRDefault="0068033D" w:rsidP="0068033D">
      <w:pPr>
        <w:pStyle w:val="SingleTxtG"/>
      </w:pPr>
      <w:r>
        <w:rPr>
          <w:lang w:val="fr-FR"/>
        </w:rPr>
        <w:t>5</w:t>
      </w:r>
      <w:r w:rsidR="004673A6">
        <w:rPr>
          <w:lang w:val="fr-FR"/>
        </w:rPr>
        <w:t>8</w:t>
      </w:r>
      <w:r>
        <w:rPr>
          <w:lang w:val="fr-FR"/>
        </w:rPr>
        <w:t>.</w:t>
      </w:r>
      <w:r>
        <w:rPr>
          <w:lang w:val="fr-FR"/>
        </w:rPr>
        <w:tab/>
        <w:t>Aucun document n’ayant été soumis au titre de ce point de l’ordre du jour, cette question n’a fait l’objet d’aucun échange de vues.</w:t>
      </w:r>
    </w:p>
    <w:p w14:paraId="02BC86AE" w14:textId="77777777" w:rsidR="0068033D" w:rsidRPr="00661211" w:rsidRDefault="0068033D" w:rsidP="0068033D">
      <w:pPr>
        <w:pStyle w:val="H1G"/>
      </w:pPr>
      <w:r>
        <w:rPr>
          <w:bCs/>
          <w:lang w:val="fr-FR"/>
        </w:rPr>
        <w:tab/>
        <w:t>B.</w:t>
      </w:r>
      <w:r>
        <w:rPr>
          <w:lang w:val="fr-FR"/>
        </w:rPr>
        <w:tab/>
      </w:r>
      <w:r>
        <w:rPr>
          <w:bCs/>
          <w:lang w:val="fr-FR"/>
        </w:rPr>
        <w:t>Économie circulaire et objectifs de développement durable</w:t>
      </w:r>
    </w:p>
    <w:p w14:paraId="15876CD2" w14:textId="6B9D710B" w:rsidR="0068033D" w:rsidRPr="00661211" w:rsidRDefault="0068033D" w:rsidP="0068033D">
      <w:pPr>
        <w:pStyle w:val="H23G"/>
      </w:pPr>
      <w:r>
        <w:rPr>
          <w:lang w:val="fr-FR"/>
        </w:rPr>
        <w:tab/>
        <w:t>1.</w:t>
      </w:r>
      <w:r>
        <w:rPr>
          <w:lang w:val="fr-FR"/>
        </w:rPr>
        <w:tab/>
      </w:r>
      <w:r w:rsidR="0049313A">
        <w:rPr>
          <w:lang w:val="fr-FR"/>
        </w:rPr>
        <w:t xml:space="preserve">Résultat </w:t>
      </w:r>
      <w:r>
        <w:rPr>
          <w:lang w:val="fr-FR"/>
        </w:rPr>
        <w:t xml:space="preserve">de la table ronde sur l’économie circulaire organisée par le WP.15 et de l’atelier sur le </w:t>
      </w:r>
      <w:r w:rsidRPr="00534BB0">
        <w:t>développement</w:t>
      </w:r>
      <w:r>
        <w:rPr>
          <w:lang w:val="fr-FR"/>
        </w:rPr>
        <w:t xml:space="preserve"> durable et les changements climatiques organisé par le Comité de sécurité de l’ADN</w:t>
      </w:r>
    </w:p>
    <w:p w14:paraId="07668332" w14:textId="1206A38B" w:rsidR="0068033D" w:rsidRPr="00661211" w:rsidRDefault="0068033D" w:rsidP="0068033D">
      <w:pPr>
        <w:pStyle w:val="SingleTxtG"/>
        <w:keepNext/>
        <w:keepLines/>
        <w:tabs>
          <w:tab w:val="left" w:pos="3119"/>
        </w:tabs>
        <w:spacing w:after="240"/>
        <w:jc w:val="left"/>
      </w:pPr>
      <w:r>
        <w:rPr>
          <w:i/>
          <w:iCs/>
          <w:lang w:val="fr-FR"/>
        </w:rPr>
        <w:t>Document informel</w:t>
      </w:r>
      <w:r w:rsidRPr="00534BB0">
        <w:rPr>
          <w:lang w:val="fr-FR"/>
        </w:rPr>
        <w:t> :</w:t>
      </w:r>
      <w:r>
        <w:rPr>
          <w:lang w:val="fr-FR"/>
        </w:rPr>
        <w:tab/>
        <w:t>INF.9 (secrétariat)</w:t>
      </w:r>
    </w:p>
    <w:p w14:paraId="02C3C38C" w14:textId="23BCB861" w:rsidR="0068033D" w:rsidRPr="00661211" w:rsidRDefault="004673A6" w:rsidP="0068033D">
      <w:pPr>
        <w:pStyle w:val="SingleTxtG"/>
      </w:pPr>
      <w:r>
        <w:rPr>
          <w:lang w:val="fr-FR"/>
        </w:rPr>
        <w:t>59</w:t>
      </w:r>
      <w:r w:rsidR="0068033D">
        <w:rPr>
          <w:lang w:val="fr-FR"/>
        </w:rPr>
        <w:t>.</w:t>
      </w:r>
      <w:r w:rsidR="0068033D">
        <w:rPr>
          <w:lang w:val="fr-FR"/>
        </w:rPr>
        <w:tab/>
        <w:t>La Réunion commune a pris note des informations figurant dans le document informel INF.9 et a confirmé qu’il fallait que le Comité des transports intérieurs (CTI) soit informé des activités de ses organes subsidiaires, en particulier des contributions au Programme de développement durable à l’horizon 2030 liées aux effets concrets des nouvelles prescriptions énoncées et des innovations techniques prises en compte dans les règlements sur le transport des marchandises dangereuses. Elle a de nouveau invité les représentants à indiquer, dans la partie « résumé » ou « justification », le lien éventuel de leurs futures propositions avec les objectifs de développement durable (ODD). Le représentant de l’UIC a suggéré d’ajouter également, selon qu’il conviendrait, une note sur la faisabilité et l’analyse coûts-avantages.</w:t>
      </w:r>
    </w:p>
    <w:p w14:paraId="2B31960C" w14:textId="77777777" w:rsidR="0068033D" w:rsidRPr="00661211" w:rsidRDefault="0068033D" w:rsidP="0068033D">
      <w:pPr>
        <w:pStyle w:val="H23G"/>
      </w:pPr>
      <w:r>
        <w:rPr>
          <w:bCs/>
          <w:lang w:val="fr-FR"/>
        </w:rPr>
        <w:tab/>
        <w:t>2.</w:t>
      </w:r>
      <w:r>
        <w:rPr>
          <w:lang w:val="fr-FR"/>
        </w:rPr>
        <w:tab/>
      </w:r>
      <w:r>
        <w:rPr>
          <w:bCs/>
          <w:lang w:val="fr-FR"/>
        </w:rPr>
        <w:t>Projet de contribution au Programme de développement durable à l’horizon 2030</w:t>
      </w:r>
    </w:p>
    <w:p w14:paraId="28560914" w14:textId="19FA3383" w:rsidR="0068033D" w:rsidRPr="00661211" w:rsidRDefault="0068033D" w:rsidP="0068033D">
      <w:pPr>
        <w:pStyle w:val="SingleTxtG"/>
        <w:keepNext/>
        <w:keepLines/>
        <w:tabs>
          <w:tab w:val="left" w:pos="3119"/>
        </w:tabs>
        <w:spacing w:after="240"/>
        <w:jc w:val="left"/>
      </w:pPr>
      <w:r>
        <w:rPr>
          <w:i/>
          <w:iCs/>
          <w:lang w:val="fr-FR"/>
        </w:rPr>
        <w:t>Document informel</w:t>
      </w:r>
      <w:r w:rsidRPr="00534BB0">
        <w:rPr>
          <w:lang w:val="fr-FR"/>
        </w:rPr>
        <w:t> :</w:t>
      </w:r>
      <w:r>
        <w:rPr>
          <w:lang w:val="fr-FR"/>
        </w:rPr>
        <w:tab/>
        <w:t>INF.23 (secrétariat)</w:t>
      </w:r>
    </w:p>
    <w:p w14:paraId="07A71006" w14:textId="2E96ED00" w:rsidR="0068033D" w:rsidRPr="00661211" w:rsidRDefault="0068033D" w:rsidP="0068033D">
      <w:pPr>
        <w:pStyle w:val="SingleTxtG"/>
      </w:pPr>
      <w:r>
        <w:rPr>
          <w:lang w:val="fr-FR"/>
        </w:rPr>
        <w:t>6</w:t>
      </w:r>
      <w:r w:rsidR="001B10EB">
        <w:rPr>
          <w:lang w:val="fr-FR"/>
        </w:rPr>
        <w:t>0</w:t>
      </w:r>
      <w:r>
        <w:rPr>
          <w:lang w:val="fr-FR"/>
        </w:rPr>
        <w:t>.</w:t>
      </w:r>
      <w:r>
        <w:rPr>
          <w:lang w:val="fr-FR"/>
        </w:rPr>
        <w:tab/>
        <w:t>La Réunion commune a accueilli favorablement le projet de contribution établi par le secrétariat et a décidé de publier les informations y figurant sur le site Web de la CEE. Les représentants ont été invités à envoyer au secrétariat leurs observations sur le contenu de l’annexe du document informel INF.23 avant la fin du mois de mai 2023. Il a été noté que ces informations étaient destinées à être régulièrement mises à jour en fonction de l’issue des débats qui se tiendraient à l’avenir au titre d’un point permanent de l’ordre du jour.</w:t>
      </w:r>
    </w:p>
    <w:p w14:paraId="2F1E5BCC" w14:textId="77777777" w:rsidR="0068033D" w:rsidRPr="00661211" w:rsidRDefault="0068033D" w:rsidP="0068033D">
      <w:pPr>
        <w:pStyle w:val="HChG"/>
        <w:spacing w:before="320"/>
      </w:pPr>
      <w:r>
        <w:rPr>
          <w:bCs/>
          <w:lang w:val="fr-FR"/>
        </w:rPr>
        <w:tab/>
        <w:t>XI.</w:t>
      </w:r>
      <w:r>
        <w:rPr>
          <w:lang w:val="fr-FR"/>
        </w:rPr>
        <w:tab/>
      </w:r>
      <w:r>
        <w:rPr>
          <w:bCs/>
          <w:lang w:val="fr-FR"/>
        </w:rPr>
        <w:t>Adoption du rapport (point 10 de l’ordre du jour)</w:t>
      </w:r>
    </w:p>
    <w:p w14:paraId="3AB45BA1" w14:textId="6F0EEC9E" w:rsidR="0068033D" w:rsidRDefault="0068033D" w:rsidP="0068033D">
      <w:pPr>
        <w:pStyle w:val="SingleTxtG"/>
        <w:rPr>
          <w:lang w:val="fr-FR"/>
        </w:rPr>
      </w:pPr>
      <w:r>
        <w:rPr>
          <w:lang w:val="fr-FR"/>
        </w:rPr>
        <w:t>6</w:t>
      </w:r>
      <w:r w:rsidR="00124073">
        <w:rPr>
          <w:lang w:val="fr-FR"/>
        </w:rPr>
        <w:t>1</w:t>
      </w:r>
      <w:r>
        <w:rPr>
          <w:lang w:val="fr-FR"/>
        </w:rPr>
        <w:t>.</w:t>
      </w:r>
      <w:r>
        <w:rPr>
          <w:lang w:val="fr-FR"/>
        </w:rPr>
        <w:tab/>
        <w:t>La Réunion commune a adopté le rapport de sa session du printemps 2023 et ses annexes sur la base d’un projet établi par le secrétariat.</w:t>
      </w:r>
    </w:p>
    <w:p w14:paraId="46C1FE71" w14:textId="60DBCF70" w:rsidR="00BC6A36" w:rsidRDefault="00BC6A36" w:rsidP="00BC6A36">
      <w:pPr>
        <w:pStyle w:val="SingleTxtG"/>
        <w:rPr>
          <w:lang w:val="fr-FR"/>
        </w:rPr>
      </w:pPr>
    </w:p>
    <w:p w14:paraId="1FA325D8" w14:textId="0C070234" w:rsidR="00613856" w:rsidRDefault="00613856">
      <w:pPr>
        <w:suppressAutoHyphens w:val="0"/>
        <w:kinsoku/>
        <w:overflowPunct/>
        <w:autoSpaceDE/>
        <w:autoSpaceDN/>
        <w:adjustRightInd/>
        <w:snapToGrid/>
        <w:spacing w:after="200" w:line="276" w:lineRule="auto"/>
      </w:pPr>
      <w:r>
        <w:br w:type="page"/>
      </w:r>
    </w:p>
    <w:p w14:paraId="1B63E698" w14:textId="43874BBD" w:rsidR="0069392F" w:rsidRPr="00217B04" w:rsidRDefault="0069392F" w:rsidP="0069392F">
      <w:pPr>
        <w:pStyle w:val="HChG"/>
        <w:tabs>
          <w:tab w:val="left" w:pos="4536"/>
          <w:tab w:val="right" w:pos="8505"/>
        </w:tabs>
      </w:pPr>
      <w:r w:rsidRPr="00217B04">
        <w:lastRenderedPageBreak/>
        <w:tab/>
        <w:t>Annex</w:t>
      </w:r>
      <w:r>
        <w:t>e</w:t>
      </w:r>
      <w:r w:rsidRPr="00217B04">
        <w:t xml:space="preserve"> I</w:t>
      </w:r>
    </w:p>
    <w:p w14:paraId="62921B93" w14:textId="77777777" w:rsidR="0069392F" w:rsidRPr="00217B04" w:rsidRDefault="0069392F" w:rsidP="0069392F">
      <w:pPr>
        <w:pStyle w:val="HChG"/>
      </w:pPr>
      <w:r w:rsidRPr="00217B04">
        <w:tab/>
      </w:r>
      <w:r w:rsidRPr="00217B04">
        <w:tab/>
        <w:t>R</w:t>
      </w:r>
      <w:r>
        <w:t>apport du Groupe de travail des citernes</w:t>
      </w:r>
    </w:p>
    <w:p w14:paraId="1A38C5C0" w14:textId="265DC776" w:rsidR="0069392F" w:rsidRPr="00217B04" w:rsidRDefault="0069392F" w:rsidP="0069392F">
      <w:pPr>
        <w:ind w:left="567" w:firstLine="567"/>
      </w:pPr>
      <w:r w:rsidRPr="00217B04">
        <w:t>(</w:t>
      </w:r>
      <w:r>
        <w:t>voir</w:t>
      </w:r>
      <w:r w:rsidRPr="00217B04">
        <w:t xml:space="preserve"> ECE/TRANS/WP.15/AC.1/1</w:t>
      </w:r>
      <w:r>
        <w:t>6</w:t>
      </w:r>
      <w:r w:rsidR="001A493A">
        <w:t>8</w:t>
      </w:r>
      <w:r w:rsidRPr="00217B04">
        <w:t>/Add.1)</w:t>
      </w:r>
    </w:p>
    <w:p w14:paraId="0FF68131" w14:textId="77777777" w:rsidR="001A493A" w:rsidRDefault="001A493A">
      <w:pPr>
        <w:suppressAutoHyphens w:val="0"/>
        <w:kinsoku/>
        <w:overflowPunct/>
        <w:autoSpaceDE/>
        <w:autoSpaceDN/>
        <w:adjustRightInd/>
        <w:snapToGrid/>
        <w:spacing w:after="200" w:line="276" w:lineRule="auto"/>
        <w:rPr>
          <w:b/>
          <w:sz w:val="28"/>
          <w:lang w:val="fr-FR"/>
        </w:rPr>
      </w:pPr>
      <w:r>
        <w:rPr>
          <w:lang w:val="fr-FR"/>
        </w:rPr>
        <w:br w:type="page"/>
      </w:r>
    </w:p>
    <w:p w14:paraId="31BED8F1" w14:textId="0E53B7C9" w:rsidR="00C17022" w:rsidRDefault="00C17022" w:rsidP="00C17022">
      <w:pPr>
        <w:pStyle w:val="HChG"/>
        <w:rPr>
          <w:lang w:val="fr-FR"/>
        </w:rPr>
      </w:pPr>
      <w:r>
        <w:rPr>
          <w:lang w:val="fr-FR"/>
        </w:rPr>
        <w:lastRenderedPageBreak/>
        <w:t>Annex</w:t>
      </w:r>
      <w:r w:rsidR="00FB70CB">
        <w:rPr>
          <w:lang w:val="fr-FR"/>
        </w:rPr>
        <w:t>e</w:t>
      </w:r>
      <w:r w:rsidR="00675006">
        <w:rPr>
          <w:lang w:val="fr-FR"/>
        </w:rPr>
        <w:t xml:space="preserve"> I</w:t>
      </w:r>
      <w:r w:rsidR="001A493A">
        <w:rPr>
          <w:lang w:val="fr-FR"/>
        </w:rPr>
        <w:t>I</w:t>
      </w:r>
    </w:p>
    <w:p w14:paraId="5B1055D2" w14:textId="13D884CD" w:rsidR="00C17022" w:rsidRPr="00616A51" w:rsidRDefault="00C17022" w:rsidP="00C17022">
      <w:pPr>
        <w:pStyle w:val="H1G"/>
        <w:ind w:right="1133"/>
        <w:rPr>
          <w:sz w:val="28"/>
          <w:szCs w:val="28"/>
          <w:lang w:val="fr-FR"/>
        </w:rPr>
      </w:pPr>
      <w:bookmarkStart w:id="3" w:name="_Hlk98940430"/>
      <w:r w:rsidRPr="00616A51">
        <w:rPr>
          <w:sz w:val="28"/>
          <w:szCs w:val="28"/>
          <w:lang w:val="fr-FR"/>
        </w:rPr>
        <w:tab/>
      </w:r>
      <w:r w:rsidRPr="00616A51">
        <w:rPr>
          <w:sz w:val="28"/>
          <w:szCs w:val="28"/>
          <w:lang w:val="fr-FR"/>
        </w:rPr>
        <w:tab/>
        <w:t>Projet d’amendements au RID, à l’ADR et à l’ADN pour entrée en vigueur le 1</w:t>
      </w:r>
      <w:r w:rsidRPr="00616A51">
        <w:rPr>
          <w:sz w:val="28"/>
          <w:szCs w:val="28"/>
          <w:vertAlign w:val="superscript"/>
          <w:lang w:val="fr-FR"/>
        </w:rPr>
        <w:t>er</w:t>
      </w:r>
      <w:r w:rsidRPr="00616A51">
        <w:rPr>
          <w:sz w:val="28"/>
          <w:szCs w:val="28"/>
          <w:lang w:val="fr-FR"/>
        </w:rPr>
        <w:t> janvier 202</w:t>
      </w:r>
      <w:r w:rsidR="0069392F" w:rsidRPr="00616A51">
        <w:rPr>
          <w:sz w:val="28"/>
          <w:szCs w:val="28"/>
          <w:lang w:val="fr-FR"/>
        </w:rPr>
        <w:t>5</w:t>
      </w:r>
    </w:p>
    <w:bookmarkEnd w:id="3"/>
    <w:p w14:paraId="2F089BF0" w14:textId="77777777" w:rsidR="00936207" w:rsidRPr="00936207" w:rsidRDefault="00936207" w:rsidP="00936207">
      <w:pPr>
        <w:pStyle w:val="H23G"/>
        <w:ind w:right="1133"/>
        <w:rPr>
          <w:sz w:val="24"/>
          <w:szCs w:val="24"/>
        </w:rPr>
      </w:pPr>
      <w:r w:rsidRPr="00936207">
        <w:rPr>
          <w:sz w:val="24"/>
          <w:szCs w:val="24"/>
        </w:rPr>
        <w:tab/>
      </w:r>
      <w:r w:rsidRPr="00936207">
        <w:rPr>
          <w:sz w:val="24"/>
          <w:szCs w:val="24"/>
        </w:rPr>
        <w:tab/>
        <w:t>Chapitre 1.1</w:t>
      </w:r>
    </w:p>
    <w:p w14:paraId="785304C0" w14:textId="77777777" w:rsidR="00936207" w:rsidRDefault="00936207" w:rsidP="00936207">
      <w:pPr>
        <w:pStyle w:val="SingleTxtG"/>
      </w:pPr>
      <w:r w:rsidRPr="006F22E1">
        <w:rPr>
          <w:b/>
        </w:rPr>
        <w:t>1.1.3.1</w:t>
      </w:r>
      <w:r w:rsidRPr="006F22E1">
        <w:rPr>
          <w:b/>
        </w:rPr>
        <w:tab/>
      </w:r>
      <w:r w:rsidRPr="006F22E1">
        <w:tab/>
      </w:r>
      <w:r>
        <w:t>Renuméroter l’alinéa a) en tant que l’alinéa a) i).</w:t>
      </w:r>
    </w:p>
    <w:p w14:paraId="23EA2D4B" w14:textId="77777777" w:rsidR="00936207" w:rsidRDefault="00936207" w:rsidP="00936207">
      <w:pPr>
        <w:pStyle w:val="SingleTxtG"/>
      </w:pPr>
      <w:r>
        <w:t>Après</w:t>
      </w:r>
      <w:r w:rsidRPr="006F22E1">
        <w:t xml:space="preserve"> l’alinéa a)</w:t>
      </w:r>
      <w:r>
        <w:t xml:space="preserve"> i),</w:t>
      </w:r>
      <w:r w:rsidRPr="006F22E1">
        <w:t xml:space="preserve"> </w:t>
      </w:r>
      <w:r>
        <w:t>insérer</w:t>
      </w:r>
      <w:r w:rsidRPr="006F22E1">
        <w:t xml:space="preserve"> le nouve</w:t>
      </w:r>
      <w:r>
        <w:t>l</w:t>
      </w:r>
      <w:r w:rsidRPr="006F22E1">
        <w:t xml:space="preserve"> alinéa ii) suivant :</w:t>
      </w:r>
    </w:p>
    <w:p w14:paraId="69D84D51" w14:textId="326E9DD5" w:rsidR="00936207" w:rsidRPr="004974AA" w:rsidRDefault="00936207" w:rsidP="00936207">
      <w:pPr>
        <w:pStyle w:val="SingleTxtG"/>
      </w:pPr>
      <w:r w:rsidRPr="004974AA">
        <w:t>« </w:t>
      </w:r>
      <w:r w:rsidRPr="004974AA">
        <w:rPr>
          <w:lang w:val="fr-FR"/>
        </w:rPr>
        <w:t>ii)</w:t>
      </w:r>
      <w:r w:rsidRPr="004974AA">
        <w:rPr>
          <w:lang w:val="fr-FR"/>
        </w:rPr>
        <w:tab/>
        <w:t>Au transport, par des particuliers</w:t>
      </w:r>
      <w:r>
        <w:rPr>
          <w:lang w:val="fr-FR"/>
        </w:rPr>
        <w:t xml:space="preserve">, dans les limites définies à l’alinéa </w:t>
      </w:r>
      <w:r w:rsidRPr="001B3C30">
        <w:rPr>
          <w:lang w:val="fr-FR"/>
        </w:rPr>
        <w:t>a) i),</w:t>
      </w:r>
      <w:r w:rsidRPr="004974AA">
        <w:rPr>
          <w:lang w:val="fr-FR"/>
        </w:rPr>
        <w:t xml:space="preserve">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w:t>
      </w:r>
      <w:r w:rsidR="00297FF1">
        <w:rPr>
          <w:lang w:val="fr-FR"/>
        </w:rPr>
        <w:t> ;</w:t>
      </w:r>
      <w:r w:rsidRPr="004974AA">
        <w:rPr>
          <w:lang w:val="fr-FR"/>
        </w:rPr>
        <w:t> ».</w:t>
      </w:r>
    </w:p>
    <w:p w14:paraId="2A1B09AC" w14:textId="58A9D0D7" w:rsidR="00936207" w:rsidRDefault="00936207" w:rsidP="00936207">
      <w:pPr>
        <w:pStyle w:val="SingleTxtG"/>
        <w:rPr>
          <w:i/>
          <w:iCs/>
          <w:lang w:val="fr-FR"/>
        </w:rPr>
      </w:pPr>
      <w:r w:rsidRPr="002F4EEE">
        <w:rPr>
          <w:i/>
          <w:iCs/>
          <w:lang w:val="fr-FR"/>
        </w:rPr>
        <w:t xml:space="preserve">(Document de référence : </w:t>
      </w:r>
      <w:r>
        <w:rPr>
          <w:i/>
          <w:iCs/>
          <w:lang w:val="fr-FR"/>
        </w:rPr>
        <w:t>ECE/TRANS/WP.15/AC.1/2023/21 tel qu</w:t>
      </w:r>
      <w:r w:rsidR="001512C0">
        <w:rPr>
          <w:i/>
          <w:iCs/>
          <w:lang w:val="fr-FR"/>
        </w:rPr>
        <w:t>e modifié</w:t>
      </w:r>
      <w:r>
        <w:rPr>
          <w:i/>
          <w:iCs/>
          <w:lang w:val="fr-FR"/>
        </w:rPr>
        <w:t>)</w:t>
      </w:r>
    </w:p>
    <w:p w14:paraId="5E4B528F" w14:textId="77777777" w:rsidR="00C90F60" w:rsidRDefault="00C90F60" w:rsidP="00C90F60">
      <w:pPr>
        <w:pStyle w:val="H23G"/>
        <w:ind w:right="1133"/>
        <w:rPr>
          <w:sz w:val="24"/>
          <w:szCs w:val="24"/>
        </w:rPr>
      </w:pPr>
      <w:r w:rsidRPr="00C90F60">
        <w:rPr>
          <w:sz w:val="24"/>
          <w:szCs w:val="24"/>
        </w:rPr>
        <w:tab/>
      </w:r>
      <w:r w:rsidRPr="00C90F60">
        <w:rPr>
          <w:sz w:val="24"/>
          <w:szCs w:val="24"/>
        </w:rPr>
        <w:tab/>
        <w:t>Chapitre 1.4</w:t>
      </w:r>
    </w:p>
    <w:p w14:paraId="5212C2CE" w14:textId="095C1828" w:rsidR="003A5E97" w:rsidRPr="003A5E97" w:rsidRDefault="003A5E97" w:rsidP="007B724F">
      <w:pPr>
        <w:pStyle w:val="SingleTxtG"/>
      </w:pPr>
      <w:r w:rsidRPr="007B724F">
        <w:t>(ADR/ADN:)</w:t>
      </w:r>
    </w:p>
    <w:p w14:paraId="0AAB3011" w14:textId="77777777" w:rsidR="00C90F60" w:rsidRDefault="00C90F60" w:rsidP="00C90F60">
      <w:pPr>
        <w:pStyle w:val="SingleTxtG"/>
      </w:pPr>
      <w:r w:rsidRPr="00BB0BF4">
        <w:rPr>
          <w:b/>
        </w:rPr>
        <w:t>1.4.2.1.1</w:t>
      </w:r>
      <w:r>
        <w:tab/>
        <w:t>À l’alinéa e), remplacer « conteneurs pour vrac vides » par « conteneurs pour le transport en vrac vides ».</w:t>
      </w:r>
    </w:p>
    <w:p w14:paraId="645FA6CF" w14:textId="77777777" w:rsidR="00C90F60" w:rsidRPr="002D0AD1" w:rsidRDefault="00C90F60" w:rsidP="00C90F60">
      <w:pPr>
        <w:pStyle w:val="SingleTxtG"/>
      </w:pPr>
      <w:r w:rsidRPr="002F4EEE">
        <w:rPr>
          <w:i/>
          <w:iCs/>
          <w:lang w:val="fr-FR"/>
        </w:rPr>
        <w:t xml:space="preserve">(Document de référence : </w:t>
      </w:r>
      <w:r>
        <w:rPr>
          <w:i/>
          <w:iCs/>
          <w:lang w:val="fr-FR"/>
        </w:rPr>
        <w:t>ECE/TRANS/WP.15/AC.1/2023/9)</w:t>
      </w:r>
    </w:p>
    <w:p w14:paraId="0B8D8DE2" w14:textId="77777777" w:rsidR="00E55F29" w:rsidRDefault="00E55F29" w:rsidP="00E55F29">
      <w:pPr>
        <w:pStyle w:val="H23G"/>
        <w:ind w:right="707"/>
      </w:pPr>
      <w:r>
        <w:tab/>
      </w:r>
      <w:r>
        <w:tab/>
        <w:t>Chapitre 1.6</w:t>
      </w:r>
    </w:p>
    <w:p w14:paraId="5088DD02" w14:textId="77777777" w:rsidR="00E55F29" w:rsidRDefault="00E55F29" w:rsidP="00E55F29">
      <w:pPr>
        <w:pStyle w:val="SingleTxtG"/>
        <w:ind w:right="707"/>
      </w:pPr>
      <w:r w:rsidRPr="00F14394">
        <w:rPr>
          <w:b/>
        </w:rPr>
        <w:t>1.6.3</w:t>
      </w:r>
      <w:r>
        <w:tab/>
      </w:r>
      <w:r>
        <w:tab/>
      </w:r>
      <w:r w:rsidRPr="001E4A27">
        <w:t>Ajouter l</w:t>
      </w:r>
      <w:r>
        <w:t>a</w:t>
      </w:r>
      <w:r w:rsidRPr="001E4A27">
        <w:t xml:space="preserve"> nouvelle mesure transitoire suivante :</w:t>
      </w:r>
    </w:p>
    <w:p w14:paraId="2D9381A0" w14:textId="77777777" w:rsidR="00E55F29" w:rsidRPr="001E4A27" w:rsidRDefault="00E55F29" w:rsidP="00E55F29">
      <w:pPr>
        <w:pStyle w:val="SingleTxtG"/>
        <w:ind w:right="707"/>
        <w:rPr>
          <w:lang w:val="fr-FR"/>
        </w:rPr>
      </w:pPr>
      <w:r w:rsidRPr="001E4A27">
        <w:rPr>
          <w:lang w:val="fr-FR"/>
        </w:rPr>
        <w:t>(RID :)</w:t>
      </w:r>
    </w:p>
    <w:p w14:paraId="0EE0A02F" w14:textId="77777777" w:rsidR="00E55F29" w:rsidRDefault="00E55F29" w:rsidP="00E55F29">
      <w:pPr>
        <w:pStyle w:val="SingleTxtG"/>
        <w:ind w:right="707"/>
        <w:rPr>
          <w:lang w:val="fr-FR"/>
        </w:rPr>
      </w:pPr>
      <w:r w:rsidRPr="001E4A27">
        <w:rPr>
          <w:b/>
          <w:lang w:val="fr-FR"/>
        </w:rPr>
        <w:t>[</w:t>
      </w:r>
      <w:r w:rsidRPr="001E4A27">
        <w:rPr>
          <w:lang w:val="fr-FR"/>
        </w:rPr>
        <w:t>« </w:t>
      </w:r>
      <w:r w:rsidRPr="001E4A27">
        <w:rPr>
          <w:b/>
          <w:lang w:val="fr-FR"/>
        </w:rPr>
        <w:t>1.6.3.</w:t>
      </w:r>
      <w:r w:rsidRPr="00BC6238">
        <w:rPr>
          <w:b/>
          <w:lang w:val="fr-FR"/>
        </w:rPr>
        <w:t>xx</w:t>
      </w:r>
      <w:r w:rsidRPr="001E4A27">
        <w:rPr>
          <w:lang w:val="fr-FR"/>
        </w:rPr>
        <w:tab/>
        <w:t>Les wagons-citernes construits avant le 1</w:t>
      </w:r>
      <w:r w:rsidRPr="001E4A27">
        <w:rPr>
          <w:vertAlign w:val="superscript"/>
          <w:lang w:val="fr-FR"/>
        </w:rPr>
        <w:t>er</w:t>
      </w:r>
      <w:r w:rsidRPr="001E4A27">
        <w:rPr>
          <w:lang w:val="fr-FR"/>
        </w:rPr>
        <w:t> juillet 2025 conformément aux prescriptions applicables jusqu’au 31 décembre 2024, mais qui ne sont pas conformes aux prescriptions du 6.8.2.2.11 applicables à partir du 1</w:t>
      </w:r>
      <w:r w:rsidRPr="001E4A27">
        <w:rPr>
          <w:vertAlign w:val="superscript"/>
          <w:lang w:val="fr-FR"/>
        </w:rPr>
        <w:t>er</w:t>
      </w:r>
      <w:r w:rsidRPr="001E4A27">
        <w:rPr>
          <w:lang w:val="fr-FR"/>
        </w:rPr>
        <w:t> janvier 2025, peuvent encore être utilisés. ».</w:t>
      </w:r>
      <w:r w:rsidRPr="00F14394">
        <w:rPr>
          <w:b/>
          <w:lang w:val="fr-FR"/>
        </w:rPr>
        <w:t>]</w:t>
      </w:r>
    </w:p>
    <w:p w14:paraId="5A6DE25F" w14:textId="77777777" w:rsidR="00E55F29" w:rsidRDefault="00E55F29" w:rsidP="00E55F29">
      <w:pPr>
        <w:pStyle w:val="SingleTxtG"/>
        <w:ind w:right="707"/>
      </w:pPr>
      <w:r>
        <w:t>(ADR :)</w:t>
      </w:r>
    </w:p>
    <w:p w14:paraId="4492324D" w14:textId="77777777" w:rsidR="00E55F29" w:rsidRDefault="00E55F29" w:rsidP="00E55F29">
      <w:pPr>
        <w:pStyle w:val="SingleTxtG"/>
        <w:ind w:right="707"/>
        <w:rPr>
          <w:b/>
          <w:lang w:val="fr-FR"/>
        </w:rPr>
      </w:pPr>
      <w:r w:rsidRPr="001E4A27">
        <w:rPr>
          <w:b/>
          <w:lang w:val="fr-FR"/>
        </w:rPr>
        <w:t>[</w:t>
      </w:r>
      <w:r w:rsidRPr="001E4A27">
        <w:rPr>
          <w:lang w:val="fr-FR"/>
        </w:rPr>
        <w:t>« </w:t>
      </w:r>
      <w:r w:rsidRPr="001E4A27">
        <w:rPr>
          <w:b/>
          <w:lang w:val="fr-FR"/>
        </w:rPr>
        <w:t>1.6.3.</w:t>
      </w:r>
      <w:r w:rsidRPr="00BC6238">
        <w:rPr>
          <w:b/>
          <w:lang w:val="fr-FR"/>
        </w:rPr>
        <w:t>xx</w:t>
      </w:r>
      <w:r w:rsidRPr="001E4A27">
        <w:rPr>
          <w:lang w:val="fr-FR"/>
        </w:rPr>
        <w:tab/>
        <w:t>Les citernes fixes (véhicules-citernes) et citernes démontables construites avant le 1</w:t>
      </w:r>
      <w:r w:rsidRPr="001E4A27">
        <w:rPr>
          <w:vertAlign w:val="superscript"/>
          <w:lang w:val="fr-FR"/>
        </w:rPr>
        <w:t>er</w:t>
      </w:r>
      <w:r w:rsidRPr="001E4A27">
        <w:rPr>
          <w:lang w:val="fr-FR"/>
        </w:rPr>
        <w:t> juillet 2025 conformément aux prescriptions applicables jusqu’au 31 décembre 2024, mais qui ne sont pas conformes aux prescriptions du 6.8.2.2.11 applicables à partir du 1</w:t>
      </w:r>
      <w:r w:rsidRPr="001E4A27">
        <w:rPr>
          <w:vertAlign w:val="superscript"/>
          <w:lang w:val="fr-FR"/>
        </w:rPr>
        <w:t>er</w:t>
      </w:r>
      <w:r w:rsidRPr="001E4A27">
        <w:rPr>
          <w:lang w:val="fr-FR"/>
        </w:rPr>
        <w:t> janvier 2025, peuvent encore être utilisées. ».</w:t>
      </w:r>
      <w:r w:rsidRPr="001E4A27">
        <w:rPr>
          <w:b/>
          <w:lang w:val="fr-FR"/>
        </w:rPr>
        <w:t>]</w:t>
      </w:r>
    </w:p>
    <w:p w14:paraId="37A07B01" w14:textId="77777777" w:rsidR="00E55F29" w:rsidRDefault="00E55F29" w:rsidP="00E55F29">
      <w:pPr>
        <w:pStyle w:val="SingleTxtG"/>
        <w:ind w:right="707"/>
        <w:rPr>
          <w:i/>
          <w:iCs/>
          <w:lang w:val="fr-FR"/>
        </w:rPr>
      </w:pPr>
      <w:r w:rsidRPr="002F4EEE">
        <w:rPr>
          <w:i/>
          <w:iCs/>
          <w:lang w:val="fr-FR"/>
        </w:rPr>
        <w:t>(Document</w:t>
      </w:r>
      <w:r>
        <w:rPr>
          <w:i/>
          <w:iCs/>
          <w:lang w:val="fr-FR"/>
        </w:rPr>
        <w:t>s</w:t>
      </w:r>
      <w:r w:rsidRPr="002F4EEE">
        <w:rPr>
          <w:i/>
          <w:iCs/>
          <w:lang w:val="fr-FR"/>
        </w:rPr>
        <w:t xml:space="preserve"> de référence : </w:t>
      </w:r>
      <w:r>
        <w:rPr>
          <w:i/>
          <w:iCs/>
          <w:lang w:val="fr-FR"/>
        </w:rPr>
        <w:t>documents informels INF.38 et INF.42)</w:t>
      </w:r>
    </w:p>
    <w:p w14:paraId="229BB6B2" w14:textId="77777777" w:rsidR="00E55F29" w:rsidRDefault="00E55F29" w:rsidP="00E55F29">
      <w:pPr>
        <w:pStyle w:val="SingleTxtG"/>
        <w:ind w:right="707"/>
        <w:rPr>
          <w:lang w:val="fr-FR"/>
        </w:rPr>
      </w:pPr>
      <w:r>
        <w:rPr>
          <w:b/>
        </w:rPr>
        <w:t>1.6.4</w:t>
      </w:r>
      <w:r>
        <w:tab/>
      </w:r>
      <w:r>
        <w:tab/>
      </w:r>
      <w:r w:rsidRPr="001E4A27">
        <w:t>Ajouter l</w:t>
      </w:r>
      <w:r>
        <w:t>a</w:t>
      </w:r>
      <w:r w:rsidRPr="001E4A27">
        <w:t xml:space="preserve"> nouvelle mesure transitoire suivante :</w:t>
      </w:r>
    </w:p>
    <w:p w14:paraId="4ABCA2A1" w14:textId="77777777" w:rsidR="00E55F29" w:rsidRDefault="00E55F29" w:rsidP="00E55F29">
      <w:pPr>
        <w:pStyle w:val="SingleTxtG"/>
        <w:ind w:right="707"/>
        <w:rPr>
          <w:b/>
          <w:lang w:val="fr-FR"/>
        </w:rPr>
      </w:pPr>
      <w:r w:rsidRPr="001E4A27">
        <w:rPr>
          <w:b/>
          <w:lang w:val="fr-FR"/>
        </w:rPr>
        <w:t>[</w:t>
      </w:r>
      <w:r w:rsidRPr="001E4A27">
        <w:rPr>
          <w:lang w:val="fr-FR"/>
        </w:rPr>
        <w:t>« </w:t>
      </w:r>
      <w:r w:rsidRPr="001E4A27">
        <w:rPr>
          <w:b/>
          <w:lang w:val="fr-FR"/>
        </w:rPr>
        <w:t>1.6.4.</w:t>
      </w:r>
      <w:r w:rsidRPr="00BC6238">
        <w:rPr>
          <w:b/>
          <w:lang w:val="fr-FR"/>
        </w:rPr>
        <w:t>xx</w:t>
      </w:r>
      <w:r w:rsidRPr="001E4A27">
        <w:rPr>
          <w:lang w:val="fr-FR"/>
        </w:rPr>
        <w:tab/>
        <w:t>Les conteneurs-citernes construits avant le 1</w:t>
      </w:r>
      <w:r w:rsidRPr="001E4A27">
        <w:rPr>
          <w:vertAlign w:val="superscript"/>
          <w:lang w:val="fr-FR"/>
        </w:rPr>
        <w:t>er</w:t>
      </w:r>
      <w:r w:rsidRPr="001E4A27">
        <w:rPr>
          <w:lang w:val="fr-FR"/>
        </w:rPr>
        <w:t> juillet 2025 conformément aux prescriptions applicables jusqu’au 31 décembre 2024, mais qui ne sont pas conformes aux prescriptions du 6.8.2.2.11 applicables à partir du 1</w:t>
      </w:r>
      <w:r w:rsidRPr="001E4A27">
        <w:rPr>
          <w:vertAlign w:val="superscript"/>
          <w:lang w:val="fr-FR"/>
        </w:rPr>
        <w:t>er</w:t>
      </w:r>
      <w:r w:rsidRPr="001E4A27">
        <w:rPr>
          <w:lang w:val="fr-FR"/>
        </w:rPr>
        <w:t> janvier 2025, peuvent encore être utilisés. ».</w:t>
      </w:r>
      <w:r w:rsidRPr="001E4A27">
        <w:rPr>
          <w:b/>
          <w:lang w:val="fr-FR"/>
        </w:rPr>
        <w:t>]</w:t>
      </w:r>
    </w:p>
    <w:p w14:paraId="41B7DDC5" w14:textId="77777777" w:rsidR="00E55F29" w:rsidRPr="001E4A27" w:rsidRDefault="00E55F29" w:rsidP="00E55F29">
      <w:pPr>
        <w:pStyle w:val="SingleTxtG"/>
        <w:ind w:right="707"/>
      </w:pPr>
      <w:r w:rsidRPr="002F4EEE">
        <w:rPr>
          <w:i/>
          <w:iCs/>
          <w:lang w:val="fr-FR"/>
        </w:rPr>
        <w:t>(Document</w:t>
      </w:r>
      <w:r>
        <w:rPr>
          <w:i/>
          <w:iCs/>
          <w:lang w:val="fr-FR"/>
        </w:rPr>
        <w:t>s</w:t>
      </w:r>
      <w:r w:rsidRPr="002F4EEE">
        <w:rPr>
          <w:i/>
          <w:iCs/>
          <w:lang w:val="fr-FR"/>
        </w:rPr>
        <w:t xml:space="preserve"> de référence : </w:t>
      </w:r>
      <w:r>
        <w:rPr>
          <w:i/>
          <w:iCs/>
          <w:lang w:val="fr-FR"/>
        </w:rPr>
        <w:t>documents informels INF.38 et INF.42)</w:t>
      </w:r>
    </w:p>
    <w:p w14:paraId="6CEB64AC" w14:textId="77777777" w:rsidR="00622BF0" w:rsidRPr="00B0631C" w:rsidRDefault="00622BF0" w:rsidP="00622BF0">
      <w:pPr>
        <w:pStyle w:val="H23G"/>
        <w:ind w:right="1133"/>
        <w:rPr>
          <w:sz w:val="24"/>
          <w:szCs w:val="24"/>
        </w:rPr>
      </w:pPr>
      <w:r w:rsidRPr="00B0631C">
        <w:rPr>
          <w:sz w:val="24"/>
          <w:szCs w:val="24"/>
        </w:rPr>
        <w:tab/>
      </w:r>
      <w:r w:rsidRPr="00B0631C">
        <w:rPr>
          <w:sz w:val="24"/>
          <w:szCs w:val="24"/>
        </w:rPr>
        <w:tab/>
        <w:t>Chapitre 3.2, tableau A</w:t>
      </w:r>
    </w:p>
    <w:p w14:paraId="09DF7B2A" w14:textId="77777777" w:rsidR="00483414" w:rsidRDefault="00483414" w:rsidP="00483414">
      <w:pPr>
        <w:pStyle w:val="SingleTxtG"/>
        <w:ind w:right="707"/>
      </w:pPr>
      <w:r>
        <w:t>(RID :)</w:t>
      </w:r>
    </w:p>
    <w:p w14:paraId="5D84BD8B" w14:textId="77777777" w:rsidR="00483414" w:rsidRDefault="00483414" w:rsidP="00483414">
      <w:pPr>
        <w:pStyle w:val="SingleTxtG"/>
        <w:ind w:right="707"/>
      </w:pPr>
      <w:r>
        <w:t>Pour les Nos ONU 1745, 1746, 1873, 2015 (les deux rubriques) et 2495, dans la colonne (13), supprimer « TE16 ».</w:t>
      </w:r>
    </w:p>
    <w:p w14:paraId="48685BAE" w14:textId="77777777" w:rsidR="00483414" w:rsidRDefault="00483414" w:rsidP="00483414">
      <w:pPr>
        <w:pStyle w:val="SingleTxtG"/>
        <w:ind w:right="707"/>
      </w:pPr>
      <w:r w:rsidRPr="002F4EEE">
        <w:rPr>
          <w:i/>
          <w:iCs/>
          <w:lang w:val="fr-FR"/>
        </w:rPr>
        <w:t>(Document</w:t>
      </w:r>
      <w:r>
        <w:rPr>
          <w:i/>
          <w:iCs/>
          <w:lang w:val="fr-FR"/>
        </w:rPr>
        <w:t>s</w:t>
      </w:r>
      <w:r w:rsidRPr="002F4EEE">
        <w:rPr>
          <w:i/>
          <w:iCs/>
          <w:lang w:val="fr-FR"/>
        </w:rPr>
        <w:t xml:space="preserve"> de référence : </w:t>
      </w:r>
      <w:r>
        <w:rPr>
          <w:i/>
          <w:iCs/>
          <w:lang w:val="fr-FR"/>
        </w:rPr>
        <w:t>documents informels INF.5 et INF.42)</w:t>
      </w:r>
    </w:p>
    <w:p w14:paraId="1D82143F" w14:textId="05BDA77E" w:rsidR="00622BF0" w:rsidRDefault="00622BF0" w:rsidP="00622BF0">
      <w:pPr>
        <w:pStyle w:val="SingleTxtG"/>
        <w:ind w:left="2268" w:hanging="1134"/>
        <w:rPr>
          <w:lang w:val="fr-FR"/>
        </w:rPr>
      </w:pPr>
      <w:r>
        <w:rPr>
          <w:lang w:val="fr-FR"/>
        </w:rPr>
        <w:t>Pour le N</w:t>
      </w:r>
      <w:r w:rsidR="00AF209F">
        <w:rPr>
          <w:lang w:val="fr-FR"/>
        </w:rPr>
        <w:t>o</w:t>
      </w:r>
      <w:r>
        <w:rPr>
          <w:lang w:val="fr-FR"/>
        </w:rPr>
        <w:t> ONU 2037, toutes les rubriques, dans la colonne (16), insérer « W14/V14 ».</w:t>
      </w:r>
    </w:p>
    <w:p w14:paraId="224F6ECF" w14:textId="77777777" w:rsidR="00622BF0" w:rsidRDefault="00622BF0" w:rsidP="00622BF0">
      <w:pPr>
        <w:pStyle w:val="SingleTxtG"/>
        <w:ind w:left="2268" w:hanging="1134"/>
        <w:rPr>
          <w:lang w:val="fr-FR"/>
        </w:rPr>
      </w:pPr>
      <w:r w:rsidRPr="002F4EEE">
        <w:rPr>
          <w:i/>
          <w:iCs/>
          <w:lang w:val="fr-FR"/>
        </w:rPr>
        <w:t xml:space="preserve">(Document de référence : document </w:t>
      </w:r>
      <w:r w:rsidRPr="00B2796B">
        <w:rPr>
          <w:i/>
          <w:iCs/>
          <w:lang w:val="fr-FR"/>
        </w:rPr>
        <w:t>informel INF.</w:t>
      </w:r>
      <w:r>
        <w:rPr>
          <w:i/>
          <w:iCs/>
          <w:lang w:val="fr-FR"/>
        </w:rPr>
        <w:t>10, proposition 2)</w:t>
      </w:r>
    </w:p>
    <w:p w14:paraId="5C5ABE55" w14:textId="57CF4904" w:rsidR="00622BF0" w:rsidRDefault="00622BF0" w:rsidP="00622BF0">
      <w:pPr>
        <w:pStyle w:val="SingleTxtG"/>
        <w:ind w:left="2268" w:hanging="1134"/>
        <w:rPr>
          <w:lang w:val="fr-FR"/>
        </w:rPr>
      </w:pPr>
      <w:r>
        <w:rPr>
          <w:lang w:val="fr-FR"/>
        </w:rPr>
        <w:lastRenderedPageBreak/>
        <w:t>Pour le N</w:t>
      </w:r>
      <w:r w:rsidR="00B140F0">
        <w:rPr>
          <w:lang w:val="fr-FR"/>
        </w:rPr>
        <w:t>o</w:t>
      </w:r>
      <w:r>
        <w:rPr>
          <w:lang w:val="fr-FR"/>
        </w:rPr>
        <w:t> ONU 2073, dans la colonne (6), supprimer « 532 ».</w:t>
      </w:r>
    </w:p>
    <w:p w14:paraId="2044B97E" w14:textId="77777777" w:rsidR="00622BF0" w:rsidRPr="00A33244" w:rsidRDefault="00622BF0" w:rsidP="00622BF0">
      <w:pPr>
        <w:pStyle w:val="SingleTxtG"/>
        <w:ind w:left="2268" w:hanging="1134"/>
        <w:rPr>
          <w:lang w:val="fr-FR"/>
        </w:rPr>
      </w:pPr>
      <w:r w:rsidRPr="002F4EEE">
        <w:rPr>
          <w:i/>
          <w:iCs/>
          <w:lang w:val="fr-FR"/>
        </w:rPr>
        <w:t xml:space="preserve">(Document de référence : </w:t>
      </w:r>
      <w:r>
        <w:rPr>
          <w:i/>
          <w:iCs/>
          <w:lang w:val="fr-FR"/>
        </w:rPr>
        <w:t>ECE/TRANS/WP.15/AC.1/2023/1, proposition 2)</w:t>
      </w:r>
    </w:p>
    <w:p w14:paraId="078CDEDC" w14:textId="77777777" w:rsidR="00622BF0" w:rsidRDefault="00622BF0" w:rsidP="00622BF0">
      <w:pPr>
        <w:pStyle w:val="SingleTxtG"/>
        <w:ind w:left="2268" w:hanging="1134"/>
        <w:rPr>
          <w:lang w:val="fr-FR"/>
        </w:rPr>
      </w:pPr>
      <w:r>
        <w:rPr>
          <w:lang w:val="fr-FR"/>
        </w:rPr>
        <w:t>Pour le N</w:t>
      </w:r>
      <w:r w:rsidRPr="00BA174B">
        <w:rPr>
          <w:lang w:val="fr-FR"/>
        </w:rPr>
        <w:t>o</w:t>
      </w:r>
      <w:r>
        <w:rPr>
          <w:lang w:val="fr-FR"/>
        </w:rPr>
        <w:t> ONU 2672, dans la colonne (6), supprimer « 543 ».</w:t>
      </w:r>
    </w:p>
    <w:p w14:paraId="424E475B" w14:textId="77777777" w:rsidR="00622BF0" w:rsidRPr="00A33244" w:rsidRDefault="00622BF0" w:rsidP="00622BF0">
      <w:pPr>
        <w:pStyle w:val="SingleTxtG"/>
        <w:ind w:left="2268" w:hanging="1134"/>
        <w:rPr>
          <w:lang w:val="fr-FR"/>
        </w:rPr>
      </w:pPr>
      <w:r w:rsidRPr="002F4EEE">
        <w:rPr>
          <w:i/>
          <w:iCs/>
          <w:lang w:val="fr-FR"/>
        </w:rPr>
        <w:t xml:space="preserve">(Document de référence : </w:t>
      </w:r>
      <w:r>
        <w:rPr>
          <w:i/>
          <w:iCs/>
          <w:lang w:val="fr-FR"/>
        </w:rPr>
        <w:t>ECE/TRANS/WP.15/AC.1/2023/1, proposition 2)</w:t>
      </w:r>
    </w:p>
    <w:p w14:paraId="0334C099" w14:textId="77777777" w:rsidR="00F0226F" w:rsidRDefault="00F0226F" w:rsidP="00F0226F">
      <w:pPr>
        <w:pStyle w:val="SingleTxtG"/>
        <w:ind w:left="2268" w:hanging="1134"/>
        <w:rPr>
          <w:lang w:val="fr-FR"/>
        </w:rPr>
      </w:pPr>
      <w:r>
        <w:rPr>
          <w:lang w:val="fr-FR"/>
        </w:rPr>
        <w:t>Pour le N</w:t>
      </w:r>
      <w:r w:rsidRPr="00BA174B">
        <w:rPr>
          <w:lang w:val="fr-FR"/>
        </w:rPr>
        <w:t>o</w:t>
      </w:r>
      <w:r>
        <w:rPr>
          <w:lang w:val="fr-FR"/>
        </w:rPr>
        <w:t> ONU 3550, dans la colonne (9b), insérer « MP18 ».</w:t>
      </w:r>
    </w:p>
    <w:p w14:paraId="19CD6AF3" w14:textId="77777777" w:rsidR="00F0226F" w:rsidRDefault="00F0226F" w:rsidP="00F0226F">
      <w:pPr>
        <w:pStyle w:val="SingleTxtG"/>
        <w:ind w:left="2268" w:hanging="1134"/>
        <w:rPr>
          <w:i/>
          <w:iCs/>
          <w:lang w:val="fr-FR"/>
        </w:rPr>
      </w:pPr>
      <w:r w:rsidRPr="002F4EEE">
        <w:rPr>
          <w:i/>
          <w:iCs/>
          <w:lang w:val="fr-FR"/>
        </w:rPr>
        <w:t xml:space="preserve">(Document de référence : </w:t>
      </w:r>
      <w:r>
        <w:rPr>
          <w:i/>
          <w:iCs/>
          <w:lang w:val="fr-FR"/>
        </w:rPr>
        <w:t>ECE/TRANS/WP.15/AC.1/2023/2)</w:t>
      </w:r>
    </w:p>
    <w:p w14:paraId="5014590E" w14:textId="77777777" w:rsidR="00622BF0" w:rsidRPr="00A33244" w:rsidRDefault="00622BF0" w:rsidP="00622BF0">
      <w:pPr>
        <w:pStyle w:val="H23G"/>
        <w:rPr>
          <w:lang w:val="fr-FR"/>
        </w:rPr>
      </w:pPr>
      <w:r>
        <w:rPr>
          <w:lang w:val="fr-FR"/>
        </w:rPr>
        <w:tab/>
      </w:r>
      <w:r>
        <w:rPr>
          <w:lang w:val="fr-FR"/>
        </w:rPr>
        <w:tab/>
      </w:r>
      <w:r>
        <w:rPr>
          <w:bCs/>
          <w:lang w:val="fr-FR"/>
        </w:rPr>
        <w:t>Chapitre 3.3</w:t>
      </w:r>
    </w:p>
    <w:p w14:paraId="37A9569D" w14:textId="77777777" w:rsidR="00622BF0" w:rsidRDefault="00622BF0" w:rsidP="00622BF0">
      <w:pPr>
        <w:pStyle w:val="SingleTxtG"/>
        <w:ind w:left="2268" w:hanging="1134"/>
        <w:rPr>
          <w:lang w:val="fr-FR"/>
        </w:rPr>
      </w:pPr>
      <w:r w:rsidRPr="00272518">
        <w:rPr>
          <w:b/>
          <w:lang w:val="fr-FR"/>
        </w:rPr>
        <w:t>DS 532</w:t>
      </w:r>
      <w:r>
        <w:rPr>
          <w:lang w:val="fr-FR"/>
        </w:rPr>
        <w:tab/>
        <w:t xml:space="preserve">Supprimer et ajouter « </w:t>
      </w:r>
      <w:r>
        <w:rPr>
          <w:i/>
          <w:iCs/>
          <w:lang w:val="fr-FR"/>
        </w:rPr>
        <w:t>(Supprimé)</w:t>
      </w:r>
      <w:r>
        <w:rPr>
          <w:lang w:val="fr-FR"/>
        </w:rPr>
        <w:t xml:space="preserve"> ».</w:t>
      </w:r>
    </w:p>
    <w:p w14:paraId="766C876B" w14:textId="77777777" w:rsidR="00622BF0" w:rsidRPr="00A33244" w:rsidRDefault="00622BF0" w:rsidP="00622BF0">
      <w:pPr>
        <w:pStyle w:val="SingleTxtG"/>
        <w:ind w:left="2268" w:hanging="1134"/>
        <w:rPr>
          <w:lang w:val="fr-FR"/>
        </w:rPr>
      </w:pPr>
      <w:r w:rsidRPr="002F4EEE">
        <w:rPr>
          <w:i/>
          <w:iCs/>
          <w:lang w:val="fr-FR"/>
        </w:rPr>
        <w:t xml:space="preserve">(Document de référence : </w:t>
      </w:r>
      <w:r>
        <w:rPr>
          <w:i/>
          <w:iCs/>
          <w:lang w:val="fr-FR"/>
        </w:rPr>
        <w:t>ECE/TRANS/WP.15/AC.1/2023/1, proposition 2)</w:t>
      </w:r>
    </w:p>
    <w:p w14:paraId="3C941187" w14:textId="77777777" w:rsidR="00622BF0" w:rsidRDefault="00622BF0" w:rsidP="00622BF0">
      <w:pPr>
        <w:pStyle w:val="SingleTxtG"/>
        <w:ind w:left="2268" w:hanging="1134"/>
        <w:rPr>
          <w:lang w:val="fr-FR"/>
        </w:rPr>
      </w:pPr>
      <w:r w:rsidRPr="00272518">
        <w:rPr>
          <w:b/>
          <w:lang w:val="fr-FR"/>
        </w:rPr>
        <w:t>DS 543</w:t>
      </w:r>
      <w:r>
        <w:rPr>
          <w:lang w:val="fr-FR"/>
        </w:rPr>
        <w:tab/>
        <w:t xml:space="preserve">Supprimer et ajouter « </w:t>
      </w:r>
      <w:r>
        <w:rPr>
          <w:i/>
          <w:iCs/>
          <w:lang w:val="fr-FR"/>
        </w:rPr>
        <w:t>(Supprimé)</w:t>
      </w:r>
      <w:r>
        <w:rPr>
          <w:lang w:val="fr-FR"/>
        </w:rPr>
        <w:t xml:space="preserve"> ».</w:t>
      </w:r>
    </w:p>
    <w:p w14:paraId="1771330D" w14:textId="77777777" w:rsidR="00622BF0" w:rsidRPr="00A33244" w:rsidRDefault="00622BF0" w:rsidP="00622BF0">
      <w:pPr>
        <w:pStyle w:val="SingleTxtG"/>
        <w:ind w:left="2268" w:hanging="1134"/>
        <w:rPr>
          <w:lang w:val="fr-FR"/>
        </w:rPr>
      </w:pPr>
      <w:r w:rsidRPr="002F4EEE">
        <w:rPr>
          <w:i/>
          <w:iCs/>
          <w:lang w:val="fr-FR"/>
        </w:rPr>
        <w:t xml:space="preserve">(Document de référence : </w:t>
      </w:r>
      <w:r>
        <w:rPr>
          <w:i/>
          <w:iCs/>
          <w:lang w:val="fr-FR"/>
        </w:rPr>
        <w:t>ECE/TRANS/WP.15/AC.1/2023/1, proposition 2)</w:t>
      </w:r>
    </w:p>
    <w:p w14:paraId="21DF0E16" w14:textId="77777777" w:rsidR="00CE5914" w:rsidRDefault="00CE5914" w:rsidP="00CE5914">
      <w:pPr>
        <w:pStyle w:val="SingleTxtG"/>
        <w:rPr>
          <w:lang w:val="fr-FR"/>
        </w:rPr>
      </w:pPr>
      <w:r w:rsidRPr="007B4730">
        <w:rPr>
          <w:b/>
          <w:bCs/>
          <w:lang w:val="fr-FR"/>
        </w:rPr>
        <w:t>DS 668</w:t>
      </w:r>
      <w:r>
        <w:rPr>
          <w:b/>
          <w:bCs/>
          <w:lang w:val="fr-FR"/>
        </w:rPr>
        <w:tab/>
      </w:r>
      <w:r w:rsidRPr="007B4730">
        <w:rPr>
          <w:lang w:val="fr-FR"/>
        </w:rPr>
        <w:t>Modifier la phrase d’in</w:t>
      </w:r>
      <w:r>
        <w:rPr>
          <w:lang w:val="fr-FR"/>
        </w:rPr>
        <w:t>troduction pour lire comme suit </w:t>
      </w:r>
      <w:r w:rsidRPr="007B4730">
        <w:rPr>
          <w:lang w:val="fr-FR"/>
        </w:rPr>
        <w:t>:</w:t>
      </w:r>
    </w:p>
    <w:p w14:paraId="052C2F06" w14:textId="77777777" w:rsidR="00CE5914" w:rsidRDefault="00CE5914" w:rsidP="00CE5914">
      <w:pPr>
        <w:pStyle w:val="SingleTxtG"/>
        <w:rPr>
          <w:lang w:val="fr-FR"/>
        </w:rPr>
      </w:pPr>
      <w:r>
        <w:rPr>
          <w:lang w:val="fr-FR"/>
        </w:rPr>
        <w:t>« </w:t>
      </w:r>
      <w:r w:rsidRPr="007B4730">
        <w:rPr>
          <w:lang w:val="fr-FR"/>
        </w:rPr>
        <w:t>Les matières destinées au marquage routier et le bitume ou les produits semblables destinés à la réparation des fissures dans le revêtement des routes, transportés à chaud, ne sont pas soumis aux autres prescriptions du RID/de l’ADR/de l’ADN, pour autant que les cond</w:t>
      </w:r>
      <w:r>
        <w:rPr>
          <w:lang w:val="fr-FR"/>
        </w:rPr>
        <w:t>itions suivantes soient réunies : </w:t>
      </w:r>
      <w:r w:rsidRPr="007B4730">
        <w:rPr>
          <w:lang w:val="fr-FR"/>
        </w:rPr>
        <w:t>».</w:t>
      </w:r>
    </w:p>
    <w:p w14:paraId="0B14A22B" w14:textId="4630F9CA" w:rsidR="00CE5914" w:rsidRDefault="00CE5914" w:rsidP="00CE5914">
      <w:pPr>
        <w:pStyle w:val="SingleTxtG"/>
        <w:rPr>
          <w:i/>
          <w:iCs/>
          <w:lang w:val="fr-FR"/>
        </w:rPr>
      </w:pPr>
      <w:r w:rsidRPr="002F4EEE">
        <w:rPr>
          <w:i/>
          <w:iCs/>
          <w:lang w:val="fr-FR"/>
        </w:rPr>
        <w:t xml:space="preserve">(Document de référence : </w:t>
      </w:r>
      <w:r>
        <w:rPr>
          <w:i/>
          <w:iCs/>
          <w:lang w:val="fr-FR"/>
        </w:rPr>
        <w:t>ECE/TRANS/WP.15/AC.1/2023/4 tel qu</w:t>
      </w:r>
      <w:r w:rsidR="00B6375C">
        <w:rPr>
          <w:i/>
          <w:iCs/>
          <w:lang w:val="fr-FR"/>
        </w:rPr>
        <w:t>e modifié</w:t>
      </w:r>
      <w:r>
        <w:rPr>
          <w:i/>
          <w:iCs/>
          <w:lang w:val="fr-FR"/>
        </w:rPr>
        <w:t xml:space="preserve"> par le document informel INF.40)</w:t>
      </w:r>
    </w:p>
    <w:p w14:paraId="4E5D25B8" w14:textId="77777777" w:rsidR="00312E78" w:rsidRDefault="00312E78" w:rsidP="00312E78">
      <w:pPr>
        <w:pStyle w:val="H23G"/>
        <w:ind w:right="1133"/>
        <w:rPr>
          <w:lang w:val="fr-FR"/>
        </w:rPr>
      </w:pPr>
      <w:r>
        <w:rPr>
          <w:lang w:val="fr-FR"/>
        </w:rPr>
        <w:tab/>
      </w:r>
      <w:r>
        <w:rPr>
          <w:lang w:val="fr-FR"/>
        </w:rPr>
        <w:tab/>
        <w:t>Chapitre 4.1</w:t>
      </w:r>
    </w:p>
    <w:p w14:paraId="667CD404" w14:textId="77777777" w:rsidR="00312E78" w:rsidRDefault="00312E78" w:rsidP="00312E78">
      <w:pPr>
        <w:pStyle w:val="SingleTxtG"/>
        <w:rPr>
          <w:lang w:val="fr-FR"/>
        </w:rPr>
      </w:pPr>
      <w:r w:rsidRPr="00C04B39">
        <w:rPr>
          <w:b/>
          <w:lang w:val="fr-FR"/>
        </w:rPr>
        <w:t>4.1.1.21.6</w:t>
      </w:r>
      <w:r>
        <w:rPr>
          <w:lang w:val="fr-FR"/>
        </w:rPr>
        <w:tab/>
        <w:t>Dans le tableau 4.1.1.21.6, pour le N</w:t>
      </w:r>
      <w:r w:rsidRPr="00BA174B">
        <w:rPr>
          <w:lang w:val="fr-FR"/>
        </w:rPr>
        <w:t>o</w:t>
      </w:r>
      <w:r>
        <w:rPr>
          <w:lang w:val="fr-FR"/>
        </w:rPr>
        <w:t xml:space="preserve"> ONU 1779, dans la colonne (3b), </w:t>
      </w:r>
      <w:r w:rsidRPr="00C04B39">
        <w:t>remplacer</w:t>
      </w:r>
      <w:r>
        <w:rPr>
          <w:lang w:val="fr-FR"/>
        </w:rPr>
        <w:t xml:space="preserve"> « C3 » par « CF1 ».</w:t>
      </w:r>
    </w:p>
    <w:p w14:paraId="5DDE84ED" w14:textId="77777777" w:rsidR="00312E78" w:rsidRDefault="00312E78" w:rsidP="00312E78">
      <w:pPr>
        <w:pStyle w:val="SingleTxtG"/>
        <w:rPr>
          <w:i/>
          <w:iCs/>
          <w:lang w:val="fr-FR"/>
        </w:rPr>
      </w:pPr>
      <w:r w:rsidRPr="002F4EEE">
        <w:rPr>
          <w:i/>
          <w:iCs/>
          <w:lang w:val="fr-FR"/>
        </w:rPr>
        <w:t xml:space="preserve">(Document de référence : </w:t>
      </w:r>
      <w:r>
        <w:rPr>
          <w:i/>
          <w:iCs/>
          <w:lang w:val="fr-FR"/>
        </w:rPr>
        <w:t>document informel INF.15)</w:t>
      </w:r>
    </w:p>
    <w:p w14:paraId="438D4626" w14:textId="77777777" w:rsidR="005C4740" w:rsidRPr="00127311" w:rsidRDefault="005C4740" w:rsidP="005C4740">
      <w:pPr>
        <w:pStyle w:val="SingleTxtG"/>
        <w:rPr>
          <w:b/>
          <w:lang w:val="fr-FR"/>
        </w:rPr>
      </w:pPr>
      <w:r w:rsidRPr="00127311">
        <w:rPr>
          <w:b/>
          <w:lang w:val="fr-FR"/>
        </w:rPr>
        <w:tab/>
        <w:t>4.1.4.1</w:t>
      </w:r>
    </w:p>
    <w:p w14:paraId="1DC9052F" w14:textId="77777777" w:rsidR="005C4740" w:rsidRDefault="005C4740" w:rsidP="005C4740">
      <w:pPr>
        <w:pStyle w:val="SingleTxtG"/>
        <w:rPr>
          <w:lang w:val="fr-FR"/>
        </w:rPr>
      </w:pPr>
      <w:r w:rsidRPr="00127311">
        <w:rPr>
          <w:b/>
          <w:lang w:val="fr-FR"/>
        </w:rPr>
        <w:t>P200</w:t>
      </w:r>
      <w:r w:rsidRPr="00127311">
        <w:rPr>
          <w:b/>
          <w:lang w:val="fr-FR"/>
        </w:rPr>
        <w:tab/>
      </w:r>
      <w:r>
        <w:rPr>
          <w:lang w:val="fr-FR"/>
        </w:rPr>
        <w:tab/>
        <w:t xml:space="preserve">Au paragraphe (10), </w:t>
      </w:r>
      <w:r w:rsidRPr="005C5844">
        <w:rPr>
          <w:lang w:val="fr-FR"/>
        </w:rPr>
        <w:t>dans la dis</w:t>
      </w:r>
      <w:r>
        <w:rPr>
          <w:lang w:val="fr-FR"/>
        </w:rPr>
        <w:t>position spéciale d’emballage « p </w:t>
      </w:r>
      <w:r w:rsidRPr="005C5844">
        <w:rPr>
          <w:lang w:val="fr-FR"/>
        </w:rPr>
        <w:t>»,</w:t>
      </w:r>
      <w:r>
        <w:rPr>
          <w:lang w:val="fr-FR"/>
        </w:rPr>
        <w:t xml:space="preserve"> au deuxième paragraphe, supprimer « munies d’un dispositif de décompression ou ».</w:t>
      </w:r>
    </w:p>
    <w:p w14:paraId="43D8ACB2" w14:textId="77777777" w:rsidR="005C4740" w:rsidRDefault="005C4740" w:rsidP="005C4740">
      <w:pPr>
        <w:pStyle w:val="SingleTxtG"/>
        <w:rPr>
          <w:lang w:val="fr-FR"/>
        </w:rPr>
      </w:pPr>
      <w:r>
        <w:rPr>
          <w:b/>
          <w:lang w:val="fr-FR"/>
        </w:rPr>
        <w:tab/>
      </w:r>
      <w:r>
        <w:rPr>
          <w:b/>
          <w:lang w:val="fr-FR"/>
        </w:rPr>
        <w:tab/>
      </w:r>
      <w:r>
        <w:rPr>
          <w:b/>
          <w:lang w:val="fr-FR"/>
        </w:rPr>
        <w:tab/>
      </w:r>
      <w:r>
        <w:rPr>
          <w:lang w:val="fr-FR"/>
        </w:rPr>
        <w:t xml:space="preserve">Au paragraphe (10), </w:t>
      </w:r>
      <w:r w:rsidRPr="005C5844">
        <w:rPr>
          <w:lang w:val="fr-FR"/>
        </w:rPr>
        <w:t>dans la dis</w:t>
      </w:r>
      <w:r>
        <w:rPr>
          <w:lang w:val="fr-FR"/>
        </w:rPr>
        <w:t>position spéciale d’emballage « p </w:t>
      </w:r>
      <w:r w:rsidRPr="005C5844">
        <w:rPr>
          <w:lang w:val="fr-FR"/>
        </w:rPr>
        <w:t>»,</w:t>
      </w:r>
      <w:r>
        <w:rPr>
          <w:lang w:val="fr-FR"/>
        </w:rPr>
        <w:t xml:space="preserve"> supprimer la dernière phrase.</w:t>
      </w:r>
    </w:p>
    <w:p w14:paraId="6A661396" w14:textId="6E0C2492" w:rsidR="005C4740" w:rsidRDefault="005C4740" w:rsidP="005C4740">
      <w:pPr>
        <w:pStyle w:val="SingleTxtG"/>
        <w:rPr>
          <w:i/>
          <w:iCs/>
          <w:lang w:val="fr-FR"/>
        </w:rPr>
      </w:pPr>
      <w:r w:rsidRPr="002F4EEE">
        <w:rPr>
          <w:i/>
          <w:iCs/>
          <w:lang w:val="fr-FR"/>
        </w:rPr>
        <w:t xml:space="preserve">(Document de référence : </w:t>
      </w:r>
      <w:r>
        <w:rPr>
          <w:i/>
          <w:iCs/>
          <w:lang w:val="fr-FR"/>
        </w:rPr>
        <w:t>ECE/TRANS/WP.15/AC.1/2023/11 tel qu</w:t>
      </w:r>
      <w:r w:rsidR="006B0F76">
        <w:rPr>
          <w:i/>
          <w:iCs/>
          <w:lang w:val="fr-FR"/>
        </w:rPr>
        <w:t>e modifié</w:t>
      </w:r>
      <w:r>
        <w:rPr>
          <w:i/>
          <w:iCs/>
          <w:lang w:val="fr-FR"/>
        </w:rPr>
        <w:t>)</w:t>
      </w:r>
    </w:p>
    <w:p w14:paraId="5A55D79D" w14:textId="77777777" w:rsidR="00322386" w:rsidRDefault="00322386" w:rsidP="00322386">
      <w:pPr>
        <w:pStyle w:val="H23G"/>
        <w:ind w:right="707"/>
      </w:pPr>
      <w:r>
        <w:tab/>
      </w:r>
      <w:r>
        <w:tab/>
        <w:t>Chapitre 4.3</w:t>
      </w:r>
    </w:p>
    <w:p w14:paraId="2A3D82B2" w14:textId="77777777" w:rsidR="00322386" w:rsidRDefault="00322386" w:rsidP="00322386">
      <w:pPr>
        <w:pStyle w:val="SingleTxtG"/>
        <w:ind w:right="707"/>
      </w:pPr>
      <w:r w:rsidRPr="0019723D">
        <w:rPr>
          <w:b/>
        </w:rPr>
        <w:t>4.3.4.1.2</w:t>
      </w:r>
      <w:r>
        <w:tab/>
        <w:t>Modifier le tableau comme suit :</w:t>
      </w:r>
    </w:p>
    <w:p w14:paraId="14CBA648" w14:textId="77777777" w:rsidR="00322386" w:rsidRDefault="00322386" w:rsidP="00322386">
      <w:pPr>
        <w:pStyle w:val="SingleTxtG"/>
        <w:ind w:right="707"/>
      </w:pPr>
      <w:r>
        <w:t>-</w:t>
      </w:r>
      <w:r>
        <w:tab/>
        <w:t>P</w:t>
      </w:r>
      <w:r w:rsidRPr="006F22E1">
        <w:t>our le code-citerne « L</w:t>
      </w:r>
      <w:r>
        <w:t>GBV</w:t>
      </w:r>
      <w:r w:rsidRPr="006F22E1">
        <w:t xml:space="preserve"> », </w:t>
      </w:r>
      <w:r>
        <w:t>après</w:t>
      </w:r>
      <w:r w:rsidRPr="006F22E1">
        <w:t xml:space="preserve"> la ligne « 5.1</w:t>
      </w:r>
      <w:r>
        <w:t xml:space="preserve"> </w:t>
      </w:r>
      <w:r w:rsidRPr="008744F3">
        <w:rPr>
          <w:lang w:val="fr-FR"/>
        </w:rPr>
        <w:t>|</w:t>
      </w:r>
      <w:r w:rsidRPr="006F22E1">
        <w:t xml:space="preserve"> O1</w:t>
      </w:r>
      <w:r>
        <w:t xml:space="preserve"> </w:t>
      </w:r>
      <w:r w:rsidRPr="008744F3">
        <w:rPr>
          <w:lang w:val="fr-FR"/>
        </w:rPr>
        <w:t>|</w:t>
      </w:r>
      <w:r>
        <w:rPr>
          <w:lang w:val="fr-FR"/>
        </w:rPr>
        <w:t xml:space="preserve"> III</w:t>
      </w:r>
      <w:r w:rsidRPr="006F22E1">
        <w:t> »,</w:t>
      </w:r>
      <w:r>
        <w:t xml:space="preserve"> insérer la nouvelle ligne suivante :</w:t>
      </w:r>
    </w:p>
    <w:p w14:paraId="63B6D3CC" w14:textId="77777777" w:rsidR="00322386" w:rsidRDefault="00322386" w:rsidP="00322386">
      <w:pPr>
        <w:pStyle w:val="SingleTxtG"/>
        <w:ind w:right="707"/>
      </w:pPr>
      <w:r w:rsidRPr="006F22E1">
        <w:t>« 5.1</w:t>
      </w:r>
      <w:r>
        <w:t xml:space="preserve"> </w:t>
      </w:r>
      <w:r w:rsidRPr="008744F3">
        <w:rPr>
          <w:lang w:val="fr-FR"/>
        </w:rPr>
        <w:t>|</w:t>
      </w:r>
      <w:r w:rsidRPr="006F22E1">
        <w:t xml:space="preserve"> O</w:t>
      </w:r>
      <w:r>
        <w:t>T</w:t>
      </w:r>
      <w:r w:rsidRPr="006F22E1">
        <w:t>1</w:t>
      </w:r>
      <w:r>
        <w:t xml:space="preserve"> </w:t>
      </w:r>
      <w:r w:rsidRPr="008744F3">
        <w:rPr>
          <w:lang w:val="fr-FR"/>
        </w:rPr>
        <w:t>|</w:t>
      </w:r>
      <w:r>
        <w:rPr>
          <w:lang w:val="fr-FR"/>
        </w:rPr>
        <w:t xml:space="preserve"> III</w:t>
      </w:r>
      <w:r w:rsidRPr="006F22E1">
        <w:t> »</w:t>
      </w:r>
      <w:r>
        <w:t>.</w:t>
      </w:r>
    </w:p>
    <w:p w14:paraId="77E8296C" w14:textId="77777777" w:rsidR="00322386" w:rsidRDefault="00322386" w:rsidP="00322386">
      <w:pPr>
        <w:pStyle w:val="SingleTxtG"/>
        <w:ind w:right="707"/>
      </w:pPr>
      <w:r>
        <w:t>-</w:t>
      </w:r>
      <w:r>
        <w:tab/>
        <w:t>P</w:t>
      </w:r>
      <w:r w:rsidRPr="008744F3">
        <w:rPr>
          <w:lang w:val="fr-FR"/>
        </w:rPr>
        <w:t>our le code-</w:t>
      </w:r>
      <w:r w:rsidRPr="00371BB2">
        <w:rPr>
          <w:lang w:val="fr-FR"/>
        </w:rPr>
        <w:t xml:space="preserve">citerne </w:t>
      </w:r>
      <w:r>
        <w:rPr>
          <w:lang w:val="fr-FR"/>
        </w:rPr>
        <w:t>« </w:t>
      </w:r>
      <w:r w:rsidRPr="00371BB2">
        <w:rPr>
          <w:lang w:val="fr-FR"/>
        </w:rPr>
        <w:t>L1,5BN</w:t>
      </w:r>
      <w:r>
        <w:rPr>
          <w:lang w:val="fr-FR"/>
        </w:rPr>
        <w:t> »</w:t>
      </w:r>
      <w:r w:rsidRPr="00371BB2">
        <w:rPr>
          <w:lang w:val="fr-FR"/>
        </w:rPr>
        <w:t>,</w:t>
      </w:r>
      <w:r w:rsidRPr="008744F3">
        <w:rPr>
          <w:lang w:val="fr-FR"/>
        </w:rPr>
        <w:t xml:space="preserve"> supprimer la</w:t>
      </w:r>
      <w:r>
        <w:rPr>
          <w:lang w:val="fr-FR"/>
        </w:rPr>
        <w:t xml:space="preserve"> deuxième ligne (« 3 | F1 | III</w:t>
      </w:r>
      <w:r w:rsidRPr="008744F3">
        <w:rPr>
          <w:lang w:val="fr-FR"/>
        </w:rPr>
        <w:t xml:space="preserve"> point d’éclair &lt; 23</w:t>
      </w:r>
      <w:r>
        <w:rPr>
          <w:lang w:val="fr-FR"/>
        </w:rPr>
        <w:t> </w:t>
      </w:r>
      <w:r w:rsidRPr="008744F3">
        <w:rPr>
          <w:lang w:val="fr-FR"/>
        </w:rPr>
        <w:t>°C, visqueux, pression de vapeur à 50</w:t>
      </w:r>
      <w:r>
        <w:rPr>
          <w:lang w:val="fr-FR"/>
        </w:rPr>
        <w:t> </w:t>
      </w:r>
      <w:r w:rsidRPr="008744F3">
        <w:rPr>
          <w:lang w:val="fr-FR"/>
        </w:rPr>
        <w:t>°C &gt; 1,1 bar, point d’ébullition &gt; 35</w:t>
      </w:r>
      <w:r>
        <w:rPr>
          <w:lang w:val="fr-FR"/>
        </w:rPr>
        <w:t> </w:t>
      </w:r>
      <w:r w:rsidRPr="008744F3">
        <w:rPr>
          <w:lang w:val="fr-FR"/>
        </w:rPr>
        <w:t>°C »).</w:t>
      </w:r>
    </w:p>
    <w:p w14:paraId="208A1F27" w14:textId="77777777" w:rsidR="00322386" w:rsidRDefault="00322386" w:rsidP="00322386">
      <w:pPr>
        <w:pStyle w:val="SingleTxtG"/>
        <w:ind w:right="707"/>
      </w:pPr>
      <w:r>
        <w:t>-</w:t>
      </w:r>
      <w:r>
        <w:tab/>
        <w:t>P</w:t>
      </w:r>
      <w:r w:rsidRPr="006F22E1">
        <w:t>our le code-citerne « L4BN », dans la ligne « </w:t>
      </w:r>
      <w:r>
        <w:t>3</w:t>
      </w:r>
      <w:r w:rsidRPr="008744F3">
        <w:rPr>
          <w:lang w:val="fr-FR"/>
        </w:rPr>
        <w:t xml:space="preserve"> | </w:t>
      </w:r>
      <w:r>
        <w:t>F</w:t>
      </w:r>
      <w:r w:rsidRPr="006F22E1">
        <w:t>1 », dans la colonne « G</w:t>
      </w:r>
      <w:r>
        <w:t xml:space="preserve">roupe d’emballage », </w:t>
      </w:r>
      <w:r w:rsidRPr="006F22E1">
        <w:t>supprimer « </w:t>
      </w:r>
      <w:r>
        <w:t xml:space="preserve">III point d’ébullition </w:t>
      </w:r>
      <w:r w:rsidRPr="00E83B9E">
        <w:rPr>
          <w:rFonts w:cs="Arial"/>
          <w:szCs w:val="18"/>
        </w:rPr>
        <w:t>≤</w:t>
      </w:r>
      <w:r w:rsidRPr="00E83B9E">
        <w:rPr>
          <w:szCs w:val="18"/>
        </w:rPr>
        <w:t xml:space="preserve"> 35 °C</w:t>
      </w:r>
      <w:r w:rsidRPr="006F22E1">
        <w:t> ».</w:t>
      </w:r>
    </w:p>
    <w:p w14:paraId="6DD9EC03" w14:textId="77777777" w:rsidR="00322386" w:rsidRDefault="00322386" w:rsidP="00322386">
      <w:pPr>
        <w:pStyle w:val="SingleTxtG"/>
        <w:ind w:right="707"/>
      </w:pPr>
      <w:r>
        <w:t>-</w:t>
      </w:r>
      <w:r>
        <w:tab/>
        <w:t>P</w:t>
      </w:r>
      <w:r w:rsidRPr="006F22E1">
        <w:t>our le code-citerne « L4BN », dans la ligne « 5.1</w:t>
      </w:r>
      <w:r>
        <w:t xml:space="preserve"> </w:t>
      </w:r>
      <w:r w:rsidRPr="008744F3">
        <w:rPr>
          <w:lang w:val="fr-FR"/>
        </w:rPr>
        <w:t>|</w:t>
      </w:r>
      <w:r w:rsidRPr="006F22E1">
        <w:t xml:space="preserve"> O1 », dans la colonne « G</w:t>
      </w:r>
      <w:r>
        <w:t xml:space="preserve">roupe d’emballage », </w:t>
      </w:r>
      <w:r w:rsidRPr="006F22E1">
        <w:t>supprimer « I, ».</w:t>
      </w:r>
    </w:p>
    <w:p w14:paraId="5C402EEB" w14:textId="77777777" w:rsidR="00322386" w:rsidRDefault="00322386" w:rsidP="00322386">
      <w:pPr>
        <w:pStyle w:val="SingleTxtG"/>
        <w:ind w:right="707"/>
      </w:pPr>
      <w:r>
        <w:t>-</w:t>
      </w:r>
      <w:r>
        <w:tab/>
        <w:t>P</w:t>
      </w:r>
      <w:r w:rsidRPr="0019723D">
        <w:t>our le code-citerne « L4BN », dans la ligne « 5.1</w:t>
      </w:r>
      <w:r>
        <w:t xml:space="preserve"> </w:t>
      </w:r>
      <w:r w:rsidRPr="008744F3">
        <w:rPr>
          <w:lang w:val="fr-FR"/>
        </w:rPr>
        <w:t>|</w:t>
      </w:r>
      <w:r w:rsidRPr="0019723D">
        <w:t xml:space="preserve"> OT1 », dans la colonne « Groupe d’emballage », </w:t>
      </w:r>
      <w:r>
        <w:t>remplacer</w:t>
      </w:r>
      <w:r w:rsidRPr="0019723D">
        <w:t xml:space="preserve"> « I »</w:t>
      </w:r>
      <w:r>
        <w:t xml:space="preserve"> par « II ».</w:t>
      </w:r>
    </w:p>
    <w:p w14:paraId="2554C2B7" w14:textId="77777777" w:rsidR="00322386" w:rsidRDefault="00322386" w:rsidP="00322386">
      <w:pPr>
        <w:pStyle w:val="SingleTxtG"/>
        <w:ind w:right="707"/>
        <w:rPr>
          <w:i/>
          <w:iCs/>
          <w:lang w:val="fr-FR"/>
        </w:rPr>
      </w:pPr>
      <w:r w:rsidRPr="002F4EEE">
        <w:rPr>
          <w:i/>
          <w:iCs/>
          <w:lang w:val="fr-FR"/>
        </w:rPr>
        <w:t>(Document</w:t>
      </w:r>
      <w:r>
        <w:rPr>
          <w:i/>
          <w:iCs/>
          <w:lang w:val="fr-FR"/>
        </w:rPr>
        <w:t>s</w:t>
      </w:r>
      <w:r w:rsidRPr="002F4EEE">
        <w:rPr>
          <w:i/>
          <w:iCs/>
          <w:lang w:val="fr-FR"/>
        </w:rPr>
        <w:t xml:space="preserve"> de référence : </w:t>
      </w:r>
      <w:r>
        <w:rPr>
          <w:i/>
          <w:iCs/>
          <w:lang w:val="fr-FR"/>
        </w:rPr>
        <w:t>ECE/TRANS/WP.15/AC.1/2023/3, document informel INF.7, document informel INF.42)</w:t>
      </w:r>
    </w:p>
    <w:p w14:paraId="510A1956" w14:textId="77777777" w:rsidR="00232A2A" w:rsidRDefault="00232A2A" w:rsidP="00232A2A">
      <w:pPr>
        <w:pStyle w:val="H23G"/>
        <w:ind w:right="1133"/>
        <w:rPr>
          <w:lang w:val="fr-FR"/>
        </w:rPr>
      </w:pPr>
      <w:r>
        <w:rPr>
          <w:lang w:val="fr-FR"/>
        </w:rPr>
        <w:lastRenderedPageBreak/>
        <w:tab/>
      </w:r>
      <w:r>
        <w:rPr>
          <w:lang w:val="fr-FR"/>
        </w:rPr>
        <w:tab/>
        <w:t>Chapitre 5.4</w:t>
      </w:r>
    </w:p>
    <w:p w14:paraId="6BD9B93D" w14:textId="77777777" w:rsidR="00104E22" w:rsidRDefault="00104E22" w:rsidP="00104E22">
      <w:pPr>
        <w:pStyle w:val="SingleTxtG"/>
        <w:ind w:right="707"/>
        <w:rPr>
          <w:lang w:val="fr-FR"/>
        </w:rPr>
      </w:pPr>
      <w:r w:rsidRPr="005A45F1">
        <w:rPr>
          <w:b/>
          <w:lang w:val="fr-FR"/>
        </w:rPr>
        <w:t>5.4.0.1</w:t>
      </w:r>
      <w:r>
        <w:rPr>
          <w:lang w:val="fr-FR"/>
        </w:rPr>
        <w:tab/>
      </w:r>
      <w:r>
        <w:rPr>
          <w:lang w:val="fr-FR"/>
        </w:rPr>
        <w:tab/>
        <w:t>Après la première phrase, insérer la nouvelle deuxième phrase suivante :</w:t>
      </w:r>
    </w:p>
    <w:p w14:paraId="1AA44702" w14:textId="62E3F11E" w:rsidR="00104E22" w:rsidRPr="006E3D04" w:rsidRDefault="00104E22" w:rsidP="00104E22">
      <w:pPr>
        <w:pStyle w:val="SingleTxtG"/>
        <w:ind w:right="707"/>
      </w:pPr>
      <w:r w:rsidRPr="00FC2B0D">
        <w:rPr>
          <w:b/>
          <w:lang w:val="fr-FR"/>
        </w:rPr>
        <w:t>[</w:t>
      </w:r>
      <w:r>
        <w:rPr>
          <w:lang w:val="fr-FR"/>
        </w:rPr>
        <w:t xml:space="preserve">« Les informations </w:t>
      </w:r>
      <w:r w:rsidR="00D70FA9">
        <w:rPr>
          <w:lang w:val="fr-FR"/>
        </w:rPr>
        <w:t xml:space="preserve">concernant les marchandises dangereuses transportées, </w:t>
      </w:r>
      <w:r>
        <w:rPr>
          <w:lang w:val="fr-FR"/>
        </w:rPr>
        <w:t>prescrites dans le présent chapitre</w:t>
      </w:r>
      <w:r w:rsidR="00E26940">
        <w:rPr>
          <w:lang w:val="fr-FR"/>
        </w:rPr>
        <w:t>,</w:t>
      </w:r>
      <w:r>
        <w:rPr>
          <w:lang w:val="fr-FR"/>
        </w:rPr>
        <w:t xml:space="preserve"> doivent être disponibles pendant le transport de manière à ce que les marchandises par wagon/véhicule/bateau et le wagon/véhicule/bateau les transportant puissent être identifiés dans la documentation. ».</w:t>
      </w:r>
      <w:r w:rsidRPr="00FC2B0D">
        <w:rPr>
          <w:b/>
          <w:lang w:val="fr-FR"/>
        </w:rPr>
        <w:t>]</w:t>
      </w:r>
    </w:p>
    <w:p w14:paraId="2B44D64B" w14:textId="45002091" w:rsidR="00104E22" w:rsidRDefault="00104E22" w:rsidP="00104E22">
      <w:pPr>
        <w:pStyle w:val="SingleTxtG"/>
        <w:ind w:right="707"/>
        <w:rPr>
          <w:i/>
          <w:iCs/>
          <w:lang w:val="fr-FR"/>
        </w:rPr>
      </w:pPr>
      <w:r w:rsidRPr="002F4EEE">
        <w:rPr>
          <w:i/>
          <w:iCs/>
          <w:lang w:val="fr-FR"/>
        </w:rPr>
        <w:t>(Document de référence</w:t>
      </w:r>
      <w:r w:rsidR="00A04FC5">
        <w:rPr>
          <w:i/>
          <w:iCs/>
          <w:lang w:val="fr-FR"/>
        </w:rPr>
        <w:t> </w:t>
      </w:r>
      <w:r w:rsidRPr="002F4EEE">
        <w:rPr>
          <w:i/>
          <w:iCs/>
          <w:lang w:val="fr-FR"/>
        </w:rPr>
        <w:t xml:space="preserve">: </w:t>
      </w:r>
      <w:r>
        <w:rPr>
          <w:i/>
          <w:iCs/>
          <w:lang w:val="fr-FR"/>
        </w:rPr>
        <w:t>document informel INF.43 tel qu</w:t>
      </w:r>
      <w:r w:rsidR="00A04FC5">
        <w:rPr>
          <w:i/>
          <w:iCs/>
          <w:lang w:val="fr-FR"/>
        </w:rPr>
        <w:t>e modifié</w:t>
      </w:r>
      <w:r>
        <w:rPr>
          <w:i/>
          <w:iCs/>
          <w:lang w:val="fr-FR"/>
        </w:rPr>
        <w:t>)</w:t>
      </w:r>
    </w:p>
    <w:p w14:paraId="0B7ACB91" w14:textId="77777777" w:rsidR="00232A2A" w:rsidRDefault="00232A2A" w:rsidP="00232A2A">
      <w:pPr>
        <w:pStyle w:val="SingleTxtG"/>
        <w:rPr>
          <w:lang w:val="fr-FR"/>
        </w:rPr>
      </w:pPr>
      <w:r>
        <w:rPr>
          <w:lang w:val="fr-FR"/>
        </w:rPr>
        <w:t>(ADR :)</w:t>
      </w:r>
    </w:p>
    <w:p w14:paraId="00E02C8E" w14:textId="77777777" w:rsidR="00232A2A" w:rsidRDefault="00232A2A" w:rsidP="00232A2A">
      <w:pPr>
        <w:pStyle w:val="SingleTxtG"/>
      </w:pPr>
      <w:r w:rsidRPr="00C04B39">
        <w:rPr>
          <w:b/>
          <w:lang w:val="fr-FR"/>
        </w:rPr>
        <w:t>5.4.1.1.1</w:t>
      </w:r>
      <w:r>
        <w:rPr>
          <w:lang w:val="fr-FR"/>
        </w:rPr>
        <w:tab/>
      </w:r>
      <w:r>
        <w:t>À l’alinéa g), supprimer « ou des expéditeurs ».</w:t>
      </w:r>
    </w:p>
    <w:p w14:paraId="331A03E0" w14:textId="77777777" w:rsidR="00232A2A" w:rsidRPr="00C04B39" w:rsidRDefault="00232A2A" w:rsidP="00232A2A">
      <w:pPr>
        <w:pStyle w:val="SingleTxtG"/>
        <w:rPr>
          <w:lang w:val="fr-FR"/>
        </w:rPr>
      </w:pPr>
      <w:r w:rsidRPr="002F4EEE">
        <w:rPr>
          <w:i/>
          <w:iCs/>
          <w:lang w:val="fr-FR"/>
        </w:rPr>
        <w:t xml:space="preserve">(Document de référence : </w:t>
      </w:r>
      <w:r>
        <w:rPr>
          <w:i/>
          <w:iCs/>
          <w:lang w:val="fr-FR"/>
        </w:rPr>
        <w:t>document informel INF.24)</w:t>
      </w:r>
    </w:p>
    <w:p w14:paraId="51A5F77F" w14:textId="77777777" w:rsidR="00104E22" w:rsidRDefault="00104E22" w:rsidP="00104E22">
      <w:pPr>
        <w:pStyle w:val="SingleTxtG"/>
        <w:ind w:right="707"/>
        <w:rPr>
          <w:lang w:val="fr-FR"/>
        </w:rPr>
      </w:pPr>
      <w:r w:rsidRPr="005A45F1">
        <w:rPr>
          <w:b/>
          <w:lang w:val="fr-FR"/>
        </w:rPr>
        <w:t>5.4.1.1.21</w:t>
      </w:r>
      <w:r>
        <w:rPr>
          <w:lang w:val="fr-FR"/>
        </w:rPr>
        <w:tab/>
        <w:t>Modifier pour lire comme suit :</w:t>
      </w:r>
    </w:p>
    <w:p w14:paraId="6714AAFC" w14:textId="77777777" w:rsidR="00104E22" w:rsidRDefault="00104E22" w:rsidP="00104E22">
      <w:pPr>
        <w:pStyle w:val="SingleTxtG"/>
        <w:ind w:right="707"/>
        <w:rPr>
          <w:lang w:val="fr-FR"/>
        </w:rPr>
      </w:pPr>
      <w:r>
        <w:rPr>
          <w:lang w:val="fr-FR"/>
        </w:rPr>
        <w:t>« </w:t>
      </w:r>
      <w:r w:rsidRPr="006E3D04">
        <w:rPr>
          <w:b/>
          <w:lang w:val="fr-FR"/>
        </w:rPr>
        <w:t>5.4.1.1.21</w:t>
      </w:r>
      <w:r w:rsidRPr="006E3D04">
        <w:rPr>
          <w:b/>
          <w:lang w:val="fr-FR"/>
        </w:rPr>
        <w:tab/>
        <w:t>Renseignements requis pour les cas spécifiques définis dans d’autres parties du RID/ADR/ADN</w:t>
      </w:r>
    </w:p>
    <w:p w14:paraId="1EF07C50" w14:textId="77777777" w:rsidR="00104E22" w:rsidRDefault="00104E22" w:rsidP="00104E22">
      <w:pPr>
        <w:pStyle w:val="SingleTxtG"/>
        <w:ind w:right="707"/>
        <w:rPr>
          <w:lang w:val="fr-FR"/>
        </w:rPr>
      </w:pPr>
      <w:r>
        <w:rPr>
          <w:lang w:val="fr-FR"/>
        </w:rPr>
        <w:t>Lorsque des renseignements sont nécessaires en vertu des dispositions des chapitres </w:t>
      </w:r>
      <w:r>
        <w:rPr>
          <w:rStyle w:val="y2iqfc"/>
          <w:lang w:val="fr-FR"/>
        </w:rPr>
        <w:t>3.3, [3.5], 4.1, 4.2, 4.3 et 5.5, ces renseignements doivent figurer dans les informations de transport. ».</w:t>
      </w:r>
    </w:p>
    <w:p w14:paraId="0ADDB8B8" w14:textId="30EE3AA9" w:rsidR="00104E22" w:rsidRPr="005A45F1" w:rsidRDefault="00104E22" w:rsidP="00104E22">
      <w:pPr>
        <w:pStyle w:val="SingleTxtG"/>
        <w:ind w:right="707"/>
      </w:pPr>
      <w:r w:rsidRPr="002F4EEE">
        <w:rPr>
          <w:i/>
          <w:iCs/>
          <w:lang w:val="fr-FR"/>
        </w:rPr>
        <w:t xml:space="preserve">(Document de référence : </w:t>
      </w:r>
      <w:r>
        <w:rPr>
          <w:i/>
          <w:iCs/>
          <w:lang w:val="fr-FR"/>
        </w:rPr>
        <w:t>document informel INF.43 tel qu</w:t>
      </w:r>
      <w:r w:rsidR="001D4B0C">
        <w:rPr>
          <w:i/>
          <w:iCs/>
          <w:lang w:val="fr-FR"/>
        </w:rPr>
        <w:t>e modifi</w:t>
      </w:r>
      <w:r w:rsidR="00FA1330">
        <w:rPr>
          <w:i/>
          <w:iCs/>
          <w:lang w:val="fr-FR"/>
        </w:rPr>
        <w:t>é</w:t>
      </w:r>
      <w:r>
        <w:rPr>
          <w:i/>
          <w:iCs/>
          <w:lang w:val="fr-FR"/>
        </w:rPr>
        <w:t>)</w:t>
      </w:r>
    </w:p>
    <w:p w14:paraId="6CC02661" w14:textId="77777777" w:rsidR="00622BF0" w:rsidRDefault="00622BF0" w:rsidP="00622BF0">
      <w:pPr>
        <w:pStyle w:val="H23G"/>
        <w:ind w:right="1133"/>
      </w:pPr>
      <w:r>
        <w:tab/>
      </w:r>
      <w:r>
        <w:tab/>
        <w:t>Chapitre 6.2</w:t>
      </w:r>
    </w:p>
    <w:p w14:paraId="228D3AF8" w14:textId="77777777" w:rsidR="00622BF0" w:rsidRPr="002F4EEE" w:rsidRDefault="00622BF0" w:rsidP="00622BF0">
      <w:pPr>
        <w:pStyle w:val="SingleTxtG"/>
        <w:ind w:right="1133"/>
        <w:rPr>
          <w:lang w:val="fr-FR"/>
        </w:rPr>
      </w:pPr>
      <w:r w:rsidRPr="002F4EEE">
        <w:rPr>
          <w:b/>
          <w:lang w:val="fr-FR"/>
        </w:rPr>
        <w:t>6.2.4.1</w:t>
      </w:r>
      <w:r w:rsidRPr="002F4EEE">
        <w:rPr>
          <w:lang w:val="fr-FR"/>
        </w:rPr>
        <w:tab/>
      </w:r>
      <w:r w:rsidRPr="002F4EEE">
        <w:rPr>
          <w:lang w:val="fr-FR"/>
        </w:rPr>
        <w:tab/>
        <w:t>Dans le tableau, sous « </w:t>
      </w:r>
      <w:r w:rsidRPr="002F4EEE">
        <w:rPr>
          <w:b/>
          <w:i/>
          <w:lang w:val="fr-FR"/>
        </w:rPr>
        <w:t>pour la conception et la fabrication des récipients à pression ou des enveloppes de récipients à pression</w:t>
      </w:r>
      <w:r w:rsidRPr="002F4EEE">
        <w:rPr>
          <w:lang w:val="fr-FR"/>
        </w:rPr>
        <w:t> » :</w:t>
      </w:r>
    </w:p>
    <w:p w14:paraId="12295305" w14:textId="14862800" w:rsidR="00622BF0" w:rsidRDefault="00622BF0" w:rsidP="00BA174B">
      <w:pPr>
        <w:pStyle w:val="SingleTxtG"/>
        <w:ind w:right="1133"/>
        <w:rPr>
          <w:lang w:val="fr-FR"/>
        </w:rPr>
      </w:pPr>
      <w:r w:rsidRPr="002F4EEE">
        <w:rPr>
          <w:rFonts w:cs="Arial"/>
          <w:szCs w:val="22"/>
          <w:lang w:val="fr-FR"/>
        </w:rPr>
        <w:t>–</w:t>
      </w:r>
      <w:r w:rsidRPr="002F4EEE">
        <w:rPr>
          <w:rFonts w:cs="Arial"/>
          <w:szCs w:val="22"/>
          <w:lang w:val="fr-FR"/>
        </w:rPr>
        <w:tab/>
      </w:r>
      <w:r w:rsidRPr="002F4EEE">
        <w:rPr>
          <w:lang w:val="fr-FR"/>
        </w:rPr>
        <w:t>Après la ligne pour la norme « </w:t>
      </w:r>
      <w:r>
        <w:rPr>
          <w:rFonts w:cs="Arial"/>
          <w:szCs w:val="22"/>
        </w:rPr>
        <w:t>EN ISO 9809-3:2019 </w:t>
      </w:r>
      <w:r w:rsidRPr="002F4EEE">
        <w:rPr>
          <w:lang w:val="fr-FR"/>
        </w:rPr>
        <w:t xml:space="preserve">», </w:t>
      </w:r>
      <w:r>
        <w:rPr>
          <w:lang w:val="fr-FR"/>
        </w:rPr>
        <w:t>insérer</w:t>
      </w:r>
      <w:r w:rsidRPr="002F4EEE">
        <w:rPr>
          <w:lang w:val="fr-FR"/>
        </w:rPr>
        <w:t xml:space="preserve"> la nouvelle ligne suivante :</w:t>
      </w:r>
    </w:p>
    <w:p w14:paraId="566295A5" w14:textId="77777777" w:rsidR="00622BF0" w:rsidRPr="002F4EEE" w:rsidRDefault="00622BF0" w:rsidP="00622BF0">
      <w:pPr>
        <w:pStyle w:val="SingleTxtG"/>
        <w:ind w:right="282"/>
        <w:rPr>
          <w:lang w:val="fr-FR"/>
        </w:rPr>
      </w:pPr>
      <w:r w:rsidRPr="002F4EEE">
        <w:rPr>
          <w:lang w:val="fr-FR"/>
        </w:rPr>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622BF0" w:rsidRPr="002F4EEE" w14:paraId="56C45FDD"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13C8F0" w14:textId="77777777" w:rsidR="00622BF0" w:rsidRPr="002F4EEE" w:rsidRDefault="00622BF0" w:rsidP="003435D2">
            <w:pPr>
              <w:widowControl w:val="0"/>
              <w:ind w:right="282"/>
              <w:jc w:val="center"/>
              <w:rPr>
                <w:rFonts w:cs="Arial"/>
                <w:lang w:val="fr-FR"/>
              </w:rPr>
            </w:pPr>
            <w:r w:rsidRPr="002F4EEE">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106B8A" w14:textId="77777777" w:rsidR="00622BF0" w:rsidRPr="002F4EEE" w:rsidRDefault="00622BF0" w:rsidP="003435D2">
            <w:pPr>
              <w:widowControl w:val="0"/>
              <w:ind w:right="282"/>
              <w:jc w:val="center"/>
              <w:rPr>
                <w:rFonts w:cs="Arial"/>
                <w:lang w:val="fr-FR"/>
              </w:rPr>
            </w:pPr>
            <w:r w:rsidRPr="002F4EEE">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FA6A7E" w14:textId="77777777" w:rsidR="00622BF0" w:rsidRPr="002F4EEE" w:rsidRDefault="00622BF0" w:rsidP="003435D2">
            <w:pPr>
              <w:widowControl w:val="0"/>
              <w:ind w:right="282"/>
              <w:jc w:val="center"/>
              <w:rPr>
                <w:rFonts w:cs="Arial"/>
                <w:lang w:val="fr-FR"/>
              </w:rPr>
            </w:pPr>
            <w:r w:rsidRPr="002F4EEE">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D44A0D" w14:textId="77777777" w:rsidR="00622BF0" w:rsidRPr="002F4EEE" w:rsidRDefault="00622BF0" w:rsidP="003435D2">
            <w:pPr>
              <w:widowControl w:val="0"/>
              <w:ind w:right="282"/>
              <w:jc w:val="center"/>
              <w:rPr>
                <w:rFonts w:cs="Arial"/>
                <w:lang w:val="fr-FR"/>
              </w:rPr>
            </w:pPr>
            <w:r w:rsidRPr="002F4EEE">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29AC51" w14:textId="77777777" w:rsidR="00622BF0" w:rsidRPr="002F4EEE" w:rsidRDefault="00622BF0" w:rsidP="003435D2">
            <w:pPr>
              <w:widowControl w:val="0"/>
              <w:ind w:right="282"/>
              <w:jc w:val="center"/>
              <w:rPr>
                <w:rFonts w:cs="Arial"/>
                <w:lang w:val="fr-FR"/>
              </w:rPr>
            </w:pPr>
            <w:r w:rsidRPr="002F4EEE">
              <w:rPr>
                <w:rFonts w:cs="Arial"/>
                <w:lang w:val="fr-FR"/>
              </w:rPr>
              <w:t>(5)</w:t>
            </w:r>
          </w:p>
        </w:tc>
      </w:tr>
      <w:tr w:rsidR="00622BF0" w:rsidRPr="002F4EEE" w14:paraId="39B81F0D"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9E8337" w14:textId="77777777" w:rsidR="00622BF0" w:rsidRPr="002F4EEE" w:rsidRDefault="00622BF0" w:rsidP="003435D2">
            <w:pPr>
              <w:widowControl w:val="0"/>
              <w:ind w:right="282"/>
              <w:rPr>
                <w:rFonts w:cs="Arial"/>
                <w:lang w:val="fr-FR"/>
              </w:rPr>
            </w:pPr>
            <w:r w:rsidRPr="0059175C">
              <w:rPr>
                <w:szCs w:val="22"/>
              </w:rPr>
              <w:t>EN</w:t>
            </w:r>
            <w:r>
              <w:rPr>
                <w:szCs w:val="22"/>
              </w:rPr>
              <w:t> ISO 9809-4:2022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1CBE54" w14:textId="77777777" w:rsidR="00622BF0" w:rsidRPr="002F4EEE" w:rsidRDefault="00622BF0" w:rsidP="003435D2">
            <w:pPr>
              <w:widowControl w:val="0"/>
              <w:ind w:right="282"/>
              <w:rPr>
                <w:rFonts w:cs="Arial"/>
                <w:bCs/>
                <w:lang w:val="fr-FR"/>
              </w:rPr>
            </w:pPr>
            <w:r w:rsidRPr="0051369A">
              <w:t>Bouteilles à gaz – Conception, construction et essais des bouteilles à gaz et des tubes rechargeables en acier sans soudure – Partie 4</w:t>
            </w:r>
            <w:r w:rsidRPr="0051369A">
              <w:rPr>
                <w:w w:val="66"/>
              </w:rPr>
              <w:t> </w:t>
            </w:r>
            <w:r w:rsidRPr="0051369A">
              <w:t>: Bouteilles en acier inoxydable ayant une valeur de R</w:t>
            </w:r>
            <w:r w:rsidRPr="0051369A">
              <w:rPr>
                <w:vertAlign w:val="subscript"/>
              </w:rPr>
              <w:t>m</w:t>
            </w:r>
            <w:r w:rsidRPr="0051369A">
              <w:t xml:space="preserve"> inférieure à 1 100 MPa</w:t>
            </w:r>
          </w:p>
          <w:p w14:paraId="4BBE8531" w14:textId="77777777" w:rsidR="00622BF0" w:rsidRPr="00891AAC" w:rsidRDefault="00622BF0" w:rsidP="003435D2">
            <w:pPr>
              <w:widowControl w:val="0"/>
              <w:tabs>
                <w:tab w:val="left" w:pos="851"/>
              </w:tabs>
              <w:ind w:left="1" w:right="282" w:hanging="1"/>
              <w:rPr>
                <w:rFonts w:cs="Arial"/>
                <w:i/>
              </w:rPr>
            </w:pPr>
            <w:r w:rsidRPr="00891AAC">
              <w:rPr>
                <w:rFonts w:cs="Arial"/>
                <w:b/>
                <w:bCs/>
                <w:i/>
              </w:rPr>
              <w:t>NOTA :</w:t>
            </w:r>
            <w:r w:rsidRPr="00891AAC">
              <w:rPr>
                <w:rFonts w:cs="Arial"/>
                <w:bCs/>
                <w:i/>
              </w:rPr>
              <w:tab/>
            </w:r>
            <w:r>
              <w:rPr>
                <w:rFonts w:cs="Arial"/>
                <w:bCs/>
                <w:i/>
                <w:lang w:val="fr-FR"/>
              </w:rPr>
              <w:t>Par « petites quantités », on entend un lot comprenant au maximum 200 bouteilles.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08791F" w14:textId="77777777" w:rsidR="00622BF0" w:rsidRPr="002F4EEE" w:rsidRDefault="00622BF0" w:rsidP="003435D2">
            <w:pPr>
              <w:widowControl w:val="0"/>
              <w:ind w:right="282"/>
              <w:rPr>
                <w:rFonts w:cs="Arial"/>
                <w:lang w:val="fr-FR"/>
              </w:rPr>
            </w:pPr>
            <w:r w:rsidRPr="002F4EEE">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1B8FAD" w14:textId="77777777" w:rsidR="00622BF0" w:rsidRPr="002F4EEE" w:rsidRDefault="00622BF0" w:rsidP="003435D2">
            <w:pPr>
              <w:widowControl w:val="0"/>
              <w:ind w:right="282"/>
              <w:jc w:val="center"/>
              <w:rPr>
                <w:rFonts w:cs="Arial"/>
                <w:lang w:val="fr-FR"/>
              </w:rPr>
            </w:pPr>
            <w:r w:rsidRPr="002F4EEE">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63AB86" w14:textId="77777777" w:rsidR="00622BF0" w:rsidRPr="002F4EEE" w:rsidRDefault="00622BF0" w:rsidP="003435D2">
            <w:pPr>
              <w:widowControl w:val="0"/>
              <w:ind w:right="282"/>
              <w:rPr>
                <w:rFonts w:cs="Arial"/>
                <w:lang w:val="fr-FR"/>
              </w:rPr>
            </w:pPr>
          </w:p>
        </w:tc>
      </w:tr>
    </w:tbl>
    <w:p w14:paraId="678C1ACD" w14:textId="77777777" w:rsidR="00622BF0" w:rsidRDefault="00622BF0" w:rsidP="00622BF0">
      <w:pPr>
        <w:pStyle w:val="SingleTxtG"/>
        <w:ind w:right="282"/>
        <w:rPr>
          <w:lang w:val="fr-FR"/>
        </w:rPr>
      </w:pPr>
      <w:r w:rsidRPr="002F4EEE">
        <w:rPr>
          <w:lang w:val="fr-FR"/>
        </w:rPr>
        <w:t> ».</w:t>
      </w:r>
    </w:p>
    <w:p w14:paraId="04ED0597" w14:textId="77777777" w:rsidR="00622BF0" w:rsidRDefault="00622BF0" w:rsidP="00622BF0">
      <w:pPr>
        <w:pStyle w:val="SingleTxtG"/>
        <w:ind w:right="282"/>
        <w:rPr>
          <w:i/>
          <w:iCs/>
          <w:lang w:val="fr-FR"/>
        </w:rPr>
      </w:pPr>
      <w:r w:rsidRPr="002F4EEE">
        <w:rPr>
          <w:i/>
          <w:iCs/>
          <w:lang w:val="fr-FR"/>
        </w:rPr>
        <w:t xml:space="preserve">(Document de référence : document </w:t>
      </w:r>
      <w:r w:rsidRPr="00B2796B">
        <w:rPr>
          <w:i/>
          <w:iCs/>
          <w:lang w:val="fr-FR"/>
        </w:rPr>
        <w:t>informel INF.</w:t>
      </w:r>
      <w:r>
        <w:rPr>
          <w:i/>
          <w:iCs/>
          <w:lang w:val="fr-FR"/>
        </w:rPr>
        <w:t>12, point 3.1</w:t>
      </w:r>
      <w:r w:rsidRPr="00B2796B">
        <w:rPr>
          <w:i/>
          <w:iCs/>
          <w:lang w:val="fr-FR"/>
        </w:rPr>
        <w:t>)</w:t>
      </w:r>
    </w:p>
    <w:p w14:paraId="13FC208A" w14:textId="77777777" w:rsidR="00622BF0" w:rsidRPr="002F4EEE" w:rsidRDefault="00622BF0" w:rsidP="00622BF0">
      <w:pPr>
        <w:pStyle w:val="SingleTxtG"/>
        <w:ind w:right="1133"/>
        <w:rPr>
          <w:lang w:val="fr-FR"/>
        </w:rPr>
      </w:pPr>
      <w:r w:rsidRPr="002F4EEE">
        <w:rPr>
          <w:rFonts w:cs="Arial"/>
          <w:szCs w:val="22"/>
          <w:lang w:val="fr-FR"/>
        </w:rPr>
        <w:t>–</w:t>
      </w:r>
      <w:r w:rsidRPr="002F4EEE">
        <w:rPr>
          <w:rFonts w:cs="Arial"/>
          <w:szCs w:val="22"/>
          <w:lang w:val="fr-FR"/>
        </w:rPr>
        <w:tab/>
      </w:r>
      <w:r w:rsidRPr="002F4EEE">
        <w:rPr>
          <w:lang w:val="fr-FR"/>
        </w:rPr>
        <w:t>Pour la norme « </w:t>
      </w:r>
      <w:r>
        <w:t>EN 13110:2012</w:t>
      </w:r>
      <w:r w:rsidRPr="002F4EEE">
        <w:rPr>
          <w:bCs/>
          <w:lang w:val="fr-FR"/>
        </w:rPr>
        <w:t> </w:t>
      </w:r>
      <w:r w:rsidRPr="002F4EEE">
        <w:rPr>
          <w:lang w:val="fr-FR"/>
        </w:rPr>
        <w:t>», dans la colonne (4), remplacer « Jusqu’à nouvel ordre » par :</w:t>
      </w:r>
    </w:p>
    <w:p w14:paraId="4A7907D4" w14:textId="77777777" w:rsidR="00622BF0" w:rsidRDefault="00622BF0" w:rsidP="00622BF0">
      <w:pPr>
        <w:pStyle w:val="SingleTxtG"/>
        <w:ind w:right="1133"/>
        <w:rPr>
          <w:lang w:val="fr-FR"/>
        </w:rPr>
      </w:pPr>
      <w:r w:rsidRPr="002F4EEE">
        <w:rPr>
          <w:lang w:val="fr-FR"/>
        </w:rPr>
        <w:t>« Entre le 1</w:t>
      </w:r>
      <w:r w:rsidRPr="002F4EEE">
        <w:rPr>
          <w:vertAlign w:val="superscript"/>
          <w:lang w:val="fr-FR"/>
        </w:rPr>
        <w:t>er</w:t>
      </w:r>
      <w:r w:rsidRPr="002F4EEE">
        <w:rPr>
          <w:lang w:val="fr-FR"/>
        </w:rPr>
        <w:t xml:space="preserve"> janvier 2013 et le 31 décembre 202</w:t>
      </w:r>
      <w:r>
        <w:rPr>
          <w:lang w:val="fr-FR"/>
        </w:rPr>
        <w:t>6</w:t>
      </w:r>
      <w:r w:rsidRPr="002F4EEE">
        <w:rPr>
          <w:lang w:val="fr-FR"/>
        </w:rPr>
        <w:t> ».</w:t>
      </w:r>
    </w:p>
    <w:p w14:paraId="202E249D" w14:textId="77777777" w:rsidR="00622BF0" w:rsidRPr="002F4EEE" w:rsidRDefault="00622BF0" w:rsidP="00622BF0">
      <w:pPr>
        <w:pStyle w:val="SingleTxtG"/>
        <w:ind w:right="1133"/>
        <w:rPr>
          <w:lang w:val="fr-FR"/>
        </w:rPr>
      </w:pPr>
      <w:r w:rsidRPr="002F4EEE">
        <w:rPr>
          <w:i/>
          <w:iCs/>
          <w:lang w:val="fr-FR"/>
        </w:rPr>
        <w:t xml:space="preserve">(Document de référence : document </w:t>
      </w:r>
      <w:r w:rsidRPr="00B2796B">
        <w:rPr>
          <w:i/>
          <w:iCs/>
          <w:lang w:val="fr-FR"/>
        </w:rPr>
        <w:t>informel INF.</w:t>
      </w:r>
      <w:r>
        <w:rPr>
          <w:i/>
          <w:iCs/>
          <w:lang w:val="fr-FR"/>
        </w:rPr>
        <w:t>12, point 3.2</w:t>
      </w:r>
      <w:r w:rsidRPr="00B2796B">
        <w:rPr>
          <w:i/>
          <w:iCs/>
          <w:lang w:val="fr-FR"/>
        </w:rPr>
        <w:t>)</w:t>
      </w:r>
    </w:p>
    <w:p w14:paraId="253F5149" w14:textId="77777777" w:rsidR="00622BF0" w:rsidRPr="002F4EEE" w:rsidRDefault="00622BF0" w:rsidP="00622BF0">
      <w:pPr>
        <w:pStyle w:val="SingleTxtG"/>
        <w:keepNext/>
        <w:rPr>
          <w:lang w:val="fr-FR"/>
        </w:rPr>
      </w:pPr>
      <w:r w:rsidRPr="002F4EEE">
        <w:rPr>
          <w:rFonts w:cs="Arial"/>
          <w:szCs w:val="22"/>
          <w:lang w:val="fr-FR"/>
        </w:rPr>
        <w:t>–</w:t>
      </w:r>
      <w:r w:rsidRPr="002F4EEE">
        <w:rPr>
          <w:rFonts w:cs="Arial"/>
          <w:szCs w:val="22"/>
          <w:lang w:val="fr-FR"/>
        </w:rPr>
        <w:tab/>
      </w:r>
      <w:r w:rsidRPr="002F4EEE">
        <w:rPr>
          <w:lang w:val="fr-FR"/>
        </w:rPr>
        <w:t>Après la ligne pour la norme « </w:t>
      </w:r>
      <w:r>
        <w:t>EN 13110:2012</w:t>
      </w:r>
      <w:r w:rsidRPr="002F4EEE">
        <w:rPr>
          <w:bCs/>
          <w:lang w:val="fr-FR"/>
        </w:rPr>
        <w:t> </w:t>
      </w:r>
      <w:r w:rsidRPr="002F4EEE">
        <w:rPr>
          <w:lang w:val="fr-FR"/>
        </w:rPr>
        <w:t xml:space="preserve">», </w:t>
      </w:r>
      <w:r>
        <w:rPr>
          <w:lang w:val="fr-FR"/>
        </w:rPr>
        <w:t>insérer</w:t>
      </w:r>
      <w:r w:rsidRPr="002F4EEE">
        <w:rPr>
          <w:lang w:val="fr-FR"/>
        </w:rPr>
        <w:t xml:space="preserve"> la nouvelle ligne suivante :</w:t>
      </w:r>
    </w:p>
    <w:p w14:paraId="091E247B" w14:textId="77777777" w:rsidR="00622BF0" w:rsidRPr="002F4EEE" w:rsidRDefault="00622BF0" w:rsidP="00622BF0">
      <w:pPr>
        <w:pStyle w:val="SingleTxtG"/>
        <w:ind w:right="282"/>
        <w:rPr>
          <w:lang w:val="fr-FR"/>
        </w:rPr>
      </w:pPr>
      <w:r w:rsidRPr="002F4EEE">
        <w:rPr>
          <w:lang w:val="fr-FR"/>
        </w:rPr>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622BF0" w:rsidRPr="002F4EEE" w14:paraId="07200976"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6A36AF" w14:textId="77777777" w:rsidR="00622BF0" w:rsidRPr="002F4EEE" w:rsidRDefault="00622BF0" w:rsidP="003435D2">
            <w:pPr>
              <w:widowControl w:val="0"/>
              <w:ind w:right="282"/>
              <w:jc w:val="center"/>
              <w:rPr>
                <w:rFonts w:cs="Arial"/>
                <w:lang w:val="fr-FR"/>
              </w:rPr>
            </w:pPr>
            <w:r w:rsidRPr="002F4EEE">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C0B3A9" w14:textId="77777777" w:rsidR="00622BF0" w:rsidRPr="002F4EEE" w:rsidRDefault="00622BF0" w:rsidP="003435D2">
            <w:pPr>
              <w:widowControl w:val="0"/>
              <w:ind w:right="282"/>
              <w:jc w:val="center"/>
              <w:rPr>
                <w:rFonts w:cs="Arial"/>
                <w:lang w:val="fr-FR"/>
              </w:rPr>
            </w:pPr>
            <w:r w:rsidRPr="002F4EEE">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B93D4D" w14:textId="77777777" w:rsidR="00622BF0" w:rsidRPr="002F4EEE" w:rsidRDefault="00622BF0" w:rsidP="003435D2">
            <w:pPr>
              <w:widowControl w:val="0"/>
              <w:ind w:right="282"/>
              <w:jc w:val="center"/>
              <w:rPr>
                <w:rFonts w:cs="Arial"/>
                <w:lang w:val="fr-FR"/>
              </w:rPr>
            </w:pPr>
            <w:r w:rsidRPr="002F4EEE">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7183D1" w14:textId="77777777" w:rsidR="00622BF0" w:rsidRPr="002F4EEE" w:rsidRDefault="00622BF0" w:rsidP="003435D2">
            <w:pPr>
              <w:widowControl w:val="0"/>
              <w:ind w:right="282"/>
              <w:jc w:val="center"/>
              <w:rPr>
                <w:rFonts w:cs="Arial"/>
                <w:lang w:val="fr-FR"/>
              </w:rPr>
            </w:pPr>
            <w:r w:rsidRPr="002F4EEE">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DAE8C1" w14:textId="77777777" w:rsidR="00622BF0" w:rsidRPr="002F4EEE" w:rsidRDefault="00622BF0" w:rsidP="003435D2">
            <w:pPr>
              <w:widowControl w:val="0"/>
              <w:ind w:right="282"/>
              <w:jc w:val="center"/>
              <w:rPr>
                <w:rFonts w:cs="Arial"/>
                <w:lang w:val="fr-FR"/>
              </w:rPr>
            </w:pPr>
            <w:r w:rsidRPr="002F4EEE">
              <w:rPr>
                <w:rFonts w:cs="Arial"/>
                <w:lang w:val="fr-FR"/>
              </w:rPr>
              <w:t>(5)</w:t>
            </w:r>
          </w:p>
        </w:tc>
      </w:tr>
      <w:tr w:rsidR="00622BF0" w:rsidRPr="002F4EEE" w14:paraId="31C455E7"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17A312" w14:textId="77777777" w:rsidR="00622BF0" w:rsidRPr="002F4EEE" w:rsidRDefault="00622BF0" w:rsidP="003435D2">
            <w:pPr>
              <w:widowControl w:val="0"/>
              <w:ind w:right="282"/>
              <w:rPr>
                <w:rFonts w:cs="Arial"/>
                <w:lang w:val="fr-FR"/>
              </w:rPr>
            </w:pPr>
            <w:r w:rsidRPr="0059175C">
              <w:rPr>
                <w:szCs w:val="22"/>
              </w:rPr>
              <w:t>EN</w:t>
            </w:r>
            <w:r>
              <w:rPr>
                <w:szCs w:val="22"/>
              </w:rPr>
              <w:t> 13110:2022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D7D402" w14:textId="77777777" w:rsidR="00622BF0" w:rsidRPr="002F4EEE" w:rsidRDefault="00622BF0" w:rsidP="003435D2">
            <w:pPr>
              <w:widowControl w:val="0"/>
              <w:tabs>
                <w:tab w:val="left" w:pos="851"/>
              </w:tabs>
              <w:ind w:left="1" w:right="282" w:hanging="1"/>
              <w:rPr>
                <w:rFonts w:cs="Arial"/>
                <w:i/>
                <w:lang w:val="fr-FR"/>
              </w:rPr>
            </w:pPr>
            <w:r w:rsidRPr="0051369A">
              <w:t>Équipements pour gaz de pétrole liquéfiés et leurs accessoires –</w:t>
            </w:r>
            <w:r>
              <w:t xml:space="preserve"> Bouteilles soudées transportables et rechargeables en aluminium pour gaz de pétrole liquéfié (GPL) – Conception et construction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ED5547" w14:textId="77777777" w:rsidR="00622BF0" w:rsidRPr="002F4EEE" w:rsidRDefault="00622BF0" w:rsidP="003435D2">
            <w:pPr>
              <w:widowControl w:val="0"/>
              <w:ind w:right="282"/>
              <w:rPr>
                <w:rFonts w:cs="Arial"/>
                <w:lang w:val="fr-FR"/>
              </w:rPr>
            </w:pPr>
            <w:r w:rsidRPr="002F4EEE">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ED44B4" w14:textId="77777777" w:rsidR="00622BF0" w:rsidRPr="002F4EEE" w:rsidRDefault="00622BF0" w:rsidP="003435D2">
            <w:pPr>
              <w:widowControl w:val="0"/>
              <w:ind w:right="282"/>
              <w:jc w:val="center"/>
              <w:rPr>
                <w:rFonts w:cs="Arial"/>
                <w:lang w:val="fr-FR"/>
              </w:rPr>
            </w:pPr>
            <w:r w:rsidRPr="002F4EEE">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71AB45" w14:textId="77777777" w:rsidR="00622BF0" w:rsidRPr="002F4EEE" w:rsidRDefault="00622BF0" w:rsidP="003435D2">
            <w:pPr>
              <w:widowControl w:val="0"/>
              <w:ind w:right="282"/>
              <w:rPr>
                <w:rFonts w:cs="Arial"/>
                <w:lang w:val="fr-FR"/>
              </w:rPr>
            </w:pPr>
          </w:p>
        </w:tc>
      </w:tr>
    </w:tbl>
    <w:p w14:paraId="54203E9B" w14:textId="77777777" w:rsidR="00622BF0" w:rsidRDefault="00622BF0" w:rsidP="00622BF0">
      <w:pPr>
        <w:pStyle w:val="SingleTxtG"/>
        <w:ind w:right="282"/>
        <w:rPr>
          <w:lang w:val="fr-FR"/>
        </w:rPr>
      </w:pPr>
      <w:r w:rsidRPr="002F4EEE">
        <w:rPr>
          <w:lang w:val="fr-FR"/>
        </w:rPr>
        <w:lastRenderedPageBreak/>
        <w:t> ».</w:t>
      </w:r>
    </w:p>
    <w:p w14:paraId="740EA948" w14:textId="77777777" w:rsidR="00622BF0" w:rsidRPr="002F4EEE" w:rsidRDefault="00622BF0" w:rsidP="00622BF0">
      <w:pPr>
        <w:pStyle w:val="SingleTxtG"/>
        <w:ind w:right="282"/>
        <w:rPr>
          <w:lang w:val="fr-FR"/>
        </w:rPr>
      </w:pPr>
      <w:r w:rsidRPr="002F4EEE">
        <w:rPr>
          <w:i/>
          <w:iCs/>
          <w:lang w:val="fr-FR"/>
        </w:rPr>
        <w:t xml:space="preserve">(Document de référence : document </w:t>
      </w:r>
      <w:r w:rsidRPr="00B2796B">
        <w:rPr>
          <w:i/>
          <w:iCs/>
          <w:lang w:val="fr-FR"/>
        </w:rPr>
        <w:t>informel INF.</w:t>
      </w:r>
      <w:r>
        <w:rPr>
          <w:i/>
          <w:iCs/>
          <w:lang w:val="fr-FR"/>
        </w:rPr>
        <w:t>12, point 3.2</w:t>
      </w:r>
      <w:r w:rsidRPr="00B2796B">
        <w:rPr>
          <w:i/>
          <w:iCs/>
          <w:lang w:val="fr-FR"/>
        </w:rPr>
        <w:t>)</w:t>
      </w:r>
    </w:p>
    <w:p w14:paraId="71811B5A" w14:textId="77777777" w:rsidR="00622BF0" w:rsidRPr="002F4EEE" w:rsidRDefault="00622BF0" w:rsidP="00622BF0">
      <w:pPr>
        <w:pStyle w:val="SingleTxtG"/>
        <w:ind w:right="1133"/>
        <w:rPr>
          <w:lang w:val="fr-FR"/>
        </w:rPr>
      </w:pPr>
      <w:r w:rsidRPr="002F4EEE">
        <w:rPr>
          <w:lang w:val="fr-FR"/>
        </w:rPr>
        <w:t>Dans le tableau, sous « </w:t>
      </w:r>
      <w:r w:rsidRPr="002F4EEE">
        <w:rPr>
          <w:b/>
          <w:i/>
          <w:lang w:val="fr-FR"/>
        </w:rPr>
        <w:t>pour la conception et la fabrication des fermetures</w:t>
      </w:r>
      <w:r w:rsidRPr="002F4EEE">
        <w:rPr>
          <w:lang w:val="fr-FR"/>
        </w:rPr>
        <w:t> » :</w:t>
      </w:r>
    </w:p>
    <w:p w14:paraId="010330A1" w14:textId="77777777" w:rsidR="00622BF0" w:rsidRPr="002F4EEE" w:rsidRDefault="00622BF0" w:rsidP="00622BF0">
      <w:pPr>
        <w:pStyle w:val="SingleTxtG"/>
        <w:ind w:right="1133"/>
        <w:rPr>
          <w:lang w:val="fr-FR"/>
        </w:rPr>
      </w:pPr>
      <w:r w:rsidRPr="002F4EEE">
        <w:rPr>
          <w:rFonts w:cs="Arial"/>
          <w:szCs w:val="22"/>
          <w:lang w:val="fr-FR"/>
        </w:rPr>
        <w:t>–</w:t>
      </w:r>
      <w:r w:rsidRPr="002F4EEE">
        <w:rPr>
          <w:rFonts w:cs="Arial"/>
          <w:szCs w:val="22"/>
          <w:lang w:val="fr-FR"/>
        </w:rPr>
        <w:tab/>
      </w:r>
      <w:r w:rsidRPr="002F4EEE">
        <w:rPr>
          <w:lang w:val="fr-FR"/>
        </w:rPr>
        <w:t>Pour la norme « </w:t>
      </w:r>
      <w:r>
        <w:t>EN 14129:2014 </w:t>
      </w:r>
      <w:r w:rsidRPr="002F4EEE">
        <w:rPr>
          <w:lang w:val="fr-FR"/>
        </w:rPr>
        <w:t>», dans la colonne (4), remplacer « Jusqu’à nouvel ordre » par :</w:t>
      </w:r>
    </w:p>
    <w:p w14:paraId="726D3760" w14:textId="77777777" w:rsidR="00622BF0" w:rsidRDefault="00622BF0" w:rsidP="00622BF0">
      <w:pPr>
        <w:pStyle w:val="SingleTxtG"/>
        <w:ind w:right="1133"/>
        <w:rPr>
          <w:lang w:val="fr-FR"/>
        </w:rPr>
      </w:pPr>
      <w:r w:rsidRPr="002F4EEE">
        <w:rPr>
          <w:lang w:val="fr-FR"/>
        </w:rPr>
        <w:t>« Entre le 1</w:t>
      </w:r>
      <w:r w:rsidRPr="002F4EEE">
        <w:rPr>
          <w:vertAlign w:val="superscript"/>
          <w:lang w:val="fr-FR"/>
        </w:rPr>
        <w:t>er</w:t>
      </w:r>
      <w:r w:rsidRPr="002F4EEE">
        <w:rPr>
          <w:lang w:val="fr-FR"/>
        </w:rPr>
        <w:t xml:space="preserve"> janvier 20</w:t>
      </w:r>
      <w:r>
        <w:rPr>
          <w:lang w:val="fr-FR"/>
        </w:rPr>
        <w:t>21</w:t>
      </w:r>
      <w:r w:rsidRPr="002F4EEE">
        <w:rPr>
          <w:lang w:val="fr-FR"/>
        </w:rPr>
        <w:t xml:space="preserve"> et le 31 décembre 202</w:t>
      </w:r>
      <w:r>
        <w:rPr>
          <w:lang w:val="fr-FR"/>
        </w:rPr>
        <w:t>6</w:t>
      </w:r>
      <w:r w:rsidRPr="002F4EEE">
        <w:rPr>
          <w:lang w:val="fr-FR"/>
        </w:rPr>
        <w:t> ».</w:t>
      </w:r>
    </w:p>
    <w:p w14:paraId="62F24221" w14:textId="77777777" w:rsidR="00622BF0" w:rsidRPr="002F4EEE" w:rsidRDefault="00622BF0" w:rsidP="00622BF0">
      <w:pPr>
        <w:pStyle w:val="SingleTxtG"/>
        <w:ind w:right="1133"/>
        <w:rPr>
          <w:lang w:val="fr-FR"/>
        </w:rPr>
      </w:pPr>
      <w:r w:rsidRPr="002F4EEE">
        <w:rPr>
          <w:i/>
          <w:iCs/>
          <w:lang w:val="fr-FR"/>
        </w:rPr>
        <w:t xml:space="preserve">(Document de référence : document </w:t>
      </w:r>
      <w:r w:rsidRPr="00B2796B">
        <w:rPr>
          <w:i/>
          <w:iCs/>
          <w:lang w:val="fr-FR"/>
        </w:rPr>
        <w:t>informel INF.</w:t>
      </w:r>
      <w:r>
        <w:rPr>
          <w:i/>
          <w:iCs/>
          <w:lang w:val="fr-FR"/>
        </w:rPr>
        <w:t>12, point 3.3</w:t>
      </w:r>
      <w:r w:rsidRPr="00B2796B">
        <w:rPr>
          <w:i/>
          <w:iCs/>
          <w:lang w:val="fr-FR"/>
        </w:rPr>
        <w:t>)</w:t>
      </w:r>
    </w:p>
    <w:p w14:paraId="02DFD2B8" w14:textId="77777777" w:rsidR="00622BF0" w:rsidRPr="002F4EEE" w:rsidRDefault="00622BF0" w:rsidP="00622BF0">
      <w:pPr>
        <w:pStyle w:val="SingleTxtG"/>
        <w:keepNext/>
        <w:rPr>
          <w:lang w:val="fr-FR"/>
        </w:rPr>
      </w:pPr>
      <w:r w:rsidRPr="002F4EEE">
        <w:rPr>
          <w:rFonts w:cs="Arial"/>
          <w:szCs w:val="22"/>
          <w:lang w:val="fr-FR"/>
        </w:rPr>
        <w:t>–</w:t>
      </w:r>
      <w:r w:rsidRPr="002F4EEE">
        <w:rPr>
          <w:rFonts w:cs="Arial"/>
          <w:szCs w:val="22"/>
          <w:lang w:val="fr-FR"/>
        </w:rPr>
        <w:tab/>
      </w:r>
      <w:r w:rsidRPr="002F4EEE">
        <w:rPr>
          <w:lang w:val="fr-FR"/>
        </w:rPr>
        <w:t>Après la ligne pour la norme « </w:t>
      </w:r>
      <w:r>
        <w:t>EN 14129:2014</w:t>
      </w:r>
      <w:r w:rsidRPr="002F4EEE">
        <w:rPr>
          <w:bCs/>
          <w:lang w:val="fr-FR"/>
        </w:rPr>
        <w:t> </w:t>
      </w:r>
      <w:r w:rsidRPr="002F4EEE">
        <w:rPr>
          <w:lang w:val="fr-FR"/>
        </w:rPr>
        <w:t xml:space="preserve">», </w:t>
      </w:r>
      <w:r>
        <w:rPr>
          <w:lang w:val="fr-FR"/>
        </w:rPr>
        <w:t>insérer</w:t>
      </w:r>
      <w:r w:rsidRPr="002F4EEE">
        <w:rPr>
          <w:lang w:val="fr-FR"/>
        </w:rPr>
        <w:t xml:space="preserve"> la nouvelle ligne suivante :</w:t>
      </w:r>
    </w:p>
    <w:p w14:paraId="5FA39171" w14:textId="77777777" w:rsidR="00622BF0" w:rsidRPr="002F4EEE" w:rsidRDefault="00622BF0" w:rsidP="00622BF0">
      <w:pPr>
        <w:pStyle w:val="SingleTxtG"/>
        <w:keepNext/>
        <w:ind w:right="284"/>
        <w:rPr>
          <w:lang w:val="fr-FR"/>
        </w:rPr>
      </w:pPr>
      <w:r w:rsidRPr="002F4EEE">
        <w:rPr>
          <w:lang w:val="fr-FR"/>
        </w:rPr>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622BF0" w:rsidRPr="002F4EEE" w14:paraId="4051FC81"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0F8987" w14:textId="77777777" w:rsidR="00622BF0" w:rsidRPr="002F4EEE" w:rsidRDefault="00622BF0" w:rsidP="003435D2">
            <w:pPr>
              <w:widowControl w:val="0"/>
              <w:ind w:right="282"/>
              <w:jc w:val="center"/>
              <w:rPr>
                <w:rFonts w:cs="Arial"/>
                <w:lang w:val="fr-FR"/>
              </w:rPr>
            </w:pPr>
            <w:r w:rsidRPr="002F4EEE">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1BB29E" w14:textId="77777777" w:rsidR="00622BF0" w:rsidRPr="002F4EEE" w:rsidRDefault="00622BF0" w:rsidP="003435D2">
            <w:pPr>
              <w:widowControl w:val="0"/>
              <w:ind w:right="282"/>
              <w:jc w:val="center"/>
              <w:rPr>
                <w:rFonts w:cs="Arial"/>
                <w:lang w:val="fr-FR"/>
              </w:rPr>
            </w:pPr>
            <w:r w:rsidRPr="002F4EEE">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A04889" w14:textId="77777777" w:rsidR="00622BF0" w:rsidRPr="002F4EEE" w:rsidRDefault="00622BF0" w:rsidP="003435D2">
            <w:pPr>
              <w:widowControl w:val="0"/>
              <w:ind w:right="282"/>
              <w:jc w:val="center"/>
              <w:rPr>
                <w:rFonts w:cs="Arial"/>
                <w:lang w:val="fr-FR"/>
              </w:rPr>
            </w:pPr>
            <w:r w:rsidRPr="002F4EEE">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0BBAC4" w14:textId="77777777" w:rsidR="00622BF0" w:rsidRPr="002F4EEE" w:rsidRDefault="00622BF0" w:rsidP="003435D2">
            <w:pPr>
              <w:widowControl w:val="0"/>
              <w:ind w:right="282"/>
              <w:jc w:val="center"/>
              <w:rPr>
                <w:rFonts w:cs="Arial"/>
                <w:lang w:val="fr-FR"/>
              </w:rPr>
            </w:pPr>
            <w:r w:rsidRPr="002F4EEE">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08A295" w14:textId="77777777" w:rsidR="00622BF0" w:rsidRPr="002F4EEE" w:rsidRDefault="00622BF0" w:rsidP="003435D2">
            <w:pPr>
              <w:widowControl w:val="0"/>
              <w:ind w:right="282"/>
              <w:jc w:val="center"/>
              <w:rPr>
                <w:rFonts w:cs="Arial"/>
                <w:lang w:val="fr-FR"/>
              </w:rPr>
            </w:pPr>
            <w:r w:rsidRPr="002F4EEE">
              <w:rPr>
                <w:rFonts w:cs="Arial"/>
                <w:lang w:val="fr-FR"/>
              </w:rPr>
              <w:t>(5)</w:t>
            </w:r>
          </w:p>
        </w:tc>
      </w:tr>
      <w:tr w:rsidR="00622BF0" w:rsidRPr="002F4EEE" w14:paraId="48C20384" w14:textId="77777777" w:rsidTr="003435D2">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50BA8E" w14:textId="77777777" w:rsidR="00622BF0" w:rsidRPr="002F4EEE" w:rsidRDefault="00622BF0" w:rsidP="003435D2">
            <w:pPr>
              <w:widowControl w:val="0"/>
              <w:ind w:right="282"/>
              <w:rPr>
                <w:rFonts w:cs="Arial"/>
                <w:lang w:val="fr-FR"/>
              </w:rPr>
            </w:pPr>
            <w:r w:rsidRPr="0059175C">
              <w:rPr>
                <w:szCs w:val="22"/>
              </w:rPr>
              <w:t>EN</w:t>
            </w:r>
            <w:r>
              <w:rPr>
                <w:szCs w:val="22"/>
              </w:rPr>
              <w:t> 14129:</w:t>
            </w:r>
            <w:r w:rsidRPr="003B642D">
              <w:rPr>
                <w:b/>
                <w:szCs w:val="22"/>
              </w:rPr>
              <w:t>[</w:t>
            </w:r>
            <w:r>
              <w:rPr>
                <w:szCs w:val="22"/>
              </w:rPr>
              <w:t>2023</w:t>
            </w:r>
            <w:r w:rsidRPr="003B642D">
              <w:rPr>
                <w:b/>
                <w:szCs w:val="22"/>
              </w:rPr>
              <w:t>]</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119D52" w14:textId="77777777" w:rsidR="00622BF0" w:rsidRDefault="00622BF0" w:rsidP="003435D2">
            <w:pPr>
              <w:widowControl w:val="0"/>
              <w:ind w:right="282"/>
              <w:rPr>
                <w:rFonts w:cs="Arial"/>
                <w:bCs/>
                <w:lang w:val="fr-FR"/>
              </w:rPr>
            </w:pPr>
            <w:r>
              <w:rPr>
                <w:rFonts w:cs="Arial"/>
                <w:bCs/>
                <w:lang w:val="fr-FR"/>
              </w:rPr>
              <w:t>Équipements pour GPL et leurs accessoires</w:t>
            </w:r>
            <w:r w:rsidRPr="002F4EEE">
              <w:rPr>
                <w:rFonts w:cs="Arial"/>
                <w:bCs/>
                <w:lang w:val="fr-FR"/>
              </w:rPr>
              <w:t xml:space="preserve"> – </w:t>
            </w:r>
            <w:r>
              <w:rPr>
                <w:rFonts w:cs="Arial"/>
                <w:bCs/>
                <w:lang w:val="fr-FR"/>
              </w:rPr>
              <w:t>Soupapes de sécurité pour réservoirs de GPL sous pression</w:t>
            </w:r>
          </w:p>
          <w:p w14:paraId="66CD346B" w14:textId="77777777" w:rsidR="00622BF0" w:rsidRPr="00D67EF2" w:rsidRDefault="00622BF0" w:rsidP="003435D2">
            <w:pPr>
              <w:widowControl w:val="0"/>
              <w:ind w:left="853" w:right="282" w:hanging="853"/>
              <w:rPr>
                <w:rFonts w:cs="Arial"/>
                <w:i/>
                <w:lang w:val="fr-FR"/>
              </w:rPr>
            </w:pPr>
            <w:r w:rsidRPr="00D67EF2">
              <w:rPr>
                <w:rFonts w:cs="Arial"/>
                <w:b/>
                <w:bCs/>
                <w:i/>
                <w:lang w:val="fr-FR"/>
              </w:rPr>
              <w:t>NOTA :</w:t>
            </w:r>
            <w:r w:rsidRPr="00D67EF2">
              <w:rPr>
                <w:rFonts w:cs="Arial"/>
                <w:bCs/>
                <w:i/>
                <w:lang w:val="fr-FR"/>
              </w:rPr>
              <w:tab/>
              <w:t>Cette norme est applicable aux fûts à pression.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60E0B5" w14:textId="77777777" w:rsidR="00622BF0" w:rsidRPr="002F4EEE" w:rsidRDefault="00622BF0" w:rsidP="003435D2">
            <w:pPr>
              <w:widowControl w:val="0"/>
              <w:ind w:right="282"/>
              <w:rPr>
                <w:rFonts w:cs="Arial"/>
                <w:lang w:val="fr-FR"/>
              </w:rPr>
            </w:pPr>
            <w:r w:rsidRPr="002F4EEE">
              <w:rPr>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9978EA" w14:textId="77777777" w:rsidR="00622BF0" w:rsidRPr="002F4EEE" w:rsidRDefault="00622BF0" w:rsidP="003435D2">
            <w:pPr>
              <w:widowControl w:val="0"/>
              <w:ind w:right="282"/>
              <w:jc w:val="center"/>
              <w:rPr>
                <w:rFonts w:cs="Arial"/>
                <w:lang w:val="fr-FR"/>
              </w:rPr>
            </w:pPr>
            <w:r w:rsidRPr="002F4EEE">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C077D5" w14:textId="77777777" w:rsidR="00622BF0" w:rsidRPr="002F4EEE" w:rsidRDefault="00622BF0" w:rsidP="003435D2">
            <w:pPr>
              <w:widowControl w:val="0"/>
              <w:ind w:right="282"/>
              <w:rPr>
                <w:rFonts w:cs="Arial"/>
                <w:lang w:val="fr-FR"/>
              </w:rPr>
            </w:pPr>
          </w:p>
        </w:tc>
      </w:tr>
    </w:tbl>
    <w:p w14:paraId="560DB053" w14:textId="77777777" w:rsidR="00622BF0" w:rsidRDefault="00622BF0" w:rsidP="00622BF0">
      <w:pPr>
        <w:pStyle w:val="SingleTxtG"/>
        <w:ind w:right="282"/>
        <w:rPr>
          <w:lang w:val="fr-FR"/>
        </w:rPr>
      </w:pPr>
      <w:r w:rsidRPr="002F4EEE">
        <w:rPr>
          <w:lang w:val="fr-FR"/>
        </w:rPr>
        <w:t> ».</w:t>
      </w:r>
    </w:p>
    <w:p w14:paraId="66324408" w14:textId="77777777" w:rsidR="00622BF0" w:rsidRPr="002F4EEE" w:rsidRDefault="00622BF0" w:rsidP="00622BF0">
      <w:pPr>
        <w:pStyle w:val="SingleTxtG"/>
        <w:ind w:right="282"/>
        <w:rPr>
          <w:lang w:val="fr-FR"/>
        </w:rPr>
      </w:pPr>
      <w:r w:rsidRPr="002F4EEE">
        <w:rPr>
          <w:i/>
          <w:iCs/>
          <w:lang w:val="fr-FR"/>
        </w:rPr>
        <w:t xml:space="preserve">(Document de référence : document </w:t>
      </w:r>
      <w:r w:rsidRPr="00B2796B">
        <w:rPr>
          <w:i/>
          <w:iCs/>
          <w:lang w:val="fr-FR"/>
        </w:rPr>
        <w:t>informel INF.</w:t>
      </w:r>
      <w:r>
        <w:rPr>
          <w:i/>
          <w:iCs/>
          <w:lang w:val="fr-FR"/>
        </w:rPr>
        <w:t>12, point 3.3</w:t>
      </w:r>
      <w:r w:rsidRPr="00B2796B">
        <w:rPr>
          <w:i/>
          <w:iCs/>
          <w:lang w:val="fr-FR"/>
        </w:rPr>
        <w:t>)</w:t>
      </w:r>
    </w:p>
    <w:p w14:paraId="2D50B461" w14:textId="77777777" w:rsidR="00D748DA" w:rsidRDefault="00D748DA" w:rsidP="00D748DA">
      <w:pPr>
        <w:pStyle w:val="H23G"/>
        <w:ind w:right="707"/>
      </w:pPr>
      <w:r>
        <w:tab/>
      </w:r>
      <w:r>
        <w:tab/>
        <w:t>Chapitre 6.8</w:t>
      </w:r>
    </w:p>
    <w:p w14:paraId="0C24BBD7" w14:textId="77777777" w:rsidR="00D748DA" w:rsidRDefault="00D748DA" w:rsidP="00D748DA">
      <w:pPr>
        <w:pStyle w:val="SingleTxtG"/>
        <w:ind w:right="707"/>
        <w:rPr>
          <w:lang w:val="fr-FR"/>
        </w:rPr>
      </w:pPr>
      <w:r>
        <w:rPr>
          <w:b/>
        </w:rPr>
        <w:t>6.8.2.1.23</w:t>
      </w:r>
      <w:r>
        <w:rPr>
          <w:b/>
        </w:rPr>
        <w:tab/>
      </w:r>
      <w:r w:rsidRPr="00303FB0">
        <w:t>A</w:t>
      </w:r>
      <w:r w:rsidRPr="00303FB0">
        <w:rPr>
          <w:lang w:val="fr-FR"/>
        </w:rPr>
        <w:t>p</w:t>
      </w:r>
      <w:r w:rsidRPr="00DD7DBE">
        <w:rPr>
          <w:lang w:val="fr-FR"/>
        </w:rPr>
        <w:t>rès le premier paragraphe</w:t>
      </w:r>
      <w:r>
        <w:rPr>
          <w:lang w:val="fr-FR"/>
        </w:rPr>
        <w:t xml:space="preserve">, insérer </w:t>
      </w:r>
      <w:r w:rsidRPr="00DD7DBE">
        <w:rPr>
          <w:lang w:val="fr-FR"/>
        </w:rPr>
        <w:t>le Nota suivant</w:t>
      </w:r>
      <w:r>
        <w:rPr>
          <w:lang w:val="fr-FR"/>
        </w:rPr>
        <w:t> :</w:t>
      </w:r>
    </w:p>
    <w:p w14:paraId="7846EF55" w14:textId="77777777" w:rsidR="00D748DA" w:rsidRDefault="00D748DA" w:rsidP="00D748DA">
      <w:pPr>
        <w:pStyle w:val="SingleTxtG"/>
        <w:ind w:right="707"/>
        <w:rPr>
          <w:lang w:val="fr-FR"/>
        </w:rPr>
      </w:pPr>
      <w:r w:rsidRPr="00DD7DBE">
        <w:rPr>
          <w:lang w:val="fr-FR"/>
        </w:rPr>
        <w:t>« </w:t>
      </w:r>
      <w:r w:rsidRPr="00303FB0">
        <w:rPr>
          <w:b/>
          <w:i/>
          <w:lang w:val="fr-FR"/>
        </w:rPr>
        <w:t>NOTA :</w:t>
      </w:r>
      <w:r w:rsidRPr="00303FB0">
        <w:rPr>
          <w:i/>
          <w:lang w:val="fr-FR"/>
        </w:rPr>
        <w:t xml:space="preserve"> Lorsque le 6.8.5 est applicable, les </w:t>
      </w:r>
      <w:r>
        <w:rPr>
          <w:i/>
          <w:lang w:val="fr-FR"/>
        </w:rPr>
        <w:t>épreuves de résilience</w:t>
      </w:r>
      <w:r w:rsidRPr="00303FB0">
        <w:rPr>
          <w:i/>
          <w:lang w:val="fr-FR"/>
        </w:rPr>
        <w:t xml:space="preserve"> effectué</w:t>
      </w:r>
      <w:r>
        <w:rPr>
          <w:i/>
          <w:lang w:val="fr-FR"/>
        </w:rPr>
        <w:t>e</w:t>
      </w:r>
      <w:r w:rsidRPr="00303FB0">
        <w:rPr>
          <w:i/>
          <w:lang w:val="fr-FR"/>
        </w:rPr>
        <w:t>s pour les qualifications des modes opératoires de soudage doivent respecter les prescriptions du 6.8.5.3.</w:t>
      </w:r>
      <w:r w:rsidRPr="00DD7DBE">
        <w:rPr>
          <w:lang w:val="fr-FR"/>
        </w:rPr>
        <w:t> »</w:t>
      </w:r>
      <w:r>
        <w:rPr>
          <w:lang w:val="fr-FR"/>
        </w:rPr>
        <w:t>.</w:t>
      </w:r>
    </w:p>
    <w:p w14:paraId="545893FA" w14:textId="3E4D3305" w:rsidR="00D748DA" w:rsidRPr="00303FB0" w:rsidRDefault="00D748DA" w:rsidP="00D748DA">
      <w:pPr>
        <w:pStyle w:val="SingleTxtG"/>
        <w:ind w:right="707"/>
        <w:rPr>
          <w:lang w:val="fr-FR"/>
        </w:rPr>
      </w:pPr>
      <w:r w:rsidRPr="002F4EEE">
        <w:rPr>
          <w:i/>
          <w:iCs/>
          <w:lang w:val="fr-FR"/>
        </w:rPr>
        <w:t xml:space="preserve">(Document de référence : </w:t>
      </w:r>
      <w:r>
        <w:rPr>
          <w:i/>
          <w:iCs/>
          <w:lang w:val="fr-FR"/>
        </w:rPr>
        <w:t>document informel INF.26 tel qu</w:t>
      </w:r>
      <w:r w:rsidR="00AD7479">
        <w:rPr>
          <w:i/>
          <w:iCs/>
          <w:lang w:val="fr-FR"/>
        </w:rPr>
        <w:t>e modifié</w:t>
      </w:r>
      <w:r>
        <w:rPr>
          <w:i/>
          <w:iCs/>
          <w:lang w:val="fr-FR"/>
        </w:rPr>
        <w:t xml:space="preserve"> par le document informel INF.42)</w:t>
      </w:r>
    </w:p>
    <w:p w14:paraId="77130C0A" w14:textId="77777777" w:rsidR="00CA713D" w:rsidRDefault="00CA713D" w:rsidP="00CA713D">
      <w:pPr>
        <w:pStyle w:val="SingleTxtG"/>
        <w:ind w:right="707"/>
      </w:pPr>
      <w:r w:rsidRPr="001E4A27">
        <w:rPr>
          <w:b/>
        </w:rPr>
        <w:t>[</w:t>
      </w:r>
      <w:r>
        <w:rPr>
          <w:b/>
        </w:rPr>
        <w:t>6.8.2.2.11</w:t>
      </w:r>
      <w:r>
        <w:rPr>
          <w:b/>
        </w:rPr>
        <w:tab/>
      </w:r>
      <w:r w:rsidRPr="00303FB0">
        <w:t xml:space="preserve">Modifier </w:t>
      </w:r>
      <w:r>
        <w:t>pour lire comme suit :</w:t>
      </w:r>
    </w:p>
    <w:p w14:paraId="30C1DD1C" w14:textId="6CA7EA81" w:rsidR="00CA713D" w:rsidRDefault="00CA713D" w:rsidP="00CA713D">
      <w:pPr>
        <w:pStyle w:val="SingleTxtG"/>
        <w:ind w:right="707"/>
      </w:pPr>
      <w:r w:rsidRPr="00303FB0">
        <w:t>« </w:t>
      </w:r>
      <w:r w:rsidRPr="00FC2B0D">
        <w:rPr>
          <w:b/>
        </w:rPr>
        <w:t>6.8.2.2.11</w:t>
      </w:r>
      <w:r>
        <w:tab/>
        <w:t>Les jauges de niveau ne doivent ni faire partie</w:t>
      </w:r>
      <w:r w:rsidR="006554E7">
        <w:t xml:space="preserve"> des,</w:t>
      </w:r>
      <w:r>
        <w:t xml:space="preserve"> ni être montées sur les réservoirs si elles comportent un matériau transparent pouvant, à tout moment, entrer en contact direct avec la matière transportée dans le réservoir. ».</w:t>
      </w:r>
      <w:r w:rsidRPr="001E4A27">
        <w:rPr>
          <w:b/>
        </w:rPr>
        <w:t>]</w:t>
      </w:r>
    </w:p>
    <w:p w14:paraId="184C5038" w14:textId="32AB278D" w:rsidR="00CA713D" w:rsidRPr="00303FB0" w:rsidRDefault="00CA713D" w:rsidP="00CA713D">
      <w:pPr>
        <w:pStyle w:val="SingleTxtG"/>
        <w:ind w:right="707"/>
      </w:pPr>
      <w:r w:rsidRPr="002F4EEE">
        <w:rPr>
          <w:i/>
          <w:iCs/>
          <w:lang w:val="fr-FR"/>
        </w:rPr>
        <w:t xml:space="preserve">(Document de référence : </w:t>
      </w:r>
      <w:r>
        <w:rPr>
          <w:i/>
          <w:iCs/>
          <w:lang w:val="fr-FR"/>
        </w:rPr>
        <w:t>document informel INF.38 tel qu</w:t>
      </w:r>
      <w:r w:rsidR="00315B23">
        <w:rPr>
          <w:i/>
          <w:iCs/>
          <w:lang w:val="fr-FR"/>
        </w:rPr>
        <w:t>e modifié</w:t>
      </w:r>
      <w:r>
        <w:rPr>
          <w:i/>
          <w:iCs/>
          <w:lang w:val="fr-FR"/>
        </w:rPr>
        <w:t xml:space="preserve"> par le document informel INF.42)</w:t>
      </w:r>
    </w:p>
    <w:p w14:paraId="1B7208A8" w14:textId="12255B49" w:rsidR="00622BF0" w:rsidRPr="002F4EEE" w:rsidRDefault="00622BF0" w:rsidP="00622BF0">
      <w:pPr>
        <w:pStyle w:val="SingleTxtG"/>
        <w:ind w:right="1133"/>
        <w:rPr>
          <w:lang w:val="fr-FR"/>
        </w:rPr>
      </w:pPr>
      <w:r w:rsidRPr="002F4EEE">
        <w:rPr>
          <w:b/>
          <w:lang w:val="fr-FR"/>
        </w:rPr>
        <w:t>6.8.2.6.1</w:t>
      </w:r>
      <w:r w:rsidRPr="002F4EEE">
        <w:rPr>
          <w:lang w:val="fr-FR"/>
        </w:rPr>
        <w:tab/>
        <w:t>Dans le tableau, sous « </w:t>
      </w:r>
      <w:r w:rsidRPr="002F4EEE">
        <w:rPr>
          <w:b/>
          <w:i/>
          <w:lang w:val="fr-FR"/>
        </w:rPr>
        <w:t xml:space="preserve">Pour </w:t>
      </w:r>
      <w:r>
        <w:rPr>
          <w:b/>
          <w:i/>
          <w:lang w:val="fr-FR"/>
        </w:rPr>
        <w:t>les équipements</w:t>
      </w:r>
      <w:r w:rsidRPr="002F4EEE">
        <w:rPr>
          <w:lang w:val="fr-FR"/>
        </w:rPr>
        <w:t> » :</w:t>
      </w:r>
    </w:p>
    <w:p w14:paraId="00C2C8BC" w14:textId="77777777" w:rsidR="00622BF0" w:rsidRDefault="00622BF0" w:rsidP="00622BF0">
      <w:pPr>
        <w:pStyle w:val="SingleTxtG"/>
        <w:ind w:right="1133"/>
        <w:rPr>
          <w:rFonts w:cs="Arial"/>
          <w:szCs w:val="22"/>
          <w:lang w:val="fr-FR"/>
        </w:rPr>
      </w:pPr>
      <w:r w:rsidRPr="002F4EEE">
        <w:rPr>
          <w:lang w:val="fr-FR"/>
        </w:rPr>
        <w:t>(ADR :)</w:t>
      </w:r>
    </w:p>
    <w:p w14:paraId="4B9B9483" w14:textId="77777777" w:rsidR="00622BF0" w:rsidRPr="002F4EEE" w:rsidRDefault="00622BF0" w:rsidP="00622BF0">
      <w:pPr>
        <w:pStyle w:val="SingleTxtG"/>
        <w:ind w:right="1133"/>
        <w:rPr>
          <w:lang w:val="fr-FR"/>
        </w:rPr>
      </w:pPr>
      <w:r w:rsidRPr="002F4EEE">
        <w:rPr>
          <w:rFonts w:cs="Arial"/>
          <w:szCs w:val="22"/>
          <w:lang w:val="fr-FR"/>
        </w:rPr>
        <w:t>–</w:t>
      </w:r>
      <w:r w:rsidRPr="002F4EEE">
        <w:rPr>
          <w:rFonts w:cs="Arial"/>
          <w:szCs w:val="22"/>
          <w:lang w:val="fr-FR"/>
        </w:rPr>
        <w:tab/>
      </w:r>
      <w:r w:rsidRPr="002F4EEE">
        <w:rPr>
          <w:lang w:val="fr-FR"/>
        </w:rPr>
        <w:t>Pour la norme « </w:t>
      </w:r>
      <w:r w:rsidRPr="00C22611">
        <w:t>EN </w:t>
      </w:r>
      <w:r w:rsidRPr="00C22611">
        <w:rPr>
          <w:bCs/>
        </w:rPr>
        <w:t>14</w:t>
      </w:r>
      <w:r>
        <w:rPr>
          <w:bCs/>
        </w:rPr>
        <w:t>129</w:t>
      </w:r>
      <w:r w:rsidRPr="00C22611">
        <w:rPr>
          <w:bCs/>
        </w:rPr>
        <w:t>:201</w:t>
      </w:r>
      <w:r>
        <w:rPr>
          <w:bCs/>
        </w:rPr>
        <w:t>4</w:t>
      </w:r>
      <w:r w:rsidRPr="002F4EEE">
        <w:rPr>
          <w:bCs/>
          <w:lang w:val="fr-FR"/>
        </w:rPr>
        <w:t> </w:t>
      </w:r>
      <w:r w:rsidRPr="002F4EEE">
        <w:rPr>
          <w:lang w:val="fr-FR"/>
        </w:rPr>
        <w:t>», dans la colonne (4), remplacer « Jusqu’à nouvel ordre » par :</w:t>
      </w:r>
    </w:p>
    <w:p w14:paraId="2A9D329E" w14:textId="77777777" w:rsidR="00622BF0" w:rsidRDefault="00622BF0" w:rsidP="00622BF0">
      <w:pPr>
        <w:pStyle w:val="SingleTxtG"/>
        <w:ind w:right="1133"/>
        <w:rPr>
          <w:lang w:val="fr-FR"/>
        </w:rPr>
      </w:pPr>
      <w:r w:rsidRPr="002F4EEE">
        <w:rPr>
          <w:lang w:val="fr-FR"/>
        </w:rPr>
        <w:t>« Entre le 1</w:t>
      </w:r>
      <w:r w:rsidRPr="002F4EEE">
        <w:rPr>
          <w:vertAlign w:val="superscript"/>
          <w:lang w:val="fr-FR"/>
        </w:rPr>
        <w:t>er</w:t>
      </w:r>
      <w:r w:rsidRPr="002F4EEE">
        <w:rPr>
          <w:lang w:val="fr-FR"/>
        </w:rPr>
        <w:t xml:space="preserve"> janvier 20</w:t>
      </w:r>
      <w:r>
        <w:rPr>
          <w:lang w:val="fr-FR"/>
        </w:rPr>
        <w:t>15</w:t>
      </w:r>
      <w:r w:rsidRPr="002F4EEE">
        <w:rPr>
          <w:lang w:val="fr-FR"/>
        </w:rPr>
        <w:t xml:space="preserve"> et le 31 décembre 202</w:t>
      </w:r>
      <w:r>
        <w:rPr>
          <w:lang w:val="fr-FR"/>
        </w:rPr>
        <w:t>6</w:t>
      </w:r>
      <w:r w:rsidRPr="002F4EEE">
        <w:rPr>
          <w:lang w:val="fr-FR"/>
        </w:rPr>
        <w:t> ».</w:t>
      </w:r>
    </w:p>
    <w:p w14:paraId="6BABB236" w14:textId="77777777" w:rsidR="00622BF0" w:rsidRPr="002F4EEE" w:rsidRDefault="00622BF0" w:rsidP="00622BF0">
      <w:pPr>
        <w:pStyle w:val="SingleTxtG"/>
        <w:ind w:right="1133"/>
        <w:rPr>
          <w:lang w:val="fr-FR"/>
        </w:rPr>
      </w:pPr>
      <w:r w:rsidRPr="002F4EEE">
        <w:rPr>
          <w:i/>
          <w:iCs/>
          <w:lang w:val="fr-FR"/>
        </w:rPr>
        <w:t xml:space="preserve">(Document de référence : document </w:t>
      </w:r>
      <w:r w:rsidRPr="00B2796B">
        <w:rPr>
          <w:i/>
          <w:iCs/>
          <w:lang w:val="fr-FR"/>
        </w:rPr>
        <w:t>informel INF.</w:t>
      </w:r>
      <w:r>
        <w:rPr>
          <w:i/>
          <w:iCs/>
          <w:lang w:val="fr-FR"/>
        </w:rPr>
        <w:t>12, point 3.3</w:t>
      </w:r>
      <w:r w:rsidRPr="00B2796B">
        <w:rPr>
          <w:i/>
          <w:iCs/>
          <w:lang w:val="fr-FR"/>
        </w:rPr>
        <w:t>)</w:t>
      </w:r>
    </w:p>
    <w:p w14:paraId="34E0A127" w14:textId="77777777" w:rsidR="00622BF0" w:rsidRDefault="00622BF0" w:rsidP="00622BF0">
      <w:pPr>
        <w:pStyle w:val="SingleTxtG"/>
        <w:keepNext/>
        <w:ind w:right="1133"/>
        <w:rPr>
          <w:rFonts w:cs="Arial"/>
          <w:szCs w:val="22"/>
          <w:lang w:val="fr-FR"/>
        </w:rPr>
      </w:pPr>
      <w:r w:rsidRPr="002F4EEE">
        <w:rPr>
          <w:lang w:val="fr-FR"/>
        </w:rPr>
        <w:t>(ADR :)</w:t>
      </w:r>
    </w:p>
    <w:p w14:paraId="28931F6C" w14:textId="77777777" w:rsidR="00622BF0" w:rsidRPr="002F4EEE" w:rsidRDefault="00622BF0" w:rsidP="00622BF0">
      <w:pPr>
        <w:pStyle w:val="SingleTxtG"/>
        <w:keepNext/>
        <w:ind w:right="1133"/>
        <w:rPr>
          <w:lang w:val="fr-FR"/>
        </w:rPr>
      </w:pPr>
      <w:r w:rsidRPr="002F4EEE">
        <w:rPr>
          <w:rFonts w:cs="Arial"/>
          <w:szCs w:val="22"/>
          <w:lang w:val="fr-FR"/>
        </w:rPr>
        <w:t>–</w:t>
      </w:r>
      <w:r w:rsidRPr="002F4EEE">
        <w:rPr>
          <w:rFonts w:cs="Arial"/>
          <w:szCs w:val="22"/>
          <w:lang w:val="fr-FR"/>
        </w:rPr>
        <w:tab/>
      </w:r>
      <w:r w:rsidRPr="002F4EEE">
        <w:rPr>
          <w:lang w:val="fr-FR"/>
        </w:rPr>
        <w:t>Après la ligne pour la norme « </w:t>
      </w:r>
      <w:r w:rsidRPr="00C22611">
        <w:t>EN </w:t>
      </w:r>
      <w:r w:rsidRPr="00C22611">
        <w:rPr>
          <w:bCs/>
        </w:rPr>
        <w:t>14</w:t>
      </w:r>
      <w:r>
        <w:rPr>
          <w:bCs/>
        </w:rPr>
        <w:t>129</w:t>
      </w:r>
      <w:r w:rsidRPr="00C22611">
        <w:rPr>
          <w:bCs/>
        </w:rPr>
        <w:t>:201</w:t>
      </w:r>
      <w:r>
        <w:rPr>
          <w:bCs/>
        </w:rPr>
        <w:t>4</w:t>
      </w:r>
      <w:r w:rsidRPr="002F4EEE">
        <w:rPr>
          <w:bCs/>
          <w:lang w:val="fr-FR"/>
        </w:rPr>
        <w:t> </w:t>
      </w:r>
      <w:r w:rsidRPr="002F4EEE">
        <w:rPr>
          <w:lang w:val="fr-FR"/>
        </w:rPr>
        <w:t>», ajouter la nouvelle ligne suivante :</w:t>
      </w:r>
    </w:p>
    <w:p w14:paraId="2F294C4D" w14:textId="77777777" w:rsidR="00622BF0" w:rsidRPr="002F4EEE" w:rsidRDefault="00622BF0" w:rsidP="00622BF0">
      <w:pPr>
        <w:pStyle w:val="SingleTxtG"/>
        <w:keepNext/>
        <w:ind w:right="282"/>
        <w:rPr>
          <w:lang w:val="fr-FR"/>
        </w:rPr>
      </w:pPr>
      <w:r w:rsidRPr="002F4EEE">
        <w:rPr>
          <w:lang w:val="fr-FR"/>
        </w:rPr>
        <w:t>« </w:t>
      </w:r>
    </w:p>
    <w:tbl>
      <w:tblPr>
        <w:tblW w:w="820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994"/>
        <w:gridCol w:w="974"/>
        <w:gridCol w:w="707"/>
      </w:tblGrid>
      <w:tr w:rsidR="00622BF0" w:rsidRPr="002F4EEE" w14:paraId="6FC82690" w14:textId="77777777" w:rsidTr="003435D2">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60E62F" w14:textId="77777777" w:rsidR="00622BF0" w:rsidRPr="002F4EEE" w:rsidRDefault="00622BF0" w:rsidP="003435D2">
            <w:pPr>
              <w:keepNext/>
              <w:widowControl w:val="0"/>
              <w:ind w:right="284"/>
              <w:jc w:val="center"/>
              <w:rPr>
                <w:rFonts w:cs="Arial"/>
                <w:lang w:val="fr-FR"/>
              </w:rPr>
            </w:pPr>
            <w:r w:rsidRPr="002F4EEE">
              <w:rPr>
                <w:rFonts w:cs="Arial"/>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6B8C77" w14:textId="77777777" w:rsidR="00622BF0" w:rsidRPr="002F4EEE" w:rsidRDefault="00622BF0" w:rsidP="003435D2">
            <w:pPr>
              <w:keepNext/>
              <w:widowControl w:val="0"/>
              <w:ind w:right="284"/>
              <w:jc w:val="center"/>
              <w:rPr>
                <w:rFonts w:cs="Arial"/>
                <w:lang w:val="fr-FR"/>
              </w:rPr>
            </w:pPr>
            <w:r w:rsidRPr="002F4EEE">
              <w:rPr>
                <w:rFonts w:cs="Arial"/>
                <w:lang w:val="fr-FR"/>
              </w:rPr>
              <w:t>(2)</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F88095" w14:textId="77777777" w:rsidR="00622BF0" w:rsidRPr="002F4EEE" w:rsidRDefault="00622BF0" w:rsidP="003435D2">
            <w:pPr>
              <w:keepNext/>
              <w:widowControl w:val="0"/>
              <w:ind w:right="284"/>
              <w:jc w:val="center"/>
              <w:rPr>
                <w:rFonts w:cs="Arial"/>
                <w:lang w:val="fr-FR"/>
              </w:rPr>
            </w:pPr>
            <w:r w:rsidRPr="002F4EEE">
              <w:rPr>
                <w:rFonts w:cs="Arial"/>
                <w:lang w:val="fr-FR"/>
              </w:rPr>
              <w:t>(3)</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699552" w14:textId="77777777" w:rsidR="00622BF0" w:rsidRPr="002F4EEE" w:rsidRDefault="00622BF0" w:rsidP="003435D2">
            <w:pPr>
              <w:keepNext/>
              <w:widowControl w:val="0"/>
              <w:ind w:right="284"/>
              <w:jc w:val="center"/>
              <w:rPr>
                <w:rFonts w:cs="Arial"/>
                <w:lang w:val="fr-FR"/>
              </w:rPr>
            </w:pPr>
            <w:r w:rsidRPr="002F4EEE">
              <w:rPr>
                <w:rFonts w:cs="Arial"/>
                <w:lang w:val="fr-FR"/>
              </w:rPr>
              <w:t>(4)</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921F50" w14:textId="77777777" w:rsidR="00622BF0" w:rsidRPr="002F4EEE" w:rsidRDefault="00622BF0" w:rsidP="003435D2">
            <w:pPr>
              <w:keepNext/>
              <w:widowControl w:val="0"/>
              <w:ind w:right="284"/>
              <w:jc w:val="center"/>
              <w:rPr>
                <w:rFonts w:cs="Arial"/>
                <w:lang w:val="fr-FR"/>
              </w:rPr>
            </w:pPr>
            <w:r w:rsidRPr="002F4EEE">
              <w:rPr>
                <w:rFonts w:cs="Arial"/>
                <w:lang w:val="fr-FR"/>
              </w:rPr>
              <w:t>(5)</w:t>
            </w:r>
          </w:p>
        </w:tc>
      </w:tr>
      <w:tr w:rsidR="00622BF0" w:rsidRPr="002F4EEE" w14:paraId="6D52AB5E" w14:textId="77777777" w:rsidTr="003435D2">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7C4EBB" w14:textId="77777777" w:rsidR="00622BF0" w:rsidRPr="002F4EEE" w:rsidRDefault="00622BF0" w:rsidP="003435D2">
            <w:pPr>
              <w:widowControl w:val="0"/>
              <w:rPr>
                <w:rFonts w:cs="Arial"/>
                <w:lang w:val="fr-FR"/>
              </w:rPr>
            </w:pPr>
            <w:r w:rsidRPr="0059175C">
              <w:rPr>
                <w:szCs w:val="22"/>
              </w:rPr>
              <w:t>EN</w:t>
            </w:r>
            <w:r>
              <w:rPr>
                <w:szCs w:val="22"/>
              </w:rPr>
              <w:t> 14129:</w:t>
            </w:r>
            <w:r w:rsidRPr="003B642D">
              <w:rPr>
                <w:b/>
                <w:szCs w:val="22"/>
              </w:rPr>
              <w:t>[</w:t>
            </w:r>
            <w:r>
              <w:rPr>
                <w:szCs w:val="22"/>
              </w:rPr>
              <w:t>2023</w:t>
            </w:r>
            <w:r w:rsidRPr="003B642D">
              <w:rPr>
                <w:b/>
                <w:szCs w:val="22"/>
              </w:rPr>
              <w:t>]</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E555D7" w14:textId="77777777" w:rsidR="00622BF0" w:rsidRPr="002F4EEE" w:rsidRDefault="00622BF0" w:rsidP="003435D2">
            <w:pPr>
              <w:widowControl w:val="0"/>
              <w:ind w:right="-69"/>
              <w:rPr>
                <w:rFonts w:cs="Arial"/>
                <w:i/>
                <w:lang w:val="fr-FR"/>
              </w:rPr>
            </w:pPr>
            <w:r>
              <w:rPr>
                <w:rFonts w:cs="Arial"/>
                <w:bCs/>
                <w:lang w:val="fr-FR"/>
              </w:rPr>
              <w:t>Équipements pour GPL et leurs accessoires</w:t>
            </w:r>
            <w:r w:rsidRPr="002F4EEE">
              <w:rPr>
                <w:rFonts w:cs="Arial"/>
                <w:bCs/>
                <w:lang w:val="fr-FR"/>
              </w:rPr>
              <w:t xml:space="preserve"> – </w:t>
            </w:r>
            <w:r>
              <w:rPr>
                <w:rFonts w:cs="Arial"/>
                <w:bCs/>
                <w:lang w:val="fr-FR"/>
              </w:rPr>
              <w:t>Soupapes de sécurité pour réservoirs de GPL sous pression</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1B0753" w14:textId="3EFB05D2" w:rsidR="00622BF0" w:rsidRPr="002F4EEE" w:rsidRDefault="00622BF0" w:rsidP="003435D2">
            <w:pPr>
              <w:widowControl w:val="0"/>
              <w:ind w:right="136"/>
              <w:rPr>
                <w:rFonts w:cs="Arial"/>
                <w:lang w:val="fr-FR"/>
              </w:rPr>
            </w:pPr>
            <w:r w:rsidRPr="002F4EEE">
              <w:rPr>
                <w:rFonts w:cs="Arial"/>
                <w:lang w:val="fr-FR"/>
              </w:rPr>
              <w:t>6.8.2.1</w:t>
            </w:r>
            <w:r>
              <w:rPr>
                <w:rFonts w:cs="Arial"/>
                <w:lang w:val="fr-FR"/>
              </w:rPr>
              <w:t>.1 et 6.8.3.2.9</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4DC7D" w14:textId="77777777" w:rsidR="00622BF0" w:rsidRPr="002F4EEE" w:rsidRDefault="00622BF0" w:rsidP="003435D2">
            <w:pPr>
              <w:widowControl w:val="0"/>
              <w:ind w:right="282"/>
              <w:jc w:val="center"/>
              <w:rPr>
                <w:rFonts w:cs="Arial"/>
                <w:lang w:val="fr-FR"/>
              </w:rPr>
            </w:pPr>
            <w:r w:rsidRPr="002F4EEE">
              <w:rPr>
                <w:rFonts w:cs="Arial"/>
                <w:lang w:val="fr-FR"/>
              </w:rPr>
              <w:t>Jusqu’à nouvel ordre</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BB5903" w14:textId="77777777" w:rsidR="00622BF0" w:rsidRPr="002F4EEE" w:rsidRDefault="00622BF0" w:rsidP="003435D2">
            <w:pPr>
              <w:widowControl w:val="0"/>
              <w:ind w:right="282"/>
              <w:rPr>
                <w:rFonts w:cs="Arial"/>
                <w:lang w:val="fr-FR"/>
              </w:rPr>
            </w:pPr>
          </w:p>
        </w:tc>
      </w:tr>
    </w:tbl>
    <w:p w14:paraId="178528D7" w14:textId="77777777" w:rsidR="00622BF0" w:rsidRDefault="00622BF0" w:rsidP="00622BF0">
      <w:pPr>
        <w:pStyle w:val="SingleTxtG"/>
        <w:ind w:right="282"/>
        <w:rPr>
          <w:lang w:val="fr-FR"/>
        </w:rPr>
      </w:pPr>
      <w:r w:rsidRPr="002F4EEE">
        <w:rPr>
          <w:lang w:val="fr-FR"/>
        </w:rPr>
        <w:t> ».</w:t>
      </w:r>
    </w:p>
    <w:p w14:paraId="6A7C84F6" w14:textId="5770D64A" w:rsidR="00622BF0" w:rsidRPr="002F4EEE" w:rsidRDefault="00622BF0" w:rsidP="00622BF0">
      <w:pPr>
        <w:pStyle w:val="SingleTxtG"/>
        <w:ind w:right="282"/>
        <w:rPr>
          <w:lang w:val="fr-FR"/>
        </w:rPr>
      </w:pPr>
      <w:r w:rsidRPr="002F4EEE">
        <w:rPr>
          <w:i/>
          <w:iCs/>
          <w:lang w:val="fr-FR"/>
        </w:rPr>
        <w:t xml:space="preserve">(Document de référence : document </w:t>
      </w:r>
      <w:r w:rsidRPr="00B2796B">
        <w:rPr>
          <w:i/>
          <w:iCs/>
          <w:lang w:val="fr-FR"/>
        </w:rPr>
        <w:t>informel INF.</w:t>
      </w:r>
      <w:r>
        <w:rPr>
          <w:i/>
          <w:iCs/>
          <w:lang w:val="fr-FR"/>
        </w:rPr>
        <w:t>12, point 3.3</w:t>
      </w:r>
      <w:r w:rsidR="006F67EA">
        <w:rPr>
          <w:i/>
          <w:iCs/>
          <w:lang w:val="fr-FR"/>
        </w:rPr>
        <w:t xml:space="preserve">, tel que amendé par </w:t>
      </w:r>
      <w:r w:rsidR="006F67EA" w:rsidRPr="002F4EEE">
        <w:rPr>
          <w:i/>
          <w:iCs/>
          <w:lang w:val="fr-FR"/>
        </w:rPr>
        <w:t xml:space="preserve">document </w:t>
      </w:r>
      <w:r w:rsidR="006F67EA" w:rsidRPr="00B2796B">
        <w:rPr>
          <w:i/>
          <w:iCs/>
          <w:lang w:val="fr-FR"/>
        </w:rPr>
        <w:t>informel INF.</w:t>
      </w:r>
      <w:r w:rsidR="004F2EBF">
        <w:rPr>
          <w:i/>
          <w:iCs/>
          <w:lang w:val="fr-FR"/>
        </w:rPr>
        <w:t>42</w:t>
      </w:r>
      <w:r>
        <w:rPr>
          <w:i/>
          <w:iCs/>
          <w:lang w:val="fr-FR"/>
        </w:rPr>
        <w:t>)</w:t>
      </w:r>
    </w:p>
    <w:p w14:paraId="7198BC47" w14:textId="77777777" w:rsidR="00981513" w:rsidRPr="00CC0865" w:rsidRDefault="00981513" w:rsidP="00981513">
      <w:pPr>
        <w:pStyle w:val="SingleTxtG"/>
        <w:ind w:right="707"/>
        <w:rPr>
          <w:b/>
        </w:rPr>
      </w:pPr>
      <w:r w:rsidRPr="00CC0865">
        <w:rPr>
          <w:b/>
        </w:rPr>
        <w:lastRenderedPageBreak/>
        <w:t>6.8.4 b)</w:t>
      </w:r>
    </w:p>
    <w:p w14:paraId="0B7BE25D" w14:textId="77777777" w:rsidR="00981513" w:rsidRPr="00FC2B0D" w:rsidRDefault="00981513" w:rsidP="00981513">
      <w:pPr>
        <w:pStyle w:val="SingleTxtG"/>
        <w:ind w:right="707"/>
      </w:pPr>
      <w:r w:rsidRPr="00FC2B0D">
        <w:t>(RID :)</w:t>
      </w:r>
    </w:p>
    <w:p w14:paraId="2AA7B2EC" w14:textId="77777777" w:rsidR="00981513" w:rsidRDefault="00981513" w:rsidP="00981513">
      <w:pPr>
        <w:pStyle w:val="SingleTxtG"/>
        <w:ind w:right="707"/>
      </w:pPr>
      <w:r w:rsidRPr="00CC0865">
        <w:rPr>
          <w:b/>
        </w:rPr>
        <w:t>TE16</w:t>
      </w:r>
      <w:r>
        <w:tab/>
      </w:r>
      <w:r>
        <w:tab/>
        <w:t>Modifier pour lire comme suit :</w:t>
      </w:r>
    </w:p>
    <w:p w14:paraId="7E87D6DB" w14:textId="77777777" w:rsidR="00981513" w:rsidRDefault="00981513" w:rsidP="00981513">
      <w:pPr>
        <w:pStyle w:val="SingleTxtG"/>
        <w:ind w:right="707"/>
      </w:pPr>
      <w:r>
        <w:t>« </w:t>
      </w:r>
      <w:r w:rsidRPr="00CC0865">
        <w:rPr>
          <w:b/>
        </w:rPr>
        <w:t>TE16</w:t>
      </w:r>
      <w:r>
        <w:tab/>
      </w:r>
      <w:r w:rsidRPr="00BA174B">
        <w:rPr>
          <w:i/>
          <w:iCs/>
        </w:rPr>
        <w:t>(Supprimé)</w:t>
      </w:r>
      <w:r>
        <w:t> ».</w:t>
      </w:r>
    </w:p>
    <w:p w14:paraId="3C4A8891" w14:textId="77777777" w:rsidR="00981513" w:rsidRDefault="00981513" w:rsidP="00981513">
      <w:pPr>
        <w:pStyle w:val="SingleTxtG"/>
        <w:ind w:right="707"/>
        <w:rPr>
          <w:i/>
          <w:iCs/>
          <w:lang w:val="fr-FR"/>
        </w:rPr>
      </w:pPr>
      <w:r w:rsidRPr="002F4EEE">
        <w:rPr>
          <w:i/>
          <w:iCs/>
          <w:lang w:val="fr-FR"/>
        </w:rPr>
        <w:t>(Document</w:t>
      </w:r>
      <w:r>
        <w:rPr>
          <w:i/>
          <w:iCs/>
          <w:lang w:val="fr-FR"/>
        </w:rPr>
        <w:t>s</w:t>
      </w:r>
      <w:r w:rsidRPr="002F4EEE">
        <w:rPr>
          <w:i/>
          <w:iCs/>
          <w:lang w:val="fr-FR"/>
        </w:rPr>
        <w:t xml:space="preserve"> de référence : </w:t>
      </w:r>
      <w:r>
        <w:rPr>
          <w:i/>
          <w:iCs/>
          <w:lang w:val="fr-FR"/>
        </w:rPr>
        <w:t>documents informels INF.5 et INF.42)</w:t>
      </w:r>
    </w:p>
    <w:p w14:paraId="4605CECC" w14:textId="77777777" w:rsidR="00622BF0" w:rsidRPr="00A47455" w:rsidRDefault="00622BF0" w:rsidP="00622BF0">
      <w:pPr>
        <w:pStyle w:val="H23G"/>
        <w:ind w:right="1133"/>
        <w:rPr>
          <w:sz w:val="24"/>
          <w:szCs w:val="24"/>
          <w:lang w:val="fr-FR"/>
        </w:rPr>
      </w:pPr>
      <w:r w:rsidRPr="00A47455">
        <w:rPr>
          <w:sz w:val="24"/>
          <w:szCs w:val="24"/>
          <w:lang w:val="fr-FR"/>
        </w:rPr>
        <w:tab/>
      </w:r>
      <w:r w:rsidRPr="00A47455">
        <w:rPr>
          <w:sz w:val="24"/>
          <w:szCs w:val="24"/>
          <w:lang w:val="fr-FR"/>
        </w:rPr>
        <w:tab/>
        <w:t>Chapitre 7.2</w:t>
      </w:r>
    </w:p>
    <w:p w14:paraId="67DB447E" w14:textId="77777777" w:rsidR="00622BF0" w:rsidRPr="00272518" w:rsidRDefault="00622BF0" w:rsidP="00622BF0">
      <w:pPr>
        <w:pStyle w:val="SingleTxtG"/>
        <w:ind w:left="2268" w:hanging="1134"/>
        <w:rPr>
          <w:b/>
          <w:lang w:val="fr-FR"/>
        </w:rPr>
      </w:pPr>
      <w:r w:rsidRPr="00272518">
        <w:rPr>
          <w:b/>
          <w:lang w:val="fr-FR"/>
        </w:rPr>
        <w:t>7.2.4</w:t>
      </w:r>
    </w:p>
    <w:p w14:paraId="61DF948D" w14:textId="77777777" w:rsidR="00622BF0" w:rsidRDefault="00622BF0" w:rsidP="00622BF0">
      <w:pPr>
        <w:pStyle w:val="SingleTxtG"/>
        <w:ind w:left="2268" w:hanging="1134"/>
        <w:rPr>
          <w:lang w:val="fr-FR"/>
        </w:rPr>
      </w:pPr>
      <w:r w:rsidRPr="00272518">
        <w:rPr>
          <w:b/>
          <w:lang w:val="fr-FR"/>
        </w:rPr>
        <w:t>W14/V14</w:t>
      </w:r>
      <w:r>
        <w:rPr>
          <w:lang w:val="fr-FR"/>
        </w:rPr>
        <w:tab/>
        <w:t>Au début, après « Les aérosols », insérer « et les cartouches à gaz ».</w:t>
      </w:r>
    </w:p>
    <w:p w14:paraId="5952CBF3" w14:textId="77777777" w:rsidR="00622BF0" w:rsidRDefault="00622BF0" w:rsidP="00622BF0">
      <w:pPr>
        <w:pStyle w:val="SingleTxtG"/>
        <w:ind w:left="2268" w:hanging="1134"/>
        <w:rPr>
          <w:i/>
          <w:iCs/>
          <w:lang w:val="fr-FR"/>
        </w:rPr>
      </w:pPr>
      <w:r w:rsidRPr="002F4EEE">
        <w:rPr>
          <w:i/>
          <w:iCs/>
          <w:lang w:val="fr-FR"/>
        </w:rPr>
        <w:t xml:space="preserve">(Document de référence : document </w:t>
      </w:r>
      <w:r w:rsidRPr="00B2796B">
        <w:rPr>
          <w:i/>
          <w:iCs/>
          <w:lang w:val="fr-FR"/>
        </w:rPr>
        <w:t>informel INF.</w:t>
      </w:r>
      <w:r>
        <w:rPr>
          <w:i/>
          <w:iCs/>
          <w:lang w:val="fr-FR"/>
        </w:rPr>
        <w:t>10, proposition 1)</w:t>
      </w:r>
    </w:p>
    <w:p w14:paraId="3C27A391" w14:textId="3A34675B" w:rsidR="00A47455" w:rsidRPr="00A47455" w:rsidRDefault="00A47455" w:rsidP="00A47455">
      <w:pPr>
        <w:pStyle w:val="H23G"/>
        <w:ind w:right="1133"/>
        <w:rPr>
          <w:sz w:val="24"/>
          <w:szCs w:val="24"/>
          <w:lang w:val="fr-FR"/>
        </w:rPr>
      </w:pPr>
      <w:r w:rsidRPr="00A47455">
        <w:rPr>
          <w:sz w:val="24"/>
          <w:szCs w:val="24"/>
          <w:lang w:val="fr-FR"/>
        </w:rPr>
        <w:tab/>
      </w:r>
      <w:r w:rsidRPr="00A47455">
        <w:rPr>
          <w:sz w:val="24"/>
          <w:szCs w:val="24"/>
          <w:lang w:val="fr-FR"/>
        </w:rPr>
        <w:tab/>
        <w:t>Chapitre 7.</w:t>
      </w:r>
      <w:r>
        <w:rPr>
          <w:sz w:val="24"/>
          <w:szCs w:val="24"/>
          <w:lang w:val="fr-FR"/>
        </w:rPr>
        <w:t>3</w:t>
      </w:r>
    </w:p>
    <w:p w14:paraId="3DEE9921" w14:textId="77777777" w:rsidR="00371CC4" w:rsidRPr="009F563D" w:rsidRDefault="00371CC4" w:rsidP="00371CC4">
      <w:pPr>
        <w:pStyle w:val="SingleTxtG"/>
        <w:rPr>
          <w:b/>
          <w:iCs/>
          <w:u w:val="single"/>
          <w:lang w:val="fr-FR"/>
        </w:rPr>
      </w:pPr>
      <w:r w:rsidRPr="009F563D">
        <w:rPr>
          <w:b/>
          <w:iCs/>
          <w:u w:val="single"/>
          <w:lang w:val="fr-FR"/>
        </w:rPr>
        <w:t>Le document ECE/TRANS/WP.15/AC.1/2023/14 est adopté entre crochets sous réserve d’examen par le WP.15 avec l</w:t>
      </w:r>
      <w:r>
        <w:rPr>
          <w:b/>
          <w:iCs/>
          <w:u w:val="single"/>
          <w:lang w:val="fr-FR"/>
        </w:rPr>
        <w:t>es</w:t>
      </w:r>
      <w:r w:rsidRPr="009F563D">
        <w:rPr>
          <w:b/>
          <w:iCs/>
          <w:u w:val="single"/>
          <w:lang w:val="fr-FR"/>
        </w:rPr>
        <w:t xml:space="preserve"> modification</w:t>
      </w:r>
      <w:r>
        <w:rPr>
          <w:b/>
          <w:iCs/>
          <w:u w:val="single"/>
          <w:lang w:val="fr-FR"/>
        </w:rPr>
        <w:t>s</w:t>
      </w:r>
      <w:r w:rsidRPr="009F563D">
        <w:rPr>
          <w:b/>
          <w:iCs/>
          <w:u w:val="single"/>
          <w:lang w:val="fr-FR"/>
        </w:rPr>
        <w:t xml:space="preserve"> suivante</w:t>
      </w:r>
      <w:r>
        <w:rPr>
          <w:b/>
          <w:iCs/>
          <w:u w:val="single"/>
          <w:lang w:val="fr-FR"/>
        </w:rPr>
        <w:t>s</w:t>
      </w:r>
      <w:r w:rsidRPr="009F563D">
        <w:rPr>
          <w:b/>
          <w:iCs/>
          <w:u w:val="single"/>
          <w:lang w:val="fr-FR"/>
        </w:rPr>
        <w:t> :</w:t>
      </w:r>
    </w:p>
    <w:p w14:paraId="05754A0E" w14:textId="77777777" w:rsidR="00371CC4" w:rsidRPr="00906722" w:rsidRDefault="00371CC4" w:rsidP="00371CC4">
      <w:pPr>
        <w:pStyle w:val="SingleTxtG"/>
        <w:rPr>
          <w:b/>
          <w:lang w:val="fr-FR"/>
        </w:rPr>
      </w:pPr>
      <w:r w:rsidRPr="00906722">
        <w:rPr>
          <w:b/>
          <w:lang w:val="fr-FR"/>
        </w:rPr>
        <w:t>7.3.3.2.7</w:t>
      </w:r>
    </w:p>
    <w:p w14:paraId="7138A4B4" w14:textId="5CEDD41F" w:rsidR="004D7A6C" w:rsidRPr="00BA174B" w:rsidRDefault="00371CC4" w:rsidP="00371CC4">
      <w:pPr>
        <w:pStyle w:val="SingleTxtG"/>
        <w:rPr>
          <w:i/>
          <w:iCs/>
          <w:lang w:val="fr-FR"/>
        </w:rPr>
      </w:pPr>
      <w:r w:rsidRPr="00906722">
        <w:rPr>
          <w:b/>
          <w:lang w:val="fr-FR"/>
        </w:rPr>
        <w:t>AP11</w:t>
      </w:r>
      <w:r>
        <w:rPr>
          <w:lang w:val="fr-FR"/>
        </w:rPr>
        <w:tab/>
      </w:r>
      <w:r>
        <w:rPr>
          <w:lang w:val="fr-FR"/>
        </w:rPr>
        <w:tab/>
      </w:r>
      <w:r w:rsidR="004D7A6C" w:rsidRPr="00B0766B">
        <w:rPr>
          <w:lang w:val="fr-FR"/>
        </w:rPr>
        <w:t>Le texte en italique doit apparaître en lettres normales</w:t>
      </w:r>
      <w:r w:rsidR="001617B0">
        <w:rPr>
          <w:lang w:val="fr-FR"/>
        </w:rPr>
        <w:t>.</w:t>
      </w:r>
    </w:p>
    <w:p w14:paraId="7FA69E00" w14:textId="15D6EC6C" w:rsidR="00371CC4" w:rsidRDefault="00371CC4" w:rsidP="00BA174B">
      <w:pPr>
        <w:pStyle w:val="SingleTxtG"/>
        <w:ind w:left="1701" w:firstLine="567"/>
        <w:rPr>
          <w:lang w:val="fr-FR"/>
        </w:rPr>
      </w:pPr>
      <w:r>
        <w:rPr>
          <w:lang w:val="fr-FR"/>
        </w:rPr>
        <w:t>Au paragraphe 1.1, dans la première phrase, remplacer « ou » par « et ».</w:t>
      </w:r>
    </w:p>
    <w:p w14:paraId="36085891" w14:textId="77777777" w:rsidR="00371CC4" w:rsidRPr="00BC6219" w:rsidRDefault="00371CC4" w:rsidP="00371CC4">
      <w:pPr>
        <w:pStyle w:val="SingleTxtG"/>
        <w:ind w:left="2268"/>
        <w:rPr>
          <w:lang w:val="fr-FR"/>
        </w:rPr>
      </w:pPr>
      <w:r>
        <w:rPr>
          <w:lang w:val="fr-FR"/>
        </w:rPr>
        <w:t>[L’amendement au paragraphe 4.4 dans la version anglaise ne s’applique pas au texte français.]</w:t>
      </w:r>
    </w:p>
    <w:p w14:paraId="7DD68C80" w14:textId="77777777" w:rsidR="00614442" w:rsidRPr="005762D3" w:rsidRDefault="00614442" w:rsidP="00614442">
      <w:pPr>
        <w:spacing w:before="120"/>
        <w:jc w:val="center"/>
      </w:pPr>
      <w:r w:rsidRPr="00120A39">
        <w:rPr>
          <w:u w:val="single"/>
        </w:rPr>
        <w:tab/>
      </w:r>
      <w:r w:rsidRPr="00120A39">
        <w:rPr>
          <w:u w:val="single"/>
        </w:rPr>
        <w:tab/>
      </w:r>
      <w:r w:rsidRPr="00120A39">
        <w:rPr>
          <w:u w:val="single"/>
        </w:rPr>
        <w:tab/>
      </w:r>
    </w:p>
    <w:sectPr w:rsidR="00614442" w:rsidRPr="005762D3" w:rsidSect="009D2EC5">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F550" w14:textId="77777777" w:rsidR="00AD0E0F" w:rsidRDefault="00AD0E0F" w:rsidP="00F95C08">
      <w:pPr>
        <w:spacing w:line="240" w:lineRule="auto"/>
      </w:pPr>
    </w:p>
  </w:endnote>
  <w:endnote w:type="continuationSeparator" w:id="0">
    <w:p w14:paraId="6AFBBF98" w14:textId="77777777" w:rsidR="00AD0E0F" w:rsidRPr="00AC3823" w:rsidRDefault="00AD0E0F" w:rsidP="00AC3823">
      <w:pPr>
        <w:pStyle w:val="Pieddepage"/>
      </w:pPr>
    </w:p>
  </w:endnote>
  <w:endnote w:type="continuationNotice" w:id="1">
    <w:p w14:paraId="21723881" w14:textId="77777777" w:rsidR="00AD0E0F" w:rsidRDefault="00AD0E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F54" w14:textId="77777777" w:rsidR="009D2EC5" w:rsidRPr="009D2EC5" w:rsidRDefault="009D2EC5" w:rsidP="009D2EC5">
    <w:pPr>
      <w:pStyle w:val="Pieddepage"/>
      <w:tabs>
        <w:tab w:val="right" w:pos="9638"/>
      </w:tabs>
      <w:rPr>
        <w:sz w:val="18"/>
      </w:rPr>
    </w:pPr>
    <w:r w:rsidRPr="009D2EC5">
      <w:rPr>
        <w:b/>
        <w:sz w:val="18"/>
      </w:rPr>
      <w:fldChar w:fldCharType="begin"/>
    </w:r>
    <w:r w:rsidRPr="009D2EC5">
      <w:rPr>
        <w:b/>
        <w:sz w:val="18"/>
      </w:rPr>
      <w:instrText xml:space="preserve"> PAGE  \* MERGEFORMAT </w:instrText>
    </w:r>
    <w:r w:rsidRPr="009D2EC5">
      <w:rPr>
        <w:b/>
        <w:sz w:val="18"/>
      </w:rPr>
      <w:fldChar w:fldCharType="separate"/>
    </w:r>
    <w:r w:rsidRPr="009D2EC5">
      <w:rPr>
        <w:b/>
        <w:noProof/>
        <w:sz w:val="18"/>
      </w:rPr>
      <w:t>2</w:t>
    </w:r>
    <w:r w:rsidRPr="009D2E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577" w14:textId="77777777" w:rsidR="009D2EC5" w:rsidRPr="009D2EC5" w:rsidRDefault="009D2EC5" w:rsidP="009D2EC5">
    <w:pPr>
      <w:pStyle w:val="Pieddepage"/>
      <w:tabs>
        <w:tab w:val="right" w:pos="9638"/>
      </w:tabs>
      <w:rPr>
        <w:b/>
        <w:sz w:val="18"/>
      </w:rPr>
    </w:pPr>
    <w:r>
      <w:tab/>
    </w:r>
    <w:r w:rsidRPr="009D2EC5">
      <w:rPr>
        <w:b/>
        <w:sz w:val="18"/>
      </w:rPr>
      <w:fldChar w:fldCharType="begin"/>
    </w:r>
    <w:r w:rsidRPr="009D2EC5">
      <w:rPr>
        <w:b/>
        <w:sz w:val="18"/>
      </w:rPr>
      <w:instrText xml:space="preserve"> PAGE  \* MERGEFORMAT </w:instrText>
    </w:r>
    <w:r w:rsidRPr="009D2EC5">
      <w:rPr>
        <w:b/>
        <w:sz w:val="18"/>
      </w:rPr>
      <w:fldChar w:fldCharType="separate"/>
    </w:r>
    <w:r w:rsidRPr="009D2EC5">
      <w:rPr>
        <w:b/>
        <w:noProof/>
        <w:sz w:val="18"/>
      </w:rPr>
      <w:t>3</w:t>
    </w:r>
    <w:r w:rsidRPr="009D2E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2BE5" w14:textId="4F54431D" w:rsidR="000D3EE9" w:rsidRPr="00EB1C6B" w:rsidRDefault="00EB1C6B" w:rsidP="00EB1C6B">
    <w:pPr>
      <w:pStyle w:val="Pieddepage"/>
      <w:tabs>
        <w:tab w:val="left" w:pos="6520"/>
        <w:tab w:val="right" w:pos="9638"/>
      </w:tabs>
      <w:spacing w:before="120"/>
      <w:rPr>
        <w:sz w:val="20"/>
      </w:rPr>
    </w:pPr>
    <w:r>
      <w:rPr>
        <w:sz w:val="20"/>
      </w:rPr>
      <w:t>GE.23-06781  (F)</w:t>
    </w:r>
    <w:bookmarkStart w:id="4" w:name="_GoBack"/>
    <w:bookmarkEnd w:id="4"/>
    <w:r>
      <w:rPr>
        <w:sz w:val="20"/>
      </w:rPr>
      <w:tab/>
    </w:r>
    <w:r w:rsidRPr="00EB1C6B">
      <w:rPr>
        <w:noProof/>
        <w:sz w:val="20"/>
        <w:lang w:eastAsia="fr-CH"/>
      </w:rPr>
      <w:drawing>
        <wp:inline distT="0" distB="0" distL="0" distR="0" wp14:anchorId="70688390" wp14:editId="748C1AB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E9404AF" wp14:editId="311CC762">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25A7" w14:textId="77777777" w:rsidR="00AD0E0F" w:rsidRPr="00AC3823" w:rsidRDefault="00AD0E0F" w:rsidP="00AC3823">
      <w:pPr>
        <w:pStyle w:val="Pieddepage"/>
        <w:tabs>
          <w:tab w:val="right" w:pos="2155"/>
        </w:tabs>
        <w:spacing w:after="80" w:line="240" w:lineRule="atLeast"/>
        <w:ind w:left="680"/>
        <w:rPr>
          <w:u w:val="single"/>
        </w:rPr>
      </w:pPr>
      <w:r>
        <w:rPr>
          <w:u w:val="single"/>
        </w:rPr>
        <w:tab/>
      </w:r>
    </w:p>
  </w:footnote>
  <w:footnote w:type="continuationSeparator" w:id="0">
    <w:p w14:paraId="3F5EC319" w14:textId="77777777" w:rsidR="00AD0E0F" w:rsidRPr="00AC3823" w:rsidRDefault="00AD0E0F" w:rsidP="00AC3823">
      <w:pPr>
        <w:pStyle w:val="Pieddepage"/>
        <w:tabs>
          <w:tab w:val="right" w:pos="2155"/>
        </w:tabs>
        <w:spacing w:after="80" w:line="240" w:lineRule="atLeast"/>
        <w:ind w:left="680"/>
        <w:rPr>
          <w:u w:val="single"/>
        </w:rPr>
      </w:pPr>
      <w:r>
        <w:rPr>
          <w:u w:val="single"/>
        </w:rPr>
        <w:tab/>
      </w:r>
    </w:p>
  </w:footnote>
  <w:footnote w:type="continuationNotice" w:id="1">
    <w:p w14:paraId="19EF1060" w14:textId="77777777" w:rsidR="00AD0E0F" w:rsidRPr="00AC3823" w:rsidRDefault="00AD0E0F">
      <w:pPr>
        <w:spacing w:line="240" w:lineRule="auto"/>
        <w:rPr>
          <w:sz w:val="2"/>
          <w:szCs w:val="2"/>
        </w:rPr>
      </w:pPr>
    </w:p>
  </w:footnote>
  <w:footnote w:id="2">
    <w:p w14:paraId="0FC0432B" w14:textId="0B4EB504" w:rsidR="00506EC2" w:rsidRDefault="00506EC2" w:rsidP="00506EC2">
      <w:pPr>
        <w:pStyle w:val="Notedebasdepage"/>
      </w:pPr>
      <w:r>
        <w:rPr>
          <w:rStyle w:val="Appelnotedebasdep"/>
        </w:rPr>
        <w:tab/>
      </w:r>
      <w:r>
        <w:rPr>
          <w:rStyle w:val="Appelnotedebasdep"/>
          <w:sz w:val="20"/>
        </w:rPr>
        <w:t>*</w:t>
      </w:r>
      <w:r>
        <w:rPr>
          <w:rStyle w:val="Appelnotedebasdep"/>
          <w:sz w:val="20"/>
        </w:rPr>
        <w:tab/>
      </w:r>
      <w:r>
        <w:t>Diffusé par l’Organisation intergouvernementale pour les transports internationaux ferroviaires (OTIF), sous la cote OTIF/RID/RC/202</w:t>
      </w:r>
      <w:r w:rsidR="00735A9B">
        <w:t>3</w:t>
      </w:r>
      <w:r>
        <w:t>-A.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14:paraId="0B78176B" w14:textId="7BC5E60A" w:rsidR="005B10DD" w:rsidRPr="008B0D9B" w:rsidRDefault="005B10DD" w:rsidP="005B10DD">
      <w:pPr>
        <w:pStyle w:val="Notedebasdepage"/>
      </w:pPr>
      <w:r w:rsidRPr="008B0D9B">
        <w:rPr>
          <w:sz w:val="20"/>
        </w:rPr>
        <w:tab/>
        <w:t>**</w:t>
      </w:r>
      <w:r w:rsidRPr="008B0D9B">
        <w:rPr>
          <w:sz w:val="20"/>
        </w:rPr>
        <w:tab/>
      </w:r>
      <w:r w:rsidRPr="008B0D9B">
        <w:t>Pour des raisons pratiques, l’annexe I est publiée sous forme d’additif au présent document, sous la</w:t>
      </w:r>
      <w:r>
        <w:t> </w:t>
      </w:r>
      <w:r w:rsidRPr="008B0D9B">
        <w:t>cote ECE/TRANS/WP.15/AC.1/16</w:t>
      </w:r>
      <w:r>
        <w:t>8</w:t>
      </w:r>
      <w:r w:rsidRPr="008B0D9B">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9898" w14:textId="4672D6A0" w:rsidR="009D2EC5" w:rsidRPr="009D2EC5" w:rsidRDefault="00347145">
    <w:pPr>
      <w:pStyle w:val="En-tte"/>
    </w:pPr>
    <w:r>
      <w:fldChar w:fldCharType="begin"/>
    </w:r>
    <w:r>
      <w:instrText xml:space="preserve"> TITLE  \* MERGEFORMAT </w:instrText>
    </w:r>
    <w:r>
      <w:fldChar w:fldCharType="separate"/>
    </w:r>
    <w:r w:rsidR="00AA45B0">
      <w:t>ECE/TRANS/WP.15/AC.1/168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881" w14:textId="2F1E18A6" w:rsidR="009D2EC5" w:rsidRPr="009D2EC5" w:rsidRDefault="00347145" w:rsidP="009D2EC5">
    <w:pPr>
      <w:pStyle w:val="En-tte"/>
      <w:jc w:val="right"/>
    </w:pPr>
    <w:r>
      <w:fldChar w:fldCharType="begin"/>
    </w:r>
    <w:r>
      <w:instrText xml:space="preserve"> TITLE  \* MERGEFORMAT </w:instrText>
    </w:r>
    <w:r>
      <w:fldChar w:fldCharType="separate"/>
    </w:r>
    <w:r w:rsidR="00AA45B0">
      <w:t>ECE/TRANS/WP.15/AC.1/168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9D2EC5"/>
    <w:rsid w:val="00001442"/>
    <w:rsid w:val="00001D5C"/>
    <w:rsid w:val="00010335"/>
    <w:rsid w:val="0001207F"/>
    <w:rsid w:val="0001646A"/>
    <w:rsid w:val="00016905"/>
    <w:rsid w:val="00017F94"/>
    <w:rsid w:val="000203A3"/>
    <w:rsid w:val="000231C0"/>
    <w:rsid w:val="00023842"/>
    <w:rsid w:val="00025CFF"/>
    <w:rsid w:val="00033200"/>
    <w:rsid w:val="000334F9"/>
    <w:rsid w:val="00033658"/>
    <w:rsid w:val="00034B29"/>
    <w:rsid w:val="000419DB"/>
    <w:rsid w:val="0004639C"/>
    <w:rsid w:val="0006101A"/>
    <w:rsid w:val="00065D77"/>
    <w:rsid w:val="00066DC7"/>
    <w:rsid w:val="00073263"/>
    <w:rsid w:val="000755C0"/>
    <w:rsid w:val="0007796D"/>
    <w:rsid w:val="00080984"/>
    <w:rsid w:val="000830DE"/>
    <w:rsid w:val="00083C34"/>
    <w:rsid w:val="00085E06"/>
    <w:rsid w:val="00093F53"/>
    <w:rsid w:val="000942EE"/>
    <w:rsid w:val="000A52BF"/>
    <w:rsid w:val="000B67A5"/>
    <w:rsid w:val="000B7790"/>
    <w:rsid w:val="000D015B"/>
    <w:rsid w:val="000D3EE9"/>
    <w:rsid w:val="000D62F3"/>
    <w:rsid w:val="000F02C8"/>
    <w:rsid w:val="000F1B3F"/>
    <w:rsid w:val="000F69FD"/>
    <w:rsid w:val="00102908"/>
    <w:rsid w:val="00102EE6"/>
    <w:rsid w:val="00104B2C"/>
    <w:rsid w:val="00104E22"/>
    <w:rsid w:val="00111F2F"/>
    <w:rsid w:val="00123E5A"/>
    <w:rsid w:val="00124073"/>
    <w:rsid w:val="00132CA6"/>
    <w:rsid w:val="0013764E"/>
    <w:rsid w:val="00137CA4"/>
    <w:rsid w:val="001433FD"/>
    <w:rsid w:val="0014365E"/>
    <w:rsid w:val="001438EA"/>
    <w:rsid w:val="0014695B"/>
    <w:rsid w:val="00146FCE"/>
    <w:rsid w:val="00150B57"/>
    <w:rsid w:val="001512C0"/>
    <w:rsid w:val="001541D3"/>
    <w:rsid w:val="00155BA1"/>
    <w:rsid w:val="00156B77"/>
    <w:rsid w:val="00157664"/>
    <w:rsid w:val="0016100B"/>
    <w:rsid w:val="001617B0"/>
    <w:rsid w:val="001660D6"/>
    <w:rsid w:val="00176178"/>
    <w:rsid w:val="00177140"/>
    <w:rsid w:val="0017769C"/>
    <w:rsid w:val="00192372"/>
    <w:rsid w:val="001943AB"/>
    <w:rsid w:val="00196B35"/>
    <w:rsid w:val="001A0BC7"/>
    <w:rsid w:val="001A1DDF"/>
    <w:rsid w:val="001A404F"/>
    <w:rsid w:val="001A493A"/>
    <w:rsid w:val="001B10EB"/>
    <w:rsid w:val="001B6BAE"/>
    <w:rsid w:val="001B7FA8"/>
    <w:rsid w:val="001C1196"/>
    <w:rsid w:val="001C3DD1"/>
    <w:rsid w:val="001D117F"/>
    <w:rsid w:val="001D3117"/>
    <w:rsid w:val="001D3FC7"/>
    <w:rsid w:val="001D400F"/>
    <w:rsid w:val="001D48C2"/>
    <w:rsid w:val="001D4B0C"/>
    <w:rsid w:val="001E0474"/>
    <w:rsid w:val="001E0C85"/>
    <w:rsid w:val="001E12B2"/>
    <w:rsid w:val="001E1D24"/>
    <w:rsid w:val="001F07C0"/>
    <w:rsid w:val="001F140F"/>
    <w:rsid w:val="001F525A"/>
    <w:rsid w:val="002026D0"/>
    <w:rsid w:val="002037A2"/>
    <w:rsid w:val="00204C00"/>
    <w:rsid w:val="00207DFA"/>
    <w:rsid w:val="00211A72"/>
    <w:rsid w:val="00213BB4"/>
    <w:rsid w:val="0022131B"/>
    <w:rsid w:val="00222117"/>
    <w:rsid w:val="00223272"/>
    <w:rsid w:val="00224615"/>
    <w:rsid w:val="00226530"/>
    <w:rsid w:val="00231F03"/>
    <w:rsid w:val="00232A2A"/>
    <w:rsid w:val="00233223"/>
    <w:rsid w:val="00233504"/>
    <w:rsid w:val="00235200"/>
    <w:rsid w:val="00240333"/>
    <w:rsid w:val="00244D9A"/>
    <w:rsid w:val="00246412"/>
    <w:rsid w:val="0024779E"/>
    <w:rsid w:val="002504D6"/>
    <w:rsid w:val="00252F19"/>
    <w:rsid w:val="00257414"/>
    <w:rsid w:val="00265D59"/>
    <w:rsid w:val="00270500"/>
    <w:rsid w:val="0028110C"/>
    <w:rsid w:val="00282E6F"/>
    <w:rsid w:val="002832AC"/>
    <w:rsid w:val="00287F4A"/>
    <w:rsid w:val="00292174"/>
    <w:rsid w:val="00292718"/>
    <w:rsid w:val="00292A15"/>
    <w:rsid w:val="00294ACC"/>
    <w:rsid w:val="00294EBF"/>
    <w:rsid w:val="00297FF1"/>
    <w:rsid w:val="002A0E60"/>
    <w:rsid w:val="002A111A"/>
    <w:rsid w:val="002A378B"/>
    <w:rsid w:val="002A4B08"/>
    <w:rsid w:val="002A574F"/>
    <w:rsid w:val="002A5CEF"/>
    <w:rsid w:val="002B100D"/>
    <w:rsid w:val="002B58D7"/>
    <w:rsid w:val="002C2216"/>
    <w:rsid w:val="002C503B"/>
    <w:rsid w:val="002C58DE"/>
    <w:rsid w:val="002D4E90"/>
    <w:rsid w:val="002D5477"/>
    <w:rsid w:val="002D7C93"/>
    <w:rsid w:val="002E12F3"/>
    <w:rsid w:val="002E1FE7"/>
    <w:rsid w:val="002E4B4F"/>
    <w:rsid w:val="002E5E2C"/>
    <w:rsid w:val="002F60A0"/>
    <w:rsid w:val="0030174B"/>
    <w:rsid w:val="00306096"/>
    <w:rsid w:val="00310D21"/>
    <w:rsid w:val="003112F1"/>
    <w:rsid w:val="00312E78"/>
    <w:rsid w:val="00313828"/>
    <w:rsid w:val="003142FA"/>
    <w:rsid w:val="003152AC"/>
    <w:rsid w:val="00315B23"/>
    <w:rsid w:val="00317E91"/>
    <w:rsid w:val="00322386"/>
    <w:rsid w:val="00323E94"/>
    <w:rsid w:val="003251D1"/>
    <w:rsid w:val="00325974"/>
    <w:rsid w:val="00335475"/>
    <w:rsid w:val="0034421B"/>
    <w:rsid w:val="00347145"/>
    <w:rsid w:val="00347757"/>
    <w:rsid w:val="00354B4A"/>
    <w:rsid w:val="0035605B"/>
    <w:rsid w:val="00371CC4"/>
    <w:rsid w:val="0037241C"/>
    <w:rsid w:val="00373E36"/>
    <w:rsid w:val="003819FF"/>
    <w:rsid w:val="00390C1D"/>
    <w:rsid w:val="0039224B"/>
    <w:rsid w:val="00394725"/>
    <w:rsid w:val="003975F3"/>
    <w:rsid w:val="003A09BC"/>
    <w:rsid w:val="003A13E2"/>
    <w:rsid w:val="003A5E97"/>
    <w:rsid w:val="003B34A1"/>
    <w:rsid w:val="003B572C"/>
    <w:rsid w:val="003C1D7B"/>
    <w:rsid w:val="003C3B7B"/>
    <w:rsid w:val="003C3D56"/>
    <w:rsid w:val="003C6931"/>
    <w:rsid w:val="003D708A"/>
    <w:rsid w:val="003E09C7"/>
    <w:rsid w:val="003E6E14"/>
    <w:rsid w:val="003F52B0"/>
    <w:rsid w:val="00407924"/>
    <w:rsid w:val="00413820"/>
    <w:rsid w:val="00415487"/>
    <w:rsid w:val="00416C28"/>
    <w:rsid w:val="0042114E"/>
    <w:rsid w:val="0042255C"/>
    <w:rsid w:val="00426545"/>
    <w:rsid w:val="00427D52"/>
    <w:rsid w:val="00435DCD"/>
    <w:rsid w:val="004419AF"/>
    <w:rsid w:val="00441C3B"/>
    <w:rsid w:val="00443CD6"/>
    <w:rsid w:val="00446B0A"/>
    <w:rsid w:val="00446FE5"/>
    <w:rsid w:val="004518E9"/>
    <w:rsid w:val="00452396"/>
    <w:rsid w:val="00453B04"/>
    <w:rsid w:val="0046012B"/>
    <w:rsid w:val="004673A6"/>
    <w:rsid w:val="00471214"/>
    <w:rsid w:val="00471288"/>
    <w:rsid w:val="00473124"/>
    <w:rsid w:val="004761C4"/>
    <w:rsid w:val="00477395"/>
    <w:rsid w:val="004822D9"/>
    <w:rsid w:val="00483071"/>
    <w:rsid w:val="00483414"/>
    <w:rsid w:val="0049313A"/>
    <w:rsid w:val="00494776"/>
    <w:rsid w:val="004959A6"/>
    <w:rsid w:val="0049682B"/>
    <w:rsid w:val="0049687C"/>
    <w:rsid w:val="004A0589"/>
    <w:rsid w:val="004A0CCF"/>
    <w:rsid w:val="004A225E"/>
    <w:rsid w:val="004A3499"/>
    <w:rsid w:val="004A5A9F"/>
    <w:rsid w:val="004A7DD7"/>
    <w:rsid w:val="004B6539"/>
    <w:rsid w:val="004C047F"/>
    <w:rsid w:val="004C5E4D"/>
    <w:rsid w:val="004C6878"/>
    <w:rsid w:val="004D67D1"/>
    <w:rsid w:val="004D7A6C"/>
    <w:rsid w:val="004E468C"/>
    <w:rsid w:val="004E69DE"/>
    <w:rsid w:val="004F1F52"/>
    <w:rsid w:val="004F2EBF"/>
    <w:rsid w:val="004F6CB0"/>
    <w:rsid w:val="00506EC2"/>
    <w:rsid w:val="005079FB"/>
    <w:rsid w:val="005216D6"/>
    <w:rsid w:val="0052307D"/>
    <w:rsid w:val="005234C3"/>
    <w:rsid w:val="00524670"/>
    <w:rsid w:val="00527DEC"/>
    <w:rsid w:val="00530C61"/>
    <w:rsid w:val="005316B0"/>
    <w:rsid w:val="00535CB1"/>
    <w:rsid w:val="0054093E"/>
    <w:rsid w:val="00543192"/>
    <w:rsid w:val="00545586"/>
    <w:rsid w:val="005505B7"/>
    <w:rsid w:val="0055456F"/>
    <w:rsid w:val="0056075E"/>
    <w:rsid w:val="00562043"/>
    <w:rsid w:val="00573BE5"/>
    <w:rsid w:val="00577164"/>
    <w:rsid w:val="005850DF"/>
    <w:rsid w:val="00586ED3"/>
    <w:rsid w:val="00592FF3"/>
    <w:rsid w:val="00596AA9"/>
    <w:rsid w:val="005B10DD"/>
    <w:rsid w:val="005B1435"/>
    <w:rsid w:val="005B3BEE"/>
    <w:rsid w:val="005B4B1E"/>
    <w:rsid w:val="005B4D0F"/>
    <w:rsid w:val="005B5D92"/>
    <w:rsid w:val="005B7E04"/>
    <w:rsid w:val="005C1220"/>
    <w:rsid w:val="005C2D0C"/>
    <w:rsid w:val="005C4093"/>
    <w:rsid w:val="005C4740"/>
    <w:rsid w:val="005C57A3"/>
    <w:rsid w:val="005D2689"/>
    <w:rsid w:val="005D4011"/>
    <w:rsid w:val="005D556D"/>
    <w:rsid w:val="005E2F11"/>
    <w:rsid w:val="005E4BDC"/>
    <w:rsid w:val="005F2CA4"/>
    <w:rsid w:val="00601A04"/>
    <w:rsid w:val="00604782"/>
    <w:rsid w:val="00607030"/>
    <w:rsid w:val="00613856"/>
    <w:rsid w:val="00614381"/>
    <w:rsid w:val="00614442"/>
    <w:rsid w:val="00616A51"/>
    <w:rsid w:val="00622BF0"/>
    <w:rsid w:val="00632A25"/>
    <w:rsid w:val="006336CD"/>
    <w:rsid w:val="00635720"/>
    <w:rsid w:val="0065427F"/>
    <w:rsid w:val="006554E7"/>
    <w:rsid w:val="00656B6F"/>
    <w:rsid w:val="00667AF8"/>
    <w:rsid w:val="00675006"/>
    <w:rsid w:val="0068033D"/>
    <w:rsid w:val="006819AA"/>
    <w:rsid w:val="00682869"/>
    <w:rsid w:val="00683674"/>
    <w:rsid w:val="00685580"/>
    <w:rsid w:val="006856CA"/>
    <w:rsid w:val="00691FE9"/>
    <w:rsid w:val="0069392F"/>
    <w:rsid w:val="006A013E"/>
    <w:rsid w:val="006A296D"/>
    <w:rsid w:val="006A2AC5"/>
    <w:rsid w:val="006B0F76"/>
    <w:rsid w:val="006B251C"/>
    <w:rsid w:val="006B3E69"/>
    <w:rsid w:val="006C3689"/>
    <w:rsid w:val="006C369A"/>
    <w:rsid w:val="006C403F"/>
    <w:rsid w:val="006C4C21"/>
    <w:rsid w:val="006C5B52"/>
    <w:rsid w:val="006C66BA"/>
    <w:rsid w:val="006D3996"/>
    <w:rsid w:val="006E19CA"/>
    <w:rsid w:val="006E50C0"/>
    <w:rsid w:val="006F0D09"/>
    <w:rsid w:val="006F48E3"/>
    <w:rsid w:val="006F623E"/>
    <w:rsid w:val="006F67EA"/>
    <w:rsid w:val="007016E5"/>
    <w:rsid w:val="00703D0F"/>
    <w:rsid w:val="00703FCC"/>
    <w:rsid w:val="00704038"/>
    <w:rsid w:val="00706363"/>
    <w:rsid w:val="00711562"/>
    <w:rsid w:val="0071218D"/>
    <w:rsid w:val="00713598"/>
    <w:rsid w:val="00714859"/>
    <w:rsid w:val="007158BB"/>
    <w:rsid w:val="0071601D"/>
    <w:rsid w:val="0072134D"/>
    <w:rsid w:val="00721FEC"/>
    <w:rsid w:val="00725A12"/>
    <w:rsid w:val="00730D0B"/>
    <w:rsid w:val="00735432"/>
    <w:rsid w:val="00735A9B"/>
    <w:rsid w:val="0074335F"/>
    <w:rsid w:val="00743EC0"/>
    <w:rsid w:val="00747DBF"/>
    <w:rsid w:val="0075396C"/>
    <w:rsid w:val="0075410D"/>
    <w:rsid w:val="007569FE"/>
    <w:rsid w:val="00757206"/>
    <w:rsid w:val="00760B61"/>
    <w:rsid w:val="00760DD0"/>
    <w:rsid w:val="00761F2F"/>
    <w:rsid w:val="00767AAE"/>
    <w:rsid w:val="007766E0"/>
    <w:rsid w:val="00776BBD"/>
    <w:rsid w:val="0078129E"/>
    <w:rsid w:val="007938A1"/>
    <w:rsid w:val="007A62E6"/>
    <w:rsid w:val="007B261E"/>
    <w:rsid w:val="007B724F"/>
    <w:rsid w:val="007C0C95"/>
    <w:rsid w:val="007C1906"/>
    <w:rsid w:val="007C41BC"/>
    <w:rsid w:val="007D1E63"/>
    <w:rsid w:val="007D32BA"/>
    <w:rsid w:val="007E25A9"/>
    <w:rsid w:val="007E2F87"/>
    <w:rsid w:val="007E4FCF"/>
    <w:rsid w:val="007F1488"/>
    <w:rsid w:val="007F38A7"/>
    <w:rsid w:val="007F444F"/>
    <w:rsid w:val="007F539F"/>
    <w:rsid w:val="007F53E7"/>
    <w:rsid w:val="007F7209"/>
    <w:rsid w:val="00804F8E"/>
    <w:rsid w:val="0080684C"/>
    <w:rsid w:val="00807135"/>
    <w:rsid w:val="008076E2"/>
    <w:rsid w:val="0081630A"/>
    <w:rsid w:val="008204DA"/>
    <w:rsid w:val="008230FD"/>
    <w:rsid w:val="00827BF1"/>
    <w:rsid w:val="00833140"/>
    <w:rsid w:val="008342E4"/>
    <w:rsid w:val="008348BB"/>
    <w:rsid w:val="008364C8"/>
    <w:rsid w:val="00836988"/>
    <w:rsid w:val="0084774B"/>
    <w:rsid w:val="0085008C"/>
    <w:rsid w:val="008535AD"/>
    <w:rsid w:val="0085523C"/>
    <w:rsid w:val="008564B9"/>
    <w:rsid w:val="0085720E"/>
    <w:rsid w:val="00862FF9"/>
    <w:rsid w:val="008642E3"/>
    <w:rsid w:val="0087100E"/>
    <w:rsid w:val="00871C75"/>
    <w:rsid w:val="00871EFB"/>
    <w:rsid w:val="0087351C"/>
    <w:rsid w:val="008766A7"/>
    <w:rsid w:val="008767E8"/>
    <w:rsid w:val="00876860"/>
    <w:rsid w:val="008776DC"/>
    <w:rsid w:val="00880874"/>
    <w:rsid w:val="00881471"/>
    <w:rsid w:val="00881E44"/>
    <w:rsid w:val="008822D5"/>
    <w:rsid w:val="00883605"/>
    <w:rsid w:val="008860D9"/>
    <w:rsid w:val="00886753"/>
    <w:rsid w:val="00893C24"/>
    <w:rsid w:val="00893C55"/>
    <w:rsid w:val="0089510E"/>
    <w:rsid w:val="008A0E08"/>
    <w:rsid w:val="008B13FA"/>
    <w:rsid w:val="008B25A1"/>
    <w:rsid w:val="008B5753"/>
    <w:rsid w:val="008C6642"/>
    <w:rsid w:val="008D0DBA"/>
    <w:rsid w:val="008D61BB"/>
    <w:rsid w:val="008E6043"/>
    <w:rsid w:val="008E7A3E"/>
    <w:rsid w:val="00910C75"/>
    <w:rsid w:val="00911C6C"/>
    <w:rsid w:val="00912123"/>
    <w:rsid w:val="009273DD"/>
    <w:rsid w:val="00936207"/>
    <w:rsid w:val="00943544"/>
    <w:rsid w:val="00945F01"/>
    <w:rsid w:val="00947D0E"/>
    <w:rsid w:val="00961E7B"/>
    <w:rsid w:val="00961FAC"/>
    <w:rsid w:val="00963459"/>
    <w:rsid w:val="009641E2"/>
    <w:rsid w:val="00964EC8"/>
    <w:rsid w:val="009705C8"/>
    <w:rsid w:val="009712D6"/>
    <w:rsid w:val="0097177B"/>
    <w:rsid w:val="00981513"/>
    <w:rsid w:val="00983AF9"/>
    <w:rsid w:val="00983D63"/>
    <w:rsid w:val="0098781E"/>
    <w:rsid w:val="00991C89"/>
    <w:rsid w:val="009966C7"/>
    <w:rsid w:val="009976AD"/>
    <w:rsid w:val="009A48E5"/>
    <w:rsid w:val="009A5561"/>
    <w:rsid w:val="009B2566"/>
    <w:rsid w:val="009B569C"/>
    <w:rsid w:val="009B7EA3"/>
    <w:rsid w:val="009C1CF4"/>
    <w:rsid w:val="009C4BC4"/>
    <w:rsid w:val="009C4EB8"/>
    <w:rsid w:val="009D0FC3"/>
    <w:rsid w:val="009D227D"/>
    <w:rsid w:val="009D2EC5"/>
    <w:rsid w:val="009D664C"/>
    <w:rsid w:val="009D7F81"/>
    <w:rsid w:val="009E1BC4"/>
    <w:rsid w:val="009E29BF"/>
    <w:rsid w:val="009E61DB"/>
    <w:rsid w:val="009F02C9"/>
    <w:rsid w:val="009F1709"/>
    <w:rsid w:val="009F1CFA"/>
    <w:rsid w:val="00A00DA4"/>
    <w:rsid w:val="00A0227F"/>
    <w:rsid w:val="00A0318E"/>
    <w:rsid w:val="00A04740"/>
    <w:rsid w:val="00A04FC5"/>
    <w:rsid w:val="00A0754D"/>
    <w:rsid w:val="00A122F9"/>
    <w:rsid w:val="00A23A21"/>
    <w:rsid w:val="00A24235"/>
    <w:rsid w:val="00A2621F"/>
    <w:rsid w:val="00A30353"/>
    <w:rsid w:val="00A306FD"/>
    <w:rsid w:val="00A30BB9"/>
    <w:rsid w:val="00A320E9"/>
    <w:rsid w:val="00A3657F"/>
    <w:rsid w:val="00A37F5C"/>
    <w:rsid w:val="00A43D30"/>
    <w:rsid w:val="00A46AEC"/>
    <w:rsid w:val="00A47455"/>
    <w:rsid w:val="00A5205C"/>
    <w:rsid w:val="00A54BE4"/>
    <w:rsid w:val="00A56451"/>
    <w:rsid w:val="00A618B8"/>
    <w:rsid w:val="00A62D91"/>
    <w:rsid w:val="00A662F9"/>
    <w:rsid w:val="00A67A21"/>
    <w:rsid w:val="00A71F2C"/>
    <w:rsid w:val="00A81186"/>
    <w:rsid w:val="00A81D8B"/>
    <w:rsid w:val="00A82249"/>
    <w:rsid w:val="00A90D54"/>
    <w:rsid w:val="00A91D4E"/>
    <w:rsid w:val="00A93E08"/>
    <w:rsid w:val="00A94228"/>
    <w:rsid w:val="00AA113A"/>
    <w:rsid w:val="00AA437B"/>
    <w:rsid w:val="00AA45B0"/>
    <w:rsid w:val="00AA54D0"/>
    <w:rsid w:val="00AA64FB"/>
    <w:rsid w:val="00AC0C4E"/>
    <w:rsid w:val="00AC3823"/>
    <w:rsid w:val="00AC63B5"/>
    <w:rsid w:val="00AD00CC"/>
    <w:rsid w:val="00AD0E0F"/>
    <w:rsid w:val="00AD0F89"/>
    <w:rsid w:val="00AD1A91"/>
    <w:rsid w:val="00AD4129"/>
    <w:rsid w:val="00AD47FC"/>
    <w:rsid w:val="00AD7479"/>
    <w:rsid w:val="00AD790E"/>
    <w:rsid w:val="00AE01FF"/>
    <w:rsid w:val="00AE323C"/>
    <w:rsid w:val="00AE7B1F"/>
    <w:rsid w:val="00AF209F"/>
    <w:rsid w:val="00AF58D2"/>
    <w:rsid w:val="00AF774C"/>
    <w:rsid w:val="00B00181"/>
    <w:rsid w:val="00B00B0D"/>
    <w:rsid w:val="00B05D90"/>
    <w:rsid w:val="00B0631C"/>
    <w:rsid w:val="00B06BDF"/>
    <w:rsid w:val="00B0766B"/>
    <w:rsid w:val="00B076CF"/>
    <w:rsid w:val="00B12F87"/>
    <w:rsid w:val="00B13065"/>
    <w:rsid w:val="00B140F0"/>
    <w:rsid w:val="00B14A11"/>
    <w:rsid w:val="00B17EF8"/>
    <w:rsid w:val="00B202E3"/>
    <w:rsid w:val="00B26631"/>
    <w:rsid w:val="00B27286"/>
    <w:rsid w:val="00B343D0"/>
    <w:rsid w:val="00B405A6"/>
    <w:rsid w:val="00B40927"/>
    <w:rsid w:val="00B4210A"/>
    <w:rsid w:val="00B42DC9"/>
    <w:rsid w:val="00B47D7E"/>
    <w:rsid w:val="00B50288"/>
    <w:rsid w:val="00B50E25"/>
    <w:rsid w:val="00B55D29"/>
    <w:rsid w:val="00B63366"/>
    <w:rsid w:val="00B6375C"/>
    <w:rsid w:val="00B64918"/>
    <w:rsid w:val="00B723ED"/>
    <w:rsid w:val="00B765F7"/>
    <w:rsid w:val="00B77F86"/>
    <w:rsid w:val="00B8124E"/>
    <w:rsid w:val="00B864BA"/>
    <w:rsid w:val="00B9262A"/>
    <w:rsid w:val="00B933CB"/>
    <w:rsid w:val="00B97623"/>
    <w:rsid w:val="00BA0CA9"/>
    <w:rsid w:val="00BA174B"/>
    <w:rsid w:val="00BA4646"/>
    <w:rsid w:val="00BA55FE"/>
    <w:rsid w:val="00BA5F52"/>
    <w:rsid w:val="00BA7EB7"/>
    <w:rsid w:val="00BB360F"/>
    <w:rsid w:val="00BC4FDE"/>
    <w:rsid w:val="00BC514E"/>
    <w:rsid w:val="00BC6A36"/>
    <w:rsid w:val="00BD1514"/>
    <w:rsid w:val="00BD3ED6"/>
    <w:rsid w:val="00BD50D9"/>
    <w:rsid w:val="00BD75F4"/>
    <w:rsid w:val="00BE1BBD"/>
    <w:rsid w:val="00BF1D54"/>
    <w:rsid w:val="00BF3212"/>
    <w:rsid w:val="00C02897"/>
    <w:rsid w:val="00C1350B"/>
    <w:rsid w:val="00C1626B"/>
    <w:rsid w:val="00C17022"/>
    <w:rsid w:val="00C20E82"/>
    <w:rsid w:val="00C22458"/>
    <w:rsid w:val="00C23E09"/>
    <w:rsid w:val="00C278DB"/>
    <w:rsid w:val="00C27C7C"/>
    <w:rsid w:val="00C30775"/>
    <w:rsid w:val="00C31286"/>
    <w:rsid w:val="00C31B4B"/>
    <w:rsid w:val="00C33DA0"/>
    <w:rsid w:val="00C369D4"/>
    <w:rsid w:val="00C40A6F"/>
    <w:rsid w:val="00C425BD"/>
    <w:rsid w:val="00C4788D"/>
    <w:rsid w:val="00C55FC4"/>
    <w:rsid w:val="00C603DC"/>
    <w:rsid w:val="00C66A47"/>
    <w:rsid w:val="00C66BA5"/>
    <w:rsid w:val="00C73424"/>
    <w:rsid w:val="00C7616F"/>
    <w:rsid w:val="00C90A58"/>
    <w:rsid w:val="00C90F60"/>
    <w:rsid w:val="00C95AD5"/>
    <w:rsid w:val="00CA6247"/>
    <w:rsid w:val="00CA713D"/>
    <w:rsid w:val="00CA77C0"/>
    <w:rsid w:val="00CB06F5"/>
    <w:rsid w:val="00CB16B5"/>
    <w:rsid w:val="00CB1BC3"/>
    <w:rsid w:val="00CB7100"/>
    <w:rsid w:val="00CD0FFA"/>
    <w:rsid w:val="00CD1BB2"/>
    <w:rsid w:val="00CD6F6B"/>
    <w:rsid w:val="00CE0608"/>
    <w:rsid w:val="00CE1D1A"/>
    <w:rsid w:val="00CE2D69"/>
    <w:rsid w:val="00CE4A26"/>
    <w:rsid w:val="00CE5914"/>
    <w:rsid w:val="00CE632D"/>
    <w:rsid w:val="00CF2DC8"/>
    <w:rsid w:val="00CF40FB"/>
    <w:rsid w:val="00D11142"/>
    <w:rsid w:val="00D1726F"/>
    <w:rsid w:val="00D207E5"/>
    <w:rsid w:val="00D31B27"/>
    <w:rsid w:val="00D3439C"/>
    <w:rsid w:val="00D36C89"/>
    <w:rsid w:val="00D4085E"/>
    <w:rsid w:val="00D409FC"/>
    <w:rsid w:val="00D44CF3"/>
    <w:rsid w:val="00D46C8C"/>
    <w:rsid w:val="00D51926"/>
    <w:rsid w:val="00D56929"/>
    <w:rsid w:val="00D636A9"/>
    <w:rsid w:val="00D65FB2"/>
    <w:rsid w:val="00D67961"/>
    <w:rsid w:val="00D70FA9"/>
    <w:rsid w:val="00D7170D"/>
    <w:rsid w:val="00D71AC4"/>
    <w:rsid w:val="00D748DA"/>
    <w:rsid w:val="00D75D7F"/>
    <w:rsid w:val="00D874D4"/>
    <w:rsid w:val="00D97343"/>
    <w:rsid w:val="00D97A9B"/>
    <w:rsid w:val="00D97C42"/>
    <w:rsid w:val="00DA1632"/>
    <w:rsid w:val="00DA1AD3"/>
    <w:rsid w:val="00DB1831"/>
    <w:rsid w:val="00DB54F1"/>
    <w:rsid w:val="00DC5DF5"/>
    <w:rsid w:val="00DC624C"/>
    <w:rsid w:val="00DD03B1"/>
    <w:rsid w:val="00DD2F80"/>
    <w:rsid w:val="00DD3BFD"/>
    <w:rsid w:val="00DD52AA"/>
    <w:rsid w:val="00DE218D"/>
    <w:rsid w:val="00DE239D"/>
    <w:rsid w:val="00DE489F"/>
    <w:rsid w:val="00DE53AF"/>
    <w:rsid w:val="00DE6539"/>
    <w:rsid w:val="00DF26DB"/>
    <w:rsid w:val="00DF28B0"/>
    <w:rsid w:val="00DF431C"/>
    <w:rsid w:val="00DF4535"/>
    <w:rsid w:val="00DF6678"/>
    <w:rsid w:val="00E00F5A"/>
    <w:rsid w:val="00E034B0"/>
    <w:rsid w:val="00E06B59"/>
    <w:rsid w:val="00E15CC9"/>
    <w:rsid w:val="00E23B5B"/>
    <w:rsid w:val="00E23F4D"/>
    <w:rsid w:val="00E242D8"/>
    <w:rsid w:val="00E263A3"/>
    <w:rsid w:val="00E26940"/>
    <w:rsid w:val="00E335E4"/>
    <w:rsid w:val="00E428C8"/>
    <w:rsid w:val="00E46FCA"/>
    <w:rsid w:val="00E55F29"/>
    <w:rsid w:val="00E56E61"/>
    <w:rsid w:val="00E5741F"/>
    <w:rsid w:val="00E63B6A"/>
    <w:rsid w:val="00E67C50"/>
    <w:rsid w:val="00E70E10"/>
    <w:rsid w:val="00E76CD5"/>
    <w:rsid w:val="00E77DB9"/>
    <w:rsid w:val="00E82F0D"/>
    <w:rsid w:val="00E83900"/>
    <w:rsid w:val="00E86888"/>
    <w:rsid w:val="00E87FAC"/>
    <w:rsid w:val="00E92CC1"/>
    <w:rsid w:val="00E95909"/>
    <w:rsid w:val="00E96639"/>
    <w:rsid w:val="00EA3535"/>
    <w:rsid w:val="00EB19A0"/>
    <w:rsid w:val="00EB1A6E"/>
    <w:rsid w:val="00EB1C6B"/>
    <w:rsid w:val="00EB601C"/>
    <w:rsid w:val="00EB6808"/>
    <w:rsid w:val="00EC0D79"/>
    <w:rsid w:val="00ED600E"/>
    <w:rsid w:val="00EF1BEB"/>
    <w:rsid w:val="00EF2541"/>
    <w:rsid w:val="00EF2E22"/>
    <w:rsid w:val="00EF610E"/>
    <w:rsid w:val="00F0226F"/>
    <w:rsid w:val="00F0592C"/>
    <w:rsid w:val="00F06ED4"/>
    <w:rsid w:val="00F10D2D"/>
    <w:rsid w:val="00F1587C"/>
    <w:rsid w:val="00F23128"/>
    <w:rsid w:val="00F425C9"/>
    <w:rsid w:val="00F43289"/>
    <w:rsid w:val="00F4793D"/>
    <w:rsid w:val="00F47EAC"/>
    <w:rsid w:val="00F505D8"/>
    <w:rsid w:val="00F60551"/>
    <w:rsid w:val="00F64444"/>
    <w:rsid w:val="00F660DF"/>
    <w:rsid w:val="00F77583"/>
    <w:rsid w:val="00F84CD7"/>
    <w:rsid w:val="00F9275A"/>
    <w:rsid w:val="00F93DAB"/>
    <w:rsid w:val="00F95C08"/>
    <w:rsid w:val="00FA1330"/>
    <w:rsid w:val="00FB0147"/>
    <w:rsid w:val="00FB16E6"/>
    <w:rsid w:val="00FB495E"/>
    <w:rsid w:val="00FB6BDA"/>
    <w:rsid w:val="00FB70CB"/>
    <w:rsid w:val="00FC306E"/>
    <w:rsid w:val="00FC322F"/>
    <w:rsid w:val="00FD1581"/>
    <w:rsid w:val="00FD3675"/>
    <w:rsid w:val="00FD4B57"/>
    <w:rsid w:val="00FD684F"/>
    <w:rsid w:val="00FF0A35"/>
    <w:rsid w:val="00FF6F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916C6"/>
  <w15:docId w15:val="{D615AEB3-E8F9-4874-A996-B75686C9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1E"/>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styleId="Marquedecommentaire">
    <w:name w:val="annotation reference"/>
    <w:basedOn w:val="Policepardfaut"/>
    <w:uiPriority w:val="99"/>
    <w:semiHidden/>
    <w:unhideWhenUsed/>
    <w:rsid w:val="00D65FB2"/>
    <w:rPr>
      <w:sz w:val="16"/>
      <w:szCs w:val="16"/>
    </w:rPr>
  </w:style>
  <w:style w:type="paragraph" w:styleId="Commentaire">
    <w:name w:val="annotation text"/>
    <w:basedOn w:val="Normal"/>
    <w:link w:val="CommentaireCar"/>
    <w:uiPriority w:val="99"/>
    <w:semiHidden/>
    <w:unhideWhenUsed/>
    <w:rsid w:val="00D65FB2"/>
    <w:pPr>
      <w:spacing w:line="240" w:lineRule="auto"/>
    </w:pPr>
  </w:style>
  <w:style w:type="character" w:customStyle="1" w:styleId="CommentaireCar">
    <w:name w:val="Commentaire Car"/>
    <w:basedOn w:val="Policepardfaut"/>
    <w:link w:val="Commentaire"/>
    <w:uiPriority w:val="99"/>
    <w:semiHidden/>
    <w:rsid w:val="00D65FB2"/>
  </w:style>
  <w:style w:type="paragraph" w:styleId="Objetducommentaire">
    <w:name w:val="annotation subject"/>
    <w:basedOn w:val="Commentaire"/>
    <w:next w:val="Commentaire"/>
    <w:link w:val="ObjetducommentaireCar"/>
    <w:uiPriority w:val="99"/>
    <w:semiHidden/>
    <w:unhideWhenUsed/>
    <w:rsid w:val="00D65FB2"/>
    <w:rPr>
      <w:b/>
      <w:bCs/>
    </w:rPr>
  </w:style>
  <w:style w:type="character" w:customStyle="1" w:styleId="ObjetducommentaireCar">
    <w:name w:val="Objet du commentaire Car"/>
    <w:basedOn w:val="CommentaireCar"/>
    <w:link w:val="Objetducommentaire"/>
    <w:uiPriority w:val="99"/>
    <w:semiHidden/>
    <w:rsid w:val="00D65FB2"/>
    <w:rPr>
      <w:b/>
      <w:bCs/>
    </w:rPr>
  </w:style>
  <w:style w:type="paragraph" w:styleId="Rvision">
    <w:name w:val="Revision"/>
    <w:hidden/>
    <w:uiPriority w:val="99"/>
    <w:semiHidden/>
    <w:rsid w:val="00D65FB2"/>
    <w:pPr>
      <w:spacing w:after="0" w:line="240" w:lineRule="auto"/>
    </w:pPr>
  </w:style>
  <w:style w:type="character" w:customStyle="1" w:styleId="H1GChar">
    <w:name w:val="_ H_1_G Char"/>
    <w:link w:val="H1G"/>
    <w:rsid w:val="00C17022"/>
    <w:rPr>
      <w:b/>
      <w:sz w:val="24"/>
    </w:rPr>
  </w:style>
  <w:style w:type="character" w:customStyle="1" w:styleId="H23GChar">
    <w:name w:val="_ H_2/3_G Char"/>
    <w:link w:val="H23G"/>
    <w:locked/>
    <w:rsid w:val="00C17022"/>
    <w:rPr>
      <w:b/>
    </w:rPr>
  </w:style>
  <w:style w:type="paragraph" w:customStyle="1" w:styleId="Default">
    <w:name w:val="Default"/>
    <w:rsid w:val="00C17022"/>
    <w:pPr>
      <w:widowControl w:val="0"/>
      <w:autoSpaceDE w:val="0"/>
      <w:autoSpaceDN w:val="0"/>
      <w:adjustRightInd w:val="0"/>
      <w:spacing w:after="0" w:line="240" w:lineRule="auto"/>
    </w:pPr>
    <w:rPr>
      <w:rFonts w:ascii="Times-New-Roman,Bold" w:hAnsi="Times-New-Roman,Bold" w:cs="Times-New-Roman,Bold"/>
      <w:color w:val="000000"/>
      <w:sz w:val="24"/>
      <w:szCs w:val="24"/>
      <w:lang w:val="en-US" w:eastAsia="en-US"/>
    </w:rPr>
  </w:style>
  <w:style w:type="character" w:customStyle="1" w:styleId="y2iqfc">
    <w:name w:val="y2iqfc"/>
    <w:basedOn w:val="Policepardfaut"/>
    <w:rsid w:val="00104E22"/>
  </w:style>
  <w:style w:type="character" w:styleId="Mentionnonrsolue">
    <w:name w:val="Unresolved Mention"/>
    <w:basedOn w:val="Policepardfaut"/>
    <w:uiPriority w:val="99"/>
    <w:semiHidden/>
    <w:unhideWhenUsed/>
    <w:rsid w:val="0046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612">
      <w:bodyDiv w:val="1"/>
      <w:marLeft w:val="0"/>
      <w:marRight w:val="0"/>
      <w:marTop w:val="0"/>
      <w:marBottom w:val="0"/>
      <w:divBdr>
        <w:top w:val="none" w:sz="0" w:space="0" w:color="auto"/>
        <w:left w:val="none" w:sz="0" w:space="0" w:color="auto"/>
        <w:bottom w:val="none" w:sz="0" w:space="0" w:color="auto"/>
        <w:right w:val="none" w:sz="0" w:space="0" w:color="auto"/>
      </w:divBdr>
    </w:div>
    <w:div w:id="316036226">
      <w:bodyDiv w:val="1"/>
      <w:marLeft w:val="0"/>
      <w:marRight w:val="0"/>
      <w:marTop w:val="0"/>
      <w:marBottom w:val="0"/>
      <w:divBdr>
        <w:top w:val="none" w:sz="0" w:space="0" w:color="auto"/>
        <w:left w:val="none" w:sz="0" w:space="0" w:color="auto"/>
        <w:bottom w:val="none" w:sz="0" w:space="0" w:color="auto"/>
        <w:right w:val="none" w:sz="0" w:space="0" w:color="auto"/>
      </w:divBdr>
    </w:div>
    <w:div w:id="658267303">
      <w:bodyDiv w:val="1"/>
      <w:marLeft w:val="0"/>
      <w:marRight w:val="0"/>
      <w:marTop w:val="0"/>
      <w:marBottom w:val="0"/>
      <w:divBdr>
        <w:top w:val="none" w:sz="0" w:space="0" w:color="auto"/>
        <w:left w:val="none" w:sz="0" w:space="0" w:color="auto"/>
        <w:bottom w:val="none" w:sz="0" w:space="0" w:color="auto"/>
        <w:right w:val="none" w:sz="0" w:space="0" w:color="auto"/>
      </w:divBdr>
    </w:div>
    <w:div w:id="911550678">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654791985">
      <w:bodyDiv w:val="1"/>
      <w:marLeft w:val="0"/>
      <w:marRight w:val="0"/>
      <w:marTop w:val="0"/>
      <w:marBottom w:val="0"/>
      <w:divBdr>
        <w:top w:val="none" w:sz="0" w:space="0" w:color="auto"/>
        <w:left w:val="none" w:sz="0" w:space="0" w:color="auto"/>
        <w:bottom w:val="none" w:sz="0" w:space="0" w:color="auto"/>
        <w:right w:val="none" w:sz="0" w:space="0" w:color="auto"/>
      </w:divBdr>
    </w:div>
    <w:div w:id="1791590369">
      <w:bodyDiv w:val="1"/>
      <w:marLeft w:val="0"/>
      <w:marRight w:val="0"/>
      <w:marTop w:val="0"/>
      <w:marBottom w:val="0"/>
      <w:divBdr>
        <w:top w:val="none" w:sz="0" w:space="0" w:color="auto"/>
        <w:left w:val="none" w:sz="0" w:space="0" w:color="auto"/>
        <w:bottom w:val="none" w:sz="0" w:space="0" w:color="auto"/>
        <w:right w:val="none" w:sz="0" w:space="0" w:color="auto"/>
      </w:divBdr>
    </w:div>
    <w:div w:id="1819879843">
      <w:bodyDiv w:val="1"/>
      <w:marLeft w:val="0"/>
      <w:marRight w:val="0"/>
      <w:marTop w:val="0"/>
      <w:marBottom w:val="0"/>
      <w:divBdr>
        <w:top w:val="none" w:sz="0" w:space="0" w:color="auto"/>
        <w:left w:val="none" w:sz="0" w:space="0" w:color="auto"/>
        <w:bottom w:val="none" w:sz="0" w:space="0" w:color="auto"/>
        <w:right w:val="none" w:sz="0" w:space="0" w:color="auto"/>
      </w:divBdr>
    </w:div>
    <w:div w:id="19682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e.blanchard@astra.admin.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UserInfo>
        <DisplayName>Romain Hubert</DisplayName>
        <AccountId>40</AccountId>
        <AccountType/>
      </UserInfo>
      <UserInfo>
        <DisplayName>Sabrina Mansion</DisplayName>
        <AccountId>71</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08A4-E432-448C-86A3-1FF658C11509}">
  <ds:schemaRefs>
    <ds:schemaRef ds:uri="http://schemas.openxmlformats.org/officeDocument/2006/bibliography"/>
  </ds:schemaRefs>
</ds:datastoreItem>
</file>

<file path=customXml/itemProps2.xml><?xml version="1.0" encoding="utf-8"?>
<ds:datastoreItem xmlns:ds="http://schemas.openxmlformats.org/officeDocument/2006/customXml" ds:itemID="{F3BBADBA-0D56-4F9D-AE9A-47587C0D8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AB71A-452A-495C-A818-7A129670128A}">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87BDD9C-DF5F-418A-84C0-3550546D2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7655</Words>
  <Characters>41640</Characters>
  <Application>Microsoft Office Word</Application>
  <DocSecurity>0</DocSecurity>
  <Lines>840</Lines>
  <Paragraphs>418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ECE/TRANS/WP.15/AC.1/168</dc:title>
  <dc:subject>FINAL</dc:subject>
  <dc:creator>Christine Barrio-Champeau</dc:creator>
  <cp:keywords/>
  <dc:description/>
  <cp:lastModifiedBy>Marie Deschamps</cp:lastModifiedBy>
  <cp:revision>2</cp:revision>
  <cp:lastPrinted>2023-04-05T10:01:00Z</cp:lastPrinted>
  <dcterms:created xsi:type="dcterms:W3CDTF">2023-04-13T07:37:00Z</dcterms:created>
  <dcterms:modified xsi:type="dcterms:W3CDTF">2023-04-13T07:37:00Z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