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658E" w14:textId="77777777" w:rsidR="00A30B27" w:rsidRPr="008D0E72" w:rsidRDefault="00A30B27" w:rsidP="00A30B27">
      <w:pPr>
        <w:spacing w:before="120"/>
        <w:rPr>
          <w:b/>
          <w:sz w:val="28"/>
          <w:szCs w:val="28"/>
        </w:rPr>
      </w:pPr>
      <w:r w:rsidRPr="008D0E72">
        <w:rPr>
          <w:b/>
          <w:sz w:val="28"/>
          <w:szCs w:val="28"/>
        </w:rPr>
        <w:t>Economic Commission for Europe</w:t>
      </w:r>
    </w:p>
    <w:p w14:paraId="3AA8B594" w14:textId="77777777" w:rsidR="00A30B27" w:rsidRPr="008D0E72" w:rsidRDefault="00A30B27" w:rsidP="00A30B27">
      <w:pPr>
        <w:spacing w:before="120"/>
        <w:rPr>
          <w:sz w:val="28"/>
          <w:szCs w:val="28"/>
        </w:rPr>
      </w:pPr>
      <w:r w:rsidRPr="008D0E72">
        <w:rPr>
          <w:sz w:val="28"/>
          <w:szCs w:val="28"/>
        </w:rPr>
        <w:t>Inland Transport Committee</w:t>
      </w:r>
    </w:p>
    <w:p w14:paraId="754AC30F" w14:textId="77777777" w:rsidR="00A30B27" w:rsidRPr="008D0E72" w:rsidRDefault="00A30B27" w:rsidP="00A30B27">
      <w:pPr>
        <w:spacing w:before="120"/>
        <w:rPr>
          <w:b/>
          <w:sz w:val="24"/>
          <w:szCs w:val="24"/>
        </w:rPr>
      </w:pPr>
      <w:r w:rsidRPr="008D0E72">
        <w:rPr>
          <w:b/>
          <w:sz w:val="24"/>
          <w:szCs w:val="24"/>
        </w:rPr>
        <w:t>Working Party on the Transport of Dangerous Goods</w:t>
      </w:r>
    </w:p>
    <w:p w14:paraId="5029FD8D" w14:textId="6D5D24CB" w:rsidR="00A30B27" w:rsidRPr="008D0E72" w:rsidRDefault="00A30B27" w:rsidP="00A30B27">
      <w:pPr>
        <w:spacing w:before="120"/>
        <w:rPr>
          <w:rFonts w:eastAsia="SimSun"/>
          <w:b/>
        </w:rPr>
      </w:pPr>
      <w:r w:rsidRPr="008D0E72">
        <w:rPr>
          <w:rFonts w:eastAsia="SimSun"/>
          <w:b/>
        </w:rPr>
        <w:t>11</w:t>
      </w:r>
      <w:r w:rsidR="001B1EF2" w:rsidRPr="008D0E72">
        <w:rPr>
          <w:rFonts w:eastAsia="SimSun"/>
          <w:b/>
        </w:rPr>
        <w:t>3</w:t>
      </w:r>
      <w:r w:rsidRPr="008D0E72">
        <w:rPr>
          <w:rFonts w:eastAsia="SimSun"/>
          <w:b/>
        </w:rPr>
        <w:t>th</w:t>
      </w:r>
      <w:r w:rsidRPr="008D0E72">
        <w:rPr>
          <w:rStyle w:val="hps"/>
          <w:rFonts w:ascii="Arial" w:hAnsi="Arial" w:cs="Arial"/>
          <w:color w:val="222222"/>
        </w:rPr>
        <w:t xml:space="preserve"> </w:t>
      </w:r>
      <w:r w:rsidRPr="008D0E72">
        <w:rPr>
          <w:rFonts w:eastAsia="SimSun"/>
          <w:b/>
        </w:rPr>
        <w:t xml:space="preserve">session </w:t>
      </w:r>
      <w:r w:rsidR="00AD0406" w:rsidRPr="008D0E72">
        <w:rPr>
          <w:rFonts w:eastAsia="SimSun"/>
          <w:b/>
        </w:rPr>
        <w:tab/>
      </w:r>
      <w:r w:rsidR="00AD0406" w:rsidRPr="008D0E72">
        <w:rPr>
          <w:rFonts w:eastAsia="SimSun"/>
          <w:b/>
        </w:rPr>
        <w:tab/>
      </w:r>
      <w:r w:rsidR="00AD0406" w:rsidRPr="008D0E72">
        <w:rPr>
          <w:rFonts w:eastAsia="SimSun"/>
          <w:b/>
        </w:rPr>
        <w:tab/>
      </w:r>
      <w:r w:rsidR="00AD0406" w:rsidRPr="008D0E72">
        <w:rPr>
          <w:rFonts w:eastAsia="SimSun"/>
          <w:b/>
        </w:rPr>
        <w:tab/>
      </w:r>
      <w:r w:rsidR="00AD0406" w:rsidRPr="008D0E72">
        <w:rPr>
          <w:rFonts w:eastAsia="SimSun"/>
          <w:b/>
        </w:rPr>
        <w:tab/>
      </w:r>
      <w:r w:rsidR="00AD0406" w:rsidRPr="008D0E72">
        <w:rPr>
          <w:rFonts w:eastAsia="SimSun"/>
          <w:b/>
        </w:rPr>
        <w:tab/>
      </w:r>
      <w:r w:rsidR="00AD0406" w:rsidRPr="008D0E72">
        <w:rPr>
          <w:rFonts w:eastAsia="SimSun"/>
          <w:b/>
        </w:rPr>
        <w:tab/>
      </w:r>
      <w:r w:rsidR="00AD0406" w:rsidRPr="008D0E72">
        <w:rPr>
          <w:rFonts w:eastAsia="SimSun"/>
          <w:b/>
        </w:rPr>
        <w:tab/>
      </w:r>
      <w:r w:rsidR="00AD0406" w:rsidRPr="008D0E72">
        <w:rPr>
          <w:rFonts w:eastAsia="SimSun"/>
          <w:b/>
        </w:rPr>
        <w:tab/>
      </w:r>
      <w:r w:rsidR="00AD0406" w:rsidRPr="008D0E72">
        <w:rPr>
          <w:rFonts w:eastAsia="SimSun"/>
          <w:b/>
        </w:rPr>
        <w:tab/>
      </w:r>
      <w:r w:rsidR="001B1EF2" w:rsidRPr="008D0E72">
        <w:rPr>
          <w:rFonts w:eastAsia="SimSun"/>
          <w:b/>
        </w:rPr>
        <w:t>12 May 2023</w:t>
      </w:r>
    </w:p>
    <w:p w14:paraId="75F0E1A9" w14:textId="56DD82FE" w:rsidR="00A30B27" w:rsidRPr="008D0E72" w:rsidRDefault="00A30B27" w:rsidP="00A30B27">
      <w:pPr>
        <w:rPr>
          <w:rFonts w:eastAsia="SimSun"/>
        </w:rPr>
      </w:pPr>
      <w:r w:rsidRPr="008D0E72">
        <w:rPr>
          <w:rFonts w:eastAsia="SimSun"/>
        </w:rPr>
        <w:t xml:space="preserve">Geneva, </w:t>
      </w:r>
      <w:r w:rsidR="001B1EF2" w:rsidRPr="008D0E72">
        <w:rPr>
          <w:rFonts w:eastAsia="SimSun"/>
        </w:rPr>
        <w:t>15-17 May 2023</w:t>
      </w:r>
    </w:p>
    <w:p w14:paraId="350E0FA0" w14:textId="77777777" w:rsidR="00A30B27" w:rsidRPr="008D0E72" w:rsidRDefault="00A30B27" w:rsidP="00A30B27">
      <w:r w:rsidRPr="008D0E72">
        <w:t>Item 1 of the provisional agenda</w:t>
      </w:r>
    </w:p>
    <w:p w14:paraId="777A3115" w14:textId="77777777" w:rsidR="00A30B27" w:rsidRPr="008D0E72" w:rsidRDefault="00A30B27" w:rsidP="00A30B27">
      <w:pPr>
        <w:rPr>
          <w:b/>
        </w:rPr>
      </w:pPr>
      <w:r w:rsidRPr="008D0E72">
        <w:rPr>
          <w:b/>
        </w:rPr>
        <w:t>Adoption of the agenda</w:t>
      </w:r>
    </w:p>
    <w:p w14:paraId="032C0F7E" w14:textId="77777777" w:rsidR="005E5BC9" w:rsidRPr="008D0E72" w:rsidRDefault="000C497A" w:rsidP="008D0E72">
      <w:pPr>
        <w:pStyle w:val="HChG"/>
        <w:rPr>
          <w:lang w:val="en-GB"/>
        </w:rPr>
      </w:pPr>
      <w:r w:rsidRPr="008D0E72">
        <w:rPr>
          <w:lang w:val="en-GB"/>
        </w:rPr>
        <w:tab/>
      </w:r>
      <w:r w:rsidRPr="008D0E72">
        <w:rPr>
          <w:lang w:val="en-GB"/>
        </w:rPr>
        <w:tab/>
      </w:r>
      <w:r w:rsidR="005E5BC9" w:rsidRPr="008D0E72">
        <w:rPr>
          <w:lang w:val="en-GB"/>
        </w:rPr>
        <w:t xml:space="preserve">List of documents under agenda item </w:t>
      </w:r>
    </w:p>
    <w:p w14:paraId="7A0D0C5E" w14:textId="5977FD44" w:rsidR="00E65D68" w:rsidRDefault="00E65D68" w:rsidP="000F1E51">
      <w:pPr>
        <w:pStyle w:val="SingleTxtG"/>
        <w:rPr>
          <w:lang w:val="en-GB"/>
        </w:rPr>
      </w:pPr>
      <w:r w:rsidRPr="008D0E72">
        <w:rPr>
          <w:lang w:val="en-GB"/>
        </w:rPr>
        <w:tab/>
      </w:r>
      <w:r w:rsidRPr="008D0E72">
        <w:rPr>
          <w:lang w:val="en-GB"/>
        </w:rPr>
        <w:tab/>
        <w:t>In the light of the number of documents submitted for the session, the secretariat and the Chair and Vice-Chair of the Working Party agreed to reduce the number of meeting days to three. As a consequence, the session will start at 10.30 a.m. on Monday 15 May 2023 and end on Wednesday 17 May 2023.</w:t>
      </w:r>
    </w:p>
    <w:p w14:paraId="568C0720" w14:textId="7C724DC6" w:rsidR="00E65F92" w:rsidRPr="008D0E72" w:rsidRDefault="00E65F92" w:rsidP="000F1E51">
      <w:pPr>
        <w:pStyle w:val="SingleTxtG"/>
        <w:rPr>
          <w:lang w:val="en-GB"/>
        </w:rPr>
      </w:pPr>
      <w:r>
        <w:rPr>
          <w:lang w:val="en-GB"/>
        </w:rPr>
        <w:tab/>
      </w:r>
      <w:r>
        <w:rPr>
          <w:lang w:val="en-GB"/>
        </w:rPr>
        <w:tab/>
        <w:t xml:space="preserve">The meeting will be </w:t>
      </w:r>
      <w:r w:rsidRPr="00E65F92">
        <w:rPr>
          <w:lang w:val="en-GB"/>
        </w:rPr>
        <w:t xml:space="preserve">held </w:t>
      </w:r>
      <w:r>
        <w:rPr>
          <w:lang w:val="en-GB"/>
        </w:rPr>
        <w:t xml:space="preserve">in room XXIV </w:t>
      </w:r>
      <w:r w:rsidRPr="00E65F92">
        <w:rPr>
          <w:lang w:val="en-GB"/>
        </w:rPr>
        <w:t>at the Palais des Nations, Geneva</w:t>
      </w:r>
      <w:r>
        <w:rPr>
          <w:lang w:val="en-GB"/>
        </w:rPr>
        <w:t>.</w:t>
      </w:r>
    </w:p>
    <w:p w14:paraId="4A4D8C8C" w14:textId="49C02419" w:rsidR="000F1E51" w:rsidRDefault="000F1E51" w:rsidP="000F1E51">
      <w:pPr>
        <w:pStyle w:val="SingleTxtG"/>
        <w:rPr>
          <w:lang w:val="en-GB"/>
        </w:rPr>
      </w:pPr>
      <w:r w:rsidRPr="008D0E72">
        <w:rPr>
          <w:lang w:val="en-GB"/>
        </w:rPr>
        <w:tab/>
      </w:r>
      <w:r w:rsidR="008D0E72" w:rsidRPr="008D0E72">
        <w:rPr>
          <w:lang w:val="en-GB"/>
        </w:rPr>
        <w:tab/>
        <w:t xml:space="preserve">Documents submitted </w:t>
      </w:r>
      <w:r w:rsidR="009E31F8">
        <w:rPr>
          <w:lang w:val="en-GB"/>
        </w:rPr>
        <w:t xml:space="preserve">for the session are uploaded at </w:t>
      </w:r>
      <w:hyperlink r:id="rId11" w:history="1">
        <w:r w:rsidR="001E211D" w:rsidRPr="00D130D3">
          <w:rPr>
            <w:rStyle w:val="Hyperlink"/>
            <w:color w:val="0070C0"/>
            <w:lang w:val="en-GB"/>
          </w:rPr>
          <w:t>https://unece.org/info/Transport/Dangerous-Goods/events/369948</w:t>
        </w:r>
      </w:hyperlink>
      <w:r w:rsidR="001E211D">
        <w:rPr>
          <w:lang w:val="en-GB"/>
        </w:rPr>
        <w:t>.</w:t>
      </w:r>
    </w:p>
    <w:p w14:paraId="325D39E2" w14:textId="3DA24110" w:rsidR="001E211D" w:rsidRPr="008D0E72" w:rsidRDefault="001E211D" w:rsidP="000F1E51">
      <w:pPr>
        <w:pStyle w:val="SingleTxtG"/>
        <w:rPr>
          <w:lang w:val="en-GB"/>
        </w:rPr>
      </w:pPr>
      <w:r>
        <w:rPr>
          <w:lang w:val="en-GB"/>
        </w:rPr>
        <w:tab/>
      </w:r>
      <w:r>
        <w:rPr>
          <w:lang w:val="en-GB"/>
        </w:rPr>
        <w:tab/>
        <w:t>For other documents referred to, an hyperlink is given is this document.</w:t>
      </w:r>
    </w:p>
    <w:p w14:paraId="4C5AF870" w14:textId="3E7DC576" w:rsidR="00BF0CF2" w:rsidRPr="008D0E72" w:rsidRDefault="005E5BC9" w:rsidP="008D0E72">
      <w:pPr>
        <w:pStyle w:val="H1G"/>
      </w:pPr>
      <w:r w:rsidRPr="008D0E72">
        <w:tab/>
      </w:r>
      <w:r w:rsidR="00BF0CF2" w:rsidRPr="008D0E72">
        <w:t>1.</w:t>
      </w:r>
      <w:r w:rsidR="00BF0CF2" w:rsidRPr="008D0E72">
        <w:tab/>
        <w:t>Adoption of the agenda</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703768" w:rsidRPr="008D0E72" w14:paraId="06D74488" w14:textId="77777777" w:rsidTr="00C26538">
        <w:trPr>
          <w:cantSplit/>
        </w:trPr>
        <w:tc>
          <w:tcPr>
            <w:tcW w:w="3402" w:type="dxa"/>
            <w:shd w:val="clear" w:color="auto" w:fill="auto"/>
          </w:tcPr>
          <w:p w14:paraId="021C1733" w14:textId="19B57088" w:rsidR="00BF0CF2" w:rsidRPr="008D0E72" w:rsidRDefault="007851CB" w:rsidP="007F3619">
            <w:pPr>
              <w:spacing w:after="120" w:line="240" w:lineRule="auto"/>
              <w:ind w:right="99"/>
              <w:rPr>
                <w:rFonts w:asciiTheme="majorBidi" w:hAnsiTheme="majorBidi" w:cstheme="majorBidi"/>
              </w:rPr>
            </w:pPr>
            <w:r w:rsidRPr="008D0E72">
              <w:rPr>
                <w:rFonts w:asciiTheme="majorBidi" w:hAnsiTheme="majorBidi" w:cstheme="majorBidi"/>
              </w:rPr>
              <w:t>ECE/TRANS/WP.15/2</w:t>
            </w:r>
            <w:r w:rsidR="00694C6A" w:rsidRPr="008D0E72">
              <w:rPr>
                <w:rFonts w:asciiTheme="majorBidi" w:hAnsiTheme="majorBidi" w:cstheme="majorBidi"/>
              </w:rPr>
              <w:t>61</w:t>
            </w:r>
            <w:r w:rsidR="00BF0CF2" w:rsidRPr="008D0E72">
              <w:rPr>
                <w:rFonts w:asciiTheme="majorBidi" w:hAnsiTheme="majorBidi" w:cstheme="majorBidi"/>
              </w:rPr>
              <w:t xml:space="preserve"> (Secretariat)</w:t>
            </w:r>
          </w:p>
        </w:tc>
        <w:tc>
          <w:tcPr>
            <w:tcW w:w="3969" w:type="dxa"/>
            <w:shd w:val="clear" w:color="auto" w:fill="auto"/>
          </w:tcPr>
          <w:p w14:paraId="0AB2C25E" w14:textId="16B0F157" w:rsidR="00BF0CF2" w:rsidRPr="008D0E72" w:rsidRDefault="007851CB" w:rsidP="007F3619">
            <w:pPr>
              <w:spacing w:after="120" w:line="240" w:lineRule="auto"/>
              <w:rPr>
                <w:rFonts w:asciiTheme="majorBidi" w:hAnsiTheme="majorBidi" w:cstheme="majorBidi"/>
              </w:rPr>
            </w:pPr>
            <w:r w:rsidRPr="008D0E72">
              <w:rPr>
                <w:rFonts w:asciiTheme="majorBidi" w:hAnsiTheme="majorBidi" w:cstheme="majorBidi"/>
              </w:rPr>
              <w:t>Provisional agenda for the 1</w:t>
            </w:r>
            <w:r w:rsidR="00A30B27" w:rsidRPr="008D0E72">
              <w:rPr>
                <w:rFonts w:asciiTheme="majorBidi" w:hAnsiTheme="majorBidi" w:cstheme="majorBidi"/>
              </w:rPr>
              <w:t>1</w:t>
            </w:r>
            <w:r w:rsidR="00694C6A" w:rsidRPr="008D0E72">
              <w:rPr>
                <w:rFonts w:asciiTheme="majorBidi" w:hAnsiTheme="majorBidi" w:cstheme="majorBidi"/>
              </w:rPr>
              <w:t>3</w:t>
            </w:r>
            <w:r w:rsidRPr="008D0E72">
              <w:rPr>
                <w:rFonts w:asciiTheme="majorBidi" w:hAnsiTheme="majorBidi" w:cstheme="majorBidi"/>
              </w:rPr>
              <w:t>th</w:t>
            </w:r>
            <w:r w:rsidR="00BF0CF2" w:rsidRPr="008D0E72">
              <w:rPr>
                <w:rFonts w:asciiTheme="majorBidi" w:hAnsiTheme="majorBidi" w:cstheme="majorBidi"/>
              </w:rPr>
              <w:t xml:space="preserve"> session</w:t>
            </w:r>
          </w:p>
        </w:tc>
      </w:tr>
      <w:tr w:rsidR="00703768" w:rsidRPr="008D0E72" w14:paraId="3A527F5B" w14:textId="77777777" w:rsidTr="002A541D">
        <w:trPr>
          <w:cantSplit/>
          <w:trHeight w:val="551"/>
        </w:trPr>
        <w:tc>
          <w:tcPr>
            <w:tcW w:w="3402" w:type="dxa"/>
            <w:shd w:val="clear" w:color="auto" w:fill="auto"/>
          </w:tcPr>
          <w:p w14:paraId="0B6CB83E" w14:textId="173E131E" w:rsidR="00BF0CF2" w:rsidRPr="008D0E72" w:rsidRDefault="007851CB" w:rsidP="007F3619">
            <w:pPr>
              <w:spacing w:after="120" w:line="240" w:lineRule="auto"/>
              <w:ind w:right="99"/>
              <w:rPr>
                <w:rFonts w:asciiTheme="majorBidi" w:hAnsiTheme="majorBidi" w:cstheme="majorBidi"/>
              </w:rPr>
            </w:pPr>
            <w:r w:rsidRPr="008D0E72">
              <w:rPr>
                <w:rFonts w:asciiTheme="majorBidi" w:hAnsiTheme="majorBidi" w:cstheme="majorBidi"/>
              </w:rPr>
              <w:t>ECE/TRANS/WP.15/2</w:t>
            </w:r>
            <w:r w:rsidR="00694C6A" w:rsidRPr="008D0E72">
              <w:rPr>
                <w:rFonts w:asciiTheme="majorBidi" w:hAnsiTheme="majorBidi" w:cstheme="majorBidi"/>
              </w:rPr>
              <w:t>61</w:t>
            </w:r>
            <w:r w:rsidR="00BF0CF2" w:rsidRPr="008D0E72">
              <w:rPr>
                <w:rFonts w:asciiTheme="majorBidi" w:hAnsiTheme="majorBidi" w:cstheme="majorBidi"/>
              </w:rPr>
              <w:t>/Add.1 (Secretariat)</w:t>
            </w:r>
          </w:p>
        </w:tc>
        <w:tc>
          <w:tcPr>
            <w:tcW w:w="3969" w:type="dxa"/>
            <w:shd w:val="clear" w:color="auto" w:fill="auto"/>
          </w:tcPr>
          <w:p w14:paraId="64E4D87F" w14:textId="77777777" w:rsidR="00BF0CF2" w:rsidRPr="008D0E72" w:rsidRDefault="00BF0CF2" w:rsidP="007F3619">
            <w:pPr>
              <w:spacing w:after="120" w:line="240" w:lineRule="auto"/>
              <w:rPr>
                <w:rFonts w:asciiTheme="majorBidi" w:hAnsiTheme="majorBidi" w:cstheme="majorBidi"/>
              </w:rPr>
            </w:pPr>
            <w:r w:rsidRPr="008D0E72">
              <w:rPr>
                <w:rFonts w:asciiTheme="majorBidi" w:hAnsiTheme="majorBidi" w:cstheme="majorBidi"/>
              </w:rPr>
              <w:t>Annotations and list of documents</w:t>
            </w:r>
          </w:p>
        </w:tc>
      </w:tr>
      <w:tr w:rsidR="00703768" w:rsidRPr="008D0E72" w14:paraId="251EB0EE" w14:textId="77777777" w:rsidTr="00C26538">
        <w:trPr>
          <w:cantSplit/>
        </w:trPr>
        <w:tc>
          <w:tcPr>
            <w:tcW w:w="3402" w:type="dxa"/>
            <w:shd w:val="clear" w:color="auto" w:fill="auto"/>
          </w:tcPr>
          <w:p w14:paraId="09ECA0F3" w14:textId="77777777" w:rsidR="00BF0CF2" w:rsidRPr="008D0E72" w:rsidRDefault="00BF0CF2" w:rsidP="007F3619">
            <w:pPr>
              <w:pStyle w:val="SingleTxtG"/>
              <w:spacing w:line="240" w:lineRule="auto"/>
              <w:ind w:left="0" w:right="99"/>
              <w:jc w:val="left"/>
              <w:rPr>
                <w:rFonts w:asciiTheme="majorBidi" w:hAnsiTheme="majorBidi" w:cstheme="majorBidi"/>
                <w:lang w:val="en-GB"/>
              </w:rPr>
            </w:pPr>
            <w:r w:rsidRPr="008D0E72">
              <w:rPr>
                <w:rFonts w:asciiTheme="majorBidi" w:hAnsiTheme="majorBidi" w:cstheme="majorBidi"/>
                <w:lang w:val="en-GB"/>
              </w:rPr>
              <w:t>INF.1 (Secretariat)</w:t>
            </w:r>
          </w:p>
        </w:tc>
        <w:tc>
          <w:tcPr>
            <w:tcW w:w="3969" w:type="dxa"/>
            <w:shd w:val="clear" w:color="auto" w:fill="auto"/>
          </w:tcPr>
          <w:p w14:paraId="55E74A6A" w14:textId="77777777" w:rsidR="00BF0CF2" w:rsidRPr="008D0E72" w:rsidRDefault="00BF0CF2" w:rsidP="007F3619">
            <w:pPr>
              <w:pStyle w:val="SingleTxtG"/>
              <w:spacing w:line="240" w:lineRule="auto"/>
              <w:ind w:left="0" w:right="0"/>
              <w:jc w:val="left"/>
              <w:rPr>
                <w:rFonts w:asciiTheme="majorBidi" w:hAnsiTheme="majorBidi" w:cstheme="majorBidi"/>
                <w:lang w:val="en-GB"/>
              </w:rPr>
            </w:pPr>
            <w:r w:rsidRPr="008D0E72">
              <w:rPr>
                <w:rFonts w:asciiTheme="majorBidi" w:hAnsiTheme="majorBidi" w:cstheme="majorBidi"/>
                <w:lang w:val="en-GB"/>
              </w:rPr>
              <w:t>List of documents</w:t>
            </w:r>
          </w:p>
        </w:tc>
      </w:tr>
      <w:tr w:rsidR="00703768" w:rsidRPr="008D0E72" w14:paraId="5CC48DA0" w14:textId="77777777" w:rsidTr="00C26538">
        <w:trPr>
          <w:cantSplit/>
        </w:trPr>
        <w:tc>
          <w:tcPr>
            <w:tcW w:w="3402" w:type="dxa"/>
            <w:shd w:val="clear" w:color="auto" w:fill="auto"/>
          </w:tcPr>
          <w:p w14:paraId="25766DEF" w14:textId="77777777" w:rsidR="00BF0CF2" w:rsidRPr="008D0E72" w:rsidRDefault="00BF0CF2" w:rsidP="007F3619">
            <w:pPr>
              <w:pStyle w:val="SingleTxtG"/>
              <w:spacing w:line="240" w:lineRule="auto"/>
              <w:ind w:left="0" w:right="99"/>
              <w:jc w:val="left"/>
              <w:rPr>
                <w:rFonts w:asciiTheme="majorBidi" w:hAnsiTheme="majorBidi" w:cstheme="majorBidi"/>
                <w:lang w:val="en-GB"/>
              </w:rPr>
            </w:pPr>
            <w:r w:rsidRPr="008D0E72">
              <w:rPr>
                <w:rFonts w:asciiTheme="majorBidi" w:hAnsiTheme="majorBidi" w:cstheme="majorBidi"/>
                <w:lang w:val="en-GB"/>
              </w:rPr>
              <w:t>INF.2 (Secretariat)</w:t>
            </w:r>
          </w:p>
        </w:tc>
        <w:tc>
          <w:tcPr>
            <w:tcW w:w="3969" w:type="dxa"/>
            <w:shd w:val="clear" w:color="auto" w:fill="auto"/>
          </w:tcPr>
          <w:p w14:paraId="4B642AA3" w14:textId="77777777" w:rsidR="00BF0CF2" w:rsidRPr="008D0E72" w:rsidRDefault="00BF0CF2" w:rsidP="007F3619">
            <w:pPr>
              <w:pStyle w:val="SingleTxtG"/>
              <w:spacing w:line="240" w:lineRule="auto"/>
              <w:ind w:left="0" w:right="0"/>
              <w:jc w:val="left"/>
              <w:rPr>
                <w:rFonts w:asciiTheme="majorBidi" w:hAnsiTheme="majorBidi" w:cstheme="majorBidi"/>
                <w:lang w:val="en-GB"/>
              </w:rPr>
            </w:pPr>
            <w:r w:rsidRPr="008D0E72">
              <w:rPr>
                <w:rFonts w:asciiTheme="majorBidi" w:hAnsiTheme="majorBidi" w:cstheme="majorBidi"/>
                <w:lang w:val="en-GB"/>
              </w:rPr>
              <w:t>List of documents under agenda item</w:t>
            </w:r>
          </w:p>
        </w:tc>
      </w:tr>
      <w:tr w:rsidR="00FA4AB8" w:rsidRPr="008D0E72" w14:paraId="26344A2C" w14:textId="77777777" w:rsidTr="00C26538">
        <w:trPr>
          <w:cantSplit/>
        </w:trPr>
        <w:tc>
          <w:tcPr>
            <w:tcW w:w="3402" w:type="dxa"/>
            <w:shd w:val="clear" w:color="auto" w:fill="auto"/>
          </w:tcPr>
          <w:p w14:paraId="787B8CF6" w14:textId="3F026007" w:rsidR="00FA4AB8" w:rsidRPr="008D0E72" w:rsidRDefault="00FA4AB8" w:rsidP="007F3619">
            <w:pPr>
              <w:pStyle w:val="SingleTxtG"/>
              <w:spacing w:line="240" w:lineRule="auto"/>
              <w:ind w:left="0" w:right="99"/>
              <w:jc w:val="left"/>
              <w:rPr>
                <w:rFonts w:asciiTheme="majorBidi" w:hAnsiTheme="majorBidi" w:cstheme="majorBidi"/>
                <w:lang w:val="en-GB"/>
              </w:rPr>
            </w:pPr>
            <w:r w:rsidRPr="008D0E72">
              <w:rPr>
                <w:rFonts w:asciiTheme="majorBidi" w:hAnsiTheme="majorBidi" w:cstheme="majorBidi"/>
                <w:lang w:val="en-GB"/>
              </w:rPr>
              <w:t>INF.</w:t>
            </w:r>
            <w:r w:rsidR="00420E71" w:rsidRPr="008D0E72">
              <w:rPr>
                <w:rFonts w:asciiTheme="majorBidi" w:hAnsiTheme="majorBidi" w:cstheme="majorBidi"/>
                <w:lang w:val="en-GB"/>
              </w:rPr>
              <w:t>3</w:t>
            </w:r>
            <w:r w:rsidR="00473395" w:rsidRPr="008D0E72">
              <w:rPr>
                <w:rFonts w:asciiTheme="majorBidi" w:hAnsiTheme="majorBidi" w:cstheme="majorBidi"/>
                <w:lang w:val="en-GB"/>
              </w:rPr>
              <w:t xml:space="preserve"> (Secretariat)</w:t>
            </w:r>
          </w:p>
        </w:tc>
        <w:tc>
          <w:tcPr>
            <w:tcW w:w="3969" w:type="dxa"/>
            <w:shd w:val="clear" w:color="auto" w:fill="auto"/>
          </w:tcPr>
          <w:p w14:paraId="36DBB826" w14:textId="556616F0" w:rsidR="00FA4AB8" w:rsidRPr="008D0E72" w:rsidRDefault="00481639" w:rsidP="007F3619">
            <w:pPr>
              <w:pStyle w:val="SingleTxtG"/>
              <w:spacing w:line="240" w:lineRule="auto"/>
              <w:ind w:left="0" w:right="0"/>
              <w:jc w:val="left"/>
              <w:rPr>
                <w:rFonts w:asciiTheme="majorBidi" w:hAnsiTheme="majorBidi" w:cstheme="majorBidi"/>
                <w:lang w:val="en-GB"/>
              </w:rPr>
            </w:pPr>
            <w:r w:rsidRPr="008D0E72">
              <w:rPr>
                <w:rFonts w:asciiTheme="majorBidi" w:hAnsiTheme="majorBidi" w:cstheme="majorBidi"/>
                <w:lang w:val="en-GB"/>
              </w:rPr>
              <w:t>Provisional timetable and additional information</w:t>
            </w:r>
          </w:p>
        </w:tc>
      </w:tr>
    </w:tbl>
    <w:p w14:paraId="7B7A07DE" w14:textId="77777777" w:rsidR="00BF0CF2" w:rsidRPr="008D0E72" w:rsidRDefault="00BF0CF2" w:rsidP="002D6D5C">
      <w:pPr>
        <w:pStyle w:val="H23G"/>
      </w:pPr>
      <w:r w:rsidRPr="008D0E72">
        <w:tab/>
      </w:r>
      <w:r w:rsidRPr="008D0E72">
        <w:tab/>
        <w:t>Background documents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703768" w:rsidRPr="008D0E72" w14:paraId="7D05E660" w14:textId="77777777" w:rsidTr="00875766">
        <w:trPr>
          <w:cantSplit/>
          <w:trHeight w:val="20"/>
        </w:trPr>
        <w:tc>
          <w:tcPr>
            <w:tcW w:w="3402" w:type="dxa"/>
            <w:shd w:val="clear" w:color="auto" w:fill="auto"/>
          </w:tcPr>
          <w:p w14:paraId="138CBA33" w14:textId="673FDFFA" w:rsidR="00BF0CF2" w:rsidRPr="00473395" w:rsidRDefault="00000000" w:rsidP="00875766">
            <w:pPr>
              <w:spacing w:after="120" w:line="240" w:lineRule="auto"/>
              <w:ind w:right="99"/>
              <w:rPr>
                <w:b/>
              </w:rPr>
            </w:pPr>
            <w:hyperlink r:id="rId12" w:history="1">
              <w:r w:rsidR="00BF0CF2" w:rsidRPr="007C1036">
                <w:rPr>
                  <w:rStyle w:val="Hyperlink"/>
                  <w:color w:val="0070C0"/>
                </w:rPr>
                <w:t>ECE/TRANS/WP.15/190/Add.1</w:t>
              </w:r>
            </w:hyperlink>
            <w:r w:rsidR="00BF0CF2" w:rsidRPr="00473395">
              <w:t xml:space="preserve"> (Secretariat)</w:t>
            </w:r>
          </w:p>
        </w:tc>
        <w:tc>
          <w:tcPr>
            <w:tcW w:w="3969" w:type="dxa"/>
            <w:shd w:val="clear" w:color="auto" w:fill="auto"/>
          </w:tcPr>
          <w:p w14:paraId="18CFF565" w14:textId="77777777" w:rsidR="00BF0CF2" w:rsidRPr="008D0E72" w:rsidRDefault="00BF0CF2" w:rsidP="00875766">
            <w:pPr>
              <w:spacing w:after="120" w:line="240" w:lineRule="auto"/>
              <w:rPr>
                <w:b/>
              </w:rPr>
            </w:pPr>
            <w:r w:rsidRPr="008D0E72">
              <w:t>Terms of Reference and Rules of Procedure of the Working Party</w:t>
            </w:r>
          </w:p>
        </w:tc>
      </w:tr>
      <w:tr w:rsidR="00703768" w:rsidRPr="008D0E72" w14:paraId="515B8079" w14:textId="77777777" w:rsidTr="00875766">
        <w:trPr>
          <w:cantSplit/>
          <w:trHeight w:val="20"/>
        </w:trPr>
        <w:tc>
          <w:tcPr>
            <w:tcW w:w="3402" w:type="dxa"/>
            <w:shd w:val="clear" w:color="auto" w:fill="auto"/>
          </w:tcPr>
          <w:p w14:paraId="6663E40A" w14:textId="0E499A46" w:rsidR="00BF0CF2" w:rsidRPr="00473395" w:rsidRDefault="00000000" w:rsidP="00875766">
            <w:pPr>
              <w:spacing w:after="120" w:line="360" w:lineRule="auto"/>
              <w:ind w:right="99"/>
            </w:pPr>
            <w:hyperlink r:id="rId13" w:history="1">
              <w:r w:rsidR="007851CB" w:rsidRPr="00B9622C">
                <w:rPr>
                  <w:rStyle w:val="Hyperlink"/>
                  <w:color w:val="0070C0"/>
                </w:rPr>
                <w:t>ECE/TRANS/WP.15/2</w:t>
              </w:r>
              <w:r w:rsidR="003B3F54" w:rsidRPr="00B9622C">
                <w:rPr>
                  <w:rStyle w:val="Hyperlink"/>
                  <w:color w:val="0070C0"/>
                </w:rPr>
                <w:t>60</w:t>
              </w:r>
            </w:hyperlink>
            <w:r w:rsidR="00BF0CF2" w:rsidRPr="00473395">
              <w:t xml:space="preserve"> (Secretariat)</w:t>
            </w:r>
          </w:p>
        </w:tc>
        <w:tc>
          <w:tcPr>
            <w:tcW w:w="3969" w:type="dxa"/>
            <w:shd w:val="clear" w:color="auto" w:fill="auto"/>
          </w:tcPr>
          <w:p w14:paraId="21303484" w14:textId="3B04A587" w:rsidR="00BF0CF2" w:rsidRPr="008D0E72" w:rsidRDefault="00C000C7" w:rsidP="00875766">
            <w:pPr>
              <w:spacing w:after="120" w:line="240" w:lineRule="auto"/>
            </w:pPr>
            <w:r w:rsidRPr="008D0E72">
              <w:t>Report of the Working Party on its 112th session (Geneva, 8-11 November 2022)</w:t>
            </w:r>
          </w:p>
        </w:tc>
      </w:tr>
      <w:tr w:rsidR="00703768" w:rsidRPr="008D0E72" w14:paraId="4DA4322B" w14:textId="77777777" w:rsidTr="00875766">
        <w:trPr>
          <w:cantSplit/>
          <w:trHeight w:val="20"/>
        </w:trPr>
        <w:tc>
          <w:tcPr>
            <w:tcW w:w="3402" w:type="dxa"/>
            <w:shd w:val="clear" w:color="auto" w:fill="auto"/>
          </w:tcPr>
          <w:p w14:paraId="3E5C779A" w14:textId="4552E38E" w:rsidR="00BF0CF2" w:rsidRPr="002D6D5C" w:rsidRDefault="00000000" w:rsidP="00875766">
            <w:pPr>
              <w:spacing w:line="240" w:lineRule="auto"/>
              <w:ind w:right="99"/>
              <w:rPr>
                <w:color w:val="0070C0"/>
              </w:rPr>
            </w:pPr>
            <w:hyperlink r:id="rId14" w:history="1">
              <w:r w:rsidR="000E1362" w:rsidRPr="002D6D5C">
                <w:rPr>
                  <w:rStyle w:val="Hyperlink"/>
                  <w:color w:val="0070C0"/>
                </w:rPr>
                <w:t>ECE/TRANS/3</w:t>
              </w:r>
              <w:r w:rsidR="00DD093F" w:rsidRPr="002D6D5C">
                <w:rPr>
                  <w:rStyle w:val="Hyperlink"/>
                  <w:color w:val="0070C0"/>
                </w:rPr>
                <w:t>26</w:t>
              </w:r>
              <w:r w:rsidR="000E1362" w:rsidRPr="002D6D5C">
                <w:rPr>
                  <w:rStyle w:val="Hyperlink"/>
                  <w:color w:val="0070C0"/>
                </w:rPr>
                <w:t xml:space="preserve"> </w:t>
              </w:r>
              <w:r w:rsidR="00C000C7" w:rsidRPr="002D6D5C">
                <w:rPr>
                  <w:rStyle w:val="Hyperlink"/>
                  <w:color w:val="0070C0"/>
                </w:rPr>
                <w:t>and Corr.1-3</w:t>
              </w:r>
            </w:hyperlink>
          </w:p>
        </w:tc>
        <w:tc>
          <w:tcPr>
            <w:tcW w:w="3969" w:type="dxa"/>
            <w:shd w:val="clear" w:color="auto" w:fill="auto"/>
          </w:tcPr>
          <w:p w14:paraId="7C651A05" w14:textId="72646A82" w:rsidR="00690610" w:rsidRPr="008D0E72" w:rsidRDefault="00BF0CF2" w:rsidP="002D6D5C">
            <w:pPr>
              <w:spacing w:line="240" w:lineRule="auto"/>
            </w:pPr>
            <w:r w:rsidRPr="008D0E72">
              <w:t>ADR applicable as from 1 January 20</w:t>
            </w:r>
            <w:r w:rsidR="001723AA" w:rsidRPr="008D0E72">
              <w:t>2</w:t>
            </w:r>
            <w:r w:rsidR="00140D63" w:rsidRPr="008D0E72">
              <w:t>3</w:t>
            </w:r>
          </w:p>
        </w:tc>
      </w:tr>
    </w:tbl>
    <w:p w14:paraId="5F2F26B8" w14:textId="315F352E" w:rsidR="00BF0CF2" w:rsidRPr="002D6D5C" w:rsidRDefault="00BF0CF2" w:rsidP="002D6D5C">
      <w:pPr>
        <w:pStyle w:val="H1G"/>
      </w:pPr>
      <w:r w:rsidRPr="002D6D5C">
        <w:tab/>
        <w:t>2.</w:t>
      </w:r>
      <w:r w:rsidRPr="002D6D5C">
        <w:tab/>
      </w:r>
      <w:r w:rsidR="007851CB" w:rsidRPr="002D6D5C">
        <w:t>Eight</w:t>
      </w:r>
      <w:r w:rsidR="0063012C" w:rsidRPr="002D6D5C">
        <w:t>y-</w:t>
      </w:r>
      <w:r w:rsidR="003B3CDB" w:rsidRPr="002D6D5C">
        <w:t>f</w:t>
      </w:r>
      <w:r w:rsidR="00C000C7" w:rsidRPr="002D6D5C">
        <w:t>if</w:t>
      </w:r>
      <w:r w:rsidR="003B3CDB" w:rsidRPr="002D6D5C">
        <w:t>th</w:t>
      </w:r>
      <w:r w:rsidRPr="002D6D5C">
        <w:t xml:space="preserve"> session of the Inland Transport Committee</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4A33AA" w:rsidRPr="008D0E72" w14:paraId="7A345404" w14:textId="77777777" w:rsidTr="004B684B">
        <w:trPr>
          <w:cantSplit/>
          <w:trHeight w:val="20"/>
        </w:trPr>
        <w:tc>
          <w:tcPr>
            <w:tcW w:w="3402" w:type="dxa"/>
            <w:shd w:val="clear" w:color="auto" w:fill="auto"/>
          </w:tcPr>
          <w:p w14:paraId="1D9D733C" w14:textId="6AEC2FDB" w:rsidR="004A33AA" w:rsidRPr="008D0E72" w:rsidRDefault="00000000" w:rsidP="004B684B">
            <w:pPr>
              <w:spacing w:after="120" w:line="240" w:lineRule="auto"/>
              <w:ind w:right="99"/>
              <w:rPr>
                <w:b/>
              </w:rPr>
            </w:pPr>
            <w:hyperlink r:id="rId15" w:history="1">
              <w:r w:rsidR="0035279D" w:rsidRPr="008D0E72">
                <w:rPr>
                  <w:rStyle w:val="Hyperlink"/>
                  <w:color w:val="0070C0"/>
                </w:rPr>
                <w:t>ECE/TRANS/3</w:t>
              </w:r>
              <w:r w:rsidR="00454633" w:rsidRPr="008D0E72">
                <w:rPr>
                  <w:rStyle w:val="Hyperlink"/>
                  <w:color w:val="0070C0"/>
                </w:rPr>
                <w:t>28</w:t>
              </w:r>
            </w:hyperlink>
            <w:r w:rsidR="00454633" w:rsidRPr="008D0E72">
              <w:t xml:space="preserve"> and </w:t>
            </w:r>
            <w:r w:rsidR="0035279D" w:rsidRPr="008D0E72">
              <w:t xml:space="preserve"> </w:t>
            </w:r>
            <w:hyperlink r:id="rId16" w:history="1">
              <w:r w:rsidR="0035279D" w:rsidRPr="008D0E72">
                <w:rPr>
                  <w:rStyle w:val="Hyperlink"/>
                  <w:color w:val="0070C0"/>
                </w:rPr>
                <w:t>-/Add.1</w:t>
              </w:r>
            </w:hyperlink>
          </w:p>
        </w:tc>
        <w:tc>
          <w:tcPr>
            <w:tcW w:w="3969" w:type="dxa"/>
            <w:shd w:val="clear" w:color="auto" w:fill="auto"/>
          </w:tcPr>
          <w:p w14:paraId="3C5A95DF" w14:textId="1260295C" w:rsidR="004A33AA" w:rsidRPr="008D0E72" w:rsidRDefault="008021EF" w:rsidP="004B684B">
            <w:pPr>
              <w:spacing w:after="120" w:line="240" w:lineRule="auto"/>
              <w:rPr>
                <w:b/>
              </w:rPr>
            </w:pPr>
            <w:r w:rsidRPr="008D0E72">
              <w:t>Report of the Inland Transport Committee on its eighty-</w:t>
            </w:r>
            <w:r w:rsidR="00454633" w:rsidRPr="008D0E72">
              <w:t>fifth</w:t>
            </w:r>
            <w:r w:rsidRPr="008D0E72">
              <w:t xml:space="preserve"> session (Geneva, 2</w:t>
            </w:r>
            <w:r w:rsidR="001630A0" w:rsidRPr="008D0E72">
              <w:t>1-</w:t>
            </w:r>
            <w:r w:rsidRPr="008D0E72">
              <w:t>2</w:t>
            </w:r>
            <w:r w:rsidR="001630A0" w:rsidRPr="008D0E72">
              <w:t>4</w:t>
            </w:r>
            <w:r w:rsidRPr="008D0E72">
              <w:t xml:space="preserve"> February 202</w:t>
            </w:r>
            <w:r w:rsidR="001630A0" w:rsidRPr="008D0E72">
              <w:t>3</w:t>
            </w:r>
            <w:r w:rsidRPr="008D0E72">
              <w:t>)</w:t>
            </w:r>
          </w:p>
        </w:tc>
      </w:tr>
      <w:tr w:rsidR="00D63CF0" w:rsidRPr="008D0E72" w14:paraId="0441BB6D" w14:textId="77777777" w:rsidTr="004B684B">
        <w:trPr>
          <w:cantSplit/>
          <w:trHeight w:val="20"/>
        </w:trPr>
        <w:tc>
          <w:tcPr>
            <w:tcW w:w="3402" w:type="dxa"/>
            <w:shd w:val="clear" w:color="auto" w:fill="auto"/>
          </w:tcPr>
          <w:p w14:paraId="3A110123" w14:textId="0EEF9D1E" w:rsidR="00D63CF0" w:rsidRPr="00E65F92" w:rsidRDefault="00000000" w:rsidP="004B684B">
            <w:pPr>
              <w:spacing w:after="120" w:line="240" w:lineRule="auto"/>
              <w:ind w:right="99"/>
            </w:pPr>
            <w:hyperlink r:id="rId17" w:history="1">
              <w:r w:rsidR="00D63CF0" w:rsidRPr="00E65F92">
                <w:rPr>
                  <w:rStyle w:val="Hyperlink"/>
                  <w:color w:val="0070C0"/>
                </w:rPr>
                <w:t>ECE/TRANS/2023/21</w:t>
              </w:r>
            </w:hyperlink>
            <w:r w:rsidR="00D63CF0" w:rsidRPr="00E65F92">
              <w:t xml:space="preserve"> (Secretariat)</w:t>
            </w:r>
          </w:p>
        </w:tc>
        <w:tc>
          <w:tcPr>
            <w:tcW w:w="3969" w:type="dxa"/>
            <w:shd w:val="clear" w:color="auto" w:fill="auto"/>
          </w:tcPr>
          <w:p w14:paraId="396574E1" w14:textId="35DC9605" w:rsidR="00D63CF0" w:rsidRPr="008D0E72" w:rsidRDefault="003509E1" w:rsidP="004B684B">
            <w:pPr>
              <w:spacing w:after="120" w:line="240" w:lineRule="auto"/>
            </w:pPr>
            <w:r w:rsidRPr="00E65F92">
              <w:t>Climate change mitigation in inland transport at an inflection point: the way forward</w:t>
            </w:r>
          </w:p>
        </w:tc>
      </w:tr>
      <w:tr w:rsidR="00AB5D2B" w:rsidRPr="00AB5D2B" w14:paraId="200EFD7A" w14:textId="77777777" w:rsidTr="004B684B">
        <w:trPr>
          <w:cantSplit/>
          <w:trHeight w:val="20"/>
        </w:trPr>
        <w:tc>
          <w:tcPr>
            <w:tcW w:w="3402" w:type="dxa"/>
            <w:shd w:val="clear" w:color="auto" w:fill="auto"/>
          </w:tcPr>
          <w:p w14:paraId="72D9E3AC" w14:textId="4206524E" w:rsidR="00AB5D2B" w:rsidRPr="00AB5D2B" w:rsidRDefault="00AB5D2B" w:rsidP="00AB5D2B">
            <w:pPr>
              <w:spacing w:after="120" w:line="240" w:lineRule="auto"/>
            </w:pPr>
            <w:r w:rsidRPr="00AB5D2B">
              <w:t>INF.19 (Secretariat)</w:t>
            </w:r>
          </w:p>
        </w:tc>
        <w:tc>
          <w:tcPr>
            <w:tcW w:w="3969" w:type="dxa"/>
            <w:shd w:val="clear" w:color="auto" w:fill="auto"/>
          </w:tcPr>
          <w:p w14:paraId="2C003C1D" w14:textId="4A611118" w:rsidR="00AB5D2B" w:rsidRPr="00AB5D2B" w:rsidRDefault="00AB5D2B" w:rsidP="00AB5D2B">
            <w:pPr>
              <w:pStyle w:val="SingleTxtG"/>
              <w:spacing w:after="0" w:line="240" w:lineRule="auto"/>
              <w:ind w:left="0" w:right="96"/>
              <w:jc w:val="left"/>
              <w:rPr>
                <w:lang w:val="en-GB"/>
              </w:rPr>
            </w:pPr>
            <w:r w:rsidRPr="00AB5D2B">
              <w:rPr>
                <w:lang w:val="en-GB"/>
              </w:rPr>
              <w:t>Efficiency and methods of work of the Working</w:t>
            </w:r>
            <w:r>
              <w:rPr>
                <w:lang w:val="en-GB"/>
              </w:rPr>
              <w:t xml:space="preserve"> </w:t>
            </w:r>
            <w:r w:rsidRPr="00AB5D2B">
              <w:rPr>
                <w:lang w:val="en-GB"/>
              </w:rPr>
              <w:t>Party</w:t>
            </w:r>
          </w:p>
        </w:tc>
      </w:tr>
    </w:tbl>
    <w:p w14:paraId="6B71ACAB" w14:textId="221A728E" w:rsidR="0022549B" w:rsidRPr="002D6D5C" w:rsidRDefault="0022549B" w:rsidP="002D6D5C">
      <w:pPr>
        <w:pStyle w:val="H1G"/>
      </w:pPr>
      <w:r w:rsidRPr="002D6D5C">
        <w:lastRenderedPageBreak/>
        <w:tab/>
        <w:t>3.</w:t>
      </w:r>
      <w:r w:rsidRPr="002D6D5C">
        <w:tab/>
        <w:t>Status of the Agreement concerning the International Carriage of Dangerous Goods by Road (ADR) and related issues</w:t>
      </w:r>
    </w:p>
    <w:p w14:paraId="3A446A50" w14:textId="77777777" w:rsidR="00E00611" w:rsidRPr="008D0E72" w:rsidRDefault="00E00611" w:rsidP="00E00611">
      <w:pPr>
        <w:spacing w:after="120"/>
        <w:ind w:left="1134" w:right="1134" w:firstLine="567"/>
        <w:jc w:val="both"/>
      </w:pPr>
      <w:r w:rsidRPr="008D0E72">
        <w:t>A member of the secretariat will inform the Working Party of the status of ADR, the Protocol of amendment of 1993, special agreements and notifications in accordance with Chapter 1.9.</w:t>
      </w:r>
    </w:p>
    <w:p w14:paraId="459B45AE" w14:textId="6DAF512E" w:rsidR="00E8777B" w:rsidRPr="008D0E72" w:rsidRDefault="00E00611" w:rsidP="00E00611">
      <w:pPr>
        <w:spacing w:after="120"/>
        <w:ind w:left="1134" w:right="1134" w:firstLine="567"/>
        <w:jc w:val="both"/>
        <w:rPr>
          <w:lang w:eastAsia="fr-FR"/>
        </w:rPr>
      </w:pPr>
      <w:r w:rsidRPr="008D0E72">
        <w:t>At the time of drafting this document, there were no changes to the status of ADR (54 Contracting Parties) nor to the status of the Protocol of amendment of 1993 (40 Contracting Parties).</w:t>
      </w:r>
    </w:p>
    <w:p w14:paraId="3A688F8F" w14:textId="77777777" w:rsidR="00BF0CF2" w:rsidRPr="008D0E72" w:rsidRDefault="00BF0CF2" w:rsidP="002D6D5C">
      <w:pPr>
        <w:pStyle w:val="H1G"/>
      </w:pPr>
      <w:r w:rsidRPr="008D0E72">
        <w:tab/>
      </w:r>
      <w:r w:rsidR="000C497A" w:rsidRPr="008D0E72">
        <w:t>4</w:t>
      </w:r>
      <w:r w:rsidRPr="008D0E72">
        <w:t>.</w:t>
      </w:r>
      <w:r w:rsidRPr="008D0E72">
        <w:tab/>
      </w:r>
      <w:r w:rsidR="0063012C" w:rsidRPr="008D0E72">
        <w:t>Work of the RID/ADR/ADN Joint Meeting</w:t>
      </w:r>
    </w:p>
    <w:tbl>
      <w:tblPr>
        <w:tblW w:w="7371" w:type="dxa"/>
        <w:tblInd w:w="1134" w:type="dxa"/>
        <w:tblLayout w:type="fixed"/>
        <w:tblCellMar>
          <w:left w:w="0" w:type="dxa"/>
          <w:right w:w="0" w:type="dxa"/>
        </w:tblCellMar>
        <w:tblLook w:val="01E0" w:firstRow="1" w:lastRow="1" w:firstColumn="1" w:lastColumn="1" w:noHBand="0" w:noVBand="0"/>
      </w:tblPr>
      <w:tblGrid>
        <w:gridCol w:w="3401"/>
        <w:gridCol w:w="3970"/>
      </w:tblGrid>
      <w:tr w:rsidR="00E87601" w:rsidRPr="008D0E72" w14:paraId="0D986B40" w14:textId="77777777" w:rsidTr="004A346A">
        <w:trPr>
          <w:cantSplit/>
        </w:trPr>
        <w:tc>
          <w:tcPr>
            <w:tcW w:w="3401" w:type="dxa"/>
            <w:shd w:val="clear" w:color="auto" w:fill="auto"/>
          </w:tcPr>
          <w:p w14:paraId="12E40C04" w14:textId="0D805362" w:rsidR="00E87601" w:rsidRPr="0073035F" w:rsidRDefault="00000000" w:rsidP="004A346A">
            <w:pPr>
              <w:spacing w:after="60"/>
              <w:ind w:right="99"/>
            </w:pPr>
            <w:hyperlink r:id="rId18" w:history="1">
              <w:r w:rsidR="00E87601" w:rsidRPr="00802BF1">
                <w:rPr>
                  <w:rStyle w:val="Hyperlink"/>
                  <w:color w:val="0070C0"/>
                </w:rPr>
                <w:t>ECE/TRANS/WP.15/AC.1/168</w:t>
              </w:r>
            </w:hyperlink>
            <w:r w:rsidR="00E87601">
              <w:t xml:space="preserve"> (Secretariat)</w:t>
            </w:r>
          </w:p>
        </w:tc>
        <w:tc>
          <w:tcPr>
            <w:tcW w:w="3970" w:type="dxa"/>
            <w:shd w:val="clear" w:color="auto" w:fill="auto"/>
          </w:tcPr>
          <w:p w14:paraId="51ADA4CF" w14:textId="3ABC11BA" w:rsidR="00E87601" w:rsidRPr="008D0E72" w:rsidRDefault="00802BF1" w:rsidP="004A346A">
            <w:pPr>
              <w:spacing w:after="60"/>
              <w:ind w:right="99"/>
            </w:pPr>
            <w:r w:rsidRPr="00802BF1">
              <w:t>Report of the Joint Meeting of the RID Committee of Experts and the Working Party on the Transport of Dangerous Goods on its spring 2023 session</w:t>
            </w:r>
          </w:p>
        </w:tc>
      </w:tr>
      <w:tr w:rsidR="001718DB" w:rsidRPr="008D0E72" w14:paraId="3EEF0B8A" w14:textId="77777777" w:rsidTr="004A346A">
        <w:trPr>
          <w:cantSplit/>
        </w:trPr>
        <w:tc>
          <w:tcPr>
            <w:tcW w:w="3401" w:type="dxa"/>
            <w:shd w:val="clear" w:color="auto" w:fill="auto"/>
          </w:tcPr>
          <w:p w14:paraId="2B7FB56C" w14:textId="6F8E0E75" w:rsidR="001718DB" w:rsidRPr="008D0E72" w:rsidRDefault="001718DB" w:rsidP="004A346A">
            <w:pPr>
              <w:spacing w:after="60"/>
              <w:ind w:right="99"/>
            </w:pPr>
            <w:r w:rsidRPr="0073035F">
              <w:t>INF.</w:t>
            </w:r>
            <w:r w:rsidR="0073035F" w:rsidRPr="0073035F">
              <w:t>7</w:t>
            </w:r>
            <w:r w:rsidRPr="0073035F">
              <w:t xml:space="preserve"> (</w:t>
            </w:r>
            <w:r w:rsidR="002C2CE3" w:rsidRPr="0073035F">
              <w:t>S</w:t>
            </w:r>
            <w:r w:rsidRPr="0073035F">
              <w:t>ecretariat)</w:t>
            </w:r>
            <w:r w:rsidR="002C2CE3" w:rsidRPr="0073035F">
              <w:t xml:space="preserve"> (English, French and Russian)</w:t>
            </w:r>
          </w:p>
        </w:tc>
        <w:tc>
          <w:tcPr>
            <w:tcW w:w="3970" w:type="dxa"/>
            <w:shd w:val="clear" w:color="auto" w:fill="auto"/>
          </w:tcPr>
          <w:p w14:paraId="5D5FCAAC" w14:textId="77777777" w:rsidR="001718DB" w:rsidRPr="008D0E72" w:rsidRDefault="001718DB" w:rsidP="004A346A">
            <w:pPr>
              <w:spacing w:after="60"/>
              <w:ind w:right="99"/>
            </w:pPr>
            <w:r w:rsidRPr="008D0E72">
              <w:t>Texts adopted by the Joint Meeting: amendments to ADR for entry into force on 1 January 2025</w:t>
            </w:r>
          </w:p>
        </w:tc>
      </w:tr>
      <w:tr w:rsidR="00551505" w:rsidRPr="008D0E72" w14:paraId="081AE102" w14:textId="77777777" w:rsidTr="004A346A">
        <w:trPr>
          <w:cantSplit/>
        </w:trPr>
        <w:tc>
          <w:tcPr>
            <w:tcW w:w="3401" w:type="dxa"/>
            <w:shd w:val="clear" w:color="auto" w:fill="auto"/>
          </w:tcPr>
          <w:p w14:paraId="27FAFE59" w14:textId="06917DFA" w:rsidR="00551505" w:rsidRPr="008D0E72" w:rsidRDefault="00000000" w:rsidP="004A346A">
            <w:pPr>
              <w:spacing w:after="60"/>
              <w:ind w:right="99"/>
            </w:pPr>
            <w:hyperlink r:id="rId19" w:history="1">
              <w:r w:rsidR="00551505" w:rsidRPr="008D0E72">
                <w:rPr>
                  <w:rStyle w:val="Hyperlink"/>
                  <w:color w:val="0070C0"/>
                </w:rPr>
                <w:t>ECE/TRANS/WP.15/AC.1/2023/14</w:t>
              </w:r>
              <w:r w:rsidR="00DE53B6" w:rsidRPr="008D0E72">
                <w:rPr>
                  <w:rStyle w:val="Hyperlink"/>
                </w:rPr>
                <w:t xml:space="preserve"> </w:t>
              </w:r>
            </w:hyperlink>
            <w:r w:rsidR="00DE53B6" w:rsidRPr="008D0E72">
              <w:t>(Germany)</w:t>
            </w:r>
          </w:p>
        </w:tc>
        <w:tc>
          <w:tcPr>
            <w:tcW w:w="3970" w:type="dxa"/>
            <w:shd w:val="clear" w:color="auto" w:fill="auto"/>
          </w:tcPr>
          <w:p w14:paraId="62FC677C" w14:textId="619626AE" w:rsidR="00551505" w:rsidRPr="008D0E72" w:rsidRDefault="000F1E51" w:rsidP="004A346A">
            <w:pPr>
              <w:spacing w:after="60"/>
              <w:ind w:right="99"/>
            </w:pPr>
            <w:r w:rsidRPr="008D0E72">
              <w:t>Inclusion of provisions for the carriage of molten aluminium of UN No. 3257</w:t>
            </w:r>
          </w:p>
        </w:tc>
      </w:tr>
      <w:tr w:rsidR="007B56C8" w:rsidRPr="008D0E72" w14:paraId="0074B93E" w14:textId="77777777" w:rsidTr="004A346A">
        <w:trPr>
          <w:cantSplit/>
        </w:trPr>
        <w:tc>
          <w:tcPr>
            <w:tcW w:w="3401" w:type="dxa"/>
            <w:shd w:val="clear" w:color="auto" w:fill="auto"/>
          </w:tcPr>
          <w:p w14:paraId="4B59F2F1" w14:textId="77777777" w:rsidR="007B56C8" w:rsidRDefault="00551505" w:rsidP="004A346A">
            <w:pPr>
              <w:spacing w:after="60"/>
              <w:ind w:right="99"/>
            </w:pPr>
            <w:r w:rsidRPr="008D0E72">
              <w:t>INF.8 (France)</w:t>
            </w:r>
          </w:p>
          <w:p w14:paraId="1AE21942" w14:textId="0C7827F1" w:rsidR="00544483" w:rsidRPr="008D0E72" w:rsidRDefault="00544483" w:rsidP="004A346A">
            <w:pPr>
              <w:spacing w:after="60"/>
              <w:ind w:right="99"/>
            </w:pPr>
            <w:r>
              <w:t>+ INF.24 (Germany)</w:t>
            </w:r>
          </w:p>
        </w:tc>
        <w:tc>
          <w:tcPr>
            <w:tcW w:w="3970" w:type="dxa"/>
            <w:shd w:val="clear" w:color="auto" w:fill="auto"/>
          </w:tcPr>
          <w:p w14:paraId="6EEFCC12" w14:textId="3CC074F2" w:rsidR="007B56C8" w:rsidRPr="008D0E72" w:rsidRDefault="00551505" w:rsidP="004A346A">
            <w:pPr>
              <w:spacing w:after="60"/>
              <w:ind w:right="99"/>
            </w:pPr>
            <w:r w:rsidRPr="008D0E72">
              <w:t>Texts adopted by the Joint Meeting: amendments from ECE/TRANS/WP.15/AC.1/2023/14 with editorial changes</w:t>
            </w:r>
          </w:p>
        </w:tc>
      </w:tr>
      <w:tr w:rsidR="00DB3865" w:rsidRPr="008D0E72" w14:paraId="27A73305" w14:textId="77777777" w:rsidTr="004A346A">
        <w:trPr>
          <w:cantSplit/>
        </w:trPr>
        <w:tc>
          <w:tcPr>
            <w:tcW w:w="3401" w:type="dxa"/>
            <w:shd w:val="clear" w:color="auto" w:fill="auto"/>
          </w:tcPr>
          <w:p w14:paraId="600B98F2" w14:textId="1F063EF6" w:rsidR="00DB3865" w:rsidRPr="008D0E72" w:rsidRDefault="00DB3865" w:rsidP="004A346A">
            <w:pPr>
              <w:spacing w:after="60"/>
              <w:ind w:right="99"/>
            </w:pPr>
            <w:r>
              <w:t>INF.18 (Finland)</w:t>
            </w:r>
          </w:p>
        </w:tc>
        <w:tc>
          <w:tcPr>
            <w:tcW w:w="3970" w:type="dxa"/>
            <w:shd w:val="clear" w:color="auto" w:fill="auto"/>
          </w:tcPr>
          <w:p w14:paraId="37F75C93" w14:textId="5EFEF681" w:rsidR="00DB3865" w:rsidRPr="008D0E72" w:rsidRDefault="00F26BC4" w:rsidP="004A346A">
            <w:pPr>
              <w:spacing w:after="60"/>
              <w:ind w:right="99"/>
            </w:pPr>
            <w:r>
              <w:t>Comments on INF.7 (Texts adopted by the Joint Meeting: amendments to ADR for entry into force on 1 January 2025)</w:t>
            </w:r>
          </w:p>
        </w:tc>
      </w:tr>
    </w:tbl>
    <w:p w14:paraId="4A169D1A" w14:textId="77777777" w:rsidR="00BF0CF2" w:rsidRPr="002D6D5C" w:rsidRDefault="00BF0CF2" w:rsidP="002D6D5C">
      <w:pPr>
        <w:pStyle w:val="H1G"/>
      </w:pPr>
      <w:r w:rsidRPr="002D6D5C">
        <w:tab/>
      </w:r>
      <w:r w:rsidR="000C497A" w:rsidRPr="002D6D5C">
        <w:t>5</w:t>
      </w:r>
      <w:r w:rsidRPr="002D6D5C">
        <w:t>.</w:t>
      </w:r>
      <w:r w:rsidRPr="002D6D5C">
        <w:tab/>
      </w:r>
      <w:r w:rsidR="0063012C" w:rsidRPr="002D6D5C">
        <w:t xml:space="preserve">Proposals for amendments to annexes A and B of ADR </w:t>
      </w:r>
      <w:r w:rsidRPr="002D6D5C">
        <w:t>Interpretation of ADR</w:t>
      </w:r>
    </w:p>
    <w:p w14:paraId="6095BA6C" w14:textId="77777777" w:rsidR="0063012C" w:rsidRPr="008D0E72" w:rsidRDefault="008D2334" w:rsidP="002D6D5C">
      <w:pPr>
        <w:pStyle w:val="H23G"/>
      </w:pPr>
      <w:r w:rsidRPr="008D0E72">
        <w:tab/>
      </w:r>
      <w:r w:rsidR="0063012C" w:rsidRPr="008D0E72">
        <w:t>(a)</w:t>
      </w:r>
      <w:r w:rsidR="0063012C" w:rsidRPr="008D0E72">
        <w:tab/>
        <w:t>Construction and approval of vehicles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7504E1" w:rsidRPr="007504E1" w14:paraId="18BCA085" w14:textId="77777777" w:rsidTr="00EE2B2D">
        <w:trPr>
          <w:cantSplit/>
        </w:trPr>
        <w:tc>
          <w:tcPr>
            <w:tcW w:w="3399" w:type="dxa"/>
            <w:hideMark/>
          </w:tcPr>
          <w:p w14:paraId="3D98BE7F" w14:textId="77777777" w:rsidR="007504E1" w:rsidRDefault="007504E1" w:rsidP="007504E1">
            <w:pPr>
              <w:spacing w:after="120"/>
              <w:rPr>
                <w:lang w:eastAsia="fr-FR"/>
              </w:rPr>
            </w:pPr>
            <w:r w:rsidRPr="007504E1">
              <w:rPr>
                <w:lang w:eastAsia="fr-FR"/>
              </w:rPr>
              <w:t>ECE/TRANS/WP.15/2023/1 (United Kingdom)</w:t>
            </w:r>
          </w:p>
          <w:p w14:paraId="6D1FADFA" w14:textId="0F2A9C22" w:rsidR="0029441F" w:rsidRPr="007504E1" w:rsidRDefault="0029441F" w:rsidP="007504E1">
            <w:pPr>
              <w:spacing w:after="120"/>
              <w:rPr>
                <w:lang w:eastAsia="fr-FR"/>
              </w:rPr>
            </w:pPr>
            <w:r>
              <w:rPr>
                <w:lang w:eastAsia="fr-FR"/>
              </w:rPr>
              <w:t>+ INF.9 (Netherlands)</w:t>
            </w:r>
          </w:p>
        </w:tc>
        <w:tc>
          <w:tcPr>
            <w:tcW w:w="3966" w:type="dxa"/>
            <w:hideMark/>
          </w:tcPr>
          <w:p w14:paraId="73622F47" w14:textId="77777777" w:rsidR="007504E1" w:rsidRPr="007504E1" w:rsidRDefault="007504E1" w:rsidP="007504E1">
            <w:pPr>
              <w:spacing w:after="120"/>
              <w:rPr>
                <w:bCs/>
                <w:lang w:eastAsia="fr-FR"/>
              </w:rPr>
            </w:pPr>
            <w:r w:rsidRPr="007504E1">
              <w:rPr>
                <w:bCs/>
                <w:lang w:eastAsia="fr-FR"/>
              </w:rPr>
              <w:t>Section 9.7.6 – Rear protection of vehicles</w:t>
            </w:r>
          </w:p>
        </w:tc>
      </w:tr>
      <w:tr w:rsidR="007504E1" w:rsidRPr="007504E1" w14:paraId="19D973A5" w14:textId="77777777" w:rsidTr="00EE2B2D">
        <w:trPr>
          <w:cantSplit/>
        </w:trPr>
        <w:tc>
          <w:tcPr>
            <w:tcW w:w="3399" w:type="dxa"/>
          </w:tcPr>
          <w:p w14:paraId="1766CD2F" w14:textId="77777777" w:rsidR="007504E1" w:rsidRPr="007504E1" w:rsidRDefault="007504E1" w:rsidP="007504E1">
            <w:pPr>
              <w:spacing w:after="120"/>
              <w:rPr>
                <w:lang w:eastAsia="fr-FR"/>
              </w:rPr>
            </w:pPr>
            <w:r w:rsidRPr="007504E1">
              <w:rPr>
                <w:lang w:eastAsia="fr-FR"/>
              </w:rPr>
              <w:t>ECE/TRANS/WP.15/2023/4 (Netherlands)</w:t>
            </w:r>
          </w:p>
        </w:tc>
        <w:tc>
          <w:tcPr>
            <w:tcW w:w="3966" w:type="dxa"/>
          </w:tcPr>
          <w:p w14:paraId="5DDA46C2" w14:textId="77777777" w:rsidR="007504E1" w:rsidRPr="007504E1" w:rsidRDefault="007504E1" w:rsidP="007504E1">
            <w:pPr>
              <w:spacing w:after="120"/>
              <w:rPr>
                <w:bCs/>
                <w:lang w:eastAsia="fr-FR"/>
              </w:rPr>
            </w:pPr>
            <w:r w:rsidRPr="007504E1">
              <w:rPr>
                <w:lang w:eastAsia="fr-FR"/>
              </w:rPr>
              <w:t>Section 9.2.2.8 – Battery master switch</w:t>
            </w:r>
          </w:p>
        </w:tc>
      </w:tr>
      <w:tr w:rsidR="0009625B" w:rsidRPr="008D0E72" w14:paraId="1BE38F9E" w14:textId="77777777" w:rsidTr="00EE2B2D">
        <w:trPr>
          <w:cantSplit/>
        </w:trPr>
        <w:tc>
          <w:tcPr>
            <w:tcW w:w="3399" w:type="dxa"/>
          </w:tcPr>
          <w:p w14:paraId="336C7101" w14:textId="1A965F55" w:rsidR="0009625B" w:rsidRPr="008D0E72" w:rsidRDefault="0009625B" w:rsidP="007504E1">
            <w:pPr>
              <w:spacing w:after="120"/>
              <w:rPr>
                <w:lang w:eastAsia="fr-FR"/>
              </w:rPr>
            </w:pPr>
            <w:r w:rsidRPr="008D0E72">
              <w:rPr>
                <w:lang w:eastAsia="fr-FR"/>
              </w:rPr>
              <w:t>INF.5 (</w:t>
            </w:r>
            <w:r w:rsidRPr="007504E1">
              <w:rPr>
                <w:lang w:eastAsia="fr-FR"/>
              </w:rPr>
              <w:t>Chair of the informal working group</w:t>
            </w:r>
            <w:r w:rsidRPr="008D0E72">
              <w:rPr>
                <w:lang w:eastAsia="fr-FR"/>
              </w:rPr>
              <w:t>)</w:t>
            </w:r>
          </w:p>
        </w:tc>
        <w:tc>
          <w:tcPr>
            <w:tcW w:w="3966" w:type="dxa"/>
          </w:tcPr>
          <w:p w14:paraId="623810A6" w14:textId="5F8CF0A2" w:rsidR="0009625B" w:rsidRPr="008D0E72" w:rsidRDefault="00156FD3" w:rsidP="007504E1">
            <w:pPr>
              <w:spacing w:after="120"/>
              <w:rPr>
                <w:lang w:eastAsia="fr-FR"/>
              </w:rPr>
            </w:pPr>
            <w:r w:rsidRPr="008D0E72">
              <w:t>Report of the informal working group on electrified vehicles</w:t>
            </w:r>
          </w:p>
        </w:tc>
      </w:tr>
      <w:tr w:rsidR="00CD6E37" w:rsidRPr="008D0E72" w14:paraId="540DE1C7" w14:textId="77777777" w:rsidTr="00EE2B2D">
        <w:trPr>
          <w:cantSplit/>
        </w:trPr>
        <w:tc>
          <w:tcPr>
            <w:tcW w:w="3399" w:type="dxa"/>
          </w:tcPr>
          <w:p w14:paraId="13528F1F" w14:textId="5DCA3F22" w:rsidR="00CD6E37" w:rsidRPr="008D0E72" w:rsidRDefault="00CD6E37" w:rsidP="007504E1">
            <w:pPr>
              <w:spacing w:after="120"/>
              <w:rPr>
                <w:lang w:eastAsia="fr-FR"/>
              </w:rPr>
            </w:pPr>
            <w:r>
              <w:rPr>
                <w:lang w:eastAsia="fr-FR"/>
              </w:rPr>
              <w:t>INF.6 (Netherlands)</w:t>
            </w:r>
          </w:p>
        </w:tc>
        <w:tc>
          <w:tcPr>
            <w:tcW w:w="3966" w:type="dxa"/>
          </w:tcPr>
          <w:p w14:paraId="61494CA3" w14:textId="2C556D19" w:rsidR="00CD6E37" w:rsidRPr="008D0E72" w:rsidRDefault="00CD6E37" w:rsidP="007504E1">
            <w:pPr>
              <w:spacing w:after="120"/>
            </w:pPr>
            <w:r>
              <w:t>Testing endurance braking performance for vehicles with re-generative braking systems</w:t>
            </w:r>
          </w:p>
        </w:tc>
      </w:tr>
      <w:tr w:rsidR="001B7630" w:rsidRPr="008D0E72" w14:paraId="059F0DD2" w14:textId="77777777" w:rsidTr="00EE2B2D">
        <w:trPr>
          <w:cantSplit/>
        </w:trPr>
        <w:tc>
          <w:tcPr>
            <w:tcW w:w="3399" w:type="dxa"/>
          </w:tcPr>
          <w:p w14:paraId="652BCE09" w14:textId="0CE12BDF" w:rsidR="001B7630" w:rsidRDefault="001B7630" w:rsidP="007504E1">
            <w:pPr>
              <w:spacing w:after="120"/>
              <w:rPr>
                <w:lang w:eastAsia="fr-FR"/>
              </w:rPr>
            </w:pPr>
            <w:r>
              <w:rPr>
                <w:lang w:eastAsia="fr-FR"/>
              </w:rPr>
              <w:t>INF.16 (OICA)</w:t>
            </w:r>
          </w:p>
        </w:tc>
        <w:tc>
          <w:tcPr>
            <w:tcW w:w="3966" w:type="dxa"/>
          </w:tcPr>
          <w:p w14:paraId="5C8C18C4" w14:textId="6FF22BF5" w:rsidR="001B7630" w:rsidRDefault="00014A38" w:rsidP="007504E1">
            <w:pPr>
              <w:spacing w:after="120"/>
            </w:pPr>
            <w:r w:rsidRPr="00014A38">
              <w:t>Endurance braking system incorporating Electric Regenerative Braking Systems</w:t>
            </w:r>
          </w:p>
        </w:tc>
      </w:tr>
      <w:tr w:rsidR="006A4ABA" w:rsidRPr="008D0E72" w14:paraId="3A532074" w14:textId="77777777" w:rsidTr="00B67899">
        <w:trPr>
          <w:cantSplit/>
        </w:trPr>
        <w:tc>
          <w:tcPr>
            <w:tcW w:w="3399" w:type="dxa"/>
          </w:tcPr>
          <w:p w14:paraId="0E84881F" w14:textId="77777777" w:rsidR="006A4ABA" w:rsidRDefault="006A4ABA" w:rsidP="00B67899">
            <w:pPr>
              <w:spacing w:after="120"/>
            </w:pPr>
            <w:r>
              <w:t>INF.22 (United Kingdom)</w:t>
            </w:r>
          </w:p>
        </w:tc>
        <w:tc>
          <w:tcPr>
            <w:tcW w:w="3966" w:type="dxa"/>
          </w:tcPr>
          <w:p w14:paraId="0D66C2FD" w14:textId="77777777" w:rsidR="006A4ABA" w:rsidRPr="00715EC7" w:rsidRDefault="006A4ABA" w:rsidP="00B67899">
            <w:pPr>
              <w:spacing w:after="120"/>
            </w:pPr>
            <w:r w:rsidRPr="00840616">
              <w:t>Certificate</w:t>
            </w:r>
            <w:r>
              <w:rPr>
                <w:lang w:val="fr-CH"/>
              </w:rPr>
              <w:t xml:space="preserve"> of </w:t>
            </w:r>
            <w:r w:rsidRPr="00840616">
              <w:t>Approval</w:t>
            </w:r>
          </w:p>
        </w:tc>
      </w:tr>
    </w:tbl>
    <w:p w14:paraId="79968E1A" w14:textId="77777777" w:rsidR="0063012C" w:rsidRPr="008D0E72" w:rsidRDefault="008D2334" w:rsidP="002D6D5C">
      <w:pPr>
        <w:pStyle w:val="H23G"/>
      </w:pPr>
      <w:r w:rsidRPr="008D0E72">
        <w:tab/>
      </w:r>
      <w:r w:rsidR="0063012C" w:rsidRPr="008D0E72">
        <w:t>(b)</w:t>
      </w:r>
      <w:r w:rsidR="0063012C" w:rsidRPr="008D0E72">
        <w:tab/>
        <w:t>Miscellaneous proposals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DD56E0" w:rsidRPr="008D0E72" w14:paraId="63CCEBAC" w14:textId="77777777" w:rsidTr="00EE2B2D">
        <w:trPr>
          <w:cantSplit/>
        </w:trPr>
        <w:tc>
          <w:tcPr>
            <w:tcW w:w="3399" w:type="dxa"/>
            <w:hideMark/>
          </w:tcPr>
          <w:p w14:paraId="62E2ECA9" w14:textId="77777777" w:rsidR="00DD56E0" w:rsidRPr="008D0E72" w:rsidRDefault="00DD56E0" w:rsidP="00EE2B2D">
            <w:pPr>
              <w:spacing w:after="120"/>
            </w:pPr>
            <w:r w:rsidRPr="008D0E72">
              <w:t>ECE/TRANS/WP.15/2023/2 (Germany)</w:t>
            </w:r>
          </w:p>
        </w:tc>
        <w:tc>
          <w:tcPr>
            <w:tcW w:w="3966" w:type="dxa"/>
            <w:hideMark/>
          </w:tcPr>
          <w:p w14:paraId="369DEE54" w14:textId="77777777" w:rsidR="00DD56E0" w:rsidRPr="008D0E72" w:rsidRDefault="00DD56E0" w:rsidP="00EE2B2D">
            <w:pPr>
              <w:spacing w:after="120"/>
            </w:pPr>
            <w:r w:rsidRPr="008D0E72">
              <w:t>Correction of the earth symbol in 6.8.2.1.27 of ADR</w:t>
            </w:r>
          </w:p>
        </w:tc>
      </w:tr>
      <w:tr w:rsidR="00DD56E0" w:rsidRPr="008D0E72" w14:paraId="685011C6" w14:textId="77777777" w:rsidTr="00EE2B2D">
        <w:trPr>
          <w:cantSplit/>
        </w:trPr>
        <w:tc>
          <w:tcPr>
            <w:tcW w:w="3399" w:type="dxa"/>
          </w:tcPr>
          <w:p w14:paraId="477A198C" w14:textId="77777777" w:rsidR="00DD56E0" w:rsidRPr="008D0E72" w:rsidRDefault="00DD56E0" w:rsidP="00EE2B2D">
            <w:pPr>
              <w:spacing w:after="120"/>
            </w:pPr>
            <w:r w:rsidRPr="008D0E72">
              <w:lastRenderedPageBreak/>
              <w:t>ECE/TRANS/WP.15/2023/3 (Secretariat)</w:t>
            </w:r>
          </w:p>
        </w:tc>
        <w:tc>
          <w:tcPr>
            <w:tcW w:w="3966" w:type="dxa"/>
          </w:tcPr>
          <w:p w14:paraId="3232F790" w14:textId="77777777" w:rsidR="00DD56E0" w:rsidRPr="008D0E72" w:rsidRDefault="00DD56E0" w:rsidP="00EE2B2D">
            <w:pPr>
              <w:spacing w:after="120"/>
            </w:pPr>
            <w:r w:rsidRPr="008D0E72">
              <w:t>New section 1.2.3 List of abbreviations: consequential amendment</w:t>
            </w:r>
          </w:p>
        </w:tc>
      </w:tr>
      <w:tr w:rsidR="009E28E1" w:rsidRPr="008D0E72" w14:paraId="63DE69B9" w14:textId="77777777" w:rsidTr="00EE2B2D">
        <w:trPr>
          <w:cantSplit/>
        </w:trPr>
        <w:tc>
          <w:tcPr>
            <w:tcW w:w="3399" w:type="dxa"/>
          </w:tcPr>
          <w:p w14:paraId="436631FB" w14:textId="386894F7" w:rsidR="009E28E1" w:rsidRPr="008D0E72" w:rsidRDefault="009E28E1" w:rsidP="00EE2B2D">
            <w:pPr>
              <w:spacing w:after="120"/>
            </w:pPr>
            <w:r>
              <w:t>INF.12 (IASA)</w:t>
            </w:r>
          </w:p>
        </w:tc>
        <w:tc>
          <w:tcPr>
            <w:tcW w:w="3966" w:type="dxa"/>
          </w:tcPr>
          <w:p w14:paraId="429832B7" w14:textId="7B7E72B3" w:rsidR="009E28E1" w:rsidRPr="008D0E72" w:rsidRDefault="006C214C" w:rsidP="00EE2B2D">
            <w:pPr>
              <w:spacing w:after="120"/>
            </w:pPr>
            <w:r w:rsidRPr="006A7279">
              <w:rPr>
                <w:lang w:eastAsia="fr-FR"/>
              </w:rPr>
              <w:t>Training obligation of the driver (vehicle crew) transporting dangerous goods packed in limited quantities</w:t>
            </w:r>
          </w:p>
        </w:tc>
      </w:tr>
      <w:tr w:rsidR="00715EC7" w:rsidRPr="008D0E72" w14:paraId="4DF58D44" w14:textId="77777777" w:rsidTr="00EE2B2D">
        <w:trPr>
          <w:cantSplit/>
        </w:trPr>
        <w:tc>
          <w:tcPr>
            <w:tcW w:w="3399" w:type="dxa"/>
          </w:tcPr>
          <w:p w14:paraId="00AB6C0F" w14:textId="36A96A5D" w:rsidR="00715EC7" w:rsidRPr="008D0E72" w:rsidRDefault="00715EC7" w:rsidP="00EE2B2D">
            <w:pPr>
              <w:spacing w:after="120"/>
            </w:pPr>
            <w:r>
              <w:t>INF.13 (Switzerland)</w:t>
            </w:r>
          </w:p>
        </w:tc>
        <w:tc>
          <w:tcPr>
            <w:tcW w:w="3966" w:type="dxa"/>
          </w:tcPr>
          <w:p w14:paraId="4B5D1B85" w14:textId="5E98CEFD" w:rsidR="00715EC7" w:rsidRPr="008D0E72" w:rsidRDefault="009010DE" w:rsidP="00EE2B2D">
            <w:pPr>
              <w:spacing w:after="120"/>
            </w:pPr>
            <w:r>
              <w:t>Training of drivers: maximum number of teaching units per day</w:t>
            </w:r>
          </w:p>
        </w:tc>
      </w:tr>
      <w:tr w:rsidR="00C42599" w:rsidRPr="008D0E72" w14:paraId="5CF3ACE4" w14:textId="77777777" w:rsidTr="00EE2B2D">
        <w:trPr>
          <w:cantSplit/>
        </w:trPr>
        <w:tc>
          <w:tcPr>
            <w:tcW w:w="3399" w:type="dxa"/>
          </w:tcPr>
          <w:p w14:paraId="443D09A3" w14:textId="40DB4DB1" w:rsidR="00C42599" w:rsidRPr="00E65F92" w:rsidRDefault="00C42599" w:rsidP="00EE2B2D">
            <w:pPr>
              <w:spacing w:after="120"/>
            </w:pPr>
            <w:r w:rsidRPr="00E65F92">
              <w:t>INF.25 (Belgium)</w:t>
            </w:r>
          </w:p>
        </w:tc>
        <w:tc>
          <w:tcPr>
            <w:tcW w:w="3966" w:type="dxa"/>
          </w:tcPr>
          <w:p w14:paraId="74A79B09" w14:textId="024A5DA6" w:rsidR="00C42599" w:rsidRPr="000251F1" w:rsidRDefault="000251F1" w:rsidP="00EE2B2D">
            <w:pPr>
              <w:spacing w:after="120"/>
              <w:rPr>
                <w:b/>
                <w:bCs/>
              </w:rPr>
            </w:pPr>
            <w:r w:rsidRPr="00E65F92">
              <w:t xml:space="preserve">6.8.1.5 - </w:t>
            </w:r>
            <w:r w:rsidR="007F2D2F">
              <w:rPr>
                <w:szCs w:val="28"/>
                <w:lang w:val="en-IE"/>
              </w:rPr>
              <w:t>Discrepancy between RID and ADR 2023</w:t>
            </w:r>
          </w:p>
        </w:tc>
      </w:tr>
    </w:tbl>
    <w:p w14:paraId="5E88FBA0" w14:textId="77777777" w:rsidR="00BF0CF2" w:rsidRPr="002D6D5C" w:rsidRDefault="0063012C" w:rsidP="002D6D5C">
      <w:pPr>
        <w:pStyle w:val="H1G"/>
      </w:pPr>
      <w:r w:rsidRPr="002D6D5C">
        <w:tab/>
      </w:r>
      <w:r w:rsidR="000C497A" w:rsidRPr="002D6D5C">
        <w:t>6</w:t>
      </w:r>
      <w:r w:rsidR="00BF0CF2" w:rsidRPr="002D6D5C">
        <w:t>.</w:t>
      </w:r>
      <w:r w:rsidR="00BF0CF2" w:rsidRPr="002D6D5C">
        <w:tab/>
      </w:r>
      <w:r w:rsidRPr="002D6D5C">
        <w:t>Interpretation of ADR</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09578D" w:rsidRPr="008D0E72" w14:paraId="01F364A5" w14:textId="77777777" w:rsidTr="00EE2B2D">
        <w:trPr>
          <w:cantSplit/>
        </w:trPr>
        <w:tc>
          <w:tcPr>
            <w:tcW w:w="3399" w:type="dxa"/>
          </w:tcPr>
          <w:p w14:paraId="7EC3126C" w14:textId="77777777" w:rsidR="0009578D" w:rsidRDefault="0009578D" w:rsidP="00EE2B2D">
            <w:pPr>
              <w:spacing w:after="120"/>
            </w:pPr>
            <w:r w:rsidRPr="008D0E72">
              <w:t>ECE/TRANS/WP.15/2023/5 (Secretariat)</w:t>
            </w:r>
          </w:p>
          <w:p w14:paraId="149B2B06" w14:textId="77777777" w:rsidR="00297904" w:rsidRDefault="00297904" w:rsidP="00EE2B2D">
            <w:pPr>
              <w:spacing w:after="120"/>
            </w:pPr>
            <w:r>
              <w:t>+ INF.17 (Denmark)</w:t>
            </w:r>
          </w:p>
          <w:p w14:paraId="75468284" w14:textId="77777777" w:rsidR="004F1476" w:rsidRDefault="004F1476" w:rsidP="00EE2B2D">
            <w:pPr>
              <w:spacing w:after="120"/>
            </w:pPr>
            <w:r>
              <w:t>+ INF.21 (France)</w:t>
            </w:r>
          </w:p>
          <w:p w14:paraId="4D727AD7" w14:textId="1F69E004" w:rsidR="009E6EBC" w:rsidRPr="008D0E72" w:rsidRDefault="009E6EBC" w:rsidP="00EE2B2D">
            <w:pPr>
              <w:spacing w:after="120"/>
            </w:pPr>
            <w:r>
              <w:t>+ INF.23 (Switzerland)</w:t>
            </w:r>
          </w:p>
        </w:tc>
        <w:tc>
          <w:tcPr>
            <w:tcW w:w="3966" w:type="dxa"/>
          </w:tcPr>
          <w:p w14:paraId="3BDF5602" w14:textId="77777777" w:rsidR="0009578D" w:rsidRPr="008D0E72" w:rsidRDefault="0009578D" w:rsidP="00EE2B2D">
            <w:pPr>
              <w:spacing w:after="120"/>
            </w:pPr>
            <w:r w:rsidRPr="008D0E72">
              <w:t>Scope of ADR</w:t>
            </w:r>
          </w:p>
        </w:tc>
      </w:tr>
      <w:tr w:rsidR="0009578D" w:rsidRPr="008D0E72" w14:paraId="394EE1B7" w14:textId="77777777" w:rsidTr="00EE2B2D">
        <w:trPr>
          <w:cantSplit/>
        </w:trPr>
        <w:tc>
          <w:tcPr>
            <w:tcW w:w="3399" w:type="dxa"/>
          </w:tcPr>
          <w:p w14:paraId="7168C037" w14:textId="77777777" w:rsidR="0009578D" w:rsidRPr="008D0E72" w:rsidRDefault="0009578D" w:rsidP="00EE2B2D">
            <w:pPr>
              <w:spacing w:after="120"/>
            </w:pPr>
            <w:r w:rsidRPr="008D0E72">
              <w:t>ECE/TRANS/WP.15/2023/6 (Finland)</w:t>
            </w:r>
          </w:p>
        </w:tc>
        <w:tc>
          <w:tcPr>
            <w:tcW w:w="3966" w:type="dxa"/>
          </w:tcPr>
          <w:p w14:paraId="5AA2F99D" w14:textId="416D70DC" w:rsidR="0009578D" w:rsidRPr="008D0E72" w:rsidRDefault="0009578D" w:rsidP="00EE2B2D">
            <w:pPr>
              <w:spacing w:after="120"/>
            </w:pPr>
            <w:r w:rsidRPr="008D0E72">
              <w:t xml:space="preserve">Transport document </w:t>
            </w:r>
            <w:r w:rsidR="007B0638">
              <w:t>–</w:t>
            </w:r>
            <w:r w:rsidRPr="008D0E72">
              <w:t xml:space="preserve"> goods of each transport unit</w:t>
            </w:r>
          </w:p>
        </w:tc>
      </w:tr>
      <w:tr w:rsidR="007B0638" w:rsidRPr="008D0E72" w14:paraId="679C62CE" w14:textId="77777777" w:rsidTr="00EE2B2D">
        <w:trPr>
          <w:cantSplit/>
        </w:trPr>
        <w:tc>
          <w:tcPr>
            <w:tcW w:w="3399" w:type="dxa"/>
          </w:tcPr>
          <w:p w14:paraId="7357320E" w14:textId="11CCC0B7" w:rsidR="007B0638" w:rsidRPr="008D0E72" w:rsidRDefault="007B0638" w:rsidP="00EE2B2D">
            <w:pPr>
              <w:spacing w:after="120"/>
            </w:pPr>
            <w:r>
              <w:t>INF.4</w:t>
            </w:r>
            <w:r w:rsidR="00C67CA2">
              <w:t xml:space="preserve"> (Netherlands)</w:t>
            </w:r>
          </w:p>
        </w:tc>
        <w:tc>
          <w:tcPr>
            <w:tcW w:w="3966" w:type="dxa"/>
          </w:tcPr>
          <w:p w14:paraId="73282EE8" w14:textId="64C2C766" w:rsidR="007B0638" w:rsidRPr="008D0E72" w:rsidRDefault="00C67CA2" w:rsidP="00EE2B2D">
            <w:pPr>
              <w:spacing w:after="120"/>
            </w:pPr>
            <w:r w:rsidRPr="00C67CA2">
              <w:t>Amendment to 1.1.3.1</w:t>
            </w:r>
          </w:p>
        </w:tc>
      </w:tr>
      <w:tr w:rsidR="00636F77" w:rsidRPr="008D0E72" w14:paraId="761955A2" w14:textId="77777777" w:rsidTr="00EE2B2D">
        <w:trPr>
          <w:cantSplit/>
        </w:trPr>
        <w:tc>
          <w:tcPr>
            <w:tcW w:w="3399" w:type="dxa"/>
          </w:tcPr>
          <w:p w14:paraId="1239327D" w14:textId="488BB366" w:rsidR="00636F77" w:rsidRDefault="00636F77" w:rsidP="00EE2B2D">
            <w:pPr>
              <w:spacing w:after="120"/>
            </w:pPr>
            <w:r>
              <w:t>INF.14 (Ireland)</w:t>
            </w:r>
          </w:p>
        </w:tc>
        <w:tc>
          <w:tcPr>
            <w:tcW w:w="3966" w:type="dxa"/>
          </w:tcPr>
          <w:p w14:paraId="3752948A" w14:textId="6BE3C4C2" w:rsidR="00636F77" w:rsidRPr="00C67CA2" w:rsidRDefault="000827B6" w:rsidP="00EE2B2D">
            <w:pPr>
              <w:spacing w:after="120"/>
            </w:pPr>
            <w:r>
              <w:t>Examinations for Safety Advisers in accordance with ADR</w:t>
            </w:r>
            <w:r>
              <w:rPr>
                <w:lang w:val="en-US"/>
              </w:rPr>
              <w:t> </w:t>
            </w:r>
            <w:r>
              <w:t>1.8.3</w:t>
            </w:r>
          </w:p>
        </w:tc>
      </w:tr>
      <w:tr w:rsidR="00742827" w:rsidRPr="008D0E72" w14:paraId="1134C8B5" w14:textId="77777777" w:rsidTr="00EE2B2D">
        <w:trPr>
          <w:cantSplit/>
        </w:trPr>
        <w:tc>
          <w:tcPr>
            <w:tcW w:w="3399" w:type="dxa"/>
          </w:tcPr>
          <w:p w14:paraId="4EAA9EA1" w14:textId="5928291E" w:rsidR="00742827" w:rsidRDefault="00742827" w:rsidP="00EE2B2D">
            <w:pPr>
              <w:spacing w:after="120"/>
            </w:pPr>
            <w:r>
              <w:t>INF.15 (IASA)</w:t>
            </w:r>
          </w:p>
        </w:tc>
        <w:tc>
          <w:tcPr>
            <w:tcW w:w="3966" w:type="dxa"/>
          </w:tcPr>
          <w:p w14:paraId="02946008" w14:textId="79AC16FB" w:rsidR="00742827" w:rsidRPr="00C67CA2" w:rsidRDefault="00715EC7" w:rsidP="00EE2B2D">
            <w:pPr>
              <w:spacing w:after="120"/>
            </w:pPr>
            <w:r w:rsidRPr="00715EC7">
              <w:t>Interpretation of machinery and equipment in relation to 1.1.3.6.3 first indent</w:t>
            </w:r>
          </w:p>
        </w:tc>
      </w:tr>
    </w:tbl>
    <w:p w14:paraId="06A92C96" w14:textId="77777777" w:rsidR="00D65BC3" w:rsidRPr="002D6D5C" w:rsidRDefault="00D65BC3" w:rsidP="002D6D5C">
      <w:pPr>
        <w:pStyle w:val="H1G"/>
      </w:pPr>
      <w:r w:rsidRPr="002D6D5C">
        <w:tab/>
        <w:t>7.</w:t>
      </w:r>
      <w:r w:rsidRPr="002D6D5C">
        <w:tab/>
        <w:t>Circular economy, sustainable use of natural resources and Sustainable Development Goals</w:t>
      </w:r>
    </w:p>
    <w:tbl>
      <w:tblPr>
        <w:tblW w:w="7371" w:type="dxa"/>
        <w:tblInd w:w="1134" w:type="dxa"/>
        <w:tblLayout w:type="fixed"/>
        <w:tblCellMar>
          <w:left w:w="0" w:type="dxa"/>
          <w:right w:w="0" w:type="dxa"/>
        </w:tblCellMar>
        <w:tblLook w:val="01E0" w:firstRow="1" w:lastRow="1" w:firstColumn="1" w:lastColumn="1" w:noHBand="0" w:noVBand="0"/>
      </w:tblPr>
      <w:tblGrid>
        <w:gridCol w:w="3401"/>
        <w:gridCol w:w="3970"/>
      </w:tblGrid>
      <w:tr w:rsidR="00802BF1" w:rsidRPr="008D0E72" w14:paraId="68887DE2" w14:textId="77777777" w:rsidTr="0056494F">
        <w:trPr>
          <w:cantSplit/>
        </w:trPr>
        <w:tc>
          <w:tcPr>
            <w:tcW w:w="3401" w:type="dxa"/>
            <w:shd w:val="clear" w:color="auto" w:fill="auto"/>
          </w:tcPr>
          <w:p w14:paraId="43C337BB" w14:textId="2779BFF0" w:rsidR="00802BF1" w:rsidRPr="0073035F" w:rsidRDefault="00000000" w:rsidP="0056494F">
            <w:pPr>
              <w:spacing w:after="60"/>
              <w:ind w:right="99"/>
            </w:pPr>
            <w:hyperlink r:id="rId20" w:history="1">
              <w:r w:rsidR="00802BF1" w:rsidRPr="00802BF1">
                <w:rPr>
                  <w:rStyle w:val="Hyperlink"/>
                  <w:color w:val="0070C0"/>
                </w:rPr>
                <w:t>ECE/TRANS/WP.15/AC.1/168</w:t>
              </w:r>
            </w:hyperlink>
            <w:r w:rsidR="00802BF1">
              <w:t xml:space="preserve"> (Secretariat)</w:t>
            </w:r>
            <w:r w:rsidR="006B6628">
              <w:t>, paragraph 60</w:t>
            </w:r>
          </w:p>
        </w:tc>
        <w:tc>
          <w:tcPr>
            <w:tcW w:w="3970" w:type="dxa"/>
            <w:shd w:val="clear" w:color="auto" w:fill="auto"/>
          </w:tcPr>
          <w:p w14:paraId="333DE50A" w14:textId="4D8FAD62" w:rsidR="000A1A93" w:rsidRPr="008D0E72" w:rsidRDefault="00802BF1" w:rsidP="006B6628">
            <w:pPr>
              <w:spacing w:after="60"/>
              <w:ind w:right="99"/>
            </w:pPr>
            <w:r w:rsidRPr="00802BF1">
              <w:t>Report of the Joint Meeting of the RID Committee of Experts and the Working Party on the Transport of Dangerous Goods on its spring 2023 session</w:t>
            </w:r>
          </w:p>
        </w:tc>
      </w:tr>
      <w:tr w:rsidR="006B6628" w:rsidRPr="008D0E72" w14:paraId="30860ED3" w14:textId="77777777" w:rsidTr="0056494F">
        <w:trPr>
          <w:cantSplit/>
        </w:trPr>
        <w:tc>
          <w:tcPr>
            <w:tcW w:w="3401" w:type="dxa"/>
            <w:shd w:val="clear" w:color="auto" w:fill="auto"/>
          </w:tcPr>
          <w:p w14:paraId="3E0B1166" w14:textId="2E91129B" w:rsidR="006B6628" w:rsidRPr="006B6628" w:rsidRDefault="00000000" w:rsidP="0056494F">
            <w:pPr>
              <w:spacing w:after="60"/>
              <w:ind w:right="99"/>
            </w:pPr>
            <w:hyperlink r:id="rId21" w:history="1">
              <w:r w:rsidR="006B6628" w:rsidRPr="00B776BE">
                <w:rPr>
                  <w:rStyle w:val="Hyperlink"/>
                  <w:color w:val="0070C0"/>
                </w:rPr>
                <w:t>INF.23 of the spring 2023 session</w:t>
              </w:r>
              <w:r w:rsidR="006B6628" w:rsidRPr="00B776BE">
                <w:rPr>
                  <w:rStyle w:val="Hyperlink"/>
                </w:rPr>
                <w:t xml:space="preserve"> </w:t>
              </w:r>
            </w:hyperlink>
            <w:r w:rsidR="006B6628">
              <w:t>(Secretariat)</w:t>
            </w:r>
          </w:p>
        </w:tc>
        <w:tc>
          <w:tcPr>
            <w:tcW w:w="3970" w:type="dxa"/>
            <w:shd w:val="clear" w:color="auto" w:fill="auto"/>
          </w:tcPr>
          <w:p w14:paraId="49A7416F" w14:textId="31086AC8" w:rsidR="006B6628" w:rsidRPr="00802BF1" w:rsidRDefault="00E97F9F" w:rsidP="006B6628">
            <w:pPr>
              <w:spacing w:after="60"/>
              <w:ind w:right="99"/>
            </w:pPr>
            <w:r w:rsidRPr="00E97F9F">
              <w:t>Draft contribution to United Nations 2030 Agenda for sustainable development</w:t>
            </w:r>
          </w:p>
        </w:tc>
      </w:tr>
    </w:tbl>
    <w:p w14:paraId="6658D44C" w14:textId="1F5F8A65" w:rsidR="000C497A" w:rsidRPr="002D6D5C" w:rsidRDefault="000C497A" w:rsidP="002D6D5C">
      <w:pPr>
        <w:pStyle w:val="H1G"/>
      </w:pPr>
      <w:r w:rsidRPr="002D6D5C">
        <w:tab/>
      </w:r>
      <w:r w:rsidR="00D65BC3" w:rsidRPr="002D6D5C">
        <w:t>8.</w:t>
      </w:r>
      <w:r w:rsidRPr="002D6D5C">
        <w:tab/>
        <w:t>Programme of work</w:t>
      </w:r>
    </w:p>
    <w:p w14:paraId="0E064F5D" w14:textId="509FB108" w:rsidR="00D92E49" w:rsidRPr="008D0E72" w:rsidRDefault="00D92E49" w:rsidP="001158BA">
      <w:pPr>
        <w:spacing w:after="120"/>
        <w:ind w:left="1134" w:right="1134"/>
        <w:jc w:val="both"/>
      </w:pPr>
      <w:r w:rsidRPr="008D0E72">
        <w:tab/>
      </w:r>
      <w:r w:rsidRPr="008D0E72">
        <w:tab/>
        <w:t xml:space="preserve">At the time of writing, no document has been submitted under this agenda item. </w:t>
      </w:r>
      <w:r w:rsidR="001158BA" w:rsidRPr="008D0E72">
        <w:t>The Working Party may wish to adopt its programme of work for its next session (tentatively scheduled 6-10 November 2023).</w:t>
      </w:r>
    </w:p>
    <w:p w14:paraId="298A1B73" w14:textId="5848CE9A" w:rsidR="000C497A" w:rsidRPr="002D6D5C" w:rsidRDefault="000C497A" w:rsidP="002D6D5C">
      <w:pPr>
        <w:pStyle w:val="H1G"/>
      </w:pPr>
      <w:r w:rsidRPr="002D6D5C">
        <w:tab/>
      </w:r>
      <w:r w:rsidR="00656CC9" w:rsidRPr="002D6D5C">
        <w:t>9</w:t>
      </w:r>
      <w:r w:rsidRPr="002D6D5C">
        <w:t>.</w:t>
      </w:r>
      <w:r w:rsidRPr="002D6D5C">
        <w:tab/>
        <w:t>Any other business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420E71" w:rsidRPr="008D0E72" w14:paraId="02D2515D" w14:textId="77777777" w:rsidTr="00EE2B2D">
        <w:trPr>
          <w:cantSplit/>
        </w:trPr>
        <w:tc>
          <w:tcPr>
            <w:tcW w:w="3399" w:type="dxa"/>
          </w:tcPr>
          <w:p w14:paraId="4C64689A" w14:textId="699542FA" w:rsidR="00420E71" w:rsidRPr="008D0E72" w:rsidRDefault="00420E71" w:rsidP="00EE2B2D">
            <w:pPr>
              <w:spacing w:after="120"/>
            </w:pPr>
            <w:r w:rsidRPr="008D0E72">
              <w:t>INF.10 (Ireland)</w:t>
            </w:r>
          </w:p>
        </w:tc>
        <w:tc>
          <w:tcPr>
            <w:tcW w:w="3966" w:type="dxa"/>
          </w:tcPr>
          <w:p w14:paraId="430DC884" w14:textId="395D6BA5" w:rsidR="00420E71" w:rsidRPr="008D0E72" w:rsidRDefault="00EE38EC" w:rsidP="00EE2B2D">
            <w:pPr>
              <w:spacing w:after="120"/>
            </w:pPr>
            <w:r w:rsidRPr="008D0E72">
              <w:t>Competent authority approval in accordance with ADR 2.1.2.8 and proposed amendment to the Dangerous Goods list of the UN model Regulations</w:t>
            </w:r>
          </w:p>
        </w:tc>
      </w:tr>
      <w:tr w:rsidR="00CD5BA2" w:rsidRPr="008D0E72" w14:paraId="0C8D9312" w14:textId="77777777" w:rsidTr="00EE2B2D">
        <w:trPr>
          <w:cantSplit/>
        </w:trPr>
        <w:tc>
          <w:tcPr>
            <w:tcW w:w="3399" w:type="dxa"/>
          </w:tcPr>
          <w:p w14:paraId="2F30963E" w14:textId="56DFEA9F" w:rsidR="00CD5BA2" w:rsidRPr="008D0E72" w:rsidRDefault="00CD5BA2" w:rsidP="00EE2B2D">
            <w:pPr>
              <w:spacing w:after="120"/>
            </w:pPr>
            <w:r>
              <w:t>INF.11 (Ireland)</w:t>
            </w:r>
          </w:p>
        </w:tc>
        <w:tc>
          <w:tcPr>
            <w:tcW w:w="3966" w:type="dxa"/>
          </w:tcPr>
          <w:p w14:paraId="76008224" w14:textId="18B4C0EE" w:rsidR="00CD5BA2" w:rsidRPr="008D0E72" w:rsidRDefault="000C07B2" w:rsidP="00EE2B2D">
            <w:pPr>
              <w:spacing w:after="120"/>
            </w:pPr>
            <w:r>
              <w:t>Carriage of empty uncleaned packaging waste</w:t>
            </w:r>
          </w:p>
        </w:tc>
      </w:tr>
      <w:tr w:rsidR="006830BA" w:rsidRPr="008D0E72" w14:paraId="124E40F4" w14:textId="77777777" w:rsidTr="00EE2B2D">
        <w:trPr>
          <w:cantSplit/>
        </w:trPr>
        <w:tc>
          <w:tcPr>
            <w:tcW w:w="3399" w:type="dxa"/>
          </w:tcPr>
          <w:p w14:paraId="1682B092" w14:textId="72362D8F" w:rsidR="006830BA" w:rsidRPr="008D0E72" w:rsidRDefault="006830BA" w:rsidP="00EE2B2D">
            <w:pPr>
              <w:spacing w:after="120"/>
            </w:pPr>
            <w:r>
              <w:lastRenderedPageBreak/>
              <w:t>INF.20 (Finland)</w:t>
            </w:r>
          </w:p>
        </w:tc>
        <w:tc>
          <w:tcPr>
            <w:tcW w:w="3966" w:type="dxa"/>
          </w:tcPr>
          <w:p w14:paraId="2EBC8BDC" w14:textId="237EB373" w:rsidR="006830BA" w:rsidRPr="008D0E72" w:rsidRDefault="006830BA" w:rsidP="00EE2B2D">
            <w:pPr>
              <w:spacing w:after="120"/>
            </w:pPr>
            <w:r>
              <w:t>D</w:t>
            </w:r>
            <w:r w:rsidRPr="00D33790">
              <w:t>imensions and masses of vehicles</w:t>
            </w:r>
            <w:r w:rsidRPr="008D40E2">
              <w:t xml:space="preserve"> </w:t>
            </w:r>
            <w:r>
              <w:t xml:space="preserve">in Finland </w:t>
            </w:r>
            <w:r w:rsidRPr="008D40E2">
              <w:t xml:space="preserve">– </w:t>
            </w:r>
            <w:r w:rsidRPr="00D33790">
              <w:t>widely used modular system (not only for dangerous goods)</w:t>
            </w:r>
          </w:p>
        </w:tc>
      </w:tr>
    </w:tbl>
    <w:p w14:paraId="21DC721C" w14:textId="705051CC" w:rsidR="000C497A" w:rsidRPr="002D6D5C" w:rsidRDefault="00DD4239" w:rsidP="002D6D5C">
      <w:pPr>
        <w:pStyle w:val="H1G"/>
      </w:pPr>
      <w:r w:rsidRPr="002D6D5C">
        <w:tab/>
        <w:t>10.</w:t>
      </w:r>
      <w:r w:rsidRPr="002D6D5C">
        <w:tab/>
      </w:r>
      <w:r w:rsidR="000C497A" w:rsidRPr="002D6D5C">
        <w:t>Adoption of the report</w:t>
      </w:r>
    </w:p>
    <w:p w14:paraId="1F5A3CE8" w14:textId="77777777" w:rsidR="00656CC9" w:rsidRDefault="00656CC9" w:rsidP="00656CC9">
      <w:pPr>
        <w:spacing w:after="120"/>
        <w:ind w:left="1134" w:right="1134"/>
        <w:jc w:val="both"/>
        <w:rPr>
          <w:lang w:eastAsia="fr-FR"/>
        </w:rPr>
      </w:pPr>
      <w:r w:rsidRPr="00656CC9">
        <w:rPr>
          <w:lang w:eastAsia="fr-FR"/>
        </w:rPr>
        <w:tab/>
      </w:r>
      <w:r w:rsidRPr="00656CC9">
        <w:rPr>
          <w:lang w:eastAsia="fr-FR"/>
        </w:rPr>
        <w:tab/>
        <w:t xml:space="preserve">The Working Party may wish to adopt the report of its 113th session based on a draft prepared by the secretariat. </w:t>
      </w:r>
    </w:p>
    <w:p w14:paraId="4DDA29A7" w14:textId="457CCB20" w:rsidR="002D6D5C" w:rsidRPr="002D6D5C" w:rsidRDefault="002D6D5C" w:rsidP="002D6D5C">
      <w:pPr>
        <w:spacing w:before="240"/>
        <w:jc w:val="center"/>
        <w:rPr>
          <w:u w:val="single"/>
          <w:lang w:eastAsia="fr-FR"/>
        </w:rPr>
      </w:pPr>
      <w:r>
        <w:rPr>
          <w:u w:val="single"/>
          <w:lang w:eastAsia="fr-FR"/>
        </w:rPr>
        <w:tab/>
      </w:r>
      <w:r>
        <w:rPr>
          <w:u w:val="single"/>
          <w:lang w:eastAsia="fr-FR"/>
        </w:rPr>
        <w:tab/>
      </w:r>
      <w:r>
        <w:rPr>
          <w:u w:val="single"/>
          <w:lang w:eastAsia="fr-FR"/>
        </w:rPr>
        <w:tab/>
      </w:r>
    </w:p>
    <w:sectPr w:rsidR="002D6D5C" w:rsidRPr="002D6D5C" w:rsidSect="000C497A">
      <w:headerReference w:type="even" r:id="rId22"/>
      <w:headerReference w:type="default" r:id="rId23"/>
      <w:footerReference w:type="even" r:id="rId24"/>
      <w:footerReference w:type="default" r:id="rId25"/>
      <w:headerReference w:type="first" r:id="rId2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2108" w14:textId="77777777" w:rsidR="00E645BB" w:rsidRDefault="00E645BB"/>
  </w:endnote>
  <w:endnote w:type="continuationSeparator" w:id="0">
    <w:p w14:paraId="7F65B3EE" w14:textId="77777777" w:rsidR="00E645BB" w:rsidRDefault="00E645BB"/>
  </w:endnote>
  <w:endnote w:type="continuationNotice" w:id="1">
    <w:p w14:paraId="5CEE45A4" w14:textId="77777777" w:rsidR="00E645BB" w:rsidRDefault="00E64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13BA"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7C0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7864" w14:textId="77777777" w:rsidR="00E645BB" w:rsidRPr="000B175B" w:rsidRDefault="00E645BB" w:rsidP="000B175B">
      <w:pPr>
        <w:tabs>
          <w:tab w:val="right" w:pos="2155"/>
        </w:tabs>
        <w:spacing w:after="80"/>
        <w:ind w:left="680"/>
        <w:rPr>
          <w:u w:val="single"/>
        </w:rPr>
      </w:pPr>
      <w:r>
        <w:rPr>
          <w:u w:val="single"/>
        </w:rPr>
        <w:tab/>
      </w:r>
    </w:p>
  </w:footnote>
  <w:footnote w:type="continuationSeparator" w:id="0">
    <w:p w14:paraId="5F0ADAF9" w14:textId="77777777" w:rsidR="00E645BB" w:rsidRPr="00FC68B7" w:rsidRDefault="00E645BB" w:rsidP="00FC68B7">
      <w:pPr>
        <w:tabs>
          <w:tab w:val="left" w:pos="2155"/>
        </w:tabs>
        <w:spacing w:after="80"/>
        <w:ind w:left="680"/>
        <w:rPr>
          <w:u w:val="single"/>
        </w:rPr>
      </w:pPr>
      <w:r>
        <w:rPr>
          <w:u w:val="single"/>
        </w:rPr>
        <w:tab/>
      </w:r>
    </w:p>
  </w:footnote>
  <w:footnote w:type="continuationNotice" w:id="1">
    <w:p w14:paraId="393AE7CE" w14:textId="77777777" w:rsidR="00E645BB" w:rsidRDefault="00E645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E9BB" w14:textId="77777777" w:rsidR="0092434D" w:rsidRPr="00617E96" w:rsidRDefault="0092434D">
    <w:pPr>
      <w:pStyle w:val="Header"/>
      <w:rPr>
        <w:lang w:val="fr-CH"/>
      </w:rPr>
    </w:pPr>
    <w:r>
      <w:rPr>
        <w:lang w:val="fr-CH"/>
      </w:rPr>
      <w:t>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92D3" w14:textId="77777777" w:rsidR="0092434D" w:rsidRPr="00F71BEF" w:rsidRDefault="0092434D" w:rsidP="00982036">
    <w:pPr>
      <w:pStyle w:val="Header"/>
      <w:jc w:val="right"/>
      <w:rPr>
        <w:lang w:val="fr-CH"/>
      </w:rPr>
    </w:pPr>
    <w:r w:rsidRPr="00F71BEF">
      <w:rPr>
        <w:lang w:val="fr-CH"/>
      </w:rPr>
      <w:t>INF.2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EF59" w14:textId="77777777" w:rsidR="0092434D" w:rsidRPr="00617E96" w:rsidRDefault="00B170C8" w:rsidP="00617E96">
    <w:pPr>
      <w:pStyle w:val="Header"/>
      <w:jc w:val="right"/>
      <w:rPr>
        <w:sz w:val="28"/>
        <w:szCs w:val="28"/>
        <w:lang w:val="fr-CH"/>
      </w:rPr>
    </w:pPr>
    <w:r>
      <w:rPr>
        <w:sz w:val="28"/>
        <w:szCs w:val="28"/>
        <w:lang w:val="fr-CH"/>
      </w:rPr>
      <w:t>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72316838">
    <w:abstractNumId w:val="1"/>
  </w:num>
  <w:num w:numId="2" w16cid:durableId="982778604">
    <w:abstractNumId w:val="0"/>
  </w:num>
  <w:num w:numId="3" w16cid:durableId="182090464">
    <w:abstractNumId w:val="2"/>
  </w:num>
  <w:num w:numId="4" w16cid:durableId="1207645646">
    <w:abstractNumId w:val="3"/>
  </w:num>
  <w:num w:numId="5" w16cid:durableId="1312293693">
    <w:abstractNumId w:val="8"/>
  </w:num>
  <w:num w:numId="6" w16cid:durableId="698237890">
    <w:abstractNumId w:val="9"/>
  </w:num>
  <w:num w:numId="7" w16cid:durableId="277491568">
    <w:abstractNumId w:val="7"/>
  </w:num>
  <w:num w:numId="8" w16cid:durableId="626082065">
    <w:abstractNumId w:val="6"/>
  </w:num>
  <w:num w:numId="9" w16cid:durableId="939527223">
    <w:abstractNumId w:val="5"/>
  </w:num>
  <w:num w:numId="10" w16cid:durableId="814032004">
    <w:abstractNumId w:val="4"/>
  </w:num>
  <w:num w:numId="11" w16cid:durableId="307174663">
    <w:abstractNumId w:val="13"/>
  </w:num>
  <w:num w:numId="12" w16cid:durableId="1431271329">
    <w:abstractNumId w:val="11"/>
  </w:num>
  <w:num w:numId="13" w16cid:durableId="1600597319">
    <w:abstractNumId w:val="10"/>
  </w:num>
  <w:num w:numId="14" w16cid:durableId="1129014522">
    <w:abstractNumId w:val="14"/>
  </w:num>
  <w:num w:numId="15" w16cid:durableId="1195538584">
    <w:abstractNumId w:val="15"/>
  </w:num>
  <w:num w:numId="16" w16cid:durableId="18624289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11932"/>
    <w:rsid w:val="00014A38"/>
    <w:rsid w:val="000162D9"/>
    <w:rsid w:val="000241F2"/>
    <w:rsid w:val="000251F1"/>
    <w:rsid w:val="00026D9C"/>
    <w:rsid w:val="00033264"/>
    <w:rsid w:val="000404E5"/>
    <w:rsid w:val="00042739"/>
    <w:rsid w:val="000429EE"/>
    <w:rsid w:val="000457B4"/>
    <w:rsid w:val="00046B1F"/>
    <w:rsid w:val="00047596"/>
    <w:rsid w:val="00050F6B"/>
    <w:rsid w:val="00054566"/>
    <w:rsid w:val="000575AC"/>
    <w:rsid w:val="00057E97"/>
    <w:rsid w:val="000646F4"/>
    <w:rsid w:val="0006491B"/>
    <w:rsid w:val="00065AD1"/>
    <w:rsid w:val="00065C6D"/>
    <w:rsid w:val="00072BB2"/>
    <w:rsid w:val="00072C8C"/>
    <w:rsid w:val="000733B5"/>
    <w:rsid w:val="00081815"/>
    <w:rsid w:val="000827B6"/>
    <w:rsid w:val="00084795"/>
    <w:rsid w:val="0008497C"/>
    <w:rsid w:val="00085285"/>
    <w:rsid w:val="00086682"/>
    <w:rsid w:val="00091E36"/>
    <w:rsid w:val="000931C0"/>
    <w:rsid w:val="0009578D"/>
    <w:rsid w:val="0009625B"/>
    <w:rsid w:val="00096C84"/>
    <w:rsid w:val="000A17BA"/>
    <w:rsid w:val="000A1841"/>
    <w:rsid w:val="000A1A93"/>
    <w:rsid w:val="000A213A"/>
    <w:rsid w:val="000A309E"/>
    <w:rsid w:val="000A78F4"/>
    <w:rsid w:val="000A7999"/>
    <w:rsid w:val="000B0595"/>
    <w:rsid w:val="000B175B"/>
    <w:rsid w:val="000B2C28"/>
    <w:rsid w:val="000B3A0F"/>
    <w:rsid w:val="000B491C"/>
    <w:rsid w:val="000B4EF7"/>
    <w:rsid w:val="000C07B2"/>
    <w:rsid w:val="000C2C03"/>
    <w:rsid w:val="000C2D2E"/>
    <w:rsid w:val="000C497A"/>
    <w:rsid w:val="000D08B9"/>
    <w:rsid w:val="000D3E3E"/>
    <w:rsid w:val="000D4266"/>
    <w:rsid w:val="000D502B"/>
    <w:rsid w:val="000E0415"/>
    <w:rsid w:val="000E0637"/>
    <w:rsid w:val="000E1362"/>
    <w:rsid w:val="000E3EB1"/>
    <w:rsid w:val="000E4A8A"/>
    <w:rsid w:val="000F1E51"/>
    <w:rsid w:val="000F2981"/>
    <w:rsid w:val="000F4FF6"/>
    <w:rsid w:val="000F5532"/>
    <w:rsid w:val="00110035"/>
    <w:rsid w:val="001103AA"/>
    <w:rsid w:val="00110611"/>
    <w:rsid w:val="00111A5C"/>
    <w:rsid w:val="001158BA"/>
    <w:rsid w:val="0011666B"/>
    <w:rsid w:val="00121D12"/>
    <w:rsid w:val="00121D95"/>
    <w:rsid w:val="00130A16"/>
    <w:rsid w:val="00131BAA"/>
    <w:rsid w:val="0013299E"/>
    <w:rsid w:val="00136C6A"/>
    <w:rsid w:val="00140D63"/>
    <w:rsid w:val="00145971"/>
    <w:rsid w:val="00147062"/>
    <w:rsid w:val="00153C2C"/>
    <w:rsid w:val="00156FD3"/>
    <w:rsid w:val="001630A0"/>
    <w:rsid w:val="00164FF7"/>
    <w:rsid w:val="00165F3A"/>
    <w:rsid w:val="0016663C"/>
    <w:rsid w:val="001718DB"/>
    <w:rsid w:val="001723AA"/>
    <w:rsid w:val="0017318C"/>
    <w:rsid w:val="00173696"/>
    <w:rsid w:val="001746C1"/>
    <w:rsid w:val="00175E6F"/>
    <w:rsid w:val="00177C0F"/>
    <w:rsid w:val="001817D6"/>
    <w:rsid w:val="00186EEA"/>
    <w:rsid w:val="00193F25"/>
    <w:rsid w:val="001A1D4B"/>
    <w:rsid w:val="001A2105"/>
    <w:rsid w:val="001A6E11"/>
    <w:rsid w:val="001A6F83"/>
    <w:rsid w:val="001B1EF2"/>
    <w:rsid w:val="001B4B04"/>
    <w:rsid w:val="001B6026"/>
    <w:rsid w:val="001B7630"/>
    <w:rsid w:val="001C346C"/>
    <w:rsid w:val="001C6663"/>
    <w:rsid w:val="001C7895"/>
    <w:rsid w:val="001D0C8C"/>
    <w:rsid w:val="001D1419"/>
    <w:rsid w:val="001D26DF"/>
    <w:rsid w:val="001D3A03"/>
    <w:rsid w:val="001D4954"/>
    <w:rsid w:val="001D4AEC"/>
    <w:rsid w:val="001D7750"/>
    <w:rsid w:val="001E211D"/>
    <w:rsid w:val="001E3EEF"/>
    <w:rsid w:val="001E4C81"/>
    <w:rsid w:val="001E7B67"/>
    <w:rsid w:val="001F239D"/>
    <w:rsid w:val="001F715D"/>
    <w:rsid w:val="002017D8"/>
    <w:rsid w:val="00202DA8"/>
    <w:rsid w:val="00207AC3"/>
    <w:rsid w:val="00210872"/>
    <w:rsid w:val="00210C59"/>
    <w:rsid w:val="00211E0B"/>
    <w:rsid w:val="0021287C"/>
    <w:rsid w:val="00222DF8"/>
    <w:rsid w:val="00223A66"/>
    <w:rsid w:val="00224D92"/>
    <w:rsid w:val="0022549B"/>
    <w:rsid w:val="00234DF2"/>
    <w:rsid w:val="00237818"/>
    <w:rsid w:val="00237E67"/>
    <w:rsid w:val="0024669A"/>
    <w:rsid w:val="0024772E"/>
    <w:rsid w:val="002477DC"/>
    <w:rsid w:val="00250271"/>
    <w:rsid w:val="002514D4"/>
    <w:rsid w:val="002565A5"/>
    <w:rsid w:val="00261ACC"/>
    <w:rsid w:val="002646A4"/>
    <w:rsid w:val="00267B69"/>
    <w:rsid w:val="00267F5F"/>
    <w:rsid w:val="002709B0"/>
    <w:rsid w:val="00271AEC"/>
    <w:rsid w:val="0027517D"/>
    <w:rsid w:val="00275325"/>
    <w:rsid w:val="00275843"/>
    <w:rsid w:val="0027769C"/>
    <w:rsid w:val="00282751"/>
    <w:rsid w:val="00282E77"/>
    <w:rsid w:val="00284318"/>
    <w:rsid w:val="0028521D"/>
    <w:rsid w:val="002864E1"/>
    <w:rsid w:val="00286B4D"/>
    <w:rsid w:val="0029372B"/>
    <w:rsid w:val="0029441F"/>
    <w:rsid w:val="002971F8"/>
    <w:rsid w:val="00297904"/>
    <w:rsid w:val="002A2DDB"/>
    <w:rsid w:val="002A4C9A"/>
    <w:rsid w:val="002A4F99"/>
    <w:rsid w:val="002A541D"/>
    <w:rsid w:val="002B5655"/>
    <w:rsid w:val="002C03AE"/>
    <w:rsid w:val="002C1C5D"/>
    <w:rsid w:val="002C2CE3"/>
    <w:rsid w:val="002C6AC2"/>
    <w:rsid w:val="002D0CA9"/>
    <w:rsid w:val="002D3D30"/>
    <w:rsid w:val="002D4643"/>
    <w:rsid w:val="002D6D5C"/>
    <w:rsid w:val="002E1D83"/>
    <w:rsid w:val="002E4DE5"/>
    <w:rsid w:val="002F175C"/>
    <w:rsid w:val="002F5EA4"/>
    <w:rsid w:val="00302E18"/>
    <w:rsid w:val="00314EC3"/>
    <w:rsid w:val="003229D8"/>
    <w:rsid w:val="00324457"/>
    <w:rsid w:val="00325ACC"/>
    <w:rsid w:val="003336F3"/>
    <w:rsid w:val="00336DB6"/>
    <w:rsid w:val="00341BF0"/>
    <w:rsid w:val="003509E1"/>
    <w:rsid w:val="00352709"/>
    <w:rsid w:val="0035279D"/>
    <w:rsid w:val="00353B6A"/>
    <w:rsid w:val="003563FB"/>
    <w:rsid w:val="00360735"/>
    <w:rsid w:val="003619B5"/>
    <w:rsid w:val="00362309"/>
    <w:rsid w:val="00365763"/>
    <w:rsid w:val="00371178"/>
    <w:rsid w:val="003711BC"/>
    <w:rsid w:val="00371590"/>
    <w:rsid w:val="00377020"/>
    <w:rsid w:val="003776D0"/>
    <w:rsid w:val="003816C2"/>
    <w:rsid w:val="003850AC"/>
    <w:rsid w:val="00392E47"/>
    <w:rsid w:val="00394CC5"/>
    <w:rsid w:val="003A2CB7"/>
    <w:rsid w:val="003A6810"/>
    <w:rsid w:val="003B173B"/>
    <w:rsid w:val="003B2A95"/>
    <w:rsid w:val="003B3CDB"/>
    <w:rsid w:val="003B3F54"/>
    <w:rsid w:val="003B4873"/>
    <w:rsid w:val="003B5B39"/>
    <w:rsid w:val="003C0075"/>
    <w:rsid w:val="003C2CC4"/>
    <w:rsid w:val="003C5B3A"/>
    <w:rsid w:val="003C7018"/>
    <w:rsid w:val="003D1847"/>
    <w:rsid w:val="003D4B23"/>
    <w:rsid w:val="003D5C99"/>
    <w:rsid w:val="003D6CB1"/>
    <w:rsid w:val="003D7DAB"/>
    <w:rsid w:val="003E1111"/>
    <w:rsid w:val="003E130E"/>
    <w:rsid w:val="003E63A8"/>
    <w:rsid w:val="003E7397"/>
    <w:rsid w:val="003E77BB"/>
    <w:rsid w:val="003F596A"/>
    <w:rsid w:val="004021CB"/>
    <w:rsid w:val="004048DD"/>
    <w:rsid w:val="004066A5"/>
    <w:rsid w:val="00410C89"/>
    <w:rsid w:val="004114BC"/>
    <w:rsid w:val="00414E58"/>
    <w:rsid w:val="00420E71"/>
    <w:rsid w:val="00421FE8"/>
    <w:rsid w:val="00422E03"/>
    <w:rsid w:val="0042319F"/>
    <w:rsid w:val="004236BE"/>
    <w:rsid w:val="004240EB"/>
    <w:rsid w:val="0042588A"/>
    <w:rsid w:val="00426B9B"/>
    <w:rsid w:val="004274DF"/>
    <w:rsid w:val="004325CB"/>
    <w:rsid w:val="00442A83"/>
    <w:rsid w:val="00443285"/>
    <w:rsid w:val="00454633"/>
    <w:rsid w:val="0045495B"/>
    <w:rsid w:val="004561E5"/>
    <w:rsid w:val="004565C6"/>
    <w:rsid w:val="004570B1"/>
    <w:rsid w:val="00457ECC"/>
    <w:rsid w:val="00461569"/>
    <w:rsid w:val="00463723"/>
    <w:rsid w:val="00465083"/>
    <w:rsid w:val="004711F4"/>
    <w:rsid w:val="00472330"/>
    <w:rsid w:val="004732BE"/>
    <w:rsid w:val="00473395"/>
    <w:rsid w:val="0047379F"/>
    <w:rsid w:val="00481639"/>
    <w:rsid w:val="00481CB7"/>
    <w:rsid w:val="00483811"/>
    <w:rsid w:val="0048397A"/>
    <w:rsid w:val="00485CBB"/>
    <w:rsid w:val="004866B7"/>
    <w:rsid w:val="004900B8"/>
    <w:rsid w:val="00490D93"/>
    <w:rsid w:val="00496532"/>
    <w:rsid w:val="004A27BC"/>
    <w:rsid w:val="004A2BD3"/>
    <w:rsid w:val="004A3347"/>
    <w:rsid w:val="004A33AA"/>
    <w:rsid w:val="004A5098"/>
    <w:rsid w:val="004A6F63"/>
    <w:rsid w:val="004B1837"/>
    <w:rsid w:val="004B2EAF"/>
    <w:rsid w:val="004C2461"/>
    <w:rsid w:val="004C2EC8"/>
    <w:rsid w:val="004C7462"/>
    <w:rsid w:val="004D0588"/>
    <w:rsid w:val="004D1404"/>
    <w:rsid w:val="004D33EE"/>
    <w:rsid w:val="004D451A"/>
    <w:rsid w:val="004E6FFC"/>
    <w:rsid w:val="004E77B2"/>
    <w:rsid w:val="004F1476"/>
    <w:rsid w:val="004F6969"/>
    <w:rsid w:val="0050113C"/>
    <w:rsid w:val="00504B2D"/>
    <w:rsid w:val="005142F0"/>
    <w:rsid w:val="00517A07"/>
    <w:rsid w:val="0052136D"/>
    <w:rsid w:val="00522680"/>
    <w:rsid w:val="00525CA7"/>
    <w:rsid w:val="00527112"/>
    <w:rsid w:val="00527225"/>
    <w:rsid w:val="0052775E"/>
    <w:rsid w:val="0053784E"/>
    <w:rsid w:val="0054034C"/>
    <w:rsid w:val="005420F2"/>
    <w:rsid w:val="00544483"/>
    <w:rsid w:val="00544504"/>
    <w:rsid w:val="00547B54"/>
    <w:rsid w:val="00551505"/>
    <w:rsid w:val="00551E40"/>
    <w:rsid w:val="00552CEB"/>
    <w:rsid w:val="0056099E"/>
    <w:rsid w:val="00561B06"/>
    <w:rsid w:val="005628B6"/>
    <w:rsid w:val="0056374F"/>
    <w:rsid w:val="00575310"/>
    <w:rsid w:val="00575B3B"/>
    <w:rsid w:val="00575C6F"/>
    <w:rsid w:val="0057735C"/>
    <w:rsid w:val="005778AE"/>
    <w:rsid w:val="005813C3"/>
    <w:rsid w:val="005816C6"/>
    <w:rsid w:val="00591D4E"/>
    <w:rsid w:val="005941EC"/>
    <w:rsid w:val="005958A0"/>
    <w:rsid w:val="00596156"/>
    <w:rsid w:val="0059724D"/>
    <w:rsid w:val="005A1A08"/>
    <w:rsid w:val="005A2E0F"/>
    <w:rsid w:val="005A3960"/>
    <w:rsid w:val="005A619C"/>
    <w:rsid w:val="005A7D56"/>
    <w:rsid w:val="005B3DB3"/>
    <w:rsid w:val="005B4E13"/>
    <w:rsid w:val="005C1D54"/>
    <w:rsid w:val="005C280D"/>
    <w:rsid w:val="005C342F"/>
    <w:rsid w:val="005C551E"/>
    <w:rsid w:val="005D0D8E"/>
    <w:rsid w:val="005D36CF"/>
    <w:rsid w:val="005D4078"/>
    <w:rsid w:val="005D49CD"/>
    <w:rsid w:val="005D4D80"/>
    <w:rsid w:val="005D7CAC"/>
    <w:rsid w:val="005E526F"/>
    <w:rsid w:val="005E5BC9"/>
    <w:rsid w:val="005F497E"/>
    <w:rsid w:val="005F5489"/>
    <w:rsid w:val="005F7B75"/>
    <w:rsid w:val="006001EE"/>
    <w:rsid w:val="006005F7"/>
    <w:rsid w:val="006033AF"/>
    <w:rsid w:val="006039E1"/>
    <w:rsid w:val="00604AB4"/>
    <w:rsid w:val="00605042"/>
    <w:rsid w:val="00605798"/>
    <w:rsid w:val="0060603F"/>
    <w:rsid w:val="00611FC4"/>
    <w:rsid w:val="006156A8"/>
    <w:rsid w:val="006157E0"/>
    <w:rsid w:val="006159FF"/>
    <w:rsid w:val="006176FB"/>
    <w:rsid w:val="00617E96"/>
    <w:rsid w:val="0063012C"/>
    <w:rsid w:val="00636B88"/>
    <w:rsid w:val="00636F0C"/>
    <w:rsid w:val="00636F77"/>
    <w:rsid w:val="006404E9"/>
    <w:rsid w:val="00640B26"/>
    <w:rsid w:val="00646FEA"/>
    <w:rsid w:val="0065178B"/>
    <w:rsid w:val="00652D0A"/>
    <w:rsid w:val="00656CC9"/>
    <w:rsid w:val="00660126"/>
    <w:rsid w:val="00662BB6"/>
    <w:rsid w:val="00662CFB"/>
    <w:rsid w:val="006642B6"/>
    <w:rsid w:val="0066792F"/>
    <w:rsid w:val="00672FDA"/>
    <w:rsid w:val="00673A86"/>
    <w:rsid w:val="00675849"/>
    <w:rsid w:val="00676606"/>
    <w:rsid w:val="00676D43"/>
    <w:rsid w:val="006830BA"/>
    <w:rsid w:val="00684C21"/>
    <w:rsid w:val="006904BE"/>
    <w:rsid w:val="00690610"/>
    <w:rsid w:val="006924F6"/>
    <w:rsid w:val="00694C6A"/>
    <w:rsid w:val="00695084"/>
    <w:rsid w:val="006A0743"/>
    <w:rsid w:val="006A1DA6"/>
    <w:rsid w:val="006A2530"/>
    <w:rsid w:val="006A32FE"/>
    <w:rsid w:val="006A4ABA"/>
    <w:rsid w:val="006A681C"/>
    <w:rsid w:val="006B12C6"/>
    <w:rsid w:val="006B3F9F"/>
    <w:rsid w:val="006B6628"/>
    <w:rsid w:val="006C1AF1"/>
    <w:rsid w:val="006C214C"/>
    <w:rsid w:val="006C2420"/>
    <w:rsid w:val="006C3589"/>
    <w:rsid w:val="006C4AFF"/>
    <w:rsid w:val="006C74F5"/>
    <w:rsid w:val="006D08C7"/>
    <w:rsid w:val="006D37AF"/>
    <w:rsid w:val="006D51D0"/>
    <w:rsid w:val="006D5FB9"/>
    <w:rsid w:val="006E0AEF"/>
    <w:rsid w:val="006E1D88"/>
    <w:rsid w:val="006E564B"/>
    <w:rsid w:val="006E5927"/>
    <w:rsid w:val="006E7191"/>
    <w:rsid w:val="006F1990"/>
    <w:rsid w:val="007011A3"/>
    <w:rsid w:val="007012FD"/>
    <w:rsid w:val="00703577"/>
    <w:rsid w:val="00703768"/>
    <w:rsid w:val="007047A9"/>
    <w:rsid w:val="00705894"/>
    <w:rsid w:val="00715EC7"/>
    <w:rsid w:val="0071708D"/>
    <w:rsid w:val="00724C17"/>
    <w:rsid w:val="0072632A"/>
    <w:rsid w:val="0073035F"/>
    <w:rsid w:val="007327D5"/>
    <w:rsid w:val="00734E3F"/>
    <w:rsid w:val="0073593C"/>
    <w:rsid w:val="00735E74"/>
    <w:rsid w:val="00737E7A"/>
    <w:rsid w:val="00741692"/>
    <w:rsid w:val="00742827"/>
    <w:rsid w:val="007504E1"/>
    <w:rsid w:val="00752B30"/>
    <w:rsid w:val="007629C8"/>
    <w:rsid w:val="00763DD4"/>
    <w:rsid w:val="00763EA8"/>
    <w:rsid w:val="0076669C"/>
    <w:rsid w:val="00766A38"/>
    <w:rsid w:val="0077047D"/>
    <w:rsid w:val="007708A5"/>
    <w:rsid w:val="00773A18"/>
    <w:rsid w:val="00781645"/>
    <w:rsid w:val="00784790"/>
    <w:rsid w:val="007851CB"/>
    <w:rsid w:val="007931F7"/>
    <w:rsid w:val="00796040"/>
    <w:rsid w:val="00796EED"/>
    <w:rsid w:val="007A0D0E"/>
    <w:rsid w:val="007A2F1B"/>
    <w:rsid w:val="007B0638"/>
    <w:rsid w:val="007B2176"/>
    <w:rsid w:val="007B249A"/>
    <w:rsid w:val="007B5332"/>
    <w:rsid w:val="007B56C8"/>
    <w:rsid w:val="007B6BA5"/>
    <w:rsid w:val="007C1036"/>
    <w:rsid w:val="007C3390"/>
    <w:rsid w:val="007C38EF"/>
    <w:rsid w:val="007C4F4B"/>
    <w:rsid w:val="007C554F"/>
    <w:rsid w:val="007D1AA7"/>
    <w:rsid w:val="007D3162"/>
    <w:rsid w:val="007D784A"/>
    <w:rsid w:val="007E01E9"/>
    <w:rsid w:val="007E06E0"/>
    <w:rsid w:val="007E1827"/>
    <w:rsid w:val="007E1F15"/>
    <w:rsid w:val="007E63F3"/>
    <w:rsid w:val="007F2D2F"/>
    <w:rsid w:val="007F32E1"/>
    <w:rsid w:val="007F3619"/>
    <w:rsid w:val="007F6611"/>
    <w:rsid w:val="008021EF"/>
    <w:rsid w:val="008026B6"/>
    <w:rsid w:val="00802B38"/>
    <w:rsid w:val="00802BF1"/>
    <w:rsid w:val="0081086B"/>
    <w:rsid w:val="00811920"/>
    <w:rsid w:val="00812419"/>
    <w:rsid w:val="00812BD8"/>
    <w:rsid w:val="00815AD0"/>
    <w:rsid w:val="00816F53"/>
    <w:rsid w:val="008242D7"/>
    <w:rsid w:val="008254F7"/>
    <w:rsid w:val="008257B1"/>
    <w:rsid w:val="00826FDE"/>
    <w:rsid w:val="0082782C"/>
    <w:rsid w:val="00832334"/>
    <w:rsid w:val="00841E86"/>
    <w:rsid w:val="00843767"/>
    <w:rsid w:val="008439B8"/>
    <w:rsid w:val="00847057"/>
    <w:rsid w:val="008600BB"/>
    <w:rsid w:val="00861FEB"/>
    <w:rsid w:val="00863D46"/>
    <w:rsid w:val="00863F32"/>
    <w:rsid w:val="008679D9"/>
    <w:rsid w:val="008731E4"/>
    <w:rsid w:val="00875766"/>
    <w:rsid w:val="008878DE"/>
    <w:rsid w:val="0089025B"/>
    <w:rsid w:val="00893000"/>
    <w:rsid w:val="0089303C"/>
    <w:rsid w:val="00894669"/>
    <w:rsid w:val="00895BAB"/>
    <w:rsid w:val="008979B1"/>
    <w:rsid w:val="008A50EE"/>
    <w:rsid w:val="008A6B25"/>
    <w:rsid w:val="008A6C4F"/>
    <w:rsid w:val="008B2335"/>
    <w:rsid w:val="008B6BA3"/>
    <w:rsid w:val="008B73D6"/>
    <w:rsid w:val="008C04E2"/>
    <w:rsid w:val="008C1D80"/>
    <w:rsid w:val="008C271F"/>
    <w:rsid w:val="008C4B88"/>
    <w:rsid w:val="008D0E72"/>
    <w:rsid w:val="008D2334"/>
    <w:rsid w:val="008D244D"/>
    <w:rsid w:val="008E0678"/>
    <w:rsid w:val="008E2D75"/>
    <w:rsid w:val="008E329B"/>
    <w:rsid w:val="008E5914"/>
    <w:rsid w:val="008E6D2E"/>
    <w:rsid w:val="008E7508"/>
    <w:rsid w:val="008E79BD"/>
    <w:rsid w:val="008E7E09"/>
    <w:rsid w:val="008F31D2"/>
    <w:rsid w:val="008F6553"/>
    <w:rsid w:val="0090002A"/>
    <w:rsid w:val="009010DE"/>
    <w:rsid w:val="009049EC"/>
    <w:rsid w:val="00904B8F"/>
    <w:rsid w:val="00914B7C"/>
    <w:rsid w:val="009166EB"/>
    <w:rsid w:val="00917FDE"/>
    <w:rsid w:val="00920CA3"/>
    <w:rsid w:val="009215C9"/>
    <w:rsid w:val="009223CA"/>
    <w:rsid w:val="00922C88"/>
    <w:rsid w:val="00922F9C"/>
    <w:rsid w:val="0092434D"/>
    <w:rsid w:val="00931EB3"/>
    <w:rsid w:val="00933D40"/>
    <w:rsid w:val="0093661A"/>
    <w:rsid w:val="00936E4A"/>
    <w:rsid w:val="009374B4"/>
    <w:rsid w:val="00940F93"/>
    <w:rsid w:val="00947BD8"/>
    <w:rsid w:val="00957EB6"/>
    <w:rsid w:val="00961785"/>
    <w:rsid w:val="0096751C"/>
    <w:rsid w:val="00973BBC"/>
    <w:rsid w:val="00973C44"/>
    <w:rsid w:val="009760F3"/>
    <w:rsid w:val="0097696C"/>
    <w:rsid w:val="00976CFB"/>
    <w:rsid w:val="009812D6"/>
    <w:rsid w:val="00982036"/>
    <w:rsid w:val="009875F4"/>
    <w:rsid w:val="009941AF"/>
    <w:rsid w:val="009956B6"/>
    <w:rsid w:val="0099747B"/>
    <w:rsid w:val="009A0830"/>
    <w:rsid w:val="009A0E8D"/>
    <w:rsid w:val="009A0F18"/>
    <w:rsid w:val="009A5C6E"/>
    <w:rsid w:val="009A6244"/>
    <w:rsid w:val="009A776B"/>
    <w:rsid w:val="009A7D9E"/>
    <w:rsid w:val="009B26E7"/>
    <w:rsid w:val="009C0B8E"/>
    <w:rsid w:val="009C306B"/>
    <w:rsid w:val="009D02B2"/>
    <w:rsid w:val="009D6B04"/>
    <w:rsid w:val="009E076B"/>
    <w:rsid w:val="009E28E1"/>
    <w:rsid w:val="009E31F8"/>
    <w:rsid w:val="009E5596"/>
    <w:rsid w:val="009E6EBC"/>
    <w:rsid w:val="009E7286"/>
    <w:rsid w:val="009F5A70"/>
    <w:rsid w:val="009F6978"/>
    <w:rsid w:val="009F6ECF"/>
    <w:rsid w:val="00A00697"/>
    <w:rsid w:val="00A00A3F"/>
    <w:rsid w:val="00A01489"/>
    <w:rsid w:val="00A03381"/>
    <w:rsid w:val="00A046A3"/>
    <w:rsid w:val="00A144E6"/>
    <w:rsid w:val="00A260EF"/>
    <w:rsid w:val="00A278F2"/>
    <w:rsid w:val="00A3026E"/>
    <w:rsid w:val="00A30B27"/>
    <w:rsid w:val="00A32DEF"/>
    <w:rsid w:val="00A338F1"/>
    <w:rsid w:val="00A35BE0"/>
    <w:rsid w:val="00A4373C"/>
    <w:rsid w:val="00A45485"/>
    <w:rsid w:val="00A54C24"/>
    <w:rsid w:val="00A568EC"/>
    <w:rsid w:val="00A6129C"/>
    <w:rsid w:val="00A65994"/>
    <w:rsid w:val="00A65C2F"/>
    <w:rsid w:val="00A72178"/>
    <w:rsid w:val="00A72F22"/>
    <w:rsid w:val="00A7360F"/>
    <w:rsid w:val="00A748A6"/>
    <w:rsid w:val="00A7585D"/>
    <w:rsid w:val="00A769F4"/>
    <w:rsid w:val="00A76D88"/>
    <w:rsid w:val="00A776B4"/>
    <w:rsid w:val="00A77EA9"/>
    <w:rsid w:val="00A820AF"/>
    <w:rsid w:val="00A8224D"/>
    <w:rsid w:val="00A86C48"/>
    <w:rsid w:val="00A94361"/>
    <w:rsid w:val="00AA0CD7"/>
    <w:rsid w:val="00AA293C"/>
    <w:rsid w:val="00AA5E3A"/>
    <w:rsid w:val="00AA626D"/>
    <w:rsid w:val="00AA6B02"/>
    <w:rsid w:val="00AB3532"/>
    <w:rsid w:val="00AB5C99"/>
    <w:rsid w:val="00AB5D2B"/>
    <w:rsid w:val="00AC25C0"/>
    <w:rsid w:val="00AC3F1A"/>
    <w:rsid w:val="00AC4D43"/>
    <w:rsid w:val="00AD0406"/>
    <w:rsid w:val="00AE08F1"/>
    <w:rsid w:val="00AE2E12"/>
    <w:rsid w:val="00AF0EA9"/>
    <w:rsid w:val="00AF434F"/>
    <w:rsid w:val="00AF4570"/>
    <w:rsid w:val="00B0107C"/>
    <w:rsid w:val="00B02C99"/>
    <w:rsid w:val="00B159D7"/>
    <w:rsid w:val="00B15F1E"/>
    <w:rsid w:val="00B170C8"/>
    <w:rsid w:val="00B30179"/>
    <w:rsid w:val="00B33B8F"/>
    <w:rsid w:val="00B3446B"/>
    <w:rsid w:val="00B35CD5"/>
    <w:rsid w:val="00B40092"/>
    <w:rsid w:val="00B421C1"/>
    <w:rsid w:val="00B43E68"/>
    <w:rsid w:val="00B53483"/>
    <w:rsid w:val="00B55C71"/>
    <w:rsid w:val="00B567A2"/>
    <w:rsid w:val="00B56E4A"/>
    <w:rsid w:val="00B56E9C"/>
    <w:rsid w:val="00B64B1F"/>
    <w:rsid w:val="00B654F3"/>
    <w:rsid w:val="00B6553F"/>
    <w:rsid w:val="00B65E10"/>
    <w:rsid w:val="00B7025D"/>
    <w:rsid w:val="00B70D3C"/>
    <w:rsid w:val="00B72BE1"/>
    <w:rsid w:val="00B74C28"/>
    <w:rsid w:val="00B776BE"/>
    <w:rsid w:val="00B777AE"/>
    <w:rsid w:val="00B77D05"/>
    <w:rsid w:val="00B81206"/>
    <w:rsid w:val="00B81E12"/>
    <w:rsid w:val="00B842E5"/>
    <w:rsid w:val="00B876F7"/>
    <w:rsid w:val="00B903D2"/>
    <w:rsid w:val="00B93027"/>
    <w:rsid w:val="00B946EE"/>
    <w:rsid w:val="00B9622C"/>
    <w:rsid w:val="00B96BDE"/>
    <w:rsid w:val="00BB3F2F"/>
    <w:rsid w:val="00BB471F"/>
    <w:rsid w:val="00BB7BA5"/>
    <w:rsid w:val="00BC1C9F"/>
    <w:rsid w:val="00BC3FA0"/>
    <w:rsid w:val="00BC5010"/>
    <w:rsid w:val="00BC5F1D"/>
    <w:rsid w:val="00BC74E9"/>
    <w:rsid w:val="00BD43A5"/>
    <w:rsid w:val="00BD6A39"/>
    <w:rsid w:val="00BE3161"/>
    <w:rsid w:val="00BE51D1"/>
    <w:rsid w:val="00BE732E"/>
    <w:rsid w:val="00BE7AAC"/>
    <w:rsid w:val="00BF0CF2"/>
    <w:rsid w:val="00BF2EF3"/>
    <w:rsid w:val="00BF48D9"/>
    <w:rsid w:val="00BF5486"/>
    <w:rsid w:val="00BF67DE"/>
    <w:rsid w:val="00BF68A8"/>
    <w:rsid w:val="00BF6E4D"/>
    <w:rsid w:val="00BF76F9"/>
    <w:rsid w:val="00C000C7"/>
    <w:rsid w:val="00C11661"/>
    <w:rsid w:val="00C11A03"/>
    <w:rsid w:val="00C14EC4"/>
    <w:rsid w:val="00C17B9D"/>
    <w:rsid w:val="00C17F7C"/>
    <w:rsid w:val="00C22C0C"/>
    <w:rsid w:val="00C25CAF"/>
    <w:rsid w:val="00C26538"/>
    <w:rsid w:val="00C2766D"/>
    <w:rsid w:val="00C34337"/>
    <w:rsid w:val="00C36DF5"/>
    <w:rsid w:val="00C42599"/>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67CA2"/>
    <w:rsid w:val="00C711ED"/>
    <w:rsid w:val="00C745C3"/>
    <w:rsid w:val="00C75A4D"/>
    <w:rsid w:val="00C75D0C"/>
    <w:rsid w:val="00C768C9"/>
    <w:rsid w:val="00C91922"/>
    <w:rsid w:val="00C924D2"/>
    <w:rsid w:val="00C92FF9"/>
    <w:rsid w:val="00C933EF"/>
    <w:rsid w:val="00C96DF2"/>
    <w:rsid w:val="00C97150"/>
    <w:rsid w:val="00CA31C6"/>
    <w:rsid w:val="00CA6D93"/>
    <w:rsid w:val="00CA7D2A"/>
    <w:rsid w:val="00CB0F53"/>
    <w:rsid w:val="00CB3E03"/>
    <w:rsid w:val="00CB75BF"/>
    <w:rsid w:val="00CC2893"/>
    <w:rsid w:val="00CC5BC3"/>
    <w:rsid w:val="00CD1B04"/>
    <w:rsid w:val="00CD2ED4"/>
    <w:rsid w:val="00CD4AA6"/>
    <w:rsid w:val="00CD5BA2"/>
    <w:rsid w:val="00CD6BFA"/>
    <w:rsid w:val="00CD6E37"/>
    <w:rsid w:val="00CE37CD"/>
    <w:rsid w:val="00CE4A8F"/>
    <w:rsid w:val="00CF299F"/>
    <w:rsid w:val="00D000E6"/>
    <w:rsid w:val="00D00EBF"/>
    <w:rsid w:val="00D02987"/>
    <w:rsid w:val="00D04C98"/>
    <w:rsid w:val="00D11F71"/>
    <w:rsid w:val="00D12F38"/>
    <w:rsid w:val="00D130D3"/>
    <w:rsid w:val="00D13D3B"/>
    <w:rsid w:val="00D2002F"/>
    <w:rsid w:val="00D2031B"/>
    <w:rsid w:val="00D2089B"/>
    <w:rsid w:val="00D20FB0"/>
    <w:rsid w:val="00D21BAC"/>
    <w:rsid w:val="00D248B6"/>
    <w:rsid w:val="00D25FE2"/>
    <w:rsid w:val="00D3022D"/>
    <w:rsid w:val="00D329C1"/>
    <w:rsid w:val="00D35A18"/>
    <w:rsid w:val="00D37B31"/>
    <w:rsid w:val="00D37C72"/>
    <w:rsid w:val="00D4244C"/>
    <w:rsid w:val="00D43252"/>
    <w:rsid w:val="00D46113"/>
    <w:rsid w:val="00D47EEA"/>
    <w:rsid w:val="00D500EA"/>
    <w:rsid w:val="00D52237"/>
    <w:rsid w:val="00D539A8"/>
    <w:rsid w:val="00D611FF"/>
    <w:rsid w:val="00D61562"/>
    <w:rsid w:val="00D63CF0"/>
    <w:rsid w:val="00D64E1F"/>
    <w:rsid w:val="00D65BC3"/>
    <w:rsid w:val="00D712B8"/>
    <w:rsid w:val="00D7265B"/>
    <w:rsid w:val="00D773DF"/>
    <w:rsid w:val="00D858D0"/>
    <w:rsid w:val="00D92E49"/>
    <w:rsid w:val="00D933B8"/>
    <w:rsid w:val="00D95303"/>
    <w:rsid w:val="00D978C6"/>
    <w:rsid w:val="00DA1781"/>
    <w:rsid w:val="00DA3C1C"/>
    <w:rsid w:val="00DA47F7"/>
    <w:rsid w:val="00DA7784"/>
    <w:rsid w:val="00DB06F9"/>
    <w:rsid w:val="00DB12D7"/>
    <w:rsid w:val="00DB3865"/>
    <w:rsid w:val="00DB539C"/>
    <w:rsid w:val="00DB5C6F"/>
    <w:rsid w:val="00DB6987"/>
    <w:rsid w:val="00DC092A"/>
    <w:rsid w:val="00DC1C1D"/>
    <w:rsid w:val="00DC393A"/>
    <w:rsid w:val="00DC7544"/>
    <w:rsid w:val="00DC79F9"/>
    <w:rsid w:val="00DD093F"/>
    <w:rsid w:val="00DD1088"/>
    <w:rsid w:val="00DD4239"/>
    <w:rsid w:val="00DD56E0"/>
    <w:rsid w:val="00DE53B6"/>
    <w:rsid w:val="00DE6B06"/>
    <w:rsid w:val="00DF4D79"/>
    <w:rsid w:val="00DF5FF4"/>
    <w:rsid w:val="00DF6C26"/>
    <w:rsid w:val="00DF6ED8"/>
    <w:rsid w:val="00E00611"/>
    <w:rsid w:val="00E046DF"/>
    <w:rsid w:val="00E2083E"/>
    <w:rsid w:val="00E20B22"/>
    <w:rsid w:val="00E214F0"/>
    <w:rsid w:val="00E21A71"/>
    <w:rsid w:val="00E22415"/>
    <w:rsid w:val="00E27346"/>
    <w:rsid w:val="00E27B0C"/>
    <w:rsid w:val="00E3251A"/>
    <w:rsid w:val="00E33162"/>
    <w:rsid w:val="00E35514"/>
    <w:rsid w:val="00E366E6"/>
    <w:rsid w:val="00E37533"/>
    <w:rsid w:val="00E43BF2"/>
    <w:rsid w:val="00E5372B"/>
    <w:rsid w:val="00E54454"/>
    <w:rsid w:val="00E568C7"/>
    <w:rsid w:val="00E64514"/>
    <w:rsid w:val="00E645BB"/>
    <w:rsid w:val="00E64CFF"/>
    <w:rsid w:val="00E65D68"/>
    <w:rsid w:val="00E65F92"/>
    <w:rsid w:val="00E6717E"/>
    <w:rsid w:val="00E70BBC"/>
    <w:rsid w:val="00E71BC8"/>
    <w:rsid w:val="00E7260F"/>
    <w:rsid w:val="00E73F5D"/>
    <w:rsid w:val="00E7541A"/>
    <w:rsid w:val="00E77E4E"/>
    <w:rsid w:val="00E87601"/>
    <w:rsid w:val="00E8777B"/>
    <w:rsid w:val="00E87BF2"/>
    <w:rsid w:val="00E91B79"/>
    <w:rsid w:val="00E93FF0"/>
    <w:rsid w:val="00E94ED4"/>
    <w:rsid w:val="00E96630"/>
    <w:rsid w:val="00E97BAF"/>
    <w:rsid w:val="00E97F9F"/>
    <w:rsid w:val="00EA2965"/>
    <w:rsid w:val="00EA3FC3"/>
    <w:rsid w:val="00EB09F5"/>
    <w:rsid w:val="00EB3B4B"/>
    <w:rsid w:val="00EC0EC1"/>
    <w:rsid w:val="00EC211A"/>
    <w:rsid w:val="00EC60D8"/>
    <w:rsid w:val="00EC6B97"/>
    <w:rsid w:val="00ED099A"/>
    <w:rsid w:val="00ED7297"/>
    <w:rsid w:val="00ED7A2A"/>
    <w:rsid w:val="00EE105C"/>
    <w:rsid w:val="00EE38EC"/>
    <w:rsid w:val="00EE5A98"/>
    <w:rsid w:val="00EE5EA4"/>
    <w:rsid w:val="00EF1D7F"/>
    <w:rsid w:val="00EF4C20"/>
    <w:rsid w:val="00F015F8"/>
    <w:rsid w:val="00F11FF4"/>
    <w:rsid w:val="00F12849"/>
    <w:rsid w:val="00F12D83"/>
    <w:rsid w:val="00F15436"/>
    <w:rsid w:val="00F23D5B"/>
    <w:rsid w:val="00F25064"/>
    <w:rsid w:val="00F259E5"/>
    <w:rsid w:val="00F26BC4"/>
    <w:rsid w:val="00F31E5F"/>
    <w:rsid w:val="00F333A2"/>
    <w:rsid w:val="00F36F52"/>
    <w:rsid w:val="00F37C38"/>
    <w:rsid w:val="00F42032"/>
    <w:rsid w:val="00F50F8B"/>
    <w:rsid w:val="00F52C77"/>
    <w:rsid w:val="00F55403"/>
    <w:rsid w:val="00F6100A"/>
    <w:rsid w:val="00F66C5E"/>
    <w:rsid w:val="00F71495"/>
    <w:rsid w:val="00F71BEF"/>
    <w:rsid w:val="00F7208B"/>
    <w:rsid w:val="00F74DA5"/>
    <w:rsid w:val="00F75087"/>
    <w:rsid w:val="00F8066F"/>
    <w:rsid w:val="00F87036"/>
    <w:rsid w:val="00F93781"/>
    <w:rsid w:val="00F945B6"/>
    <w:rsid w:val="00F95073"/>
    <w:rsid w:val="00F97AB4"/>
    <w:rsid w:val="00FA06A2"/>
    <w:rsid w:val="00FA4AB8"/>
    <w:rsid w:val="00FA7D6D"/>
    <w:rsid w:val="00FB014F"/>
    <w:rsid w:val="00FB4929"/>
    <w:rsid w:val="00FB613B"/>
    <w:rsid w:val="00FC2FA7"/>
    <w:rsid w:val="00FC42E5"/>
    <w:rsid w:val="00FC67FE"/>
    <w:rsid w:val="00FC68B7"/>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0E6B2"/>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uiPriority w:val="99"/>
    <w:qFormat/>
    <w:rsid w:val="000646F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
    <w:basedOn w:val="DefaultParagraphFont"/>
    <w:link w:val="FootnoteText"/>
    <w:uiPriority w:val="99"/>
    <w:locked/>
    <w:rsid w:val="000C497A"/>
    <w:rPr>
      <w:sz w:val="18"/>
      <w:lang w:eastAsia="en-US"/>
    </w:rPr>
  </w:style>
  <w:style w:type="character" w:customStyle="1" w:styleId="hps">
    <w:name w:val="hps"/>
    <w:basedOn w:val="DefaultParagraphFont"/>
    <w:rsid w:val="00A30B27"/>
  </w:style>
  <w:style w:type="paragraph" w:styleId="CommentSubject">
    <w:name w:val="annotation subject"/>
    <w:basedOn w:val="CommentText"/>
    <w:next w:val="CommentText"/>
    <w:link w:val="CommentSubjectChar"/>
    <w:semiHidden/>
    <w:unhideWhenUsed/>
    <w:rsid w:val="00B70D3C"/>
    <w:pPr>
      <w:spacing w:line="240" w:lineRule="auto"/>
    </w:pPr>
    <w:rPr>
      <w:b/>
      <w:bCs/>
    </w:rPr>
  </w:style>
  <w:style w:type="character" w:customStyle="1" w:styleId="CommentTextChar">
    <w:name w:val="Comment Text Char"/>
    <w:basedOn w:val="DefaultParagraphFont"/>
    <w:link w:val="CommentText"/>
    <w:semiHidden/>
    <w:rsid w:val="00B70D3C"/>
    <w:rPr>
      <w:lang w:eastAsia="en-US"/>
    </w:rPr>
  </w:style>
  <w:style w:type="character" w:customStyle="1" w:styleId="CommentSubjectChar">
    <w:name w:val="Comment Subject Char"/>
    <w:basedOn w:val="CommentTextChar"/>
    <w:link w:val="CommentSubject"/>
    <w:semiHidden/>
    <w:rsid w:val="00B70D3C"/>
    <w:rPr>
      <w:b/>
      <w:bCs/>
      <w:lang w:eastAsia="en-US"/>
    </w:rPr>
  </w:style>
  <w:style w:type="paragraph" w:styleId="Revision">
    <w:name w:val="Revision"/>
    <w:hidden/>
    <w:uiPriority w:val="99"/>
    <w:semiHidden/>
    <w:rsid w:val="00B70D3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56510">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08911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documents/2022/11/reports/report-working-party-its-112th-session-secretariat" TargetMode="External"/><Relationship Id="rId18" Type="http://schemas.openxmlformats.org/officeDocument/2006/relationships/hyperlink" Target="https://unece.org/transport/documents/2023/04/reports/report-joint-meeting-rid-committee-experts-and-working-part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unece.org/transport/documents/2023/03/informal-documents/draft-contribution-united-nations-2030-agenda" TargetMode="External"/><Relationship Id="rId7" Type="http://schemas.openxmlformats.org/officeDocument/2006/relationships/settings" Target="settings.xml"/><Relationship Id="rId12" Type="http://schemas.openxmlformats.org/officeDocument/2006/relationships/hyperlink" Target="https://unece.org/DAM/trans/doc/2007/wp15/ECE-TRANS-WP15-190a1e.pdf" TargetMode="External"/><Relationship Id="rId17" Type="http://schemas.openxmlformats.org/officeDocument/2006/relationships/hyperlink" Target="https://unece.org/transport/documents/2022/12/working-documents/climate-change-mitigation-inland-transport-inflectio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nece.org/transport/documents/2023/04/reports/report-inland-transport-committee-its-eighty-fifth-session-0" TargetMode="External"/><Relationship Id="rId20" Type="http://schemas.openxmlformats.org/officeDocument/2006/relationships/hyperlink" Target="https://unece.org/transport/documents/2023/04/reports/report-joint-meeting-rid-committee-experts-and-working-par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info/Transport/Dangerous-Goods/events/369948"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nece.org/transport/documents/2023/04/reports/report-inland-transport-committee-its-eighty-fifth-session"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ece.org/transport/documents/2022/12/working-documents/inclusion-provisions-carriage-molten-aluminium-un-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standards/transport/dangerous-goods/adr-2023-agreement-concerning-international-carriage"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A74F-3DFE-4798-BAA4-303C2701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4.xml><?xml version="1.0" encoding="utf-8"?>
<ds:datastoreItem xmlns:ds="http://schemas.openxmlformats.org/officeDocument/2006/customXml" ds:itemID="{6FA9E8BE-5496-4520-83CD-47BC9631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Pages>
  <Words>1072</Words>
  <Characters>6111</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7169</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HAR/2023/2/Rev.1</cp:lastModifiedBy>
  <cp:revision>127</cp:revision>
  <cp:lastPrinted>2018-05-09T09:23:00Z</cp:lastPrinted>
  <dcterms:created xsi:type="dcterms:W3CDTF">2022-08-04T08:56:00Z</dcterms:created>
  <dcterms:modified xsi:type="dcterms:W3CDTF">2023-05-12T13:17:00Z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