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DFEE2" w14:textId="24307036" w:rsidR="00B60659" w:rsidRPr="00801478" w:rsidRDefault="00B60659" w:rsidP="00B60659">
      <w:pPr>
        <w:widowControl/>
        <w:suppressAutoHyphens/>
        <w:overflowPunct/>
        <w:autoSpaceDE/>
        <w:autoSpaceDN/>
        <w:adjustRightInd/>
        <w:snapToGrid w:val="0"/>
        <w:ind w:left="5387" w:right="-286" w:firstLine="0"/>
        <w:jc w:val="left"/>
        <w:textAlignment w:val="auto"/>
        <w:outlineLvl w:val="0"/>
        <w:rPr>
          <w:rFonts w:ascii="Arial" w:eastAsia="Arial" w:hAnsi="Arial" w:cs="Arial"/>
          <w:bCs/>
          <w:szCs w:val="24"/>
          <w:lang w:eastAsia="de-DE"/>
        </w:rPr>
      </w:pPr>
      <w:r w:rsidRPr="00801478">
        <w:rPr>
          <w:rFonts w:ascii="Arial" w:eastAsia="Arial" w:hAnsi="Arial" w:cs="Arial"/>
          <w:bCs/>
          <w:noProof/>
          <w:szCs w:val="24"/>
          <w:lang w:eastAsia="de-DE"/>
        </w:rPr>
        <w:drawing>
          <wp:anchor distT="0" distB="0" distL="114300" distR="114300" simplePos="0" relativeHeight="251659264" behindDoc="0" locked="0" layoutInCell="1" allowOverlap="1" wp14:anchorId="0B151A5A" wp14:editId="43A0B7FA">
            <wp:simplePos x="0" y="0"/>
            <wp:positionH relativeFrom="column">
              <wp:posOffset>0</wp:posOffset>
            </wp:positionH>
            <wp:positionV relativeFrom="paragraph">
              <wp:posOffset>-68580</wp:posOffset>
            </wp:positionV>
            <wp:extent cx="1713865" cy="604520"/>
            <wp:effectExtent l="0" t="0" r="635"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801478">
        <w:rPr>
          <w:rFonts w:ascii="Arial" w:eastAsia="Arial" w:hAnsi="Arial" w:cs="Arial"/>
          <w:bCs/>
          <w:szCs w:val="24"/>
          <w:lang w:eastAsia="de-DE"/>
        </w:rPr>
        <w:t>CCNR-ZKR/ADN/WP.15/AC.2/202</w:t>
      </w:r>
      <w:r w:rsidRPr="00801478">
        <w:rPr>
          <w:rFonts w:ascii="Arial" w:eastAsia="Arial" w:hAnsi="Arial" w:cs="Arial"/>
          <w:bCs/>
          <w:szCs w:val="24"/>
        </w:rPr>
        <w:t>3</w:t>
      </w:r>
      <w:r w:rsidRPr="00801478">
        <w:rPr>
          <w:rFonts w:ascii="Arial" w:eastAsia="Arial" w:hAnsi="Arial" w:cs="Arial"/>
          <w:bCs/>
          <w:szCs w:val="24"/>
          <w:lang w:eastAsia="de-DE"/>
        </w:rPr>
        <w:t>/</w:t>
      </w:r>
      <w:r w:rsidR="00D14A73" w:rsidRPr="00801478">
        <w:rPr>
          <w:rFonts w:ascii="Arial" w:eastAsia="Arial" w:hAnsi="Arial" w:cs="Arial"/>
          <w:bCs/>
          <w:szCs w:val="24"/>
          <w:lang w:eastAsia="de-DE"/>
        </w:rPr>
        <w:t>1</w:t>
      </w:r>
      <w:r w:rsidR="00322953" w:rsidRPr="00801478">
        <w:rPr>
          <w:rFonts w:ascii="Arial" w:eastAsia="Arial" w:hAnsi="Arial" w:cs="Arial"/>
          <w:bCs/>
          <w:szCs w:val="24"/>
          <w:lang w:eastAsia="de-DE"/>
        </w:rPr>
        <w:t>8</w:t>
      </w:r>
    </w:p>
    <w:p w14:paraId="7C27E3DD" w14:textId="77777777" w:rsidR="00B60659" w:rsidRPr="00801478" w:rsidRDefault="00B60659" w:rsidP="00B60659">
      <w:pPr>
        <w:widowControl/>
        <w:tabs>
          <w:tab w:val="left" w:pos="5670"/>
        </w:tabs>
        <w:overflowPunct/>
        <w:autoSpaceDE/>
        <w:autoSpaceDN/>
        <w:adjustRightInd/>
        <w:snapToGrid w:val="0"/>
        <w:ind w:left="5387" w:firstLine="0"/>
        <w:jc w:val="left"/>
        <w:textAlignment w:val="auto"/>
        <w:rPr>
          <w:rFonts w:ascii="Arial" w:hAnsi="Arial" w:cs="Arial"/>
          <w:sz w:val="16"/>
          <w:szCs w:val="24"/>
          <w:lang w:eastAsia="de-DE"/>
        </w:rPr>
      </w:pPr>
      <w:r w:rsidRPr="00801478">
        <w:rPr>
          <w:rFonts w:ascii="Arial" w:hAnsi="Arial" w:cs="Arial"/>
          <w:sz w:val="16"/>
          <w:szCs w:val="24"/>
          <w:lang w:eastAsia="de-DE"/>
        </w:rPr>
        <w:t>Allgemeine Verteilung</w:t>
      </w:r>
    </w:p>
    <w:p w14:paraId="215D853B" w14:textId="6D12DB88" w:rsidR="00B60659" w:rsidRPr="00801478" w:rsidRDefault="00D14A73" w:rsidP="00B60659">
      <w:pPr>
        <w:widowControl/>
        <w:tabs>
          <w:tab w:val="right" w:pos="3856"/>
          <w:tab w:val="left" w:pos="5670"/>
        </w:tabs>
        <w:overflowPunct/>
        <w:autoSpaceDE/>
        <w:autoSpaceDN/>
        <w:adjustRightInd/>
        <w:snapToGrid w:val="0"/>
        <w:ind w:left="5387" w:firstLine="0"/>
        <w:jc w:val="left"/>
        <w:textAlignment w:val="auto"/>
        <w:rPr>
          <w:rFonts w:ascii="Arial" w:hAnsi="Arial" w:cs="Arial"/>
          <w:szCs w:val="24"/>
          <w:lang w:eastAsia="de-DE"/>
        </w:rPr>
      </w:pPr>
      <w:r w:rsidRPr="00801478">
        <w:rPr>
          <w:rFonts w:ascii="Arial" w:hAnsi="Arial" w:cs="Arial"/>
          <w:szCs w:val="24"/>
          <w:lang w:eastAsia="de-DE"/>
        </w:rPr>
        <w:t>5</w:t>
      </w:r>
      <w:r w:rsidR="008C5274" w:rsidRPr="00801478">
        <w:rPr>
          <w:rFonts w:ascii="Arial" w:hAnsi="Arial" w:cs="Arial"/>
          <w:szCs w:val="24"/>
          <w:lang w:eastAsia="de-DE"/>
        </w:rPr>
        <w:t>. Mai 2023</w:t>
      </w:r>
    </w:p>
    <w:p w14:paraId="1BCCEA4C" w14:textId="52EBFCBA" w:rsidR="00B60659" w:rsidRPr="00801478" w:rsidRDefault="00B60659" w:rsidP="00B60659">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lang w:eastAsia="de-DE"/>
        </w:rPr>
      </w:pPr>
      <w:proofErr w:type="spellStart"/>
      <w:r w:rsidRPr="00801478">
        <w:rPr>
          <w:rFonts w:ascii="Arial" w:eastAsia="Arial" w:hAnsi="Arial" w:cs="Arial"/>
          <w:sz w:val="16"/>
          <w:szCs w:val="24"/>
          <w:lang w:eastAsia="de-DE"/>
        </w:rPr>
        <w:t>Or</w:t>
      </w:r>
      <w:proofErr w:type="spellEnd"/>
      <w:r w:rsidRPr="00801478">
        <w:rPr>
          <w:rFonts w:ascii="Arial" w:eastAsia="Arial" w:hAnsi="Arial" w:cs="Arial"/>
          <w:sz w:val="16"/>
          <w:szCs w:val="24"/>
          <w:lang w:eastAsia="de-DE"/>
        </w:rPr>
        <w:t xml:space="preserve">. </w:t>
      </w:r>
      <w:r w:rsidR="008C5274" w:rsidRPr="00801478">
        <w:rPr>
          <w:rFonts w:ascii="Arial" w:eastAsia="Arial" w:hAnsi="Arial" w:cs="Arial"/>
          <w:sz w:val="16"/>
          <w:szCs w:val="24"/>
        </w:rPr>
        <w:t>ENGLISCH</w:t>
      </w:r>
    </w:p>
    <w:p w14:paraId="1F45327D" w14:textId="77777777" w:rsidR="00B60659" w:rsidRPr="00801478" w:rsidRDefault="00B60659" w:rsidP="00B60659">
      <w:pPr>
        <w:widowControl/>
        <w:overflowPunct/>
        <w:autoSpaceDE/>
        <w:autoSpaceDN/>
        <w:adjustRightInd/>
        <w:snapToGrid w:val="0"/>
        <w:ind w:left="0" w:firstLine="0"/>
        <w:jc w:val="left"/>
        <w:textAlignment w:val="auto"/>
        <w:rPr>
          <w:rFonts w:ascii="Arial" w:hAnsi="Arial" w:cs="Arial"/>
          <w:sz w:val="16"/>
          <w:szCs w:val="24"/>
          <w:lang w:eastAsia="de-DE"/>
        </w:rPr>
      </w:pPr>
    </w:p>
    <w:p w14:paraId="3CAEA6D3" w14:textId="77777777" w:rsidR="00B60659" w:rsidRPr="00801478" w:rsidRDefault="00B60659" w:rsidP="00B60659">
      <w:pPr>
        <w:widowControl/>
        <w:tabs>
          <w:tab w:val="left" w:pos="2977"/>
        </w:tabs>
        <w:overflowPunct/>
        <w:autoSpaceDE/>
        <w:autoSpaceDN/>
        <w:adjustRightInd/>
        <w:snapToGrid w:val="0"/>
        <w:ind w:left="3958" w:firstLine="0"/>
        <w:jc w:val="left"/>
        <w:textAlignment w:val="auto"/>
        <w:rPr>
          <w:rFonts w:ascii="Arial" w:hAnsi="Arial"/>
          <w:sz w:val="16"/>
        </w:rPr>
      </w:pPr>
      <w:r w:rsidRPr="00801478">
        <w:rPr>
          <w:rFonts w:ascii="Arial" w:hAnsi="Arial"/>
          <w:sz w:val="16"/>
        </w:rPr>
        <w:t xml:space="preserve">GEMEINSAME EXPERTENTAGUNG FÜR DIE DEM ÜBEREINKOMMEN ÜBER DIE INTERNATIONALE BEFÖRDERUNG VON GEFÄHRLICHEN GÜTERN AUF </w:t>
      </w:r>
      <w:r w:rsidRPr="00801478">
        <w:rPr>
          <w:rFonts w:ascii="Arial" w:eastAsia="Calibri" w:hAnsi="Arial"/>
          <w:sz w:val="16"/>
        </w:rPr>
        <w:t xml:space="preserve">BINNENWASSERSTRAẞEN (ADN) </w:t>
      </w:r>
      <w:r w:rsidRPr="00801478">
        <w:rPr>
          <w:rFonts w:ascii="Arial" w:hAnsi="Arial"/>
          <w:sz w:val="16"/>
        </w:rPr>
        <w:t>BEIGEFÜGTE VERORDNUNG (SICHERHEITSAUSSCHUSS)</w:t>
      </w:r>
    </w:p>
    <w:p w14:paraId="1342B616" w14:textId="4E64FD32" w:rsidR="00B60659" w:rsidRPr="00801478" w:rsidRDefault="00B60659" w:rsidP="00B60659">
      <w:pPr>
        <w:widowControl/>
        <w:tabs>
          <w:tab w:val="left" w:pos="2977"/>
        </w:tabs>
        <w:overflowPunct/>
        <w:autoSpaceDE/>
        <w:autoSpaceDN/>
        <w:adjustRightInd/>
        <w:snapToGrid w:val="0"/>
        <w:ind w:left="3960" w:firstLine="0"/>
        <w:jc w:val="left"/>
        <w:textAlignment w:val="auto"/>
        <w:rPr>
          <w:rFonts w:ascii="Arial" w:hAnsi="Arial"/>
          <w:sz w:val="16"/>
          <w:szCs w:val="24"/>
        </w:rPr>
      </w:pPr>
      <w:r w:rsidRPr="00801478">
        <w:rPr>
          <w:rFonts w:ascii="Arial" w:hAnsi="Arial"/>
          <w:sz w:val="16"/>
          <w:szCs w:val="24"/>
        </w:rPr>
        <w:t>(4</w:t>
      </w:r>
      <w:r w:rsidR="008C5274" w:rsidRPr="00801478">
        <w:rPr>
          <w:rFonts w:ascii="Arial" w:hAnsi="Arial"/>
          <w:sz w:val="16"/>
          <w:szCs w:val="24"/>
        </w:rPr>
        <w:t>2</w:t>
      </w:r>
      <w:r w:rsidRPr="00801478">
        <w:rPr>
          <w:rFonts w:ascii="Arial" w:hAnsi="Arial"/>
          <w:sz w:val="16"/>
          <w:szCs w:val="24"/>
        </w:rPr>
        <w:t>. Tagung, Genf, 2</w:t>
      </w:r>
      <w:r w:rsidR="008C5274" w:rsidRPr="00801478">
        <w:rPr>
          <w:rFonts w:ascii="Arial" w:hAnsi="Arial"/>
          <w:sz w:val="16"/>
          <w:szCs w:val="24"/>
        </w:rPr>
        <w:t>1</w:t>
      </w:r>
      <w:r w:rsidRPr="00801478">
        <w:rPr>
          <w:rFonts w:ascii="Arial" w:hAnsi="Arial"/>
          <w:sz w:val="16"/>
          <w:szCs w:val="24"/>
        </w:rPr>
        <w:t>. – 2</w:t>
      </w:r>
      <w:r w:rsidR="008C5274" w:rsidRPr="00801478">
        <w:rPr>
          <w:rFonts w:ascii="Arial" w:hAnsi="Arial"/>
          <w:sz w:val="16"/>
          <w:szCs w:val="24"/>
        </w:rPr>
        <w:t>5</w:t>
      </w:r>
      <w:r w:rsidRPr="00801478">
        <w:rPr>
          <w:rFonts w:ascii="Arial" w:hAnsi="Arial"/>
          <w:sz w:val="16"/>
          <w:szCs w:val="24"/>
        </w:rPr>
        <w:t>.</w:t>
      </w:r>
      <w:r w:rsidR="008C5274" w:rsidRPr="00801478">
        <w:rPr>
          <w:rFonts w:ascii="Arial" w:hAnsi="Arial"/>
          <w:sz w:val="16"/>
          <w:szCs w:val="24"/>
        </w:rPr>
        <w:t xml:space="preserve"> August</w:t>
      </w:r>
      <w:r w:rsidRPr="00801478">
        <w:rPr>
          <w:rFonts w:ascii="Arial" w:hAnsi="Arial"/>
          <w:sz w:val="16"/>
          <w:szCs w:val="24"/>
        </w:rPr>
        <w:t xml:space="preserve"> 2023)</w:t>
      </w:r>
    </w:p>
    <w:p w14:paraId="01501DC6" w14:textId="135237A4" w:rsidR="00B60659" w:rsidRPr="00801478" w:rsidRDefault="00B60659" w:rsidP="00B60659">
      <w:pPr>
        <w:widowControl/>
        <w:tabs>
          <w:tab w:val="left" w:pos="2977"/>
        </w:tabs>
        <w:overflowPunct/>
        <w:autoSpaceDE/>
        <w:autoSpaceDN/>
        <w:adjustRightInd/>
        <w:snapToGrid w:val="0"/>
        <w:ind w:left="3960" w:firstLine="0"/>
        <w:jc w:val="left"/>
        <w:textAlignment w:val="auto"/>
        <w:rPr>
          <w:rFonts w:ascii="Arial" w:hAnsi="Arial" w:cs="Arial"/>
          <w:sz w:val="16"/>
          <w:szCs w:val="16"/>
          <w:lang w:eastAsia="en-US"/>
        </w:rPr>
      </w:pPr>
      <w:r w:rsidRPr="00801478">
        <w:rPr>
          <w:rFonts w:ascii="Arial" w:hAnsi="Arial" w:cs="Arial"/>
          <w:sz w:val="16"/>
          <w:szCs w:val="16"/>
          <w:lang w:eastAsia="en-US"/>
        </w:rPr>
        <w:t xml:space="preserve">Punkt </w:t>
      </w:r>
      <w:r w:rsidR="008C5274" w:rsidRPr="00801478">
        <w:rPr>
          <w:rFonts w:ascii="Arial" w:hAnsi="Arial" w:cs="Arial"/>
          <w:sz w:val="16"/>
          <w:szCs w:val="16"/>
          <w:lang w:eastAsia="en-US"/>
        </w:rPr>
        <w:t>4 b)</w:t>
      </w:r>
      <w:r w:rsidRPr="00801478">
        <w:rPr>
          <w:rFonts w:ascii="Arial" w:hAnsi="Arial" w:cs="Arial"/>
          <w:sz w:val="16"/>
          <w:szCs w:val="16"/>
          <w:lang w:eastAsia="en-US"/>
        </w:rPr>
        <w:t xml:space="preserve"> der vorläufigen Tagesordnung</w:t>
      </w:r>
    </w:p>
    <w:p w14:paraId="7992D5BF" w14:textId="77777777" w:rsidR="00B60659" w:rsidRPr="00801478" w:rsidRDefault="00B60659" w:rsidP="00B60659">
      <w:pPr>
        <w:widowControl/>
        <w:overflowPunct/>
        <w:autoSpaceDE/>
        <w:autoSpaceDN/>
        <w:adjustRightInd/>
        <w:spacing w:after="120"/>
        <w:ind w:left="3958" w:firstLine="11"/>
        <w:jc w:val="left"/>
        <w:textAlignment w:val="auto"/>
        <w:rPr>
          <w:rFonts w:ascii="Arial" w:hAnsi="Arial" w:cs="Arial"/>
          <w:b/>
          <w:sz w:val="14"/>
          <w:szCs w:val="16"/>
          <w:lang w:eastAsia="en-US"/>
        </w:rPr>
      </w:pPr>
      <w:r w:rsidRPr="00801478">
        <w:rPr>
          <w:rFonts w:ascii="Arial" w:hAnsi="Arial" w:cs="Arial"/>
          <w:b/>
          <w:sz w:val="14"/>
          <w:szCs w:val="16"/>
          <w:lang w:eastAsia="en-US"/>
        </w:rPr>
        <w:t>Vorschläge für Änderungen der dem ADN beigefügten Verordnung: Weitere Änderungsvorschläge</w:t>
      </w:r>
    </w:p>
    <w:p w14:paraId="111EEFA9" w14:textId="77777777" w:rsidR="00B60659" w:rsidRPr="00801478" w:rsidRDefault="00B60659" w:rsidP="00B60659">
      <w:pPr>
        <w:widowControl/>
        <w:overflowPunct/>
        <w:autoSpaceDE/>
        <w:autoSpaceDN/>
        <w:adjustRightInd/>
        <w:ind w:firstLine="0"/>
        <w:textAlignment w:val="auto"/>
        <w:rPr>
          <w:b/>
          <w:lang w:eastAsia="de-DE"/>
        </w:rPr>
      </w:pPr>
    </w:p>
    <w:p w14:paraId="6C280DEA" w14:textId="6436AE3C" w:rsidR="008D3DAE" w:rsidRPr="00801478" w:rsidRDefault="00322953" w:rsidP="008D3DAE">
      <w:pPr>
        <w:spacing w:line="276" w:lineRule="auto"/>
        <w:ind w:firstLine="0"/>
        <w:jc w:val="left"/>
        <w:rPr>
          <w:b/>
          <w:sz w:val="28"/>
        </w:rPr>
      </w:pPr>
      <w:r w:rsidRPr="00801478">
        <w:rPr>
          <w:b/>
          <w:sz w:val="28"/>
        </w:rPr>
        <w:t xml:space="preserve">Korrekturvorschlag </w:t>
      </w:r>
      <w:r w:rsidR="001D4239" w:rsidRPr="00801478">
        <w:rPr>
          <w:b/>
          <w:sz w:val="28"/>
        </w:rPr>
        <w:t>zu</w:t>
      </w:r>
      <w:r w:rsidRPr="00801478">
        <w:rPr>
          <w:b/>
          <w:sz w:val="28"/>
        </w:rPr>
        <w:t xml:space="preserve"> Absatz 7.2.2.19.3</w:t>
      </w:r>
    </w:p>
    <w:p w14:paraId="57AABC0C" w14:textId="77777777" w:rsidR="008D3DAE" w:rsidRPr="00801478" w:rsidRDefault="008D3DAE" w:rsidP="008D3DAE">
      <w:pPr>
        <w:spacing w:line="276" w:lineRule="auto"/>
        <w:ind w:firstLine="0"/>
        <w:jc w:val="left"/>
        <w:rPr>
          <w:noProof/>
          <w:sz w:val="22"/>
          <w:szCs w:val="24"/>
        </w:rPr>
      </w:pPr>
    </w:p>
    <w:p w14:paraId="4BFD03E2" w14:textId="6C1A01C1" w:rsidR="008D3DAE" w:rsidRPr="00801478" w:rsidRDefault="00B827ED" w:rsidP="008D3DAE">
      <w:pPr>
        <w:spacing w:after="120"/>
        <w:ind w:firstLine="0"/>
        <w:jc w:val="left"/>
        <w:rPr>
          <w:b/>
          <w:sz w:val="24"/>
        </w:rPr>
      </w:pPr>
      <w:r w:rsidRPr="00801478">
        <w:rPr>
          <w:b/>
          <w:sz w:val="24"/>
        </w:rPr>
        <w:t>Vorgelegt von den Empfohlenen ADN-Klassifikationsgesellschaften</w:t>
      </w:r>
      <w:r w:rsidR="008D3DAE" w:rsidRPr="00801478">
        <w:rPr>
          <w:b/>
          <w:sz w:val="24"/>
        </w:rPr>
        <w:t xml:space="preserve"> </w:t>
      </w:r>
      <w:r w:rsidR="008D3DAE" w:rsidRPr="00801478">
        <w:rPr>
          <w:b/>
          <w:sz w:val="24"/>
        </w:rPr>
        <w:footnoteReference w:customMarkFollows="1" w:id="1"/>
        <w:t xml:space="preserve">*, </w:t>
      </w:r>
      <w:r w:rsidR="008D3DAE" w:rsidRPr="00801478">
        <w:rPr>
          <w:b/>
          <w:sz w:val="24"/>
        </w:rPr>
        <w:footnoteReference w:customMarkFollows="1" w:id="2"/>
        <w:t>**</w:t>
      </w:r>
    </w:p>
    <w:p w14:paraId="0EC8594F" w14:textId="4BC94AF4" w:rsidR="00B827ED" w:rsidRPr="00801478" w:rsidRDefault="00B827ED" w:rsidP="00B827ED">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801478">
        <w:rPr>
          <w:b/>
          <w:sz w:val="28"/>
        </w:rPr>
        <w:tab/>
      </w:r>
      <w:r w:rsidRPr="00801478">
        <w:rPr>
          <w:b/>
          <w:sz w:val="28"/>
        </w:rPr>
        <w:tab/>
        <w:t>Einleitung</w:t>
      </w:r>
    </w:p>
    <w:p w14:paraId="3912739C" w14:textId="0B447D69" w:rsidR="00322953" w:rsidRPr="00801478" w:rsidRDefault="00322953" w:rsidP="00293696">
      <w:pPr>
        <w:keepNext/>
        <w:keepLines/>
        <w:widowControl/>
        <w:tabs>
          <w:tab w:val="right" w:pos="851"/>
          <w:tab w:val="left" w:pos="1701"/>
        </w:tabs>
        <w:suppressAutoHyphens/>
        <w:overflowPunct/>
        <w:autoSpaceDE/>
        <w:autoSpaceDN/>
        <w:adjustRightInd/>
        <w:spacing w:before="360" w:after="240" w:line="240" w:lineRule="atLeast"/>
        <w:ind w:right="1134"/>
        <w:textAlignment w:val="auto"/>
      </w:pPr>
      <w:r w:rsidRPr="00801478">
        <w:rPr>
          <w:b/>
          <w:sz w:val="28"/>
        </w:rPr>
        <w:tab/>
      </w:r>
      <w:r w:rsidRPr="00801478">
        <w:rPr>
          <w:b/>
          <w:sz w:val="28"/>
        </w:rPr>
        <w:tab/>
      </w:r>
      <w:r w:rsidRPr="00801478">
        <w:t>1.</w:t>
      </w:r>
      <w:r w:rsidRPr="00801478">
        <w:tab/>
      </w:r>
      <w:r w:rsidR="00293696" w:rsidRPr="00801478">
        <w:t>Auf ihrer fünfundzwanzigsten Sitzung diskutierte die informelle Gruppe der Empfohlenen ADN-Klassifikationsgesellschaften den Inhalt des Absatzes 7.2.2.19.3 mit den Anforderungen an Schiffe, die für die Fortbewegung eines Schubverbands oder gekuppelter Schiffe mit mindestens einem Tankschiff, das gefährliche Güter befördert, verwendet werden.</w:t>
      </w:r>
      <w:r w:rsidRPr="00801478">
        <w:t xml:space="preserve"> </w:t>
      </w:r>
      <w:r w:rsidR="00293696" w:rsidRPr="00801478">
        <w:t>D</w:t>
      </w:r>
      <w:r w:rsidR="004621A8" w:rsidRPr="00801478">
        <w:t>abei stellte d</w:t>
      </w:r>
      <w:r w:rsidR="00293696" w:rsidRPr="00801478">
        <w:t xml:space="preserve">ie Gruppe </w:t>
      </w:r>
      <w:r w:rsidR="009136F6" w:rsidRPr="00801478">
        <w:t>der Klassifikations</w:t>
      </w:r>
      <w:r w:rsidR="00527B1B" w:rsidRPr="00801478">
        <w:softHyphen/>
      </w:r>
      <w:r w:rsidR="009136F6" w:rsidRPr="00801478">
        <w:t xml:space="preserve">gesellschaften </w:t>
      </w:r>
      <w:r w:rsidR="00293696" w:rsidRPr="00801478">
        <w:t>fest, dass bei den verschiedenen Umnummerierungen und Anpassungen von Teil 9 in den letzten Jahren einige Verweise in Absatz 7.2.2.19.3 nicht ganz korrekt angepasst wurden.</w:t>
      </w:r>
      <w:r w:rsidRPr="00801478">
        <w:t xml:space="preserve"> </w:t>
      </w:r>
      <w:r w:rsidR="00293696" w:rsidRPr="00801478">
        <w:t>Nach einer Untersuchung der derzeitigen Anforderungen müssen nach Ansicht der Gruppe die folgenden fettgedruckten Verweise korrigiert werden:</w:t>
      </w:r>
    </w:p>
    <w:p w14:paraId="13EA05C9" w14:textId="00272005" w:rsidR="00322953" w:rsidRPr="00801478" w:rsidRDefault="00293696" w:rsidP="00322953">
      <w:pPr>
        <w:widowControl/>
        <w:suppressAutoHyphens/>
        <w:overflowPunct/>
        <w:autoSpaceDE/>
        <w:autoSpaceDN/>
        <w:adjustRightInd/>
        <w:spacing w:after="120" w:line="240" w:lineRule="atLeast"/>
        <w:ind w:left="1701" w:right="1134" w:firstLine="0"/>
        <w:textAlignment w:val="auto"/>
      </w:pPr>
      <w:r w:rsidRPr="00801478">
        <w:t>„</w:t>
      </w:r>
      <w:r w:rsidR="00322953" w:rsidRPr="00801478">
        <w:t xml:space="preserve">7.2.2.5, 8.1.4, 8.1.5, 8.1.6.1, 8.1.6.3, 8.1.7, 8.3.5, </w:t>
      </w:r>
      <w:r w:rsidR="00322953" w:rsidRPr="00801478">
        <w:rPr>
          <w:b/>
          <w:bCs/>
        </w:rPr>
        <w:t>9.3.3.0.1, 9.3.3.0.3.1, 9.3.3.0.5,</w:t>
      </w:r>
      <w:r w:rsidR="00322953" w:rsidRPr="00801478">
        <w:t xml:space="preserve"> …</w:t>
      </w:r>
      <w:r w:rsidRPr="00801478">
        <w:t>“</w:t>
      </w:r>
    </w:p>
    <w:p w14:paraId="13ECA8E5" w14:textId="7915ED27" w:rsidR="00322953" w:rsidRPr="00801478" w:rsidRDefault="00322953" w:rsidP="009F2629">
      <w:pPr>
        <w:widowControl/>
        <w:tabs>
          <w:tab w:val="left" w:pos="1701"/>
        </w:tabs>
        <w:suppressAutoHyphens/>
        <w:overflowPunct/>
        <w:autoSpaceDE/>
        <w:autoSpaceDN/>
        <w:adjustRightInd/>
        <w:spacing w:after="120" w:line="240" w:lineRule="atLeast"/>
        <w:ind w:right="1134" w:firstLine="0"/>
        <w:textAlignment w:val="auto"/>
      </w:pPr>
      <w:r w:rsidRPr="00801478">
        <w:t>2.</w:t>
      </w:r>
      <w:r w:rsidRPr="00801478">
        <w:tab/>
      </w:r>
      <w:r w:rsidR="009F2629" w:rsidRPr="00801478">
        <w:t>Im Rahmen eines</w:t>
      </w:r>
      <w:r w:rsidR="002E05AA" w:rsidRPr="00801478">
        <w:t xml:space="preserve"> </w:t>
      </w:r>
      <w:r w:rsidR="009F2629" w:rsidRPr="00801478">
        <w:t>Vergleichs stellte</w:t>
      </w:r>
      <w:r w:rsidR="002E05AA" w:rsidRPr="00801478">
        <w:t xml:space="preserve"> die Gruppe den Inhalt der Anforderungen für den Unterabschnitt 7.2.2.19.3 aus dem ADN 2009 dem Inhalt der derzeitigen Verweise </w:t>
      </w:r>
      <w:r w:rsidR="009F2629" w:rsidRPr="00801478">
        <w:t xml:space="preserve">gegenüber </w:t>
      </w:r>
      <w:r w:rsidR="002E05AA" w:rsidRPr="00801478">
        <w:t>und stellte in Absatz 7.2.2.19.3 die folgenden Unstimmigkeiten fest.</w:t>
      </w:r>
    </w:p>
    <w:p w14:paraId="7918077E" w14:textId="514DA59B" w:rsidR="00322953" w:rsidRPr="00801478" w:rsidRDefault="00322953" w:rsidP="002E05AA">
      <w:pPr>
        <w:pageBreakBefore/>
        <w:widowControl/>
        <w:tabs>
          <w:tab w:val="left" w:pos="1701"/>
        </w:tabs>
        <w:suppressAutoHyphens/>
        <w:overflowPunct/>
        <w:autoSpaceDE/>
        <w:autoSpaceDN/>
        <w:adjustRightInd/>
        <w:spacing w:after="120" w:line="240" w:lineRule="atLeast"/>
        <w:ind w:right="1134" w:firstLine="0"/>
        <w:textAlignment w:val="auto"/>
      </w:pPr>
      <w:r w:rsidRPr="00801478">
        <w:lastRenderedPageBreak/>
        <w:t>3.</w:t>
      </w:r>
      <w:r w:rsidRPr="00801478">
        <w:tab/>
      </w:r>
      <w:r w:rsidR="002E05AA" w:rsidRPr="00801478">
        <w:t>Die Ergebnisse des Vergleichs sind in der folgenden Tabelle aufgeführt:</w:t>
      </w:r>
    </w:p>
    <w:tbl>
      <w:tblPr>
        <w:tblStyle w:val="TableGrid"/>
        <w:tblW w:w="0" w:type="auto"/>
        <w:tblInd w:w="1134" w:type="dxa"/>
        <w:tblLook w:val="04A0" w:firstRow="1" w:lastRow="0" w:firstColumn="1" w:lastColumn="0" w:noHBand="0" w:noVBand="1"/>
      </w:tblPr>
      <w:tblGrid>
        <w:gridCol w:w="5805"/>
        <w:gridCol w:w="2121"/>
      </w:tblGrid>
      <w:tr w:rsidR="00322953" w:rsidRPr="00801478" w14:paraId="0EED54D3" w14:textId="77777777" w:rsidTr="002E05AA">
        <w:trPr>
          <w:trHeight w:val="240"/>
        </w:trPr>
        <w:tc>
          <w:tcPr>
            <w:tcW w:w="5949" w:type="dxa"/>
          </w:tcPr>
          <w:p w14:paraId="29E476B8" w14:textId="14918421" w:rsidR="00322953" w:rsidRPr="00801478" w:rsidRDefault="002E05AA" w:rsidP="002E05AA">
            <w:pPr>
              <w:widowControl/>
              <w:overflowPunct/>
              <w:autoSpaceDE/>
              <w:autoSpaceDN/>
              <w:adjustRightInd/>
              <w:spacing w:after="120"/>
              <w:ind w:left="0" w:right="1134" w:firstLine="0"/>
              <w:jc w:val="center"/>
              <w:textAlignment w:val="auto"/>
              <w:rPr>
                <w:b/>
                <w:bCs/>
                <w:lang w:val="en-GB"/>
              </w:rPr>
            </w:pPr>
            <w:r w:rsidRPr="00801478">
              <w:rPr>
                <w:b/>
                <w:bCs/>
                <w:lang w:val="de-DE"/>
              </w:rPr>
              <w:t>Verweise im ADN 2009</w:t>
            </w:r>
          </w:p>
        </w:tc>
        <w:tc>
          <w:tcPr>
            <w:tcW w:w="2146" w:type="dxa"/>
          </w:tcPr>
          <w:p w14:paraId="3CAB33C1" w14:textId="1FA61CCF" w:rsidR="00322953" w:rsidRPr="00801478" w:rsidRDefault="002E05AA" w:rsidP="002E05AA">
            <w:pPr>
              <w:widowControl/>
              <w:overflowPunct/>
              <w:autoSpaceDE/>
              <w:autoSpaceDN/>
              <w:adjustRightInd/>
              <w:spacing w:after="120"/>
              <w:ind w:left="0" w:right="132" w:firstLine="0"/>
              <w:jc w:val="center"/>
              <w:textAlignment w:val="auto"/>
              <w:rPr>
                <w:b/>
                <w:bCs/>
                <w:lang w:val="de-DE"/>
              </w:rPr>
            </w:pPr>
            <w:r w:rsidRPr="00801478">
              <w:rPr>
                <w:b/>
                <w:bCs/>
                <w:lang w:val="de-DE"/>
              </w:rPr>
              <w:t>Verweis auf die gleichen Anforderungen im ADN 2023</w:t>
            </w:r>
          </w:p>
        </w:tc>
      </w:tr>
      <w:tr w:rsidR="00322953" w:rsidRPr="00801478" w14:paraId="3C5741A8" w14:textId="77777777" w:rsidTr="002E05AA">
        <w:tc>
          <w:tcPr>
            <w:tcW w:w="5949" w:type="dxa"/>
          </w:tcPr>
          <w:p w14:paraId="41DBD0BC" w14:textId="7CB7EAEE" w:rsidR="00322953" w:rsidRPr="00801478" w:rsidRDefault="00322953" w:rsidP="00322953">
            <w:pPr>
              <w:widowControl/>
              <w:overflowPunct/>
              <w:autoSpaceDE/>
              <w:autoSpaceDN/>
              <w:adjustRightInd/>
              <w:spacing w:after="120"/>
              <w:ind w:left="137" w:right="209" w:firstLine="0"/>
              <w:textAlignment w:val="auto"/>
              <w:rPr>
                <w:lang w:val="de-DE"/>
              </w:rPr>
            </w:pPr>
            <w:r w:rsidRPr="00801478">
              <w:rPr>
                <w:lang w:val="de-DE"/>
              </w:rPr>
              <w:t>9.3.3.0.1 a) Der Schiffskörper und die Ladetanks müssen aus Schiffbaustahl oder aus einem anderen mindestens gleichwertigen Metall gebaut sein.</w:t>
            </w:r>
          </w:p>
        </w:tc>
        <w:tc>
          <w:tcPr>
            <w:tcW w:w="2146" w:type="dxa"/>
          </w:tcPr>
          <w:p w14:paraId="28E38AF9" w14:textId="77777777" w:rsidR="00322953" w:rsidRPr="00801478" w:rsidRDefault="00322953" w:rsidP="00322953">
            <w:pPr>
              <w:widowControl/>
              <w:overflowPunct/>
              <w:autoSpaceDE/>
              <w:autoSpaceDN/>
              <w:adjustRightInd/>
              <w:spacing w:after="120"/>
              <w:ind w:left="0" w:right="132" w:firstLine="0"/>
              <w:jc w:val="center"/>
              <w:textAlignment w:val="auto"/>
              <w:rPr>
                <w:lang w:val="en-GB"/>
              </w:rPr>
            </w:pPr>
            <w:r w:rsidRPr="00801478">
              <w:rPr>
                <w:lang w:val="en-GB"/>
              </w:rPr>
              <w:t>9.3.3.0.1.1</w:t>
            </w:r>
          </w:p>
        </w:tc>
      </w:tr>
      <w:tr w:rsidR="00322953" w:rsidRPr="00801478" w14:paraId="55CC9C5E" w14:textId="77777777" w:rsidTr="002E05AA">
        <w:tc>
          <w:tcPr>
            <w:tcW w:w="5949" w:type="dxa"/>
          </w:tcPr>
          <w:p w14:paraId="7A7EA3A4" w14:textId="4FF71553" w:rsidR="00322953" w:rsidRPr="00801478" w:rsidRDefault="00322953" w:rsidP="00322953">
            <w:pPr>
              <w:widowControl/>
              <w:overflowPunct/>
              <w:autoSpaceDE/>
              <w:autoSpaceDN/>
              <w:adjustRightInd/>
              <w:spacing w:after="120"/>
              <w:ind w:left="137" w:right="209" w:firstLine="0"/>
              <w:textAlignment w:val="auto"/>
              <w:rPr>
                <w:lang w:val="de-DE"/>
              </w:rPr>
            </w:pPr>
            <w:r w:rsidRPr="00801478">
              <w:rPr>
                <w:lang w:val="de-DE"/>
              </w:rPr>
              <w:t>Für unabhängige Ladetanks dürfen auch andere, gleichwertige Werkstoffe verwendet werden. Die Gleichwertigkeit muss sich auf die mechanischen Eigenschaften und auf die Beständigkeit gegen Temperatur- und Feuereinwirkung beziehen</w:t>
            </w:r>
          </w:p>
        </w:tc>
        <w:tc>
          <w:tcPr>
            <w:tcW w:w="2146" w:type="dxa"/>
          </w:tcPr>
          <w:p w14:paraId="6758D412" w14:textId="77777777" w:rsidR="00322953" w:rsidRPr="00801478" w:rsidRDefault="00322953" w:rsidP="00322953">
            <w:pPr>
              <w:widowControl/>
              <w:overflowPunct/>
              <w:autoSpaceDE/>
              <w:autoSpaceDN/>
              <w:adjustRightInd/>
              <w:spacing w:after="120"/>
              <w:ind w:left="0" w:right="132" w:firstLine="0"/>
              <w:jc w:val="center"/>
              <w:textAlignment w:val="auto"/>
              <w:rPr>
                <w:lang w:val="en-GB"/>
              </w:rPr>
            </w:pPr>
            <w:r w:rsidRPr="00801478">
              <w:rPr>
                <w:lang w:val="en-GB"/>
              </w:rPr>
              <w:t>9.3.3.0.1.3</w:t>
            </w:r>
          </w:p>
        </w:tc>
      </w:tr>
      <w:tr w:rsidR="00322953" w:rsidRPr="00801478" w14:paraId="6F9CF5EF" w14:textId="77777777" w:rsidTr="002E05AA">
        <w:tc>
          <w:tcPr>
            <w:tcW w:w="5949" w:type="dxa"/>
          </w:tcPr>
          <w:p w14:paraId="25979638" w14:textId="71046644" w:rsidR="00322953" w:rsidRPr="00801478" w:rsidRDefault="00322953" w:rsidP="006C6354">
            <w:pPr>
              <w:widowControl/>
              <w:overflowPunct/>
              <w:autoSpaceDE/>
              <w:autoSpaceDN/>
              <w:adjustRightInd/>
              <w:spacing w:after="120"/>
              <w:ind w:left="137" w:right="209" w:firstLine="0"/>
              <w:textAlignment w:val="auto"/>
              <w:rPr>
                <w:lang w:val="de-DE"/>
              </w:rPr>
            </w:pPr>
            <w:r w:rsidRPr="00801478">
              <w:rPr>
                <w:lang w:val="de-DE"/>
              </w:rPr>
              <w:t xml:space="preserve">9.3.3.0.1 b) Alle Teile des Schiffes einschließlich Einrichtung und Ausrüstung, welche mit der Ladung in Berührung kommen können, müssen aus Bauwerkstoffen bestehen, die weder durch die Ladung angegriffen werden oder eine Zersetzung der Ladung verursachen noch </w:t>
            </w:r>
            <w:proofErr w:type="gramStart"/>
            <w:r w:rsidRPr="00801478">
              <w:rPr>
                <w:lang w:val="de-DE"/>
              </w:rPr>
              <w:t>mit ihr schädliche oder gefährliche Verbindungen</w:t>
            </w:r>
            <w:proofErr w:type="gramEnd"/>
            <w:r w:rsidRPr="00801478">
              <w:rPr>
                <w:lang w:val="de-DE"/>
              </w:rPr>
              <w:t xml:space="preserve"> eingehen können.</w:t>
            </w:r>
          </w:p>
        </w:tc>
        <w:tc>
          <w:tcPr>
            <w:tcW w:w="2146" w:type="dxa"/>
          </w:tcPr>
          <w:p w14:paraId="436AB48A" w14:textId="77777777" w:rsidR="00322953" w:rsidRPr="00801478" w:rsidRDefault="00322953" w:rsidP="00322953">
            <w:pPr>
              <w:widowControl/>
              <w:overflowPunct/>
              <w:autoSpaceDE/>
              <w:autoSpaceDN/>
              <w:adjustRightInd/>
              <w:spacing w:after="120"/>
              <w:ind w:left="0" w:right="132" w:firstLine="0"/>
              <w:jc w:val="center"/>
              <w:textAlignment w:val="auto"/>
              <w:rPr>
                <w:lang w:val="en-GB"/>
              </w:rPr>
            </w:pPr>
            <w:r w:rsidRPr="00801478">
              <w:rPr>
                <w:lang w:val="en-GB"/>
              </w:rPr>
              <w:t>9.3.3.0.2</w:t>
            </w:r>
          </w:p>
        </w:tc>
      </w:tr>
      <w:tr w:rsidR="00322953" w:rsidRPr="00801478" w14:paraId="7D7BEA60" w14:textId="77777777" w:rsidTr="002E05AA">
        <w:tc>
          <w:tcPr>
            <w:tcW w:w="5949" w:type="dxa"/>
          </w:tcPr>
          <w:p w14:paraId="7393CFED" w14:textId="03A7E6AB" w:rsidR="00322953" w:rsidRPr="00801478" w:rsidRDefault="00322953" w:rsidP="006C6354">
            <w:pPr>
              <w:widowControl/>
              <w:overflowPunct/>
              <w:autoSpaceDE/>
              <w:autoSpaceDN/>
              <w:adjustRightInd/>
              <w:spacing w:after="120"/>
              <w:ind w:left="137" w:right="209" w:firstLine="0"/>
              <w:textAlignment w:val="auto"/>
              <w:rPr>
                <w:lang w:val="de-DE"/>
              </w:rPr>
            </w:pPr>
            <w:r w:rsidRPr="00801478">
              <w:rPr>
                <w:lang w:val="de-DE"/>
              </w:rPr>
              <w:t>9.3.3.0.1 c)</w:t>
            </w:r>
            <w:r w:rsidR="006C6354" w:rsidRPr="00801478">
              <w:rPr>
                <w:lang w:val="de-DE"/>
              </w:rPr>
              <w:t xml:space="preserve"> </w:t>
            </w:r>
            <w:r w:rsidRPr="00801478">
              <w:rPr>
                <w:lang w:val="de-DE"/>
              </w:rPr>
              <w:t>Gassammel- oder Gasabfuhrleitungen müssen gegen Korrosion geschützt sein.</w:t>
            </w:r>
          </w:p>
        </w:tc>
        <w:tc>
          <w:tcPr>
            <w:tcW w:w="2146" w:type="dxa"/>
          </w:tcPr>
          <w:p w14:paraId="089CABEA" w14:textId="77777777" w:rsidR="00322953" w:rsidRPr="00801478" w:rsidRDefault="00322953" w:rsidP="00322953">
            <w:pPr>
              <w:widowControl/>
              <w:overflowPunct/>
              <w:autoSpaceDE/>
              <w:autoSpaceDN/>
              <w:adjustRightInd/>
              <w:spacing w:after="120"/>
              <w:ind w:left="0" w:right="132" w:firstLine="0"/>
              <w:jc w:val="center"/>
              <w:textAlignment w:val="auto"/>
              <w:rPr>
                <w:lang w:val="en-GB"/>
              </w:rPr>
            </w:pPr>
            <w:r w:rsidRPr="00801478">
              <w:rPr>
                <w:lang w:val="en-GB"/>
              </w:rPr>
              <w:t>9.3.3.0.1.2</w:t>
            </w:r>
          </w:p>
        </w:tc>
      </w:tr>
      <w:tr w:rsidR="00322953" w:rsidRPr="00801478" w14:paraId="11F81F6C" w14:textId="77777777" w:rsidTr="002E05AA">
        <w:tc>
          <w:tcPr>
            <w:tcW w:w="5949" w:type="dxa"/>
          </w:tcPr>
          <w:p w14:paraId="15DB51D3" w14:textId="50D43311" w:rsidR="00322953" w:rsidRPr="00801478" w:rsidRDefault="00322953" w:rsidP="006C6354">
            <w:pPr>
              <w:widowControl/>
              <w:overflowPunct/>
              <w:autoSpaceDE/>
              <w:autoSpaceDN/>
              <w:adjustRightInd/>
              <w:spacing w:after="120"/>
              <w:ind w:left="137" w:right="209" w:firstLine="0"/>
              <w:textAlignment w:val="auto"/>
              <w:rPr>
                <w:lang w:val="de-DE"/>
              </w:rPr>
            </w:pPr>
            <w:r w:rsidRPr="00801478">
              <w:rPr>
                <w:lang w:val="de-DE"/>
              </w:rPr>
              <w:t>9.3.3.0.3 d) Alle in den Wohnungen und im Steuerhaus verwendeten fest eingebauten Werkstoffe, mit Ausnahme der Möbel, müssen schwer entflammbar sein. Im Brandfall dürfen sie Rauch oder giftige Gase nicht in gefährlichem Maße entwickeln.</w:t>
            </w:r>
          </w:p>
        </w:tc>
        <w:tc>
          <w:tcPr>
            <w:tcW w:w="2146" w:type="dxa"/>
          </w:tcPr>
          <w:p w14:paraId="19DEC354" w14:textId="77777777" w:rsidR="00322953" w:rsidRPr="00801478" w:rsidRDefault="00322953" w:rsidP="00322953">
            <w:pPr>
              <w:widowControl/>
              <w:overflowPunct/>
              <w:autoSpaceDE/>
              <w:autoSpaceDN/>
              <w:adjustRightInd/>
              <w:spacing w:after="120"/>
              <w:ind w:left="0" w:right="132" w:firstLine="0"/>
              <w:jc w:val="center"/>
              <w:textAlignment w:val="auto"/>
              <w:rPr>
                <w:lang w:val="en-GB"/>
              </w:rPr>
            </w:pPr>
            <w:r w:rsidRPr="00801478">
              <w:rPr>
                <w:lang w:val="en-GB"/>
              </w:rPr>
              <w:t>9.3.3.0.6</w:t>
            </w:r>
          </w:p>
        </w:tc>
      </w:tr>
      <w:tr w:rsidR="00322953" w:rsidRPr="00801478" w14:paraId="5DE3BC4D" w14:textId="77777777" w:rsidTr="002E05AA">
        <w:tc>
          <w:tcPr>
            <w:tcW w:w="5949" w:type="dxa"/>
          </w:tcPr>
          <w:p w14:paraId="76DA24A8" w14:textId="72B4873E" w:rsidR="00322953" w:rsidRPr="00801478" w:rsidRDefault="00322953" w:rsidP="006C6354">
            <w:pPr>
              <w:widowControl/>
              <w:overflowPunct/>
              <w:autoSpaceDE/>
              <w:autoSpaceDN/>
              <w:adjustRightInd/>
              <w:spacing w:after="120"/>
              <w:ind w:left="137" w:right="209" w:firstLine="0"/>
              <w:textAlignment w:val="auto"/>
              <w:rPr>
                <w:lang w:val="de-DE"/>
              </w:rPr>
            </w:pPr>
            <w:r w:rsidRPr="00801478">
              <w:rPr>
                <w:lang w:val="de-DE"/>
              </w:rPr>
              <w:t>9.3.3.0.5 Die Verwendung von Kunststoffen für Beiboote ist nur zulässig, wenn das Material schwer entflammbar ist.</w:t>
            </w:r>
          </w:p>
        </w:tc>
        <w:tc>
          <w:tcPr>
            <w:tcW w:w="2146" w:type="dxa"/>
          </w:tcPr>
          <w:p w14:paraId="29BD4A9A" w14:textId="09F7D4B5" w:rsidR="00322953" w:rsidRPr="00801478" w:rsidRDefault="00322953" w:rsidP="00322953">
            <w:pPr>
              <w:widowControl/>
              <w:overflowPunct/>
              <w:autoSpaceDE/>
              <w:autoSpaceDN/>
              <w:adjustRightInd/>
              <w:spacing w:after="120"/>
              <w:ind w:left="0" w:right="132" w:firstLine="0"/>
              <w:jc w:val="center"/>
              <w:textAlignment w:val="auto"/>
              <w:rPr>
                <w:lang w:val="en-GB"/>
              </w:rPr>
            </w:pPr>
            <w:r w:rsidRPr="00801478">
              <w:rPr>
                <w:lang w:val="en-GB"/>
              </w:rPr>
              <w:t xml:space="preserve">9.3.3.0.4 </w:t>
            </w:r>
            <w:proofErr w:type="spellStart"/>
            <w:r w:rsidR="006C6354" w:rsidRPr="00801478">
              <w:rPr>
                <w:lang w:val="en-GB"/>
              </w:rPr>
              <w:t>letzte</w:t>
            </w:r>
            <w:proofErr w:type="spellEnd"/>
            <w:r w:rsidR="006C6354" w:rsidRPr="00801478">
              <w:rPr>
                <w:lang w:val="en-GB"/>
              </w:rPr>
              <w:t xml:space="preserve"> </w:t>
            </w:r>
            <w:proofErr w:type="spellStart"/>
            <w:r w:rsidR="006C6354" w:rsidRPr="00801478">
              <w:rPr>
                <w:lang w:val="en-GB"/>
              </w:rPr>
              <w:t>Zeile</w:t>
            </w:r>
            <w:proofErr w:type="spellEnd"/>
            <w:r w:rsidR="006C6354" w:rsidRPr="00801478">
              <w:rPr>
                <w:lang w:val="en-GB"/>
              </w:rPr>
              <w:t xml:space="preserve"> der </w:t>
            </w:r>
            <w:proofErr w:type="spellStart"/>
            <w:r w:rsidR="006C6354" w:rsidRPr="00801478">
              <w:rPr>
                <w:lang w:val="en-GB"/>
              </w:rPr>
              <w:t>Tabelle</w:t>
            </w:r>
            <w:proofErr w:type="spellEnd"/>
          </w:p>
        </w:tc>
      </w:tr>
    </w:tbl>
    <w:p w14:paraId="04BBC552" w14:textId="77777777" w:rsidR="00322953" w:rsidRPr="00801478" w:rsidRDefault="00322953" w:rsidP="00322953">
      <w:pPr>
        <w:widowControl/>
        <w:suppressAutoHyphens/>
        <w:overflowPunct/>
        <w:autoSpaceDE/>
        <w:autoSpaceDN/>
        <w:adjustRightInd/>
        <w:spacing w:after="120" w:line="240" w:lineRule="atLeast"/>
        <w:ind w:right="1134" w:firstLine="0"/>
        <w:textAlignment w:val="auto"/>
        <w:rPr>
          <w:lang w:val="en-GB"/>
        </w:rPr>
      </w:pPr>
    </w:p>
    <w:p w14:paraId="328D8B1E" w14:textId="5ECD9E6D" w:rsidR="00322953" w:rsidRPr="00801478" w:rsidRDefault="00322953" w:rsidP="00322953">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lang w:val="en-GB"/>
        </w:rPr>
      </w:pPr>
      <w:r w:rsidRPr="00801478">
        <w:rPr>
          <w:b/>
          <w:sz w:val="28"/>
          <w:lang w:val="en-GB"/>
        </w:rPr>
        <w:tab/>
      </w:r>
      <w:r w:rsidRPr="00801478">
        <w:rPr>
          <w:b/>
          <w:sz w:val="28"/>
          <w:lang w:val="en-GB"/>
        </w:rPr>
        <w:tab/>
      </w:r>
      <w:proofErr w:type="spellStart"/>
      <w:r w:rsidR="00DD2797" w:rsidRPr="00801478">
        <w:rPr>
          <w:b/>
          <w:sz w:val="28"/>
          <w:lang w:val="en-GB"/>
        </w:rPr>
        <w:t>Änderungsvorschlag</w:t>
      </w:r>
      <w:proofErr w:type="spellEnd"/>
    </w:p>
    <w:p w14:paraId="7B1EDDCE" w14:textId="66C197D3" w:rsidR="00322953" w:rsidRPr="00801478" w:rsidRDefault="00322953" w:rsidP="002E05AA">
      <w:pPr>
        <w:widowControl/>
        <w:tabs>
          <w:tab w:val="left" w:pos="1701"/>
        </w:tabs>
        <w:suppressAutoHyphens/>
        <w:overflowPunct/>
        <w:autoSpaceDE/>
        <w:autoSpaceDN/>
        <w:adjustRightInd/>
        <w:spacing w:after="120" w:line="240" w:lineRule="atLeast"/>
        <w:ind w:right="1134" w:firstLine="0"/>
        <w:textAlignment w:val="auto"/>
      </w:pPr>
      <w:r w:rsidRPr="00801478">
        <w:t>4.</w:t>
      </w:r>
      <w:r w:rsidRPr="00801478">
        <w:tab/>
      </w:r>
      <w:r w:rsidR="002E05AA" w:rsidRPr="00801478">
        <w:t>Der ADN-Sicherheitsausschuss wird gebeten, die folgenden Vorschläge zur Korrektur des Absatzes 7.2.2.19.3 für die nächste Ausgabe des ADN zu prüfen und anzunehmen:</w:t>
      </w:r>
    </w:p>
    <w:p w14:paraId="6A3014DB" w14:textId="713C0D55" w:rsidR="00322953" w:rsidRPr="00801478" w:rsidRDefault="00322953" w:rsidP="00322953">
      <w:pPr>
        <w:widowControl/>
        <w:suppressAutoHyphens/>
        <w:overflowPunct/>
        <w:autoSpaceDE/>
        <w:autoSpaceDN/>
        <w:adjustRightInd/>
        <w:spacing w:after="120" w:line="240" w:lineRule="atLeast"/>
        <w:ind w:left="1701" w:right="1134" w:firstLine="0"/>
        <w:textAlignment w:val="auto"/>
      </w:pPr>
      <w:r w:rsidRPr="00801478">
        <w:t>a)</w:t>
      </w:r>
      <w:r w:rsidRPr="00801478">
        <w:tab/>
      </w:r>
      <w:r w:rsidR="00DD2797" w:rsidRPr="00801478">
        <w:t>„</w:t>
      </w:r>
      <w:r w:rsidRPr="00801478">
        <w:t>9.3.3.0.1</w:t>
      </w:r>
      <w:r w:rsidR="00DD2797" w:rsidRPr="00801478">
        <w:t xml:space="preserve">“ muss </w:t>
      </w:r>
      <w:r w:rsidR="00873972" w:rsidRPr="00801478">
        <w:t>in:</w:t>
      </w:r>
      <w:r w:rsidR="00DD2797" w:rsidRPr="00801478">
        <w:t xml:space="preserve"> „</w:t>
      </w:r>
      <w:r w:rsidRPr="00801478">
        <w:t xml:space="preserve">9.3.3.0.1.1, 9.3.3.0.1.2, 9.3.3.0.1.3 </w:t>
      </w:r>
      <w:r w:rsidR="00DD2797" w:rsidRPr="00801478">
        <w:t>u</w:t>
      </w:r>
      <w:r w:rsidRPr="00801478">
        <w:t>nd 9.3.3.0.2</w:t>
      </w:r>
      <w:r w:rsidR="00DD2797" w:rsidRPr="00801478">
        <w:t>“</w:t>
      </w:r>
      <w:r w:rsidR="00873972" w:rsidRPr="00801478">
        <w:t xml:space="preserve"> geändert werden</w:t>
      </w:r>
      <w:r w:rsidRPr="00801478">
        <w:t>;</w:t>
      </w:r>
    </w:p>
    <w:p w14:paraId="519CFA7C" w14:textId="0DF0AD69" w:rsidR="00322953" w:rsidRPr="00801478" w:rsidRDefault="00322953" w:rsidP="00322953">
      <w:pPr>
        <w:widowControl/>
        <w:suppressAutoHyphens/>
        <w:overflowPunct/>
        <w:autoSpaceDE/>
        <w:autoSpaceDN/>
        <w:adjustRightInd/>
        <w:spacing w:after="120" w:line="240" w:lineRule="atLeast"/>
        <w:ind w:left="1701" w:right="1134" w:firstLine="0"/>
        <w:textAlignment w:val="auto"/>
      </w:pPr>
      <w:r w:rsidRPr="00801478">
        <w:t>b)</w:t>
      </w:r>
      <w:r w:rsidRPr="00801478">
        <w:tab/>
      </w:r>
      <w:r w:rsidR="00DD2797" w:rsidRPr="00801478">
        <w:t>„</w:t>
      </w:r>
      <w:r w:rsidRPr="00801478">
        <w:t>9.3.3.0.3.1</w:t>
      </w:r>
      <w:r w:rsidR="00DD2797" w:rsidRPr="00801478">
        <w:t>“ muss gestrichen werden</w:t>
      </w:r>
      <w:r w:rsidRPr="00801478">
        <w:t xml:space="preserve">, </w:t>
      </w:r>
      <w:r w:rsidR="00873972" w:rsidRPr="00801478">
        <w:t xml:space="preserve">da dieser Absatz in </w:t>
      </w:r>
      <w:r w:rsidRPr="00801478">
        <w:t>9.3.3</w:t>
      </w:r>
      <w:r w:rsidR="00873972" w:rsidRPr="00801478">
        <w:t xml:space="preserve"> nicht vorhanden ist</w:t>
      </w:r>
      <w:r w:rsidRPr="00801478">
        <w:t>;</w:t>
      </w:r>
    </w:p>
    <w:p w14:paraId="0E425A97" w14:textId="65395701" w:rsidR="00322953" w:rsidRPr="00801478" w:rsidRDefault="00322953" w:rsidP="00322953">
      <w:pPr>
        <w:widowControl/>
        <w:suppressAutoHyphens/>
        <w:overflowPunct/>
        <w:autoSpaceDE/>
        <w:autoSpaceDN/>
        <w:adjustRightInd/>
        <w:spacing w:after="120" w:line="240" w:lineRule="atLeast"/>
        <w:ind w:left="1701" w:right="1134" w:firstLine="0"/>
        <w:textAlignment w:val="auto"/>
      </w:pPr>
      <w:r w:rsidRPr="00801478">
        <w:t>c)</w:t>
      </w:r>
      <w:r w:rsidRPr="00801478">
        <w:tab/>
      </w:r>
      <w:r w:rsidR="00873972" w:rsidRPr="00801478">
        <w:t>„</w:t>
      </w:r>
      <w:r w:rsidRPr="00801478">
        <w:t>9.3.3.0.5</w:t>
      </w:r>
      <w:r w:rsidR="00873972" w:rsidRPr="00801478">
        <w:t>“ muss in: „</w:t>
      </w:r>
      <w:r w:rsidRPr="00801478">
        <w:t xml:space="preserve">9.3.3.0.4 </w:t>
      </w:r>
      <w:r w:rsidR="00873972" w:rsidRPr="00801478">
        <w:t>letzte Zeile der Tabelle 4“ geändert werden</w:t>
      </w:r>
      <w:r w:rsidRPr="00801478">
        <w:t>;</w:t>
      </w:r>
    </w:p>
    <w:p w14:paraId="229A09C8" w14:textId="63CBB49A" w:rsidR="00322953" w:rsidRPr="00801478" w:rsidRDefault="00322953" w:rsidP="00322953">
      <w:pPr>
        <w:widowControl/>
        <w:suppressAutoHyphens/>
        <w:overflowPunct/>
        <w:autoSpaceDE/>
        <w:autoSpaceDN/>
        <w:adjustRightInd/>
        <w:spacing w:after="120" w:line="240" w:lineRule="atLeast"/>
        <w:ind w:left="1701" w:right="1134" w:firstLine="0"/>
        <w:textAlignment w:val="auto"/>
      </w:pPr>
      <w:r w:rsidRPr="00801478">
        <w:t>d)</w:t>
      </w:r>
      <w:r w:rsidRPr="00801478">
        <w:tab/>
      </w:r>
      <w:r w:rsidR="00873972" w:rsidRPr="00801478">
        <w:t>„</w:t>
      </w:r>
      <w:r w:rsidRPr="00801478">
        <w:t>9.3.3.0.6</w:t>
      </w:r>
      <w:r w:rsidR="00873972" w:rsidRPr="00801478">
        <w:t>“</w:t>
      </w:r>
      <w:r w:rsidRPr="00801478">
        <w:t xml:space="preserve"> </w:t>
      </w:r>
      <w:r w:rsidR="00873972" w:rsidRPr="00801478">
        <w:t>muss hinzugefügt werden</w:t>
      </w:r>
      <w:r w:rsidRPr="00801478">
        <w:t>.</w:t>
      </w:r>
    </w:p>
    <w:p w14:paraId="0A75F69B" w14:textId="5AB874F5" w:rsidR="00322953" w:rsidRPr="00801478" w:rsidRDefault="00322953" w:rsidP="002E05AA">
      <w:pPr>
        <w:widowControl/>
        <w:suppressAutoHyphens/>
        <w:overflowPunct/>
        <w:autoSpaceDE/>
        <w:autoSpaceDN/>
        <w:adjustRightInd/>
        <w:spacing w:after="120" w:line="240" w:lineRule="atLeast"/>
        <w:ind w:left="1701" w:right="1134" w:firstLine="0"/>
        <w:textAlignment w:val="auto"/>
      </w:pPr>
      <w:r w:rsidRPr="00801478">
        <w:t>e)</w:t>
      </w:r>
      <w:r w:rsidRPr="00801478">
        <w:tab/>
      </w:r>
      <w:r w:rsidR="002E05AA" w:rsidRPr="00801478">
        <w:t xml:space="preserve">Die Übergangsbestimmung für Absatz 7.2.2.19.3 muss ebenfalls wie folgt angepasst werden (Vorschlag </w:t>
      </w:r>
      <w:r w:rsidR="009F2629" w:rsidRPr="00801478">
        <w:t>f</w:t>
      </w:r>
      <w:r w:rsidR="002E05AA" w:rsidRPr="00801478">
        <w:t>ett</w:t>
      </w:r>
      <w:r w:rsidR="00527B1B" w:rsidRPr="00801478">
        <w:t xml:space="preserve">- </w:t>
      </w:r>
      <w:r w:rsidR="002E05AA" w:rsidRPr="00801478">
        <w:t xml:space="preserve">und </w:t>
      </w:r>
      <w:r w:rsidR="009F2629" w:rsidRPr="00801478">
        <w:t>k</w:t>
      </w:r>
      <w:r w:rsidR="002E05AA" w:rsidRPr="00801478">
        <w:t>ursiv</w:t>
      </w:r>
      <w:r w:rsidR="008F2601" w:rsidRPr="00801478">
        <w:t xml:space="preserve"> </w:t>
      </w:r>
      <w:r w:rsidR="00527B1B" w:rsidRPr="00801478">
        <w:t>gedruckt</w:t>
      </w:r>
      <w:r w:rsidR="002E05AA" w:rsidRPr="00801478">
        <w:t>):</w:t>
      </w:r>
    </w:p>
    <w:tbl>
      <w:tblPr>
        <w:tblW w:w="9359" w:type="dxa"/>
        <w:tblInd w:w="2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36"/>
        <w:gridCol w:w="2379"/>
        <w:gridCol w:w="5144"/>
      </w:tblGrid>
      <w:tr w:rsidR="00322953" w:rsidRPr="00801478" w14:paraId="3101431F" w14:textId="77777777" w:rsidTr="006C6354">
        <w:trPr>
          <w:cantSplit/>
        </w:trPr>
        <w:tc>
          <w:tcPr>
            <w:tcW w:w="1836" w:type="dxa"/>
          </w:tcPr>
          <w:p w14:paraId="6A824D95" w14:textId="436CC1A9" w:rsidR="00322953" w:rsidRPr="00801478" w:rsidRDefault="00322953" w:rsidP="00322953">
            <w:pPr>
              <w:widowControl/>
              <w:suppressAutoHyphens/>
              <w:overflowPunct/>
              <w:autoSpaceDE/>
              <w:autoSpaceDN/>
              <w:snapToGrid w:val="0"/>
              <w:spacing w:before="40" w:after="40" w:line="240" w:lineRule="atLeast"/>
              <w:ind w:left="0" w:firstLine="0"/>
              <w:jc w:val="left"/>
              <w:textAlignment w:val="auto"/>
              <w:rPr>
                <w:snapToGrid w:val="0"/>
              </w:rPr>
            </w:pPr>
            <w:r w:rsidRPr="00801478">
              <w:rPr>
                <w:snapToGrid w:val="0"/>
              </w:rPr>
              <w:lastRenderedPageBreak/>
              <w:t>7.2.2.19.3</w:t>
            </w:r>
          </w:p>
        </w:tc>
        <w:tc>
          <w:tcPr>
            <w:tcW w:w="2379" w:type="dxa"/>
          </w:tcPr>
          <w:p w14:paraId="21B41A3E" w14:textId="1FA309B8" w:rsidR="006C6354" w:rsidRPr="00801478" w:rsidRDefault="006C6354" w:rsidP="006C6354">
            <w:pPr>
              <w:widowControl/>
              <w:suppressAutoHyphens/>
              <w:overflowPunct/>
              <w:autoSpaceDE/>
              <w:autoSpaceDN/>
              <w:snapToGrid w:val="0"/>
              <w:spacing w:before="40" w:after="40" w:line="240" w:lineRule="atLeast"/>
              <w:ind w:left="0" w:firstLine="0"/>
              <w:jc w:val="left"/>
              <w:textAlignment w:val="auto"/>
              <w:rPr>
                <w:snapToGrid w:val="0"/>
              </w:rPr>
            </w:pPr>
            <w:r w:rsidRPr="00801478">
              <w:rPr>
                <w:snapToGrid w:val="0"/>
              </w:rPr>
              <w:t>Schiffe, die für die Fortbewegung verwendet werden</w:t>
            </w:r>
          </w:p>
          <w:p w14:paraId="155F7B64" w14:textId="77777777" w:rsidR="006C6354" w:rsidRPr="00801478" w:rsidRDefault="006C6354" w:rsidP="006C6354">
            <w:pPr>
              <w:widowControl/>
              <w:suppressAutoHyphens/>
              <w:overflowPunct/>
              <w:autoSpaceDE/>
              <w:autoSpaceDN/>
              <w:snapToGrid w:val="0"/>
              <w:spacing w:before="40" w:after="40" w:line="240" w:lineRule="atLeast"/>
              <w:ind w:left="0" w:firstLine="0"/>
              <w:jc w:val="left"/>
              <w:textAlignment w:val="auto"/>
              <w:rPr>
                <w:snapToGrid w:val="0"/>
              </w:rPr>
            </w:pPr>
            <w:r w:rsidRPr="00801478">
              <w:rPr>
                <w:snapToGrid w:val="0"/>
              </w:rPr>
              <w:t>Anpassung an die neuen Vorschriften</w:t>
            </w:r>
          </w:p>
          <w:p w14:paraId="67C04364" w14:textId="38C99021" w:rsidR="00322953" w:rsidRPr="00801478" w:rsidRDefault="006C6354" w:rsidP="006C6354">
            <w:pPr>
              <w:widowControl/>
              <w:suppressAutoHyphens/>
              <w:overflowPunct/>
              <w:autoSpaceDE/>
              <w:autoSpaceDN/>
              <w:snapToGrid w:val="0"/>
              <w:spacing w:before="40" w:after="40" w:line="240" w:lineRule="atLeast"/>
              <w:ind w:left="0" w:firstLine="0"/>
              <w:jc w:val="left"/>
              <w:textAlignment w:val="auto"/>
              <w:rPr>
                <w:i/>
                <w:iCs/>
                <w:snapToGrid w:val="0"/>
                <w:u w:val="single"/>
              </w:rPr>
            </w:pPr>
            <w:r w:rsidRPr="00801478">
              <w:rPr>
                <w:snapToGrid w:val="0"/>
              </w:rPr>
              <w:t>Vorschriften in 9.3.3.12.4, 9.3.3.51 und 9.3.3.52.1 bis 9.3.3.52.8</w:t>
            </w:r>
          </w:p>
        </w:tc>
        <w:tc>
          <w:tcPr>
            <w:tcW w:w="5144" w:type="dxa"/>
            <w:shd w:val="clear" w:color="auto" w:fill="auto"/>
          </w:tcPr>
          <w:p w14:paraId="374A68EB" w14:textId="77777777" w:rsidR="006C6354" w:rsidRPr="00801478" w:rsidRDefault="006C6354" w:rsidP="006C6354">
            <w:pPr>
              <w:widowControl/>
              <w:suppressAutoHyphens/>
              <w:overflowPunct/>
              <w:autoSpaceDE/>
              <w:autoSpaceDN/>
              <w:snapToGrid w:val="0"/>
              <w:spacing w:before="40" w:after="40" w:line="240" w:lineRule="atLeast"/>
              <w:ind w:left="0" w:firstLine="0"/>
              <w:jc w:val="left"/>
              <w:textAlignment w:val="auto"/>
              <w:rPr>
                <w:snapToGrid w:val="0"/>
              </w:rPr>
            </w:pPr>
            <w:r w:rsidRPr="00801478">
              <w:rPr>
                <w:snapToGrid w:val="0"/>
              </w:rPr>
              <w:t>N.E.U. ab 1. Januar 2019</w:t>
            </w:r>
          </w:p>
          <w:p w14:paraId="3CA7DA69" w14:textId="77777777" w:rsidR="006C6354" w:rsidRPr="00801478" w:rsidRDefault="006C6354" w:rsidP="006C6354">
            <w:pPr>
              <w:widowControl/>
              <w:suppressAutoHyphens/>
              <w:overflowPunct/>
              <w:autoSpaceDE/>
              <w:autoSpaceDN/>
              <w:snapToGrid w:val="0"/>
              <w:spacing w:before="40" w:after="40" w:line="240" w:lineRule="atLeast"/>
              <w:ind w:left="0" w:firstLine="0"/>
              <w:jc w:val="left"/>
              <w:textAlignment w:val="auto"/>
              <w:rPr>
                <w:snapToGrid w:val="0"/>
              </w:rPr>
            </w:pPr>
            <w:r w:rsidRPr="00801478">
              <w:rPr>
                <w:snapToGrid w:val="0"/>
              </w:rPr>
              <w:t>Erneuerung des Zulassungszeugnisses nach dem 31. Dezember 2034</w:t>
            </w:r>
          </w:p>
          <w:p w14:paraId="0E72BC39" w14:textId="77777777" w:rsidR="006C6354" w:rsidRPr="00801478" w:rsidRDefault="006C6354" w:rsidP="006C6354">
            <w:pPr>
              <w:widowControl/>
              <w:suppressAutoHyphens/>
              <w:overflowPunct/>
              <w:autoSpaceDE/>
              <w:autoSpaceDN/>
              <w:snapToGrid w:val="0"/>
              <w:spacing w:before="40" w:after="40" w:line="240" w:lineRule="atLeast"/>
              <w:ind w:left="0" w:firstLine="0"/>
              <w:jc w:val="left"/>
              <w:textAlignment w:val="auto"/>
              <w:rPr>
                <w:snapToGrid w:val="0"/>
              </w:rPr>
            </w:pPr>
            <w:r w:rsidRPr="00801478">
              <w:rPr>
                <w:snapToGrid w:val="0"/>
              </w:rPr>
              <w:t>An Bord von in Betrieb befindlichen Schiffen müssen bis dahin folgende Vorschriften eingehalten werden:</w:t>
            </w:r>
          </w:p>
          <w:p w14:paraId="62AB9485" w14:textId="4A3417E2" w:rsidR="006C6354" w:rsidRPr="00801478" w:rsidRDefault="006C6354" w:rsidP="006C6354">
            <w:pPr>
              <w:widowControl/>
              <w:suppressAutoHyphens/>
              <w:overflowPunct/>
              <w:autoSpaceDE/>
              <w:autoSpaceDN/>
              <w:snapToGrid w:val="0"/>
              <w:spacing w:before="40" w:after="40" w:line="240" w:lineRule="atLeast"/>
              <w:ind w:left="0" w:firstLine="0"/>
              <w:jc w:val="left"/>
              <w:textAlignment w:val="auto"/>
              <w:rPr>
                <w:snapToGrid w:val="0"/>
              </w:rPr>
            </w:pPr>
            <w:r w:rsidRPr="00801478">
              <w:rPr>
                <w:snapToGrid w:val="0"/>
              </w:rPr>
              <w:t xml:space="preserve">Schiffe, die für die Fortbewegung in einem Schubverband oder bei gekuppelten Schiffen verwendet werden, müssen den Abschnitten, Unterabschnitten und Absätzen 1.16.1.1, 1.16.1.2, 1.16.1.3, 7.2.2.5, 8.1.4, 8.1.5, 8.1.6.1, 8.1.6.3, 8.1.7, </w:t>
            </w:r>
            <w:r w:rsidR="00DD2797" w:rsidRPr="00801478">
              <w:rPr>
                <w:b/>
                <w:bCs/>
                <w:i/>
                <w:iCs/>
                <w:u w:val="single"/>
              </w:rPr>
              <w:t>9.3.3.0.1.1, 9.3.3.0.1.2,</w:t>
            </w:r>
            <w:r w:rsidR="00DD2797" w:rsidRPr="00801478">
              <w:t xml:space="preserve"> </w:t>
            </w:r>
            <w:r w:rsidR="00DD2797" w:rsidRPr="00801478">
              <w:rPr>
                <w:b/>
                <w:bCs/>
                <w:i/>
                <w:iCs/>
                <w:u w:val="single"/>
              </w:rPr>
              <w:t>9.3.3.0.1.3</w:t>
            </w:r>
            <w:r w:rsidR="00DD2797" w:rsidRPr="00801478">
              <w:rPr>
                <w:b/>
                <w:bCs/>
              </w:rPr>
              <w:t>,</w:t>
            </w:r>
            <w:r w:rsidR="00DD2797" w:rsidRPr="00801478">
              <w:rPr>
                <w:b/>
                <w:bCs/>
                <w:i/>
                <w:iCs/>
                <w:u w:val="single"/>
              </w:rPr>
              <w:t xml:space="preserve"> 9.3.3.0.2</w:t>
            </w:r>
            <w:r w:rsidR="00DD2797" w:rsidRPr="00801478">
              <w:rPr>
                <w:b/>
                <w:bCs/>
                <w:i/>
                <w:iCs/>
                <w:snapToGrid w:val="0"/>
                <w:u w:val="single"/>
              </w:rPr>
              <w:t>,</w:t>
            </w:r>
            <w:r w:rsidR="00DD2797" w:rsidRPr="00801478">
              <w:rPr>
                <w:b/>
                <w:bCs/>
                <w:snapToGrid w:val="0"/>
              </w:rPr>
              <w:t xml:space="preserve"> </w:t>
            </w:r>
            <w:r w:rsidR="00DD2797" w:rsidRPr="00801478">
              <w:rPr>
                <w:b/>
                <w:bCs/>
                <w:strike/>
                <w:snapToGrid w:val="0"/>
              </w:rPr>
              <w:t>9.3.3.0.3.1</w:t>
            </w:r>
            <w:r w:rsidR="00DD2797" w:rsidRPr="00801478">
              <w:rPr>
                <w:b/>
                <w:bCs/>
                <w:snapToGrid w:val="0"/>
              </w:rPr>
              <w:t xml:space="preserve">, </w:t>
            </w:r>
            <w:r w:rsidR="00DD2797" w:rsidRPr="00801478">
              <w:rPr>
                <w:b/>
                <w:bCs/>
                <w:i/>
                <w:iCs/>
                <w:snapToGrid w:val="0"/>
                <w:u w:val="single"/>
              </w:rPr>
              <w:t>9.3.3.0.4 letzte Zeile der Tabelle 4</w:t>
            </w:r>
            <w:r w:rsidR="00DD2797" w:rsidRPr="00801478">
              <w:rPr>
                <w:b/>
                <w:bCs/>
                <w:snapToGrid w:val="0"/>
              </w:rPr>
              <w:t xml:space="preserve">, </w:t>
            </w:r>
            <w:r w:rsidR="00DD2797" w:rsidRPr="00801478">
              <w:rPr>
                <w:b/>
                <w:bCs/>
                <w:i/>
                <w:iCs/>
                <w:u w:val="single"/>
              </w:rPr>
              <w:t>9.3.3.0.6,</w:t>
            </w:r>
            <w:r w:rsidR="00DD2797" w:rsidRPr="00801478">
              <w:rPr>
                <w:snapToGrid w:val="0"/>
              </w:rPr>
              <w:t xml:space="preserve"> 9.3.3.10.1, </w:t>
            </w:r>
            <w:r w:rsidRPr="00801478">
              <w:rPr>
                <w:snapToGrid w:val="0"/>
              </w:rPr>
              <w:t>9.3.3.10.4, 9.3.3.12.4 a) mit Ausnahme des Steuerhauses, 9.3.3.12.4 b) mit Ausnahme der T90-Zeit, 9.3.3.12.4 c), 9.3.3.12.6, 9.3.3.16, 9.3.3.17.1 bis 9.3.3.17.4, 9.3.3.31.1 bis 9.3.3.31.5, 9.3.3.32.2, 9.3.3.34.1, 9.3.3.34.2, 9.3.3.40.1 (jedoch genügt eine einzige Feuerlösch- oder Ballastpumpe), 9.3.3.40.2, 9.3.3.41, 9.3.3.50.1 c), 9.3.3.50.2, 9.3.3.51, 9.3.3.52.6, 9.3.3.52.7, 9.3.3.52.8,  9.3.3.56.5, 9.3.3.71 und 9.3.3.74 entsprechen, wenn mindestens ein Tankschiff der Zusammenstellung gefährliche Güter befördert.</w:t>
            </w:r>
          </w:p>
          <w:p w14:paraId="6B6DACE6" w14:textId="77777777" w:rsidR="006C6354" w:rsidRPr="00801478" w:rsidRDefault="006C6354" w:rsidP="006C6354">
            <w:pPr>
              <w:widowControl/>
              <w:suppressAutoHyphens/>
              <w:overflowPunct/>
              <w:autoSpaceDE/>
              <w:autoSpaceDN/>
              <w:snapToGrid w:val="0"/>
              <w:spacing w:before="40" w:after="40" w:line="240" w:lineRule="atLeast"/>
              <w:ind w:left="0" w:firstLine="0"/>
              <w:jc w:val="left"/>
              <w:textAlignment w:val="auto"/>
              <w:rPr>
                <w:snapToGrid w:val="0"/>
              </w:rPr>
            </w:pPr>
            <w:r w:rsidRPr="00801478">
              <w:rPr>
                <w:snapToGrid w:val="0"/>
              </w:rPr>
              <w:t>Zur Erfüllung der Bedingung in 9.3.3.10.4 dürfen senkrechte Schutzwände mit einer Mindesthöhe von 0,50 m angeordnet werden.</w:t>
            </w:r>
          </w:p>
          <w:p w14:paraId="528770DA" w14:textId="02A52B55" w:rsidR="00322953" w:rsidRPr="00801478" w:rsidRDefault="006C6354" w:rsidP="00DD2797">
            <w:pPr>
              <w:widowControl/>
              <w:suppressAutoHyphens/>
              <w:overflowPunct/>
              <w:autoSpaceDE/>
              <w:autoSpaceDN/>
              <w:snapToGrid w:val="0"/>
              <w:spacing w:before="40" w:after="40" w:line="240" w:lineRule="atLeast"/>
              <w:ind w:left="0" w:firstLine="0"/>
              <w:jc w:val="left"/>
              <w:textAlignment w:val="auto"/>
              <w:rPr>
                <w:snapToGrid w:val="0"/>
              </w:rPr>
            </w:pPr>
            <w:r w:rsidRPr="00801478">
              <w:rPr>
                <w:snapToGrid w:val="0"/>
              </w:rPr>
              <w:t>Schiffe, die ausschließlich zum Fortbewegen von Tankschiffen des Typs N offen genutzt werden, müssen den Absätzen 9.3.3.10.1, 9.3.3.10.4 und 9.3.3.12.6 nicht entsprechen. Diese Abweichungen müssen im Zulassungszeugnis bzw. im vorläufigen Zulassungszeugnis unter Nummer 5 wie folgt eingetragen sein: „Zugelassene Abweichungen“: „Abweichung von 9.3.3.10.1, 9.3.3.10.4 und 9.3.3.12.6; das Schiff darf ausschließlich Tankschiffe des Typs N offen fortbewegen“.</w:t>
            </w:r>
          </w:p>
        </w:tc>
      </w:tr>
    </w:tbl>
    <w:p w14:paraId="6951FA3D" w14:textId="5EE5B233" w:rsidR="00B827ED" w:rsidRPr="00801478" w:rsidRDefault="00B827ED" w:rsidP="00D14A73">
      <w:pPr>
        <w:widowControl/>
        <w:tabs>
          <w:tab w:val="left" w:pos="1701"/>
        </w:tabs>
        <w:suppressAutoHyphens/>
        <w:overflowPunct/>
        <w:autoSpaceDE/>
        <w:autoSpaceDN/>
        <w:adjustRightInd/>
        <w:spacing w:after="120" w:line="240" w:lineRule="atLeast"/>
        <w:ind w:right="1134" w:firstLine="0"/>
        <w:textAlignment w:val="auto"/>
        <w:rPr>
          <w:b/>
          <w:bCs/>
        </w:rPr>
      </w:pPr>
    </w:p>
    <w:p w14:paraId="258CF0B9" w14:textId="6A041A2C" w:rsidR="00751575" w:rsidRPr="00B60659" w:rsidRDefault="00B60659" w:rsidP="00B60659">
      <w:pPr>
        <w:tabs>
          <w:tab w:val="left" w:pos="567"/>
          <w:tab w:val="left" w:pos="1418"/>
        </w:tabs>
        <w:spacing w:line="240" w:lineRule="atLeast"/>
        <w:ind w:left="0" w:firstLine="0"/>
        <w:contextualSpacing/>
        <w:jc w:val="center"/>
      </w:pPr>
      <w:r w:rsidRPr="00801478">
        <w:t>***</w:t>
      </w:r>
    </w:p>
    <w:sectPr w:rsidR="00751575" w:rsidRPr="00B60659" w:rsidSect="00596953">
      <w:headerReference w:type="even" r:id="rId9"/>
      <w:headerReference w:type="default" r:id="rId10"/>
      <w:footerReference w:type="even" r:id="rId11"/>
      <w:footerReference w:type="default" r:id="rId12"/>
      <w:pgSz w:w="11906" w:h="16838"/>
      <w:pgMar w:top="1701"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03EBE" w14:textId="77777777" w:rsidR="00A249EB" w:rsidRDefault="00A249EB" w:rsidP="0011702A">
      <w:r>
        <w:separator/>
      </w:r>
    </w:p>
  </w:endnote>
  <w:endnote w:type="continuationSeparator" w:id="0">
    <w:p w14:paraId="529641AD" w14:textId="77777777" w:rsidR="00A249EB" w:rsidRDefault="00A249EB" w:rsidP="0011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16D6D" w14:textId="6E975AD1" w:rsidR="00915307" w:rsidRPr="008D3DAE" w:rsidRDefault="008D3DAE" w:rsidP="008D3DAE">
    <w:pPr>
      <w:suppressAutoHyphens/>
      <w:jc w:val="right"/>
      <w:rPr>
        <w:lang w:val="fr-FR"/>
      </w:rPr>
    </w:pPr>
    <w:r>
      <w:rPr>
        <w:rFonts w:ascii="Arial" w:hAnsi="Arial" w:cs="Arial"/>
        <w:noProof/>
        <w:snapToGrid w:val="0"/>
        <w:sz w:val="12"/>
        <w:lang w:val="fr-FR"/>
      </w:rPr>
      <w:t>mm_ba/adn_wp15_ac2_2023_</w:t>
    </w:r>
    <w:r w:rsidR="00D14A73">
      <w:rPr>
        <w:rFonts w:ascii="Arial" w:hAnsi="Arial" w:cs="Arial"/>
        <w:noProof/>
        <w:snapToGrid w:val="0"/>
        <w:sz w:val="12"/>
        <w:lang w:val="fr-FR"/>
      </w:rPr>
      <w:t>1</w:t>
    </w:r>
    <w:r w:rsidR="00322953">
      <w:rPr>
        <w:rFonts w:ascii="Arial" w:hAnsi="Arial" w:cs="Arial"/>
        <w:noProof/>
        <w:snapToGrid w:val="0"/>
        <w:sz w:val="12"/>
        <w:lang w:val="fr-FR"/>
      </w:rPr>
      <w:t>8</w:t>
    </w:r>
    <w:r>
      <w:rPr>
        <w:rFonts w:ascii="Arial" w:hAnsi="Arial" w:cs="Arial"/>
        <w:noProof/>
        <w:snapToGrid w:val="0"/>
        <w:sz w:val="12"/>
        <w:lang w:val="fr-FR"/>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E8697" w14:textId="7CA11C24" w:rsidR="00455E11" w:rsidRPr="00B60659" w:rsidRDefault="00322953" w:rsidP="00B60659">
    <w:pPr>
      <w:suppressAutoHyphens/>
      <w:jc w:val="right"/>
      <w:rPr>
        <w:rFonts w:ascii="Arial" w:hAnsi="Arial" w:cs="Arial"/>
        <w:noProof/>
        <w:snapToGrid w:val="0"/>
        <w:sz w:val="12"/>
        <w:lang w:val="fr-FR"/>
      </w:rPr>
    </w:pPr>
    <w:r>
      <w:rPr>
        <w:rFonts w:ascii="Arial" w:hAnsi="Arial" w:cs="Arial"/>
        <w:noProof/>
        <w:snapToGrid w:val="0"/>
        <w:sz w:val="12"/>
        <w:lang w:val="fr-FR"/>
      </w:rPr>
      <w:t>m</w:t>
    </w:r>
    <w:r w:rsidR="00455E11" w:rsidRPr="00B60659">
      <w:rPr>
        <w:rFonts w:ascii="Arial" w:hAnsi="Arial" w:cs="Arial"/>
        <w:noProof/>
        <w:snapToGrid w:val="0"/>
        <w:sz w:val="12"/>
        <w:lang w:val="fr-FR"/>
      </w:rPr>
      <w:t>m</w:t>
    </w:r>
    <w:r>
      <w:rPr>
        <w:rFonts w:ascii="Arial" w:hAnsi="Arial" w:cs="Arial"/>
        <w:noProof/>
        <w:snapToGrid w:val="0"/>
        <w:sz w:val="12"/>
        <w:lang w:val="fr-FR"/>
      </w:rPr>
      <w:t>_ba</w:t>
    </w:r>
    <w:r w:rsidR="00455E11" w:rsidRPr="00B60659">
      <w:rPr>
        <w:rFonts w:ascii="Arial" w:hAnsi="Arial" w:cs="Arial"/>
        <w:noProof/>
        <w:snapToGrid w:val="0"/>
        <w:sz w:val="12"/>
        <w:lang w:val="fr-FR"/>
      </w:rPr>
      <w:t>/adn_wp15_ac2_2023_</w:t>
    </w:r>
    <w:r>
      <w:rPr>
        <w:rFonts w:ascii="Arial" w:hAnsi="Arial" w:cs="Arial"/>
        <w:noProof/>
        <w:snapToGrid w:val="0"/>
        <w:sz w:val="12"/>
        <w:lang w:val="fr-FR"/>
      </w:rPr>
      <w:t>18</w:t>
    </w:r>
    <w:r w:rsidR="00455E11" w:rsidRPr="00B60659">
      <w:rPr>
        <w:rFonts w:ascii="Arial" w:hAnsi="Arial" w:cs="Arial"/>
        <w:noProof/>
        <w:snapToGrid w:val="0"/>
        <w:sz w:val="12"/>
        <w:lang w:val="fr-FR"/>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10AE2" w14:textId="77777777" w:rsidR="00A249EB" w:rsidRDefault="00A249EB" w:rsidP="0011702A">
      <w:r>
        <w:separator/>
      </w:r>
    </w:p>
  </w:footnote>
  <w:footnote w:type="continuationSeparator" w:id="0">
    <w:p w14:paraId="417DF13A" w14:textId="77777777" w:rsidR="00A249EB" w:rsidRDefault="00A249EB" w:rsidP="0011702A">
      <w:r>
        <w:continuationSeparator/>
      </w:r>
    </w:p>
  </w:footnote>
  <w:footnote w:id="1">
    <w:p w14:paraId="4A90418F" w14:textId="30262B5A" w:rsidR="008D3DAE" w:rsidRPr="00B60659" w:rsidRDefault="008D3DAE" w:rsidP="008D3DAE">
      <w:pPr>
        <w:pStyle w:val="FootnoteText"/>
        <w:rPr>
          <w:sz w:val="16"/>
          <w:szCs w:val="16"/>
        </w:rPr>
      </w:pPr>
      <w:r w:rsidRPr="00B60659">
        <w:rPr>
          <w:rStyle w:val="FootnoteReference"/>
        </w:rPr>
        <w:tab/>
        <w:t>*</w:t>
      </w:r>
      <w:r w:rsidRPr="00B60659">
        <w:rPr>
          <w:rStyle w:val="FootnoteReference"/>
        </w:rPr>
        <w:tab/>
      </w:r>
      <w:r w:rsidRPr="00B60659">
        <w:rPr>
          <w:sz w:val="16"/>
          <w:szCs w:val="16"/>
        </w:rPr>
        <w:t>Von der UNECE in Englisch, Französisch und Russisch unter dem Aktenzeichen ECE/TRANS/WP.15/AC.2/2023/</w:t>
      </w:r>
      <w:r w:rsidR="00322953">
        <w:rPr>
          <w:sz w:val="16"/>
          <w:szCs w:val="16"/>
        </w:rPr>
        <w:t>18</w:t>
      </w:r>
      <w:r w:rsidRPr="00B60659">
        <w:rPr>
          <w:sz w:val="16"/>
          <w:szCs w:val="16"/>
        </w:rPr>
        <w:t>.</w:t>
      </w:r>
    </w:p>
  </w:footnote>
  <w:footnote w:id="2">
    <w:p w14:paraId="1B2FF234" w14:textId="6F147C17" w:rsidR="008D3DAE" w:rsidRPr="00B60659" w:rsidRDefault="008D3DAE" w:rsidP="008D3DAE">
      <w:pPr>
        <w:pStyle w:val="FootnoteText"/>
        <w:rPr>
          <w:sz w:val="16"/>
          <w:szCs w:val="16"/>
        </w:rPr>
      </w:pPr>
      <w:r w:rsidRPr="00B60659">
        <w:rPr>
          <w:rStyle w:val="FootnoteReference"/>
        </w:rPr>
        <w:tab/>
        <w:t>**</w:t>
      </w:r>
      <w:r w:rsidRPr="00B60659">
        <w:rPr>
          <w:rStyle w:val="FootnoteReference"/>
        </w:rPr>
        <w:tab/>
      </w:r>
      <w:r w:rsidRPr="00B60659">
        <w:rPr>
          <w:sz w:val="16"/>
          <w:szCs w:val="16"/>
        </w:rPr>
        <w:t>A/</w:t>
      </w:r>
      <w:r>
        <w:rPr>
          <w:sz w:val="16"/>
          <w:szCs w:val="16"/>
        </w:rPr>
        <w:t>77</w:t>
      </w:r>
      <w:r w:rsidRPr="00B60659">
        <w:rPr>
          <w:sz w:val="16"/>
          <w:szCs w:val="16"/>
        </w:rPr>
        <w:t xml:space="preserve">/6 (Kap. 20) </w:t>
      </w:r>
      <w:r>
        <w:rPr>
          <w:sz w:val="16"/>
          <w:szCs w:val="16"/>
        </w:rPr>
        <w:t>Tabelle</w:t>
      </w:r>
      <w:r w:rsidRPr="00B60659">
        <w:rPr>
          <w:sz w:val="16"/>
          <w:szCs w:val="16"/>
        </w:rPr>
        <w:t>. 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FF0B" w14:textId="355CC7E1" w:rsidR="00DA541A" w:rsidRPr="00B60659" w:rsidRDefault="00DA541A" w:rsidP="00B60659">
    <w:pPr>
      <w:widowControl/>
      <w:suppressAutoHyphens/>
      <w:overflowPunct/>
      <w:autoSpaceDE/>
      <w:autoSpaceDN/>
      <w:adjustRightInd/>
      <w:ind w:left="0" w:firstLine="0"/>
      <w:jc w:val="left"/>
      <w:textAlignment w:val="auto"/>
      <w:rPr>
        <w:rFonts w:ascii="Arial" w:hAnsi="Arial"/>
        <w:snapToGrid w:val="0"/>
        <w:sz w:val="16"/>
        <w:szCs w:val="16"/>
        <w:lang w:val="fr-FR"/>
      </w:rPr>
    </w:pPr>
    <w:r w:rsidRPr="00B60659">
      <w:rPr>
        <w:rFonts w:ascii="Arial" w:hAnsi="Arial"/>
        <w:snapToGrid w:val="0"/>
        <w:sz w:val="16"/>
        <w:szCs w:val="16"/>
        <w:lang w:val="fr-FR"/>
      </w:rPr>
      <w:t>CCNR-ZKR/ADN/WP.15/AC.2/</w:t>
    </w:r>
    <w:r w:rsidR="00D46495" w:rsidRPr="00B60659">
      <w:rPr>
        <w:rFonts w:ascii="Arial" w:hAnsi="Arial"/>
        <w:snapToGrid w:val="0"/>
        <w:sz w:val="16"/>
        <w:szCs w:val="16"/>
        <w:lang w:val="fr-FR"/>
      </w:rPr>
      <w:t>202</w:t>
    </w:r>
    <w:r w:rsidR="0043787C" w:rsidRPr="00B60659">
      <w:rPr>
        <w:rFonts w:ascii="Arial" w:hAnsi="Arial"/>
        <w:snapToGrid w:val="0"/>
        <w:sz w:val="16"/>
        <w:szCs w:val="16"/>
        <w:lang w:val="fr-FR"/>
      </w:rPr>
      <w:t>3</w:t>
    </w:r>
    <w:r w:rsidR="00D46495" w:rsidRPr="00B60659">
      <w:rPr>
        <w:rFonts w:ascii="Arial" w:hAnsi="Arial"/>
        <w:snapToGrid w:val="0"/>
        <w:sz w:val="16"/>
        <w:szCs w:val="16"/>
        <w:lang w:val="fr-FR"/>
      </w:rPr>
      <w:t>/</w:t>
    </w:r>
    <w:r w:rsidR="00D14A73">
      <w:rPr>
        <w:rFonts w:ascii="Arial" w:hAnsi="Arial"/>
        <w:snapToGrid w:val="0"/>
        <w:sz w:val="16"/>
        <w:szCs w:val="16"/>
        <w:lang w:val="fr-FR"/>
      </w:rPr>
      <w:t>1</w:t>
    </w:r>
    <w:r w:rsidR="00801478">
      <w:rPr>
        <w:rFonts w:ascii="Arial" w:hAnsi="Arial"/>
        <w:snapToGrid w:val="0"/>
        <w:sz w:val="16"/>
        <w:szCs w:val="16"/>
        <w:lang w:val="fr-FR"/>
      </w:rPr>
      <w:t>8</w:t>
    </w:r>
  </w:p>
  <w:p w14:paraId="532A701C" w14:textId="77777777" w:rsidR="00DA541A" w:rsidRPr="00B60659" w:rsidRDefault="00DA541A" w:rsidP="00B60659">
    <w:pPr>
      <w:widowControl/>
      <w:suppressAutoHyphens/>
      <w:overflowPunct/>
      <w:autoSpaceDE/>
      <w:autoSpaceDN/>
      <w:adjustRightInd/>
      <w:ind w:left="0" w:firstLine="0"/>
      <w:jc w:val="left"/>
      <w:textAlignment w:val="auto"/>
      <w:rPr>
        <w:rFonts w:ascii="Arial" w:hAnsi="Arial"/>
        <w:snapToGrid w:val="0"/>
        <w:sz w:val="16"/>
        <w:szCs w:val="16"/>
      </w:rPr>
    </w:pPr>
    <w:r w:rsidRPr="00B60659">
      <w:rPr>
        <w:rFonts w:ascii="Arial" w:hAnsi="Arial"/>
        <w:snapToGrid w:val="0"/>
        <w:sz w:val="16"/>
        <w:szCs w:val="16"/>
      </w:rPr>
      <w:t xml:space="preserve">Seite </w:t>
    </w:r>
    <w:r w:rsidRPr="00B60659">
      <w:rPr>
        <w:rFonts w:ascii="Arial" w:hAnsi="Arial"/>
        <w:snapToGrid w:val="0"/>
        <w:sz w:val="16"/>
        <w:szCs w:val="16"/>
      </w:rPr>
      <w:fldChar w:fldCharType="begin"/>
    </w:r>
    <w:r w:rsidRPr="00B60659">
      <w:rPr>
        <w:rFonts w:ascii="Arial" w:hAnsi="Arial"/>
        <w:snapToGrid w:val="0"/>
        <w:sz w:val="16"/>
        <w:szCs w:val="16"/>
      </w:rPr>
      <w:instrText xml:space="preserve"> PAGE  \* MERGEFORMAT </w:instrText>
    </w:r>
    <w:r w:rsidRPr="00B60659">
      <w:rPr>
        <w:rFonts w:ascii="Arial" w:hAnsi="Arial"/>
        <w:snapToGrid w:val="0"/>
        <w:sz w:val="16"/>
        <w:szCs w:val="16"/>
      </w:rPr>
      <w:fldChar w:fldCharType="separate"/>
    </w:r>
    <w:r w:rsidR="009767E1" w:rsidRPr="00B60659">
      <w:rPr>
        <w:rFonts w:ascii="Arial" w:hAnsi="Arial"/>
        <w:snapToGrid w:val="0"/>
        <w:sz w:val="16"/>
        <w:szCs w:val="16"/>
      </w:rPr>
      <w:t>2</w:t>
    </w:r>
    <w:r w:rsidRPr="00B60659">
      <w:rPr>
        <w:rFonts w:ascii="Arial" w:hAnsi="Arial"/>
        <w:snapToGrid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84A4C" w14:textId="0E66637F" w:rsidR="00DA541A" w:rsidRPr="00B60659" w:rsidRDefault="00DA541A" w:rsidP="00B60659">
    <w:pPr>
      <w:widowControl/>
      <w:suppressAutoHyphens/>
      <w:overflowPunct/>
      <w:autoSpaceDE/>
      <w:autoSpaceDN/>
      <w:adjustRightInd/>
      <w:ind w:left="0" w:firstLine="0"/>
      <w:jc w:val="right"/>
      <w:textAlignment w:val="auto"/>
      <w:rPr>
        <w:rFonts w:ascii="Arial" w:hAnsi="Arial"/>
        <w:snapToGrid w:val="0"/>
        <w:sz w:val="16"/>
        <w:szCs w:val="16"/>
        <w:lang w:val="fr-FR"/>
      </w:rPr>
    </w:pPr>
    <w:r w:rsidRPr="00B60659">
      <w:rPr>
        <w:rFonts w:ascii="Arial" w:hAnsi="Arial"/>
        <w:snapToGrid w:val="0"/>
        <w:sz w:val="16"/>
        <w:szCs w:val="16"/>
        <w:lang w:val="fr-FR"/>
      </w:rPr>
      <w:t>CCNR-ZKR/ADN/WP.15/AC.2/202</w:t>
    </w:r>
    <w:r w:rsidR="0043787C" w:rsidRPr="00B60659">
      <w:rPr>
        <w:rFonts w:ascii="Arial" w:hAnsi="Arial"/>
        <w:snapToGrid w:val="0"/>
        <w:sz w:val="16"/>
        <w:szCs w:val="16"/>
        <w:lang w:val="fr-FR"/>
      </w:rPr>
      <w:t>3</w:t>
    </w:r>
    <w:r w:rsidRPr="00B60659">
      <w:rPr>
        <w:rFonts w:ascii="Arial" w:hAnsi="Arial"/>
        <w:snapToGrid w:val="0"/>
        <w:sz w:val="16"/>
        <w:szCs w:val="16"/>
        <w:lang w:val="fr-FR"/>
      </w:rPr>
      <w:t>/</w:t>
    </w:r>
    <w:r w:rsidR="00322953">
      <w:rPr>
        <w:rFonts w:ascii="Arial" w:hAnsi="Arial"/>
        <w:snapToGrid w:val="0"/>
        <w:sz w:val="16"/>
        <w:szCs w:val="16"/>
        <w:lang w:val="fr-FR"/>
      </w:rPr>
      <w:t>18</w:t>
    </w:r>
  </w:p>
  <w:p w14:paraId="526710C3" w14:textId="77777777" w:rsidR="00DA541A" w:rsidRPr="00B60659" w:rsidRDefault="00DA541A" w:rsidP="00B60659">
    <w:pPr>
      <w:widowControl/>
      <w:suppressAutoHyphens/>
      <w:overflowPunct/>
      <w:autoSpaceDE/>
      <w:autoSpaceDN/>
      <w:adjustRightInd/>
      <w:ind w:left="0" w:firstLine="0"/>
      <w:jc w:val="right"/>
      <w:textAlignment w:val="auto"/>
      <w:rPr>
        <w:rFonts w:ascii="Arial" w:hAnsi="Arial"/>
        <w:snapToGrid w:val="0"/>
        <w:sz w:val="16"/>
        <w:szCs w:val="16"/>
      </w:rPr>
    </w:pPr>
    <w:r w:rsidRPr="00B60659">
      <w:rPr>
        <w:rFonts w:ascii="Arial" w:hAnsi="Arial"/>
        <w:snapToGrid w:val="0"/>
        <w:sz w:val="16"/>
        <w:szCs w:val="16"/>
      </w:rPr>
      <w:t xml:space="preserve">Seite </w:t>
    </w:r>
    <w:r w:rsidRPr="00B60659">
      <w:rPr>
        <w:rFonts w:ascii="Arial" w:hAnsi="Arial"/>
        <w:snapToGrid w:val="0"/>
        <w:sz w:val="16"/>
        <w:szCs w:val="16"/>
      </w:rPr>
      <w:fldChar w:fldCharType="begin"/>
    </w:r>
    <w:r w:rsidRPr="00B60659">
      <w:rPr>
        <w:rFonts w:ascii="Arial" w:hAnsi="Arial"/>
        <w:snapToGrid w:val="0"/>
        <w:sz w:val="16"/>
        <w:szCs w:val="16"/>
      </w:rPr>
      <w:instrText xml:space="preserve"> PAGE  \* MERGEFORMAT </w:instrText>
    </w:r>
    <w:r w:rsidRPr="00B60659">
      <w:rPr>
        <w:rFonts w:ascii="Arial" w:hAnsi="Arial"/>
        <w:snapToGrid w:val="0"/>
        <w:sz w:val="16"/>
        <w:szCs w:val="16"/>
      </w:rPr>
      <w:fldChar w:fldCharType="separate"/>
    </w:r>
    <w:r w:rsidR="00C96029" w:rsidRPr="00B60659">
      <w:rPr>
        <w:rFonts w:ascii="Arial" w:hAnsi="Arial"/>
        <w:snapToGrid w:val="0"/>
        <w:sz w:val="16"/>
        <w:szCs w:val="16"/>
      </w:rPr>
      <w:t>3</w:t>
    </w:r>
    <w:r w:rsidRPr="00B60659">
      <w:rPr>
        <w:rFonts w:ascii="Arial" w:hAnsi="Arial"/>
        <w:snapToGrid w:val="0"/>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B89016F"/>
    <w:multiLevelType w:val="hybridMultilevel"/>
    <w:tmpl w:val="17178F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6239D"/>
    <w:multiLevelType w:val="hybridMultilevel"/>
    <w:tmpl w:val="0912464A"/>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2" w15:restartNumberingAfterBreak="0">
    <w:nsid w:val="18941C9A"/>
    <w:multiLevelType w:val="hybridMultilevel"/>
    <w:tmpl w:val="F7A874E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A83EC4"/>
    <w:multiLevelType w:val="hybridMultilevel"/>
    <w:tmpl w:val="8FA645D8"/>
    <w:lvl w:ilvl="0" w:tplc="21041046">
      <w:start w:val="1"/>
      <w:numFmt w:val="lowerLetter"/>
      <w:lvlText w:val="%1)"/>
      <w:lvlJc w:val="left"/>
      <w:pPr>
        <w:ind w:left="1137" w:hanging="57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4" w15:restartNumberingAfterBreak="0">
    <w:nsid w:val="232E4233"/>
    <w:multiLevelType w:val="hybridMultilevel"/>
    <w:tmpl w:val="6F2EC74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5196FFB"/>
    <w:multiLevelType w:val="hybridMultilevel"/>
    <w:tmpl w:val="872AD08C"/>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6" w15:restartNumberingAfterBreak="0">
    <w:nsid w:val="30E86F28"/>
    <w:multiLevelType w:val="hybridMultilevel"/>
    <w:tmpl w:val="52EE0F6E"/>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7" w15:restartNumberingAfterBreak="0">
    <w:nsid w:val="6F0563AC"/>
    <w:multiLevelType w:val="hybridMultilevel"/>
    <w:tmpl w:val="114864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729A3D24"/>
    <w:multiLevelType w:val="hybridMultilevel"/>
    <w:tmpl w:val="678E4228"/>
    <w:lvl w:ilvl="0" w:tplc="1B9C83D0">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num w:numId="1" w16cid:durableId="1718971598">
    <w:abstractNumId w:val="0"/>
  </w:num>
  <w:num w:numId="2" w16cid:durableId="1174107792">
    <w:abstractNumId w:val="2"/>
  </w:num>
  <w:num w:numId="3" w16cid:durableId="887492727">
    <w:abstractNumId w:val="7"/>
  </w:num>
  <w:num w:numId="4" w16cid:durableId="58795070">
    <w:abstractNumId w:val="8"/>
  </w:num>
  <w:num w:numId="5" w16cid:durableId="2117282849">
    <w:abstractNumId w:val="4"/>
  </w:num>
  <w:num w:numId="6" w16cid:durableId="64181020">
    <w:abstractNumId w:val="3"/>
  </w:num>
  <w:num w:numId="7" w16cid:durableId="447357181">
    <w:abstractNumId w:val="6"/>
  </w:num>
  <w:num w:numId="8" w16cid:durableId="222369782">
    <w:abstractNumId w:val="1"/>
  </w:num>
  <w:num w:numId="9" w16cid:durableId="17702742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6DE"/>
    <w:rsid w:val="000049F5"/>
    <w:rsid w:val="00006820"/>
    <w:rsid w:val="000143A3"/>
    <w:rsid w:val="00014D4F"/>
    <w:rsid w:val="00016593"/>
    <w:rsid w:val="00017B2F"/>
    <w:rsid w:val="00025C95"/>
    <w:rsid w:val="00026176"/>
    <w:rsid w:val="0003284B"/>
    <w:rsid w:val="00034828"/>
    <w:rsid w:val="00036FD5"/>
    <w:rsid w:val="000402D6"/>
    <w:rsid w:val="00041328"/>
    <w:rsid w:val="0004134B"/>
    <w:rsid w:val="000415F3"/>
    <w:rsid w:val="000432E3"/>
    <w:rsid w:val="00043FEC"/>
    <w:rsid w:val="00047E84"/>
    <w:rsid w:val="00052E7E"/>
    <w:rsid w:val="000543C2"/>
    <w:rsid w:val="000563D5"/>
    <w:rsid w:val="00056B10"/>
    <w:rsid w:val="00057DC8"/>
    <w:rsid w:val="0006299C"/>
    <w:rsid w:val="0007311B"/>
    <w:rsid w:val="00076F9A"/>
    <w:rsid w:val="00080275"/>
    <w:rsid w:val="00080F60"/>
    <w:rsid w:val="00084B40"/>
    <w:rsid w:val="00090A58"/>
    <w:rsid w:val="0009215A"/>
    <w:rsid w:val="00097410"/>
    <w:rsid w:val="0009790D"/>
    <w:rsid w:val="000A1A85"/>
    <w:rsid w:val="000A324C"/>
    <w:rsid w:val="000B3573"/>
    <w:rsid w:val="000C0CD6"/>
    <w:rsid w:val="000C108A"/>
    <w:rsid w:val="000C3DD0"/>
    <w:rsid w:val="000C4ACA"/>
    <w:rsid w:val="000C6E63"/>
    <w:rsid w:val="000C72ED"/>
    <w:rsid w:val="000C754F"/>
    <w:rsid w:val="000C795B"/>
    <w:rsid w:val="000D3D4C"/>
    <w:rsid w:val="000D4406"/>
    <w:rsid w:val="000D5D27"/>
    <w:rsid w:val="000D7FD6"/>
    <w:rsid w:val="000E4620"/>
    <w:rsid w:val="000E6786"/>
    <w:rsid w:val="000F17DE"/>
    <w:rsid w:val="000F6242"/>
    <w:rsid w:val="000F79E4"/>
    <w:rsid w:val="001013D7"/>
    <w:rsid w:val="001015D4"/>
    <w:rsid w:val="00103513"/>
    <w:rsid w:val="00106650"/>
    <w:rsid w:val="00106FC3"/>
    <w:rsid w:val="00113A60"/>
    <w:rsid w:val="00114102"/>
    <w:rsid w:val="0011545F"/>
    <w:rsid w:val="0011702A"/>
    <w:rsid w:val="0012236C"/>
    <w:rsid w:val="00126AA9"/>
    <w:rsid w:val="00131CD7"/>
    <w:rsid w:val="00132CD8"/>
    <w:rsid w:val="00143354"/>
    <w:rsid w:val="00144209"/>
    <w:rsid w:val="0014655C"/>
    <w:rsid w:val="001515D6"/>
    <w:rsid w:val="0015578B"/>
    <w:rsid w:val="00156782"/>
    <w:rsid w:val="001568F4"/>
    <w:rsid w:val="00156903"/>
    <w:rsid w:val="00156ACE"/>
    <w:rsid w:val="0016040C"/>
    <w:rsid w:val="0016468C"/>
    <w:rsid w:val="0016790C"/>
    <w:rsid w:val="001729A2"/>
    <w:rsid w:val="001735B9"/>
    <w:rsid w:val="001739E9"/>
    <w:rsid w:val="00176072"/>
    <w:rsid w:val="0017767A"/>
    <w:rsid w:val="001878DE"/>
    <w:rsid w:val="00190390"/>
    <w:rsid w:val="00197CF4"/>
    <w:rsid w:val="001A078E"/>
    <w:rsid w:val="001A791F"/>
    <w:rsid w:val="001B4F22"/>
    <w:rsid w:val="001B7B3E"/>
    <w:rsid w:val="001C0E5C"/>
    <w:rsid w:val="001C1D1B"/>
    <w:rsid w:val="001C303B"/>
    <w:rsid w:val="001C4ED8"/>
    <w:rsid w:val="001D1B0A"/>
    <w:rsid w:val="001D34F6"/>
    <w:rsid w:val="001D4239"/>
    <w:rsid w:val="001E4D07"/>
    <w:rsid w:val="001E515F"/>
    <w:rsid w:val="0020240A"/>
    <w:rsid w:val="00202E6D"/>
    <w:rsid w:val="0020337F"/>
    <w:rsid w:val="00205465"/>
    <w:rsid w:val="002132D2"/>
    <w:rsid w:val="00221D05"/>
    <w:rsid w:val="00223DF9"/>
    <w:rsid w:val="00231D22"/>
    <w:rsid w:val="00235B56"/>
    <w:rsid w:val="00240203"/>
    <w:rsid w:val="002406C8"/>
    <w:rsid w:val="0024118A"/>
    <w:rsid w:val="002421A1"/>
    <w:rsid w:val="002431F2"/>
    <w:rsid w:val="002460C4"/>
    <w:rsid w:val="00250FDB"/>
    <w:rsid w:val="00253DB1"/>
    <w:rsid w:val="002546D9"/>
    <w:rsid w:val="00255192"/>
    <w:rsid w:val="0027414F"/>
    <w:rsid w:val="002748A2"/>
    <w:rsid w:val="00280779"/>
    <w:rsid w:val="00283323"/>
    <w:rsid w:val="00290B95"/>
    <w:rsid w:val="00291CB3"/>
    <w:rsid w:val="00293696"/>
    <w:rsid w:val="002945CA"/>
    <w:rsid w:val="002A337E"/>
    <w:rsid w:val="002A53A6"/>
    <w:rsid w:val="002B0567"/>
    <w:rsid w:val="002B0630"/>
    <w:rsid w:val="002B3FEF"/>
    <w:rsid w:val="002B4C67"/>
    <w:rsid w:val="002B5AED"/>
    <w:rsid w:val="002B5AFB"/>
    <w:rsid w:val="002C0469"/>
    <w:rsid w:val="002C382E"/>
    <w:rsid w:val="002C742A"/>
    <w:rsid w:val="002D1BFB"/>
    <w:rsid w:val="002D4720"/>
    <w:rsid w:val="002D7C79"/>
    <w:rsid w:val="002E05AA"/>
    <w:rsid w:val="002E0D39"/>
    <w:rsid w:val="002E2DAD"/>
    <w:rsid w:val="002E3745"/>
    <w:rsid w:val="002E3FE8"/>
    <w:rsid w:val="002E6A16"/>
    <w:rsid w:val="002E7227"/>
    <w:rsid w:val="002F4FC6"/>
    <w:rsid w:val="00303233"/>
    <w:rsid w:val="003033DD"/>
    <w:rsid w:val="00316D5A"/>
    <w:rsid w:val="0032045B"/>
    <w:rsid w:val="00320C5F"/>
    <w:rsid w:val="00322953"/>
    <w:rsid w:val="003233C8"/>
    <w:rsid w:val="00325D76"/>
    <w:rsid w:val="00326B14"/>
    <w:rsid w:val="00337284"/>
    <w:rsid w:val="00342BA1"/>
    <w:rsid w:val="003439FC"/>
    <w:rsid w:val="00344C19"/>
    <w:rsid w:val="00351F70"/>
    <w:rsid w:val="00357412"/>
    <w:rsid w:val="00361725"/>
    <w:rsid w:val="00363525"/>
    <w:rsid w:val="0036362E"/>
    <w:rsid w:val="00364E68"/>
    <w:rsid w:val="003702C7"/>
    <w:rsid w:val="00372561"/>
    <w:rsid w:val="0037328B"/>
    <w:rsid w:val="0038428F"/>
    <w:rsid w:val="003866B8"/>
    <w:rsid w:val="00386A42"/>
    <w:rsid w:val="00387545"/>
    <w:rsid w:val="00394763"/>
    <w:rsid w:val="00395742"/>
    <w:rsid w:val="00397E52"/>
    <w:rsid w:val="003A2337"/>
    <w:rsid w:val="003B23DA"/>
    <w:rsid w:val="003C0CEA"/>
    <w:rsid w:val="003C61C4"/>
    <w:rsid w:val="003D3605"/>
    <w:rsid w:val="003D5B9B"/>
    <w:rsid w:val="003D7BD0"/>
    <w:rsid w:val="003E328C"/>
    <w:rsid w:val="003E6E61"/>
    <w:rsid w:val="003F334D"/>
    <w:rsid w:val="00400ADD"/>
    <w:rsid w:val="00401179"/>
    <w:rsid w:val="0040118C"/>
    <w:rsid w:val="0040293E"/>
    <w:rsid w:val="00405327"/>
    <w:rsid w:val="00406965"/>
    <w:rsid w:val="00410285"/>
    <w:rsid w:val="00415794"/>
    <w:rsid w:val="004176F9"/>
    <w:rsid w:val="00427609"/>
    <w:rsid w:val="00427804"/>
    <w:rsid w:val="00430CD0"/>
    <w:rsid w:val="00432779"/>
    <w:rsid w:val="00432C11"/>
    <w:rsid w:val="0043787C"/>
    <w:rsid w:val="00442166"/>
    <w:rsid w:val="00446085"/>
    <w:rsid w:val="0045323C"/>
    <w:rsid w:val="0045350F"/>
    <w:rsid w:val="00454151"/>
    <w:rsid w:val="0045596C"/>
    <w:rsid w:val="00455E11"/>
    <w:rsid w:val="004621A8"/>
    <w:rsid w:val="00464867"/>
    <w:rsid w:val="00466FB5"/>
    <w:rsid w:val="00472198"/>
    <w:rsid w:val="004819A4"/>
    <w:rsid w:val="0048292C"/>
    <w:rsid w:val="00483272"/>
    <w:rsid w:val="004847DC"/>
    <w:rsid w:val="00492FA6"/>
    <w:rsid w:val="0049785E"/>
    <w:rsid w:val="004A0752"/>
    <w:rsid w:val="004A3FE7"/>
    <w:rsid w:val="004A46B8"/>
    <w:rsid w:val="004B0D93"/>
    <w:rsid w:val="004B25CA"/>
    <w:rsid w:val="004B7EA6"/>
    <w:rsid w:val="004C18DE"/>
    <w:rsid w:val="004D23FB"/>
    <w:rsid w:val="004D323E"/>
    <w:rsid w:val="004E41F6"/>
    <w:rsid w:val="004E622A"/>
    <w:rsid w:val="004F2E32"/>
    <w:rsid w:val="004F3B7F"/>
    <w:rsid w:val="004F4DE3"/>
    <w:rsid w:val="004F5608"/>
    <w:rsid w:val="004F7A39"/>
    <w:rsid w:val="005030D3"/>
    <w:rsid w:val="005100DF"/>
    <w:rsid w:val="0051114B"/>
    <w:rsid w:val="0051476B"/>
    <w:rsid w:val="00514AB7"/>
    <w:rsid w:val="0051535A"/>
    <w:rsid w:val="00527B1B"/>
    <w:rsid w:val="00534340"/>
    <w:rsid w:val="00536AB1"/>
    <w:rsid w:val="00540161"/>
    <w:rsid w:val="00540683"/>
    <w:rsid w:val="005533B4"/>
    <w:rsid w:val="00561447"/>
    <w:rsid w:val="0056152E"/>
    <w:rsid w:val="005641A5"/>
    <w:rsid w:val="0056605A"/>
    <w:rsid w:val="005718EF"/>
    <w:rsid w:val="00573D3E"/>
    <w:rsid w:val="0057786D"/>
    <w:rsid w:val="0058025F"/>
    <w:rsid w:val="00582B60"/>
    <w:rsid w:val="00583496"/>
    <w:rsid w:val="00584069"/>
    <w:rsid w:val="00585999"/>
    <w:rsid w:val="00586819"/>
    <w:rsid w:val="00591A7D"/>
    <w:rsid w:val="00593E26"/>
    <w:rsid w:val="00595C5C"/>
    <w:rsid w:val="00596953"/>
    <w:rsid w:val="005A1A44"/>
    <w:rsid w:val="005A20E4"/>
    <w:rsid w:val="005A5B6A"/>
    <w:rsid w:val="005B6280"/>
    <w:rsid w:val="005C2ECA"/>
    <w:rsid w:val="005C558D"/>
    <w:rsid w:val="005C7246"/>
    <w:rsid w:val="005E1804"/>
    <w:rsid w:val="005E5EF7"/>
    <w:rsid w:val="005F26AD"/>
    <w:rsid w:val="005F3476"/>
    <w:rsid w:val="005F58DF"/>
    <w:rsid w:val="0060269E"/>
    <w:rsid w:val="00602860"/>
    <w:rsid w:val="006047AC"/>
    <w:rsid w:val="00607B11"/>
    <w:rsid w:val="006105FE"/>
    <w:rsid w:val="00611C20"/>
    <w:rsid w:val="006157A9"/>
    <w:rsid w:val="00616CDB"/>
    <w:rsid w:val="00620049"/>
    <w:rsid w:val="00620982"/>
    <w:rsid w:val="00622293"/>
    <w:rsid w:val="006256AF"/>
    <w:rsid w:val="00626C86"/>
    <w:rsid w:val="00630422"/>
    <w:rsid w:val="00635F4A"/>
    <w:rsid w:val="00642215"/>
    <w:rsid w:val="00643AEA"/>
    <w:rsid w:val="00651386"/>
    <w:rsid w:val="00651558"/>
    <w:rsid w:val="0066312D"/>
    <w:rsid w:val="00663395"/>
    <w:rsid w:val="006639F3"/>
    <w:rsid w:val="00666284"/>
    <w:rsid w:val="00670028"/>
    <w:rsid w:val="006702A6"/>
    <w:rsid w:val="00672E12"/>
    <w:rsid w:val="006739C8"/>
    <w:rsid w:val="00687752"/>
    <w:rsid w:val="0069164E"/>
    <w:rsid w:val="006920A8"/>
    <w:rsid w:val="006924C5"/>
    <w:rsid w:val="00693A58"/>
    <w:rsid w:val="006970A1"/>
    <w:rsid w:val="006A0959"/>
    <w:rsid w:val="006A1747"/>
    <w:rsid w:val="006A507B"/>
    <w:rsid w:val="006A73AD"/>
    <w:rsid w:val="006A7F94"/>
    <w:rsid w:val="006B2A78"/>
    <w:rsid w:val="006B51FD"/>
    <w:rsid w:val="006B57B7"/>
    <w:rsid w:val="006B5F03"/>
    <w:rsid w:val="006B7C55"/>
    <w:rsid w:val="006C6354"/>
    <w:rsid w:val="006C6A7F"/>
    <w:rsid w:val="006D594B"/>
    <w:rsid w:val="006D6D01"/>
    <w:rsid w:val="006E10F5"/>
    <w:rsid w:val="006F3126"/>
    <w:rsid w:val="006F3C42"/>
    <w:rsid w:val="006F4A9E"/>
    <w:rsid w:val="0070287D"/>
    <w:rsid w:val="00702BE6"/>
    <w:rsid w:val="00706883"/>
    <w:rsid w:val="007147BF"/>
    <w:rsid w:val="007225A1"/>
    <w:rsid w:val="00741D8D"/>
    <w:rsid w:val="00742BD3"/>
    <w:rsid w:val="00742E01"/>
    <w:rsid w:val="00751575"/>
    <w:rsid w:val="00754516"/>
    <w:rsid w:val="00760FB2"/>
    <w:rsid w:val="007705CB"/>
    <w:rsid w:val="00773B7E"/>
    <w:rsid w:val="0079124E"/>
    <w:rsid w:val="00792E94"/>
    <w:rsid w:val="00794CE8"/>
    <w:rsid w:val="007A19A7"/>
    <w:rsid w:val="007A3544"/>
    <w:rsid w:val="007A584D"/>
    <w:rsid w:val="007B200A"/>
    <w:rsid w:val="007B35E7"/>
    <w:rsid w:val="007B5D5A"/>
    <w:rsid w:val="007C1775"/>
    <w:rsid w:val="007C1AA7"/>
    <w:rsid w:val="007D1EF9"/>
    <w:rsid w:val="007D2FA0"/>
    <w:rsid w:val="007D6265"/>
    <w:rsid w:val="007E4902"/>
    <w:rsid w:val="007E7F2A"/>
    <w:rsid w:val="00801478"/>
    <w:rsid w:val="00805AEB"/>
    <w:rsid w:val="00810504"/>
    <w:rsid w:val="0081450F"/>
    <w:rsid w:val="008149EA"/>
    <w:rsid w:val="00820289"/>
    <w:rsid w:val="00826787"/>
    <w:rsid w:val="00830EC1"/>
    <w:rsid w:val="00834438"/>
    <w:rsid w:val="00835551"/>
    <w:rsid w:val="00836749"/>
    <w:rsid w:val="00837FB8"/>
    <w:rsid w:val="00841328"/>
    <w:rsid w:val="00854209"/>
    <w:rsid w:val="0086266B"/>
    <w:rsid w:val="0086477D"/>
    <w:rsid w:val="008650FC"/>
    <w:rsid w:val="008677BA"/>
    <w:rsid w:val="0087179D"/>
    <w:rsid w:val="00873972"/>
    <w:rsid w:val="0087551D"/>
    <w:rsid w:val="00876F50"/>
    <w:rsid w:val="00894221"/>
    <w:rsid w:val="00896081"/>
    <w:rsid w:val="008967B7"/>
    <w:rsid w:val="008A42A5"/>
    <w:rsid w:val="008A6928"/>
    <w:rsid w:val="008A6D40"/>
    <w:rsid w:val="008B3106"/>
    <w:rsid w:val="008B56D1"/>
    <w:rsid w:val="008B6668"/>
    <w:rsid w:val="008B7C4B"/>
    <w:rsid w:val="008C42D5"/>
    <w:rsid w:val="008C5274"/>
    <w:rsid w:val="008D3CEC"/>
    <w:rsid w:val="008D3DAE"/>
    <w:rsid w:val="008F2601"/>
    <w:rsid w:val="008F283A"/>
    <w:rsid w:val="008F4B57"/>
    <w:rsid w:val="00901FC4"/>
    <w:rsid w:val="00903D48"/>
    <w:rsid w:val="0090748A"/>
    <w:rsid w:val="00912A46"/>
    <w:rsid w:val="009136F6"/>
    <w:rsid w:val="00915307"/>
    <w:rsid w:val="009411AB"/>
    <w:rsid w:val="009422FA"/>
    <w:rsid w:val="0094594F"/>
    <w:rsid w:val="00946D8A"/>
    <w:rsid w:val="00953866"/>
    <w:rsid w:val="009629E6"/>
    <w:rsid w:val="00962E31"/>
    <w:rsid w:val="00965DC5"/>
    <w:rsid w:val="00966CE6"/>
    <w:rsid w:val="00975B09"/>
    <w:rsid w:val="009767E1"/>
    <w:rsid w:val="009771C0"/>
    <w:rsid w:val="009777E8"/>
    <w:rsid w:val="00981397"/>
    <w:rsid w:val="0098158C"/>
    <w:rsid w:val="00987D27"/>
    <w:rsid w:val="0099031A"/>
    <w:rsid w:val="00991BA0"/>
    <w:rsid w:val="00992A56"/>
    <w:rsid w:val="009A4FC8"/>
    <w:rsid w:val="009B0BB9"/>
    <w:rsid w:val="009B3B1B"/>
    <w:rsid w:val="009C228D"/>
    <w:rsid w:val="009C79C4"/>
    <w:rsid w:val="009E0ED9"/>
    <w:rsid w:val="009E281C"/>
    <w:rsid w:val="009E3EBD"/>
    <w:rsid w:val="009E795B"/>
    <w:rsid w:val="009F2629"/>
    <w:rsid w:val="009F2DD9"/>
    <w:rsid w:val="009F3B72"/>
    <w:rsid w:val="009F53D9"/>
    <w:rsid w:val="00A0030F"/>
    <w:rsid w:val="00A005D6"/>
    <w:rsid w:val="00A0311E"/>
    <w:rsid w:val="00A05AB3"/>
    <w:rsid w:val="00A05C9B"/>
    <w:rsid w:val="00A0723D"/>
    <w:rsid w:val="00A1154E"/>
    <w:rsid w:val="00A12E60"/>
    <w:rsid w:val="00A1389E"/>
    <w:rsid w:val="00A20E79"/>
    <w:rsid w:val="00A21A7D"/>
    <w:rsid w:val="00A249EB"/>
    <w:rsid w:val="00A25483"/>
    <w:rsid w:val="00A2645D"/>
    <w:rsid w:val="00A27409"/>
    <w:rsid w:val="00A3038F"/>
    <w:rsid w:val="00A34A45"/>
    <w:rsid w:val="00A43936"/>
    <w:rsid w:val="00A53208"/>
    <w:rsid w:val="00A57CE8"/>
    <w:rsid w:val="00A62126"/>
    <w:rsid w:val="00A71FAE"/>
    <w:rsid w:val="00A73F86"/>
    <w:rsid w:val="00A77993"/>
    <w:rsid w:val="00A77C4E"/>
    <w:rsid w:val="00A81D2D"/>
    <w:rsid w:val="00A917C1"/>
    <w:rsid w:val="00A94B80"/>
    <w:rsid w:val="00A952F9"/>
    <w:rsid w:val="00AB0162"/>
    <w:rsid w:val="00AB23F2"/>
    <w:rsid w:val="00AB6055"/>
    <w:rsid w:val="00AB6CAD"/>
    <w:rsid w:val="00AC1577"/>
    <w:rsid w:val="00AC3059"/>
    <w:rsid w:val="00AC79AA"/>
    <w:rsid w:val="00AD1D10"/>
    <w:rsid w:val="00AD68F2"/>
    <w:rsid w:val="00AD69C2"/>
    <w:rsid w:val="00AE50D2"/>
    <w:rsid w:val="00AE73A7"/>
    <w:rsid w:val="00AE7E9E"/>
    <w:rsid w:val="00AF6E21"/>
    <w:rsid w:val="00B02145"/>
    <w:rsid w:val="00B041A6"/>
    <w:rsid w:val="00B11AE6"/>
    <w:rsid w:val="00B152A7"/>
    <w:rsid w:val="00B17A75"/>
    <w:rsid w:val="00B2269A"/>
    <w:rsid w:val="00B26810"/>
    <w:rsid w:val="00B30626"/>
    <w:rsid w:val="00B40836"/>
    <w:rsid w:val="00B41BB5"/>
    <w:rsid w:val="00B45122"/>
    <w:rsid w:val="00B4533C"/>
    <w:rsid w:val="00B47F6F"/>
    <w:rsid w:val="00B60659"/>
    <w:rsid w:val="00B71545"/>
    <w:rsid w:val="00B737F6"/>
    <w:rsid w:val="00B7461E"/>
    <w:rsid w:val="00B76631"/>
    <w:rsid w:val="00B80DBC"/>
    <w:rsid w:val="00B81581"/>
    <w:rsid w:val="00B81860"/>
    <w:rsid w:val="00B827ED"/>
    <w:rsid w:val="00B87AB9"/>
    <w:rsid w:val="00B91D33"/>
    <w:rsid w:val="00B92BF7"/>
    <w:rsid w:val="00B9368D"/>
    <w:rsid w:val="00B940F8"/>
    <w:rsid w:val="00BA2F7E"/>
    <w:rsid w:val="00BA358B"/>
    <w:rsid w:val="00BA3F1F"/>
    <w:rsid w:val="00BA6693"/>
    <w:rsid w:val="00BB165F"/>
    <w:rsid w:val="00BB2346"/>
    <w:rsid w:val="00BC00D3"/>
    <w:rsid w:val="00BC0C56"/>
    <w:rsid w:val="00BC224B"/>
    <w:rsid w:val="00BC453B"/>
    <w:rsid w:val="00BC4EC9"/>
    <w:rsid w:val="00BD6076"/>
    <w:rsid w:val="00BD77CE"/>
    <w:rsid w:val="00BF2066"/>
    <w:rsid w:val="00BF414C"/>
    <w:rsid w:val="00BF6A72"/>
    <w:rsid w:val="00BF7D16"/>
    <w:rsid w:val="00C01D3D"/>
    <w:rsid w:val="00C05BE8"/>
    <w:rsid w:val="00C05CED"/>
    <w:rsid w:val="00C1252B"/>
    <w:rsid w:val="00C161A1"/>
    <w:rsid w:val="00C16233"/>
    <w:rsid w:val="00C24FA8"/>
    <w:rsid w:val="00C27690"/>
    <w:rsid w:val="00C3512B"/>
    <w:rsid w:val="00C42401"/>
    <w:rsid w:val="00C4703A"/>
    <w:rsid w:val="00C47775"/>
    <w:rsid w:val="00C509C1"/>
    <w:rsid w:val="00C532C5"/>
    <w:rsid w:val="00C64A71"/>
    <w:rsid w:val="00C7003A"/>
    <w:rsid w:val="00C7159B"/>
    <w:rsid w:val="00C7193B"/>
    <w:rsid w:val="00C72A39"/>
    <w:rsid w:val="00C75520"/>
    <w:rsid w:val="00C801B5"/>
    <w:rsid w:val="00C82985"/>
    <w:rsid w:val="00C90787"/>
    <w:rsid w:val="00C93A09"/>
    <w:rsid w:val="00C942C1"/>
    <w:rsid w:val="00C945EC"/>
    <w:rsid w:val="00C95218"/>
    <w:rsid w:val="00C96029"/>
    <w:rsid w:val="00CA2B03"/>
    <w:rsid w:val="00CA71CC"/>
    <w:rsid w:val="00CB17EE"/>
    <w:rsid w:val="00CB257D"/>
    <w:rsid w:val="00CC62F9"/>
    <w:rsid w:val="00CD1C39"/>
    <w:rsid w:val="00CD7A4F"/>
    <w:rsid w:val="00CE1F32"/>
    <w:rsid w:val="00CE293A"/>
    <w:rsid w:val="00CE77BC"/>
    <w:rsid w:val="00CF2359"/>
    <w:rsid w:val="00CF3E33"/>
    <w:rsid w:val="00CF645B"/>
    <w:rsid w:val="00D03FC5"/>
    <w:rsid w:val="00D04647"/>
    <w:rsid w:val="00D048ED"/>
    <w:rsid w:val="00D064E0"/>
    <w:rsid w:val="00D12EA3"/>
    <w:rsid w:val="00D14A73"/>
    <w:rsid w:val="00D16A29"/>
    <w:rsid w:val="00D20ACE"/>
    <w:rsid w:val="00D218BF"/>
    <w:rsid w:val="00D2514D"/>
    <w:rsid w:val="00D32C3C"/>
    <w:rsid w:val="00D33B77"/>
    <w:rsid w:val="00D35074"/>
    <w:rsid w:val="00D362FF"/>
    <w:rsid w:val="00D4056A"/>
    <w:rsid w:val="00D46495"/>
    <w:rsid w:val="00D474F4"/>
    <w:rsid w:val="00D510D9"/>
    <w:rsid w:val="00D52AF0"/>
    <w:rsid w:val="00D52F95"/>
    <w:rsid w:val="00D53E0F"/>
    <w:rsid w:val="00D566C8"/>
    <w:rsid w:val="00D6320C"/>
    <w:rsid w:val="00D65991"/>
    <w:rsid w:val="00D7150D"/>
    <w:rsid w:val="00D80CB1"/>
    <w:rsid w:val="00D8467E"/>
    <w:rsid w:val="00D85731"/>
    <w:rsid w:val="00D9039B"/>
    <w:rsid w:val="00D92E0F"/>
    <w:rsid w:val="00D97C9F"/>
    <w:rsid w:val="00DA0AF9"/>
    <w:rsid w:val="00DA1F54"/>
    <w:rsid w:val="00DA28E2"/>
    <w:rsid w:val="00DA312C"/>
    <w:rsid w:val="00DA3AF6"/>
    <w:rsid w:val="00DA541A"/>
    <w:rsid w:val="00DB2F25"/>
    <w:rsid w:val="00DB57E7"/>
    <w:rsid w:val="00DC66D9"/>
    <w:rsid w:val="00DD2797"/>
    <w:rsid w:val="00DD2ED1"/>
    <w:rsid w:val="00DE103A"/>
    <w:rsid w:val="00DE554A"/>
    <w:rsid w:val="00DF426C"/>
    <w:rsid w:val="00DF7632"/>
    <w:rsid w:val="00E0097F"/>
    <w:rsid w:val="00E040C4"/>
    <w:rsid w:val="00E1103A"/>
    <w:rsid w:val="00E13946"/>
    <w:rsid w:val="00E14568"/>
    <w:rsid w:val="00E15BFC"/>
    <w:rsid w:val="00E17E95"/>
    <w:rsid w:val="00E22556"/>
    <w:rsid w:val="00E22CBB"/>
    <w:rsid w:val="00E236E5"/>
    <w:rsid w:val="00E23FA8"/>
    <w:rsid w:val="00E240AE"/>
    <w:rsid w:val="00E240C7"/>
    <w:rsid w:val="00E2599A"/>
    <w:rsid w:val="00E30C9D"/>
    <w:rsid w:val="00E33DCE"/>
    <w:rsid w:val="00E35FEC"/>
    <w:rsid w:val="00E40062"/>
    <w:rsid w:val="00E41FC9"/>
    <w:rsid w:val="00E45BA1"/>
    <w:rsid w:val="00E505C6"/>
    <w:rsid w:val="00E521C8"/>
    <w:rsid w:val="00E619C6"/>
    <w:rsid w:val="00E626D1"/>
    <w:rsid w:val="00E66171"/>
    <w:rsid w:val="00E73800"/>
    <w:rsid w:val="00E82CF7"/>
    <w:rsid w:val="00E86945"/>
    <w:rsid w:val="00E86C83"/>
    <w:rsid w:val="00E8770E"/>
    <w:rsid w:val="00E93819"/>
    <w:rsid w:val="00EA0422"/>
    <w:rsid w:val="00EA2C25"/>
    <w:rsid w:val="00EA7A70"/>
    <w:rsid w:val="00EB4ADF"/>
    <w:rsid w:val="00EB4D3D"/>
    <w:rsid w:val="00EB5EF1"/>
    <w:rsid w:val="00EC05BE"/>
    <w:rsid w:val="00EC2C52"/>
    <w:rsid w:val="00ED1827"/>
    <w:rsid w:val="00ED49D7"/>
    <w:rsid w:val="00ED557F"/>
    <w:rsid w:val="00EE4226"/>
    <w:rsid w:val="00EE457F"/>
    <w:rsid w:val="00EE5CAB"/>
    <w:rsid w:val="00EF00ED"/>
    <w:rsid w:val="00EF022A"/>
    <w:rsid w:val="00EF6C77"/>
    <w:rsid w:val="00EF7231"/>
    <w:rsid w:val="00F07812"/>
    <w:rsid w:val="00F10D47"/>
    <w:rsid w:val="00F12E99"/>
    <w:rsid w:val="00F24CA4"/>
    <w:rsid w:val="00F26C2C"/>
    <w:rsid w:val="00F31FEF"/>
    <w:rsid w:val="00F330E1"/>
    <w:rsid w:val="00F42DC0"/>
    <w:rsid w:val="00F4792F"/>
    <w:rsid w:val="00F52363"/>
    <w:rsid w:val="00F524CA"/>
    <w:rsid w:val="00F52E19"/>
    <w:rsid w:val="00F54B55"/>
    <w:rsid w:val="00F54B5E"/>
    <w:rsid w:val="00F55DD3"/>
    <w:rsid w:val="00F607DC"/>
    <w:rsid w:val="00F632C8"/>
    <w:rsid w:val="00F63BC2"/>
    <w:rsid w:val="00F70B1D"/>
    <w:rsid w:val="00F70D98"/>
    <w:rsid w:val="00F736DE"/>
    <w:rsid w:val="00F74646"/>
    <w:rsid w:val="00F75328"/>
    <w:rsid w:val="00F778C8"/>
    <w:rsid w:val="00F801E0"/>
    <w:rsid w:val="00F812E0"/>
    <w:rsid w:val="00F81C5B"/>
    <w:rsid w:val="00F820DA"/>
    <w:rsid w:val="00F8608C"/>
    <w:rsid w:val="00F87B83"/>
    <w:rsid w:val="00F926AC"/>
    <w:rsid w:val="00F92BF9"/>
    <w:rsid w:val="00F93402"/>
    <w:rsid w:val="00FA2262"/>
    <w:rsid w:val="00FA5DB6"/>
    <w:rsid w:val="00FA6782"/>
    <w:rsid w:val="00FA6888"/>
    <w:rsid w:val="00FA712F"/>
    <w:rsid w:val="00FB0778"/>
    <w:rsid w:val="00FB305A"/>
    <w:rsid w:val="00FB48D2"/>
    <w:rsid w:val="00FC032F"/>
    <w:rsid w:val="00FC2D7D"/>
    <w:rsid w:val="00FC5E77"/>
    <w:rsid w:val="00FC7393"/>
    <w:rsid w:val="00FC7DE1"/>
    <w:rsid w:val="00FD17D7"/>
    <w:rsid w:val="00FD4BC8"/>
    <w:rsid w:val="00FE2E51"/>
    <w:rsid w:val="00FE2EF4"/>
    <w:rsid w:val="00FE78E8"/>
    <w:rsid w:val="00FE7C92"/>
    <w:rsid w:val="00FF721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849A35F"/>
  <w15:docId w15:val="{5736894F-4F9A-4ACB-A617-513FFF737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3DD0"/>
    <w:pPr>
      <w:widowControl w:val="0"/>
      <w:overflowPunct w:val="0"/>
      <w:autoSpaceDE w:val="0"/>
      <w:autoSpaceDN w:val="0"/>
      <w:adjustRightInd w:val="0"/>
      <w:ind w:left="1134" w:hanging="1134"/>
      <w:jc w:val="both"/>
      <w:textAlignment w:val="baseline"/>
    </w:pPr>
    <w:rPr>
      <w:lang w:eastAsia="fr-FR"/>
    </w:rPr>
  </w:style>
  <w:style w:type="paragraph" w:styleId="Heading2">
    <w:name w:val="heading 2"/>
    <w:basedOn w:val="Normal"/>
    <w:link w:val="Heading2Char"/>
    <w:uiPriority w:val="9"/>
    <w:qFormat/>
    <w:rsid w:val="00017B2F"/>
    <w:pPr>
      <w:widowControl/>
      <w:overflowPunct/>
      <w:autoSpaceDE/>
      <w:autoSpaceDN/>
      <w:adjustRightInd/>
      <w:spacing w:before="100" w:beforeAutospacing="1" w:after="100" w:afterAutospacing="1"/>
      <w:ind w:left="0" w:firstLine="0"/>
      <w:jc w:val="left"/>
      <w:textAlignment w:val="auto"/>
      <w:outlineLvl w:val="1"/>
    </w:pPr>
    <w:rPr>
      <w:b/>
      <w:bCs/>
      <w:sz w:val="36"/>
      <w:szCs w:val="36"/>
      <w:lang w:eastAsia="de-DE"/>
    </w:rPr>
  </w:style>
  <w:style w:type="paragraph" w:styleId="Heading3">
    <w:name w:val="heading 3"/>
    <w:basedOn w:val="Normal"/>
    <w:next w:val="Normal"/>
    <w:link w:val="Heading3Char"/>
    <w:semiHidden/>
    <w:unhideWhenUsed/>
    <w:qFormat/>
    <w:rsid w:val="00ED18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nhideWhenUsed/>
    <w:qFormat/>
    <w:rsid w:val="00ED182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5">
    <w:name w:val="N5"/>
    <w:basedOn w:val="Normal"/>
    <w:link w:val="N5Car"/>
    <w:rsid w:val="007225A1"/>
    <w:pPr>
      <w:ind w:left="1418" w:hanging="284"/>
    </w:pPr>
    <w:rPr>
      <w:rFonts w:ascii="Arial" w:hAnsi="Arial"/>
    </w:rPr>
  </w:style>
  <w:style w:type="paragraph" w:customStyle="1" w:styleId="N2">
    <w:name w:val="N2"/>
    <w:basedOn w:val="Normal"/>
    <w:rsid w:val="007225A1"/>
    <w:rPr>
      <w:rFonts w:ascii="Arial" w:hAnsi="Arial"/>
    </w:rPr>
  </w:style>
  <w:style w:type="character" w:styleId="Hyperlink">
    <w:name w:val="Hyperlink"/>
    <w:basedOn w:val="DefaultParagraphFont"/>
    <w:uiPriority w:val="99"/>
    <w:unhideWhenUsed/>
    <w:rsid w:val="00283323"/>
    <w:rPr>
      <w:rFonts w:ascii="Arial" w:hAnsi="Arial" w:cs="Arial" w:hint="default"/>
      <w:strike w:val="0"/>
      <w:dstrike w:val="0"/>
      <w:color w:val="0000FF"/>
      <w:sz w:val="16"/>
      <w:u w:val="none"/>
      <w:effect w:val="none"/>
    </w:rPr>
  </w:style>
  <w:style w:type="paragraph" w:customStyle="1" w:styleId="N3">
    <w:name w:val="N3"/>
    <w:basedOn w:val="Normal"/>
    <w:rsid w:val="00742BD3"/>
    <w:pPr>
      <w:widowControl/>
      <w:tabs>
        <w:tab w:val="left" w:pos="170"/>
      </w:tabs>
    </w:pPr>
    <w:rPr>
      <w:rFonts w:ascii="Tms Rmn" w:hAnsi="Tms Rmn"/>
      <w:sz w:val="22"/>
      <w:lang w:val="fr-FR"/>
    </w:rPr>
  </w:style>
  <w:style w:type="paragraph" w:styleId="BodyText">
    <w:name w:val="Body Text"/>
    <w:basedOn w:val="Normal"/>
    <w:link w:val="BodyTextChar"/>
    <w:rsid w:val="00742BD3"/>
    <w:pPr>
      <w:tabs>
        <w:tab w:val="left" w:pos="142"/>
        <w:tab w:val="left" w:pos="567"/>
        <w:tab w:val="left" w:pos="851"/>
        <w:tab w:val="left" w:leader="dot" w:pos="8222"/>
      </w:tabs>
      <w:ind w:left="0" w:firstLine="0"/>
    </w:pPr>
    <w:rPr>
      <w:rFonts w:ascii="Arial" w:hAnsi="Arial"/>
    </w:rPr>
  </w:style>
  <w:style w:type="character" w:customStyle="1" w:styleId="BodyTextChar">
    <w:name w:val="Body Text Char"/>
    <w:basedOn w:val="DefaultParagraphFont"/>
    <w:link w:val="BodyText"/>
    <w:rsid w:val="00742BD3"/>
    <w:rPr>
      <w:rFonts w:ascii="Arial" w:hAnsi="Arial"/>
      <w:lang w:eastAsia="fr-FR"/>
    </w:rPr>
  </w:style>
  <w:style w:type="paragraph" w:customStyle="1" w:styleId="Textkrper21">
    <w:name w:val="Textkörper 21"/>
    <w:basedOn w:val="Normal"/>
    <w:rsid w:val="00742BD3"/>
    <w:pPr>
      <w:tabs>
        <w:tab w:val="left" w:pos="142"/>
        <w:tab w:val="left" w:pos="567"/>
        <w:tab w:val="left" w:pos="851"/>
        <w:tab w:val="left" w:pos="2835"/>
        <w:tab w:val="left" w:pos="5103"/>
        <w:tab w:val="left" w:pos="5954"/>
      </w:tabs>
      <w:ind w:firstLine="0"/>
    </w:pPr>
    <w:rPr>
      <w:rFonts w:ascii="Arial" w:hAnsi="Arial"/>
    </w:rPr>
  </w:style>
  <w:style w:type="paragraph" w:customStyle="1" w:styleId="ADN11">
    <w:name w:val="ADN_1_1"/>
    <w:basedOn w:val="N2"/>
    <w:rsid w:val="004176F9"/>
    <w:pPr>
      <w:spacing w:line="240" w:lineRule="atLeast"/>
    </w:pPr>
    <w:rPr>
      <w:b/>
      <w:sz w:val="18"/>
      <w:szCs w:val="18"/>
    </w:rPr>
  </w:style>
  <w:style w:type="paragraph" w:styleId="PlainText">
    <w:name w:val="Plain Text"/>
    <w:basedOn w:val="Normal"/>
    <w:link w:val="PlainTextChar"/>
    <w:uiPriority w:val="99"/>
    <w:unhideWhenUsed/>
    <w:rsid w:val="00C82985"/>
    <w:pPr>
      <w:widowControl/>
      <w:overflowPunct/>
      <w:autoSpaceDE/>
      <w:autoSpaceDN/>
      <w:adjustRightInd/>
      <w:ind w:left="0" w:firstLine="0"/>
      <w:jc w:val="left"/>
      <w:textAlignment w:val="auto"/>
    </w:pPr>
    <w:rPr>
      <w:rFonts w:ascii="Calibri" w:eastAsia="Calibri" w:hAnsi="Calibri"/>
      <w:sz w:val="22"/>
      <w:szCs w:val="21"/>
      <w:lang w:val="fr-FR" w:eastAsia="en-US"/>
    </w:rPr>
  </w:style>
  <w:style w:type="character" w:customStyle="1" w:styleId="PlainTextChar">
    <w:name w:val="Plain Text Char"/>
    <w:basedOn w:val="DefaultParagraphFont"/>
    <w:link w:val="PlainText"/>
    <w:uiPriority w:val="99"/>
    <w:rsid w:val="00C82985"/>
    <w:rPr>
      <w:rFonts w:ascii="Calibri" w:eastAsia="Calibri" w:hAnsi="Calibri"/>
      <w:sz w:val="22"/>
      <w:szCs w:val="21"/>
      <w:lang w:val="fr-FR" w:eastAsia="en-US"/>
    </w:rPr>
  </w:style>
  <w:style w:type="paragraph" w:customStyle="1" w:styleId="HChG">
    <w:name w:val="_ H _Ch_G"/>
    <w:basedOn w:val="Normal"/>
    <w:next w:val="Normal"/>
    <w:link w:val="HChGChar"/>
    <w:qFormat/>
    <w:rsid w:val="00C82985"/>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customStyle="1" w:styleId="H1G">
    <w:name w:val="_ H_1_G"/>
    <w:basedOn w:val="Normal"/>
    <w:next w:val="Normal"/>
    <w:rsid w:val="00C82985"/>
    <w:pPr>
      <w:keepNext/>
      <w:keepLines/>
      <w:widowControl/>
      <w:tabs>
        <w:tab w:val="right" w:pos="851"/>
      </w:tabs>
      <w:suppressAutoHyphens/>
      <w:overflowPunct/>
      <w:autoSpaceDE/>
      <w:autoSpaceDN/>
      <w:adjustRightInd/>
      <w:snapToGrid w:val="0"/>
      <w:spacing w:before="360" w:after="240" w:line="270" w:lineRule="exact"/>
      <w:ind w:right="1134"/>
      <w:jc w:val="left"/>
      <w:textAlignment w:val="auto"/>
    </w:pPr>
    <w:rPr>
      <w:b/>
      <w:sz w:val="24"/>
      <w:lang w:val="fr-CH"/>
    </w:rPr>
  </w:style>
  <w:style w:type="paragraph" w:styleId="BalloonText">
    <w:name w:val="Balloon Text"/>
    <w:basedOn w:val="Normal"/>
    <w:link w:val="BalloonTextChar"/>
    <w:rsid w:val="00E14568"/>
    <w:rPr>
      <w:rFonts w:ascii="Tahoma" w:hAnsi="Tahoma" w:cs="Tahoma"/>
      <w:sz w:val="16"/>
      <w:szCs w:val="16"/>
    </w:rPr>
  </w:style>
  <w:style w:type="character" w:customStyle="1" w:styleId="BalloonTextChar">
    <w:name w:val="Balloon Text Char"/>
    <w:basedOn w:val="DefaultParagraphFont"/>
    <w:link w:val="BalloonText"/>
    <w:rsid w:val="00E14568"/>
    <w:rPr>
      <w:rFonts w:ascii="Tahoma" w:hAnsi="Tahoma" w:cs="Tahoma"/>
      <w:sz w:val="16"/>
      <w:szCs w:val="16"/>
      <w:lang w:eastAsia="fr-FR"/>
    </w:rPr>
  </w:style>
  <w:style w:type="character" w:customStyle="1" w:styleId="N5Car">
    <w:name w:val="N5 Car"/>
    <w:link w:val="N5"/>
    <w:rsid w:val="00114102"/>
    <w:rPr>
      <w:rFonts w:ascii="Arial" w:hAnsi="Arial"/>
      <w:lang w:eastAsia="fr-FR"/>
    </w:rPr>
  </w:style>
  <w:style w:type="paragraph" w:customStyle="1" w:styleId="Default">
    <w:name w:val="Default"/>
    <w:rsid w:val="00364E6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7A19A7"/>
    <w:rPr>
      <w:sz w:val="16"/>
      <w:szCs w:val="16"/>
    </w:rPr>
  </w:style>
  <w:style w:type="paragraph" w:styleId="CommentText">
    <w:name w:val="annotation text"/>
    <w:basedOn w:val="Normal"/>
    <w:link w:val="CommentTextChar"/>
    <w:rsid w:val="007A19A7"/>
  </w:style>
  <w:style w:type="character" w:customStyle="1" w:styleId="CommentTextChar">
    <w:name w:val="Comment Text Char"/>
    <w:basedOn w:val="DefaultParagraphFont"/>
    <w:link w:val="CommentText"/>
    <w:rsid w:val="007A19A7"/>
    <w:rPr>
      <w:lang w:eastAsia="fr-FR"/>
    </w:rPr>
  </w:style>
  <w:style w:type="paragraph" w:styleId="CommentSubject">
    <w:name w:val="annotation subject"/>
    <w:basedOn w:val="CommentText"/>
    <w:next w:val="CommentText"/>
    <w:link w:val="CommentSubjectChar"/>
    <w:rsid w:val="007A19A7"/>
    <w:rPr>
      <w:b/>
      <w:bCs/>
    </w:rPr>
  </w:style>
  <w:style w:type="character" w:customStyle="1" w:styleId="CommentSubjectChar">
    <w:name w:val="Comment Subject Char"/>
    <w:basedOn w:val="CommentTextChar"/>
    <w:link w:val="CommentSubject"/>
    <w:rsid w:val="007A19A7"/>
    <w:rPr>
      <w:b/>
      <w:bCs/>
      <w:lang w:eastAsia="fr-FR"/>
    </w:rPr>
  </w:style>
  <w:style w:type="paragraph" w:styleId="Header">
    <w:name w:val="header"/>
    <w:aliases w:val="6_G"/>
    <w:basedOn w:val="Normal"/>
    <w:link w:val="HeaderChar"/>
    <w:uiPriority w:val="99"/>
    <w:rsid w:val="0011702A"/>
    <w:pPr>
      <w:tabs>
        <w:tab w:val="center" w:pos="4536"/>
        <w:tab w:val="right" w:pos="9072"/>
      </w:tabs>
    </w:pPr>
  </w:style>
  <w:style w:type="character" w:customStyle="1" w:styleId="HeaderChar">
    <w:name w:val="Header Char"/>
    <w:aliases w:val="6_G Char"/>
    <w:basedOn w:val="DefaultParagraphFont"/>
    <w:link w:val="Header"/>
    <w:uiPriority w:val="99"/>
    <w:rsid w:val="0011702A"/>
    <w:rPr>
      <w:lang w:eastAsia="fr-FR"/>
    </w:rPr>
  </w:style>
  <w:style w:type="paragraph" w:styleId="Footer">
    <w:name w:val="footer"/>
    <w:basedOn w:val="Normal"/>
    <w:link w:val="FooterChar"/>
    <w:rsid w:val="0011702A"/>
    <w:pPr>
      <w:tabs>
        <w:tab w:val="center" w:pos="4536"/>
        <w:tab w:val="right" w:pos="9072"/>
      </w:tabs>
    </w:pPr>
  </w:style>
  <w:style w:type="character" w:customStyle="1" w:styleId="FooterChar">
    <w:name w:val="Footer Char"/>
    <w:basedOn w:val="DefaultParagraphFont"/>
    <w:link w:val="Footer"/>
    <w:rsid w:val="0011702A"/>
    <w:rPr>
      <w:lang w:eastAsia="fr-FR"/>
    </w:rPr>
  </w:style>
  <w:style w:type="paragraph" w:styleId="FootnoteText">
    <w:name w:val="footnote text"/>
    <w:aliases w:val="5_G"/>
    <w:basedOn w:val="Normal"/>
    <w:link w:val="FootnoteTextChar"/>
    <w:qFormat/>
    <w:rsid w:val="00596953"/>
  </w:style>
  <w:style w:type="character" w:customStyle="1" w:styleId="FootnoteTextChar">
    <w:name w:val="Footnote Text Char"/>
    <w:aliases w:val="5_G Char"/>
    <w:basedOn w:val="DefaultParagraphFont"/>
    <w:link w:val="FootnoteText"/>
    <w:rsid w:val="00596953"/>
    <w:rPr>
      <w:lang w:eastAsia="fr-FR"/>
    </w:rPr>
  </w:style>
  <w:style w:type="character" w:styleId="FootnoteReference">
    <w:name w:val="footnote reference"/>
    <w:aliases w:val="4_G,Footnote Reference/"/>
    <w:unhideWhenUsed/>
    <w:rsid w:val="00596953"/>
    <w:rPr>
      <w:rFonts w:ascii="Times New Roman" w:hAnsi="Times New Roman" w:cs="Times New Roman" w:hint="default"/>
      <w:sz w:val="18"/>
      <w:vertAlign w:val="superscript"/>
    </w:rPr>
  </w:style>
  <w:style w:type="paragraph" w:styleId="ListParagraph">
    <w:name w:val="List Paragraph"/>
    <w:basedOn w:val="Normal"/>
    <w:uiPriority w:val="34"/>
    <w:qFormat/>
    <w:rsid w:val="00596953"/>
    <w:pPr>
      <w:ind w:left="720"/>
      <w:contextualSpacing/>
    </w:pPr>
  </w:style>
  <w:style w:type="paragraph" w:styleId="BodyText2">
    <w:name w:val="Body Text 2"/>
    <w:basedOn w:val="Normal"/>
    <w:link w:val="BodyText2Char"/>
    <w:rsid w:val="00FE2EF4"/>
    <w:pPr>
      <w:spacing w:after="120" w:line="480" w:lineRule="auto"/>
    </w:pPr>
  </w:style>
  <w:style w:type="character" w:customStyle="1" w:styleId="BodyText2Char">
    <w:name w:val="Body Text 2 Char"/>
    <w:basedOn w:val="DefaultParagraphFont"/>
    <w:link w:val="BodyText2"/>
    <w:rsid w:val="00FE2EF4"/>
    <w:rPr>
      <w:lang w:eastAsia="fr-FR"/>
    </w:rPr>
  </w:style>
  <w:style w:type="paragraph" w:styleId="BodyTextIndent2">
    <w:name w:val="Body Text Indent 2"/>
    <w:basedOn w:val="Normal"/>
    <w:link w:val="BodyTextIndent2Char"/>
    <w:rsid w:val="00FE2EF4"/>
    <w:pPr>
      <w:spacing w:after="120" w:line="480" w:lineRule="auto"/>
      <w:ind w:left="283"/>
    </w:pPr>
  </w:style>
  <w:style w:type="character" w:customStyle="1" w:styleId="BodyTextIndent2Char">
    <w:name w:val="Body Text Indent 2 Char"/>
    <w:basedOn w:val="DefaultParagraphFont"/>
    <w:link w:val="BodyTextIndent2"/>
    <w:rsid w:val="00FE2EF4"/>
    <w:rPr>
      <w:lang w:eastAsia="fr-FR"/>
    </w:rPr>
  </w:style>
  <w:style w:type="paragraph" w:customStyle="1" w:styleId="Randnummer">
    <w:name w:val="Randnummer"/>
    <w:basedOn w:val="Normal"/>
    <w:link w:val="RandnummerChar"/>
    <w:rsid w:val="00BC00D3"/>
    <w:pPr>
      <w:widowControl/>
      <w:tabs>
        <w:tab w:val="left" w:pos="580"/>
        <w:tab w:val="left" w:pos="1100"/>
      </w:tabs>
      <w:overflowPunct/>
      <w:autoSpaceDE/>
      <w:autoSpaceDN/>
      <w:adjustRightInd/>
      <w:spacing w:before="180"/>
      <w:ind w:left="1080" w:hanging="1080"/>
      <w:textAlignment w:val="auto"/>
    </w:pPr>
    <w:rPr>
      <w:rFonts w:ascii="Arial" w:hAnsi="Arial"/>
      <w:color w:val="000000"/>
      <w:sz w:val="18"/>
      <w:lang w:eastAsia="de-DE"/>
    </w:rPr>
  </w:style>
  <w:style w:type="paragraph" w:customStyle="1" w:styleId="Normaltext">
    <w:name w:val="Normaltext"/>
    <w:basedOn w:val="Normal"/>
    <w:rsid w:val="00BC00D3"/>
    <w:pPr>
      <w:widowControl/>
      <w:overflowPunct/>
      <w:autoSpaceDE/>
      <w:autoSpaceDN/>
      <w:adjustRightInd/>
      <w:spacing w:before="180"/>
      <w:ind w:left="1080" w:firstLine="0"/>
      <w:textAlignment w:val="auto"/>
    </w:pPr>
    <w:rPr>
      <w:rFonts w:ascii="Arial" w:hAnsi="Arial"/>
      <w:color w:val="000000"/>
      <w:sz w:val="18"/>
      <w:lang w:eastAsia="de-DE"/>
    </w:rPr>
  </w:style>
  <w:style w:type="character" w:customStyle="1" w:styleId="RandnummerChar">
    <w:name w:val="Randnummer Char"/>
    <w:basedOn w:val="DefaultParagraphFont"/>
    <w:link w:val="Randnummer"/>
    <w:rsid w:val="00BC00D3"/>
    <w:rPr>
      <w:rFonts w:ascii="Arial" w:hAnsi="Arial"/>
      <w:color w:val="000000"/>
      <w:sz w:val="18"/>
    </w:rPr>
  </w:style>
  <w:style w:type="paragraph" w:customStyle="1" w:styleId="TNRb">
    <w:name w:val="TNRb"/>
    <w:basedOn w:val="Normal"/>
    <w:rsid w:val="0007311B"/>
    <w:pPr>
      <w:widowControl/>
      <w:tabs>
        <w:tab w:val="left" w:pos="2126"/>
      </w:tabs>
      <w:overflowPunct/>
      <w:autoSpaceDE/>
      <w:autoSpaceDN/>
      <w:adjustRightInd/>
      <w:ind w:left="2126" w:firstLine="0"/>
      <w:textAlignment w:val="auto"/>
    </w:pPr>
    <w:rPr>
      <w:rFonts w:ascii="Arial" w:hAnsi="Arial"/>
      <w:sz w:val="24"/>
      <w:lang w:val="fr-FR" w:eastAsia="de-DE"/>
    </w:rPr>
  </w:style>
  <w:style w:type="character" w:customStyle="1" w:styleId="Heading2Char">
    <w:name w:val="Heading 2 Char"/>
    <w:basedOn w:val="DefaultParagraphFont"/>
    <w:link w:val="Heading2"/>
    <w:uiPriority w:val="9"/>
    <w:rsid w:val="00017B2F"/>
    <w:rPr>
      <w:b/>
      <w:bCs/>
      <w:sz w:val="36"/>
      <w:szCs w:val="36"/>
    </w:rPr>
  </w:style>
  <w:style w:type="character" w:customStyle="1" w:styleId="Heading3Char">
    <w:name w:val="Heading 3 Char"/>
    <w:basedOn w:val="DefaultParagraphFont"/>
    <w:link w:val="Heading3"/>
    <w:semiHidden/>
    <w:rsid w:val="00ED1827"/>
    <w:rPr>
      <w:rFonts w:asciiTheme="majorHAnsi" w:eastAsiaTheme="majorEastAsia" w:hAnsiTheme="majorHAnsi" w:cstheme="majorBidi"/>
      <w:b/>
      <w:bCs/>
      <w:color w:val="4F81BD" w:themeColor="accent1"/>
      <w:lang w:eastAsia="fr-FR"/>
    </w:rPr>
  </w:style>
  <w:style w:type="character" w:customStyle="1" w:styleId="Heading5Char">
    <w:name w:val="Heading 5 Char"/>
    <w:basedOn w:val="DefaultParagraphFont"/>
    <w:link w:val="Heading5"/>
    <w:rsid w:val="00ED1827"/>
    <w:rPr>
      <w:rFonts w:asciiTheme="majorHAnsi" w:eastAsiaTheme="majorEastAsia" w:hAnsiTheme="majorHAnsi" w:cstheme="majorBidi"/>
      <w:color w:val="243F60" w:themeColor="accent1" w:themeShade="7F"/>
      <w:lang w:eastAsia="fr-FR"/>
    </w:rPr>
  </w:style>
  <w:style w:type="character" w:styleId="Emphasis">
    <w:name w:val="Emphasis"/>
    <w:basedOn w:val="DefaultParagraphFont"/>
    <w:qFormat/>
    <w:rsid w:val="00ED1827"/>
    <w:rPr>
      <w:i/>
      <w:iCs/>
    </w:rPr>
  </w:style>
  <w:style w:type="paragraph" w:styleId="NoSpacing">
    <w:name w:val="No Spacing"/>
    <w:uiPriority w:val="1"/>
    <w:qFormat/>
    <w:rsid w:val="00ED1827"/>
    <w:pPr>
      <w:widowControl w:val="0"/>
      <w:overflowPunct w:val="0"/>
      <w:autoSpaceDE w:val="0"/>
      <w:autoSpaceDN w:val="0"/>
      <w:adjustRightInd w:val="0"/>
      <w:ind w:left="1134" w:hanging="1134"/>
      <w:jc w:val="both"/>
      <w:textAlignment w:val="baseline"/>
    </w:pPr>
    <w:rPr>
      <w:lang w:eastAsia="fr-FR"/>
    </w:rPr>
  </w:style>
  <w:style w:type="paragraph" w:styleId="Revision">
    <w:name w:val="Revision"/>
    <w:hidden/>
    <w:uiPriority w:val="99"/>
    <w:semiHidden/>
    <w:rsid w:val="00C942C1"/>
    <w:rPr>
      <w:lang w:eastAsia="fr-FR"/>
    </w:rPr>
  </w:style>
  <w:style w:type="table" w:styleId="TableGrid">
    <w:name w:val="Table Grid"/>
    <w:basedOn w:val="TableNormal"/>
    <w:rsid w:val="008D3DAE"/>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G">
    <w:name w:val="_ Single Txt_G"/>
    <w:basedOn w:val="Normal"/>
    <w:qFormat/>
    <w:rsid w:val="0024118A"/>
    <w:pPr>
      <w:widowControl/>
      <w:suppressAutoHyphens/>
      <w:overflowPunct/>
      <w:autoSpaceDE/>
      <w:autoSpaceDN/>
      <w:adjustRightInd/>
      <w:spacing w:after="120" w:line="240" w:lineRule="atLeast"/>
      <w:ind w:right="1134" w:firstLine="0"/>
      <w:textAlignment w:val="auto"/>
    </w:pPr>
    <w:rPr>
      <w:lang w:val="en-GB"/>
    </w:rPr>
  </w:style>
  <w:style w:type="character" w:customStyle="1" w:styleId="HChGChar">
    <w:name w:val="_ H _Ch_G Char"/>
    <w:link w:val="HChG"/>
    <w:rsid w:val="00D14A73"/>
    <w:rPr>
      <w:b/>
      <w:sz w:val="28"/>
      <w:lang w:val="fr-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8337">
      <w:bodyDiv w:val="1"/>
      <w:marLeft w:val="0"/>
      <w:marRight w:val="0"/>
      <w:marTop w:val="0"/>
      <w:marBottom w:val="0"/>
      <w:divBdr>
        <w:top w:val="none" w:sz="0" w:space="0" w:color="auto"/>
        <w:left w:val="none" w:sz="0" w:space="0" w:color="auto"/>
        <w:bottom w:val="none" w:sz="0" w:space="0" w:color="auto"/>
        <w:right w:val="none" w:sz="0" w:space="0" w:color="auto"/>
      </w:divBdr>
    </w:div>
    <w:div w:id="105466677">
      <w:bodyDiv w:val="1"/>
      <w:marLeft w:val="0"/>
      <w:marRight w:val="0"/>
      <w:marTop w:val="0"/>
      <w:marBottom w:val="0"/>
      <w:divBdr>
        <w:top w:val="none" w:sz="0" w:space="0" w:color="auto"/>
        <w:left w:val="none" w:sz="0" w:space="0" w:color="auto"/>
        <w:bottom w:val="none" w:sz="0" w:space="0" w:color="auto"/>
        <w:right w:val="none" w:sz="0" w:space="0" w:color="auto"/>
      </w:divBdr>
    </w:div>
    <w:div w:id="136146105">
      <w:bodyDiv w:val="1"/>
      <w:marLeft w:val="0"/>
      <w:marRight w:val="0"/>
      <w:marTop w:val="0"/>
      <w:marBottom w:val="0"/>
      <w:divBdr>
        <w:top w:val="none" w:sz="0" w:space="0" w:color="auto"/>
        <w:left w:val="none" w:sz="0" w:space="0" w:color="auto"/>
        <w:bottom w:val="none" w:sz="0" w:space="0" w:color="auto"/>
        <w:right w:val="none" w:sz="0" w:space="0" w:color="auto"/>
      </w:divBdr>
    </w:div>
    <w:div w:id="226038925">
      <w:bodyDiv w:val="1"/>
      <w:marLeft w:val="0"/>
      <w:marRight w:val="0"/>
      <w:marTop w:val="0"/>
      <w:marBottom w:val="0"/>
      <w:divBdr>
        <w:top w:val="none" w:sz="0" w:space="0" w:color="auto"/>
        <w:left w:val="none" w:sz="0" w:space="0" w:color="auto"/>
        <w:bottom w:val="none" w:sz="0" w:space="0" w:color="auto"/>
        <w:right w:val="none" w:sz="0" w:space="0" w:color="auto"/>
      </w:divBdr>
    </w:div>
    <w:div w:id="298417631">
      <w:bodyDiv w:val="1"/>
      <w:marLeft w:val="0"/>
      <w:marRight w:val="0"/>
      <w:marTop w:val="0"/>
      <w:marBottom w:val="0"/>
      <w:divBdr>
        <w:top w:val="none" w:sz="0" w:space="0" w:color="auto"/>
        <w:left w:val="none" w:sz="0" w:space="0" w:color="auto"/>
        <w:bottom w:val="none" w:sz="0" w:space="0" w:color="auto"/>
        <w:right w:val="none" w:sz="0" w:space="0" w:color="auto"/>
      </w:divBdr>
    </w:div>
    <w:div w:id="411784165">
      <w:bodyDiv w:val="1"/>
      <w:marLeft w:val="0"/>
      <w:marRight w:val="0"/>
      <w:marTop w:val="0"/>
      <w:marBottom w:val="0"/>
      <w:divBdr>
        <w:top w:val="none" w:sz="0" w:space="0" w:color="auto"/>
        <w:left w:val="none" w:sz="0" w:space="0" w:color="auto"/>
        <w:bottom w:val="none" w:sz="0" w:space="0" w:color="auto"/>
        <w:right w:val="none" w:sz="0" w:space="0" w:color="auto"/>
      </w:divBdr>
    </w:div>
    <w:div w:id="413282404">
      <w:bodyDiv w:val="1"/>
      <w:marLeft w:val="0"/>
      <w:marRight w:val="0"/>
      <w:marTop w:val="0"/>
      <w:marBottom w:val="0"/>
      <w:divBdr>
        <w:top w:val="none" w:sz="0" w:space="0" w:color="auto"/>
        <w:left w:val="none" w:sz="0" w:space="0" w:color="auto"/>
        <w:bottom w:val="none" w:sz="0" w:space="0" w:color="auto"/>
        <w:right w:val="none" w:sz="0" w:space="0" w:color="auto"/>
      </w:divBdr>
    </w:div>
    <w:div w:id="429159762">
      <w:bodyDiv w:val="1"/>
      <w:marLeft w:val="0"/>
      <w:marRight w:val="0"/>
      <w:marTop w:val="0"/>
      <w:marBottom w:val="0"/>
      <w:divBdr>
        <w:top w:val="none" w:sz="0" w:space="0" w:color="auto"/>
        <w:left w:val="none" w:sz="0" w:space="0" w:color="auto"/>
        <w:bottom w:val="none" w:sz="0" w:space="0" w:color="auto"/>
        <w:right w:val="none" w:sz="0" w:space="0" w:color="auto"/>
      </w:divBdr>
    </w:div>
    <w:div w:id="462385181">
      <w:bodyDiv w:val="1"/>
      <w:marLeft w:val="0"/>
      <w:marRight w:val="0"/>
      <w:marTop w:val="0"/>
      <w:marBottom w:val="0"/>
      <w:divBdr>
        <w:top w:val="none" w:sz="0" w:space="0" w:color="auto"/>
        <w:left w:val="none" w:sz="0" w:space="0" w:color="auto"/>
        <w:bottom w:val="none" w:sz="0" w:space="0" w:color="auto"/>
        <w:right w:val="none" w:sz="0" w:space="0" w:color="auto"/>
      </w:divBdr>
    </w:div>
    <w:div w:id="483006531">
      <w:bodyDiv w:val="1"/>
      <w:marLeft w:val="0"/>
      <w:marRight w:val="0"/>
      <w:marTop w:val="0"/>
      <w:marBottom w:val="0"/>
      <w:divBdr>
        <w:top w:val="none" w:sz="0" w:space="0" w:color="auto"/>
        <w:left w:val="none" w:sz="0" w:space="0" w:color="auto"/>
        <w:bottom w:val="none" w:sz="0" w:space="0" w:color="auto"/>
        <w:right w:val="none" w:sz="0" w:space="0" w:color="auto"/>
      </w:divBdr>
    </w:div>
    <w:div w:id="773403061">
      <w:bodyDiv w:val="1"/>
      <w:marLeft w:val="0"/>
      <w:marRight w:val="0"/>
      <w:marTop w:val="0"/>
      <w:marBottom w:val="0"/>
      <w:divBdr>
        <w:top w:val="none" w:sz="0" w:space="0" w:color="auto"/>
        <w:left w:val="none" w:sz="0" w:space="0" w:color="auto"/>
        <w:bottom w:val="none" w:sz="0" w:space="0" w:color="auto"/>
        <w:right w:val="none" w:sz="0" w:space="0" w:color="auto"/>
      </w:divBdr>
    </w:div>
    <w:div w:id="859321437">
      <w:bodyDiv w:val="1"/>
      <w:marLeft w:val="0"/>
      <w:marRight w:val="0"/>
      <w:marTop w:val="0"/>
      <w:marBottom w:val="0"/>
      <w:divBdr>
        <w:top w:val="none" w:sz="0" w:space="0" w:color="auto"/>
        <w:left w:val="none" w:sz="0" w:space="0" w:color="auto"/>
        <w:bottom w:val="none" w:sz="0" w:space="0" w:color="auto"/>
        <w:right w:val="none" w:sz="0" w:space="0" w:color="auto"/>
      </w:divBdr>
    </w:div>
    <w:div w:id="886844575">
      <w:bodyDiv w:val="1"/>
      <w:marLeft w:val="0"/>
      <w:marRight w:val="0"/>
      <w:marTop w:val="0"/>
      <w:marBottom w:val="0"/>
      <w:divBdr>
        <w:top w:val="none" w:sz="0" w:space="0" w:color="auto"/>
        <w:left w:val="none" w:sz="0" w:space="0" w:color="auto"/>
        <w:bottom w:val="none" w:sz="0" w:space="0" w:color="auto"/>
        <w:right w:val="none" w:sz="0" w:space="0" w:color="auto"/>
      </w:divBdr>
    </w:div>
    <w:div w:id="913130025">
      <w:bodyDiv w:val="1"/>
      <w:marLeft w:val="0"/>
      <w:marRight w:val="0"/>
      <w:marTop w:val="0"/>
      <w:marBottom w:val="0"/>
      <w:divBdr>
        <w:top w:val="none" w:sz="0" w:space="0" w:color="auto"/>
        <w:left w:val="none" w:sz="0" w:space="0" w:color="auto"/>
        <w:bottom w:val="none" w:sz="0" w:space="0" w:color="auto"/>
        <w:right w:val="none" w:sz="0" w:space="0" w:color="auto"/>
      </w:divBdr>
    </w:div>
    <w:div w:id="914970718">
      <w:bodyDiv w:val="1"/>
      <w:marLeft w:val="0"/>
      <w:marRight w:val="0"/>
      <w:marTop w:val="0"/>
      <w:marBottom w:val="0"/>
      <w:divBdr>
        <w:top w:val="none" w:sz="0" w:space="0" w:color="auto"/>
        <w:left w:val="none" w:sz="0" w:space="0" w:color="auto"/>
        <w:bottom w:val="none" w:sz="0" w:space="0" w:color="auto"/>
        <w:right w:val="none" w:sz="0" w:space="0" w:color="auto"/>
      </w:divBdr>
    </w:div>
    <w:div w:id="1023167789">
      <w:bodyDiv w:val="1"/>
      <w:marLeft w:val="0"/>
      <w:marRight w:val="0"/>
      <w:marTop w:val="0"/>
      <w:marBottom w:val="0"/>
      <w:divBdr>
        <w:top w:val="none" w:sz="0" w:space="0" w:color="auto"/>
        <w:left w:val="none" w:sz="0" w:space="0" w:color="auto"/>
        <w:bottom w:val="none" w:sz="0" w:space="0" w:color="auto"/>
        <w:right w:val="none" w:sz="0" w:space="0" w:color="auto"/>
      </w:divBdr>
    </w:div>
    <w:div w:id="1121993824">
      <w:bodyDiv w:val="1"/>
      <w:marLeft w:val="0"/>
      <w:marRight w:val="0"/>
      <w:marTop w:val="0"/>
      <w:marBottom w:val="0"/>
      <w:divBdr>
        <w:top w:val="none" w:sz="0" w:space="0" w:color="auto"/>
        <w:left w:val="none" w:sz="0" w:space="0" w:color="auto"/>
        <w:bottom w:val="none" w:sz="0" w:space="0" w:color="auto"/>
        <w:right w:val="none" w:sz="0" w:space="0" w:color="auto"/>
      </w:divBdr>
    </w:div>
    <w:div w:id="1135877284">
      <w:bodyDiv w:val="1"/>
      <w:marLeft w:val="0"/>
      <w:marRight w:val="0"/>
      <w:marTop w:val="0"/>
      <w:marBottom w:val="0"/>
      <w:divBdr>
        <w:top w:val="none" w:sz="0" w:space="0" w:color="auto"/>
        <w:left w:val="none" w:sz="0" w:space="0" w:color="auto"/>
        <w:bottom w:val="none" w:sz="0" w:space="0" w:color="auto"/>
        <w:right w:val="none" w:sz="0" w:space="0" w:color="auto"/>
      </w:divBdr>
    </w:div>
    <w:div w:id="1289625957">
      <w:bodyDiv w:val="1"/>
      <w:marLeft w:val="0"/>
      <w:marRight w:val="0"/>
      <w:marTop w:val="0"/>
      <w:marBottom w:val="0"/>
      <w:divBdr>
        <w:top w:val="none" w:sz="0" w:space="0" w:color="auto"/>
        <w:left w:val="none" w:sz="0" w:space="0" w:color="auto"/>
        <w:bottom w:val="none" w:sz="0" w:space="0" w:color="auto"/>
        <w:right w:val="none" w:sz="0" w:space="0" w:color="auto"/>
      </w:divBdr>
    </w:div>
    <w:div w:id="1384478832">
      <w:bodyDiv w:val="1"/>
      <w:marLeft w:val="0"/>
      <w:marRight w:val="0"/>
      <w:marTop w:val="0"/>
      <w:marBottom w:val="0"/>
      <w:divBdr>
        <w:top w:val="none" w:sz="0" w:space="0" w:color="auto"/>
        <w:left w:val="none" w:sz="0" w:space="0" w:color="auto"/>
        <w:bottom w:val="none" w:sz="0" w:space="0" w:color="auto"/>
        <w:right w:val="none" w:sz="0" w:space="0" w:color="auto"/>
      </w:divBdr>
    </w:div>
    <w:div w:id="1940284947">
      <w:bodyDiv w:val="1"/>
      <w:marLeft w:val="0"/>
      <w:marRight w:val="0"/>
      <w:marTop w:val="0"/>
      <w:marBottom w:val="0"/>
      <w:divBdr>
        <w:top w:val="none" w:sz="0" w:space="0" w:color="auto"/>
        <w:left w:val="none" w:sz="0" w:space="0" w:color="auto"/>
        <w:bottom w:val="none" w:sz="0" w:space="0" w:color="auto"/>
        <w:right w:val="none" w:sz="0" w:space="0" w:color="auto"/>
      </w:divBdr>
    </w:div>
    <w:div w:id="213971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C122EC34-2227-448A-8927-C3BDDC4E88D0}">
  <ds:schemaRefs>
    <ds:schemaRef ds:uri="http://schemas.openxmlformats.org/officeDocument/2006/bibliography"/>
  </ds:schemaRefs>
</ds:datastoreItem>
</file>

<file path=customXml/itemProps2.xml><?xml version="1.0" encoding="utf-8"?>
<ds:datastoreItem xmlns:ds="http://schemas.openxmlformats.org/officeDocument/2006/customXml" ds:itemID="{46F0944D-D0CF-4C6B-9E92-E0EA7CCDCB62}"/>
</file>

<file path=customXml/itemProps3.xml><?xml version="1.0" encoding="utf-8"?>
<ds:datastoreItem xmlns:ds="http://schemas.openxmlformats.org/officeDocument/2006/customXml" ds:itemID="{6E282A5C-841C-4DD8-884E-AB5F0F948FC8}"/>
</file>

<file path=customXml/itemProps4.xml><?xml version="1.0" encoding="utf-8"?>
<ds:datastoreItem xmlns:ds="http://schemas.openxmlformats.org/officeDocument/2006/customXml" ds:itemID="{C3688682-7E9A-44E1-8B29-773A5BB2DA74}"/>
</file>

<file path=docProps/app.xml><?xml version="1.0" encoding="utf-8"?>
<Properties xmlns="http://schemas.openxmlformats.org/officeDocument/2006/extended-properties" xmlns:vt="http://schemas.openxmlformats.org/officeDocument/2006/docPropsVTypes">
  <Template>Normal.dotm</Template>
  <TotalTime>5</TotalTime>
  <Pages>3</Pages>
  <Words>814</Words>
  <Characters>4641</Characters>
  <Application>Microsoft Office Word</Application>
  <DocSecurity>4</DocSecurity>
  <Lines>38</Lines>
  <Paragraphs>10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BMVBS</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Nadiya</cp:lastModifiedBy>
  <cp:revision>2</cp:revision>
  <cp:lastPrinted>2017-06-06T08:16:00Z</cp:lastPrinted>
  <dcterms:created xsi:type="dcterms:W3CDTF">2023-05-16T09:41:00Z</dcterms:created>
  <dcterms:modified xsi:type="dcterms:W3CDTF">2023-05-16T09:41:00Z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