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30C104C8" w14:textId="77777777" w:rsidTr="00691F20">
        <w:trPr>
          <w:cantSplit/>
          <w:trHeight w:hRule="exact" w:val="851"/>
        </w:trPr>
        <w:tc>
          <w:tcPr>
            <w:tcW w:w="9639" w:type="dxa"/>
            <w:tcBorders>
              <w:bottom w:val="single" w:sz="4" w:space="0" w:color="auto"/>
            </w:tcBorders>
            <w:vAlign w:val="bottom"/>
          </w:tcPr>
          <w:p w14:paraId="70380913" w14:textId="395469EC" w:rsidR="0099001C" w:rsidRPr="00EA2D43" w:rsidRDefault="0099001C" w:rsidP="00226D9D">
            <w:pPr>
              <w:jc w:val="right"/>
              <w:rPr>
                <w:b/>
                <w:sz w:val="40"/>
                <w:szCs w:val="40"/>
              </w:rPr>
            </w:pPr>
            <w:r w:rsidRPr="00EA2D43">
              <w:rPr>
                <w:b/>
                <w:sz w:val="40"/>
                <w:szCs w:val="40"/>
              </w:rPr>
              <w:t>UN/SCE</w:t>
            </w:r>
            <w:r w:rsidR="00B83093">
              <w:rPr>
                <w:b/>
                <w:sz w:val="40"/>
                <w:szCs w:val="40"/>
              </w:rPr>
              <w:t>GHS</w:t>
            </w:r>
            <w:r w:rsidRPr="00EA2D43">
              <w:rPr>
                <w:b/>
                <w:sz w:val="40"/>
                <w:szCs w:val="40"/>
              </w:rPr>
              <w:t>/</w:t>
            </w:r>
            <w:r w:rsidR="006F1999">
              <w:rPr>
                <w:b/>
                <w:sz w:val="40"/>
                <w:szCs w:val="40"/>
              </w:rPr>
              <w:t>4</w:t>
            </w:r>
            <w:r w:rsidR="00E72FE9">
              <w:rPr>
                <w:b/>
                <w:sz w:val="40"/>
                <w:szCs w:val="40"/>
              </w:rPr>
              <w:t>4</w:t>
            </w:r>
            <w:r w:rsidRPr="00EA2D43">
              <w:rPr>
                <w:b/>
                <w:sz w:val="40"/>
                <w:szCs w:val="40"/>
              </w:rPr>
              <w:t>/INF.</w:t>
            </w:r>
            <w:r w:rsidR="005C563A">
              <w:rPr>
                <w:b/>
                <w:sz w:val="40"/>
                <w:szCs w:val="40"/>
              </w:rPr>
              <w:t>3</w:t>
            </w:r>
          </w:p>
        </w:tc>
      </w:tr>
      <w:tr w:rsidR="0099001C" w:rsidRPr="00EA2D43" w14:paraId="65B0C0A9" w14:textId="77777777" w:rsidTr="008B6E26">
        <w:trPr>
          <w:cantSplit/>
          <w:trHeight w:hRule="exact" w:val="3114"/>
        </w:trPr>
        <w:tc>
          <w:tcPr>
            <w:tcW w:w="9639" w:type="dxa"/>
            <w:tcBorders>
              <w:top w:val="single" w:sz="4" w:space="0" w:color="auto"/>
            </w:tcBorders>
          </w:tcPr>
          <w:p w14:paraId="49EAEE05" w14:textId="77777777" w:rsidR="00192056" w:rsidRDefault="00192056" w:rsidP="00192056">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54BA071D" w14:textId="520E31D1" w:rsidR="00192056" w:rsidRDefault="00192056" w:rsidP="00192056">
            <w:pPr>
              <w:tabs>
                <w:tab w:val="right" w:pos="9300"/>
              </w:tabs>
              <w:spacing w:before="120"/>
              <w:rPr>
                <w:b/>
                <w:lang w:val="en-US"/>
              </w:rPr>
            </w:pPr>
            <w:r w:rsidRPr="000B4919">
              <w:rPr>
                <w:b/>
              </w:rPr>
              <w:t xml:space="preserve">Sub-Committee of Experts on the Globally Harmonized System </w:t>
            </w:r>
            <w:r>
              <w:rPr>
                <w:b/>
              </w:rPr>
              <w:br/>
            </w:r>
            <w:r w:rsidRPr="000B4919">
              <w:rPr>
                <w:b/>
              </w:rPr>
              <w:t>of Classification and Labelling of Chemicals</w:t>
            </w:r>
            <w:r>
              <w:rPr>
                <w:b/>
                <w:lang w:val="en-US"/>
              </w:rPr>
              <w:t xml:space="preserve">  </w:t>
            </w:r>
            <w:r>
              <w:rPr>
                <w:b/>
                <w:lang w:val="en-US"/>
              </w:rPr>
              <w:tab/>
            </w:r>
            <w:r w:rsidR="00F61FC5" w:rsidRPr="004672DE">
              <w:rPr>
                <w:b/>
                <w:lang w:val="en-US"/>
              </w:rPr>
              <w:t>2</w:t>
            </w:r>
            <w:r w:rsidR="004672DE">
              <w:rPr>
                <w:b/>
                <w:lang w:val="en-US"/>
              </w:rPr>
              <w:t>5</w:t>
            </w:r>
            <w:r w:rsidR="00E72FE9" w:rsidRPr="004672DE">
              <w:rPr>
                <w:b/>
                <w:lang w:val="en-US"/>
              </w:rPr>
              <w:t xml:space="preserve"> </w:t>
            </w:r>
            <w:r w:rsidR="005C563A" w:rsidRPr="004672DE">
              <w:rPr>
                <w:b/>
                <w:lang w:val="en-US"/>
              </w:rPr>
              <w:t>April</w:t>
            </w:r>
            <w:r w:rsidRPr="004672DE">
              <w:rPr>
                <w:b/>
                <w:lang w:val="en-US"/>
              </w:rPr>
              <w:t xml:space="preserve"> 202</w:t>
            </w:r>
            <w:r w:rsidR="00E72FE9" w:rsidRPr="004672DE">
              <w:rPr>
                <w:b/>
                <w:lang w:val="en-US"/>
              </w:rPr>
              <w:t>3</w:t>
            </w:r>
          </w:p>
          <w:p w14:paraId="212A9D1F" w14:textId="77777777" w:rsidR="00065CFB" w:rsidRPr="00DA7696" w:rsidRDefault="00065CFB" w:rsidP="00065CFB">
            <w:pPr>
              <w:spacing w:before="120"/>
              <w:rPr>
                <w:b/>
              </w:rPr>
            </w:pPr>
            <w:r w:rsidRPr="00DA7696">
              <w:rPr>
                <w:b/>
              </w:rPr>
              <w:t>Forty-</w:t>
            </w:r>
            <w:r>
              <w:rPr>
                <w:b/>
              </w:rPr>
              <w:t>fourth</w:t>
            </w:r>
            <w:r w:rsidRPr="00DA7696">
              <w:rPr>
                <w:b/>
              </w:rPr>
              <w:t xml:space="preserve"> session</w:t>
            </w:r>
          </w:p>
          <w:p w14:paraId="7ADA79F0" w14:textId="77777777" w:rsidR="00065CFB" w:rsidRPr="00EC5117" w:rsidRDefault="00065CFB" w:rsidP="00065CFB">
            <w:r w:rsidRPr="00EC5117">
              <w:t xml:space="preserve">Geneva, </w:t>
            </w:r>
            <w:r>
              <w:t>10-12</w:t>
            </w:r>
            <w:r w:rsidRPr="00EC5117">
              <w:t xml:space="preserve"> </w:t>
            </w:r>
            <w:r>
              <w:t>July</w:t>
            </w:r>
            <w:r w:rsidRPr="00EC5117">
              <w:t xml:space="preserve"> 202</w:t>
            </w:r>
            <w:r>
              <w:t>3</w:t>
            </w:r>
          </w:p>
          <w:p w14:paraId="2A84D790" w14:textId="77777777" w:rsidR="00065CFB" w:rsidRPr="00E243CB" w:rsidRDefault="00065CFB" w:rsidP="00065CFB">
            <w:r w:rsidRPr="00E243CB">
              <w:t>Item 2 (h) of the provisional agenda</w:t>
            </w:r>
          </w:p>
          <w:p w14:paraId="1CDC97BE" w14:textId="77777777" w:rsidR="00896995" w:rsidRPr="00C6218D" w:rsidRDefault="00896995" w:rsidP="00896995">
            <w:pPr>
              <w:rPr>
                <w:b/>
                <w:bCs/>
              </w:rPr>
            </w:pPr>
            <w:r w:rsidRPr="00E243CB">
              <w:rPr>
                <w:b/>
                <w:bCs/>
              </w:rPr>
              <w:t xml:space="preserve">Work on the Globally Harmonized System of Classification and </w:t>
            </w:r>
            <w:r w:rsidRPr="00E243CB">
              <w:rPr>
                <w:b/>
                <w:bCs/>
              </w:rPr>
              <w:br/>
              <w:t xml:space="preserve">Labelling of Chemicals: Hazard communication for gases </w:t>
            </w:r>
            <w:r w:rsidRPr="00E243CB">
              <w:rPr>
                <w:b/>
                <w:bCs/>
              </w:rPr>
              <w:br/>
              <w:t>addressed in the Montreal Protocol and other conventions</w:t>
            </w:r>
          </w:p>
          <w:p w14:paraId="6CDFDDA7" w14:textId="1436FEE0" w:rsidR="00065CFB" w:rsidRDefault="00065CFB" w:rsidP="0002166E">
            <w:pPr>
              <w:rPr>
                <w:b/>
                <w:bCs/>
              </w:rPr>
            </w:pPr>
          </w:p>
          <w:p w14:paraId="32F46AC4" w14:textId="63474B13" w:rsidR="0099001C" w:rsidRPr="00EA2D43" w:rsidRDefault="00065CFB" w:rsidP="00065CFB">
            <w:pPr>
              <w:jc w:val="both"/>
              <w:rPr>
                <w:highlight w:val="yellow"/>
              </w:rPr>
            </w:pPr>
            <w:r w:rsidRPr="00C6218D">
              <w:rPr>
                <w:b/>
                <w:bCs/>
              </w:rPr>
              <w:t>Protocol and other conventions</w:t>
            </w:r>
          </w:p>
        </w:tc>
      </w:tr>
    </w:tbl>
    <w:p w14:paraId="20D1B5F6" w14:textId="3238EE4E" w:rsidR="00D304ED" w:rsidRPr="00CB7CF2" w:rsidRDefault="0099001C" w:rsidP="00D304ED">
      <w:pPr>
        <w:pStyle w:val="HChG"/>
        <w:ind w:right="379"/>
        <w:jc w:val="both"/>
        <w:rPr>
          <w:rFonts w:eastAsia="MS Mincho"/>
          <w:lang w:eastAsia="ja-JP"/>
        </w:rPr>
      </w:pPr>
      <w:r w:rsidRPr="00870D13">
        <w:rPr>
          <w:rFonts w:eastAsia="MS Mincho"/>
          <w:lang w:val="en-US" w:eastAsia="ja-JP"/>
        </w:rPr>
        <w:tab/>
      </w:r>
      <w:r w:rsidR="00D304ED">
        <w:rPr>
          <w:rFonts w:eastAsia="MS Mincho"/>
          <w:lang w:val="en-US" w:eastAsia="ja-JP"/>
        </w:rPr>
        <w:tab/>
      </w:r>
      <w:r w:rsidR="00D304ED" w:rsidRPr="00CB7CF2">
        <w:rPr>
          <w:rFonts w:eastAsia="MS Mincho"/>
          <w:lang w:eastAsia="ja-JP"/>
        </w:rPr>
        <w:t xml:space="preserve">Revision of </w:t>
      </w:r>
      <w:r w:rsidR="00745630">
        <w:rPr>
          <w:rFonts w:eastAsia="MS Mincho"/>
          <w:lang w:eastAsia="ja-JP"/>
        </w:rPr>
        <w:t>c</w:t>
      </w:r>
      <w:r w:rsidR="00D304ED">
        <w:rPr>
          <w:rFonts w:eastAsia="MS Mincho"/>
          <w:lang w:eastAsia="ja-JP"/>
        </w:rPr>
        <w:t>hapter 4.2</w:t>
      </w:r>
      <w:r w:rsidR="00D304ED" w:rsidRPr="00DA7696">
        <w:rPr>
          <w:rFonts w:eastAsia="MS Mincho"/>
          <w:lang w:eastAsia="ja-JP"/>
        </w:rPr>
        <w:t xml:space="preserve"> to </w:t>
      </w:r>
      <w:r w:rsidR="00D304ED">
        <w:rPr>
          <w:rFonts w:eastAsia="MS Mincho"/>
          <w:lang w:eastAsia="ja-JP"/>
        </w:rPr>
        <w:t>include c</w:t>
      </w:r>
      <w:r w:rsidR="00D304ED" w:rsidRPr="009719A6">
        <w:t xml:space="preserve">lassification and hazard communication </w:t>
      </w:r>
      <w:r w:rsidR="00D304ED">
        <w:t>for greenhouse gasses listed</w:t>
      </w:r>
      <w:r w:rsidR="00D304ED" w:rsidRPr="009719A6">
        <w:t xml:space="preserve"> in </w:t>
      </w:r>
      <w:r w:rsidR="00D304ED">
        <w:t>the a</w:t>
      </w:r>
      <w:r w:rsidR="00D304ED" w:rsidRPr="009719A6">
        <w:t>nnex</w:t>
      </w:r>
      <w:r w:rsidR="00D304ED">
        <w:t xml:space="preserve">es </w:t>
      </w:r>
      <w:r w:rsidR="00D304ED" w:rsidRPr="009719A6">
        <w:t>of the Montreal Protocol</w:t>
      </w:r>
    </w:p>
    <w:p w14:paraId="283E59C9" w14:textId="4C17547D" w:rsidR="00D304ED" w:rsidRPr="00CB7CF2" w:rsidRDefault="00D304ED" w:rsidP="00D304ED">
      <w:pPr>
        <w:pStyle w:val="H1G"/>
        <w:ind w:right="379"/>
        <w:jc w:val="both"/>
      </w:pPr>
      <w:r w:rsidRPr="00CB7CF2">
        <w:tab/>
      </w:r>
      <w:r w:rsidRPr="00CB7CF2">
        <w:tab/>
      </w:r>
      <w:r w:rsidR="00906D38" w:rsidRPr="00DA7696">
        <w:t xml:space="preserve">Transmitted by the experts from </w:t>
      </w:r>
      <w:r w:rsidR="00906D38">
        <w:t xml:space="preserve">Austria, Finland, Germany, </w:t>
      </w:r>
      <w:r w:rsidR="00906D38" w:rsidRPr="00DA7696">
        <w:t>the United Kingdom</w:t>
      </w:r>
      <w:r w:rsidR="00906D38">
        <w:t>, the</w:t>
      </w:r>
      <w:r w:rsidR="00906D38" w:rsidRPr="001D1414">
        <w:rPr>
          <w:rFonts w:eastAsia="MS Mincho"/>
        </w:rPr>
        <w:t xml:space="preserve"> </w:t>
      </w:r>
      <w:r w:rsidR="00906D38">
        <w:rPr>
          <w:rFonts w:eastAsia="MS Mincho"/>
        </w:rPr>
        <w:t>United States of America and the European Union</w:t>
      </w:r>
    </w:p>
    <w:p w14:paraId="3CAD7F41" w14:textId="1E1FC795" w:rsidR="00B83F82" w:rsidRDefault="00D304ED" w:rsidP="00464AF9">
      <w:pPr>
        <w:pStyle w:val="SingleTxtG"/>
        <w:ind w:right="521"/>
      </w:pPr>
      <w:r w:rsidRPr="00655BD4">
        <w:t>This informal document sets out the changes proposed in document ST/SG/AC.10/C.4/202</w:t>
      </w:r>
      <w:r>
        <w:t>3</w:t>
      </w:r>
      <w:r w:rsidRPr="00655BD4">
        <w:t>/</w:t>
      </w:r>
      <w:r w:rsidR="00A477A7">
        <w:t>4</w:t>
      </w:r>
      <w:r w:rsidRPr="00655BD4">
        <w:t>.</w:t>
      </w:r>
      <w:r w:rsidRPr="001720A7">
        <w:t xml:space="preserve"> </w:t>
      </w:r>
      <w:r>
        <w:t>Existing (unchanged) text is shown in black, with n</w:t>
      </w:r>
      <w:r w:rsidRPr="001720A7">
        <w:t>ew text</w:t>
      </w:r>
      <w:r w:rsidR="00F61FC5">
        <w:t xml:space="preserve"> (including existing text placed in a different location) is</w:t>
      </w:r>
      <w:r w:rsidRPr="001720A7">
        <w:t xml:space="preserve"> shown in </w:t>
      </w:r>
      <w:r w:rsidRPr="001720A7">
        <w:rPr>
          <w:color w:val="0070C0"/>
        </w:rPr>
        <w:t>blue</w:t>
      </w:r>
      <w:r w:rsidR="00464AF9" w:rsidRPr="00295357">
        <w:rPr>
          <w:bCs/>
          <w:i/>
          <w:iCs/>
        </w:rPr>
        <w:t xml:space="preserve"> </w:t>
      </w:r>
      <w:r w:rsidR="00464AF9">
        <w:t xml:space="preserve">and deleted text is shown in </w:t>
      </w:r>
      <w:r w:rsidR="00464AF9" w:rsidRPr="003C3750">
        <w:rPr>
          <w:b/>
          <w:bCs/>
          <w:color w:val="FF0000"/>
        </w:rPr>
        <w:t xml:space="preserve">red </w:t>
      </w:r>
      <w:r w:rsidR="00464AF9" w:rsidRPr="003C3750">
        <w:rPr>
          <w:strike/>
          <w:color w:val="FF0000"/>
        </w:rPr>
        <w:t>strikethrough</w:t>
      </w:r>
      <w:r w:rsidR="00464AF9" w:rsidRPr="00F61FC5">
        <w:rPr>
          <w:i/>
          <w:iCs/>
          <w:strike/>
          <w:color w:val="FF0000"/>
        </w:rPr>
        <w:t>.</w:t>
      </w:r>
      <w:r w:rsidR="00B83F82">
        <w:br w:type="page"/>
      </w:r>
    </w:p>
    <w:p w14:paraId="6690C1B4" w14:textId="43C744FC" w:rsidR="00E94505" w:rsidRPr="00E94505" w:rsidRDefault="00E94505" w:rsidP="001D5BF3">
      <w:pPr>
        <w:pStyle w:val="HMG"/>
      </w:pPr>
      <w:r w:rsidRPr="00E94505">
        <w:lastRenderedPageBreak/>
        <w:t>Amendments to chapter 4.2</w:t>
      </w:r>
    </w:p>
    <w:p w14:paraId="426CAE4A" w14:textId="5B43B1AA" w:rsidR="00D73FDD" w:rsidRPr="00D73FDD" w:rsidRDefault="00D73FDD" w:rsidP="00D73FDD">
      <w:pPr>
        <w:keepNext/>
        <w:suppressAutoHyphens w:val="0"/>
        <w:autoSpaceDE w:val="0"/>
        <w:autoSpaceDN w:val="0"/>
        <w:adjustRightInd w:val="0"/>
        <w:spacing w:after="240" w:line="240" w:lineRule="auto"/>
        <w:jc w:val="center"/>
        <w:outlineLvl w:val="1"/>
        <w:rPr>
          <w:rFonts w:cs="Arial"/>
          <w:b/>
          <w:bCs/>
          <w:iCs/>
          <w:caps/>
          <w:sz w:val="28"/>
          <w:szCs w:val="28"/>
          <w:lang w:eastAsia="fr-FR"/>
        </w:rPr>
      </w:pPr>
      <w:r>
        <w:rPr>
          <w:rFonts w:cs="Arial"/>
          <w:b/>
          <w:bCs/>
          <w:iCs/>
          <w:caps/>
          <w:sz w:val="28"/>
          <w:szCs w:val="28"/>
          <w:lang w:eastAsia="fr-FR"/>
        </w:rPr>
        <w:t>“</w:t>
      </w:r>
      <w:r w:rsidRPr="00D73FDD">
        <w:rPr>
          <w:rFonts w:cs="Arial"/>
          <w:b/>
          <w:bCs/>
          <w:iCs/>
          <w:caps/>
          <w:sz w:val="28"/>
          <w:szCs w:val="28"/>
          <w:lang w:eastAsia="fr-FR"/>
        </w:rPr>
        <w:t>CHAPTER 4.2</w:t>
      </w:r>
    </w:p>
    <w:p w14:paraId="5E672B37" w14:textId="4F16A915" w:rsidR="00D73FDD" w:rsidRPr="00D73FDD" w:rsidRDefault="00D73FDD" w:rsidP="00D73FDD">
      <w:pPr>
        <w:keepNext/>
        <w:suppressAutoHyphens w:val="0"/>
        <w:autoSpaceDE w:val="0"/>
        <w:autoSpaceDN w:val="0"/>
        <w:adjustRightInd w:val="0"/>
        <w:spacing w:after="240" w:line="240" w:lineRule="auto"/>
        <w:jc w:val="center"/>
        <w:outlineLvl w:val="1"/>
        <w:rPr>
          <w:rFonts w:cs="Arial"/>
          <w:b/>
          <w:bCs/>
          <w:iCs/>
          <w:caps/>
          <w:sz w:val="28"/>
          <w:szCs w:val="28"/>
          <w:lang w:eastAsia="fr-FR"/>
        </w:rPr>
      </w:pPr>
      <w:r w:rsidRPr="00D73FDD">
        <w:rPr>
          <w:rFonts w:cs="Arial"/>
          <w:b/>
          <w:bCs/>
          <w:iCs/>
          <w:caps/>
          <w:sz w:val="28"/>
          <w:szCs w:val="28"/>
          <w:lang w:eastAsia="fr-FR"/>
        </w:rPr>
        <w:t xml:space="preserve">HAZARDOUS TO THE </w:t>
      </w:r>
      <w:r w:rsidRPr="00B2444F">
        <w:rPr>
          <w:rFonts w:cs="Arial"/>
          <w:b/>
          <w:bCs/>
          <w:iCs/>
          <w:caps/>
          <w:strike/>
          <w:color w:val="FF0000"/>
          <w:sz w:val="28"/>
          <w:szCs w:val="28"/>
          <w:lang w:eastAsia="fr-FR"/>
        </w:rPr>
        <w:t>OZONE LAYER</w:t>
      </w:r>
      <w:r w:rsidR="00305F41" w:rsidRPr="00B2444F">
        <w:rPr>
          <w:rFonts w:cs="Arial"/>
          <w:b/>
          <w:bCs/>
          <w:iCs/>
          <w:caps/>
          <w:color w:val="4F81BD" w:themeColor="accent1"/>
          <w:sz w:val="28"/>
          <w:szCs w:val="28"/>
          <w:lang w:eastAsia="fr-FR"/>
        </w:rPr>
        <w:t>ATMOSPHERIC SYSTEM</w:t>
      </w:r>
    </w:p>
    <w:p w14:paraId="36F1D11F" w14:textId="269DEBE5" w:rsidR="00D73FDD" w:rsidRDefault="00D73FDD" w:rsidP="00D73FDD">
      <w:pPr>
        <w:keepNext/>
        <w:tabs>
          <w:tab w:val="left" w:pos="1418"/>
        </w:tabs>
        <w:suppressAutoHyphens w:val="0"/>
        <w:autoSpaceDE w:val="0"/>
        <w:autoSpaceDN w:val="0"/>
        <w:adjustRightInd w:val="0"/>
        <w:spacing w:before="480" w:after="240" w:line="240" w:lineRule="auto"/>
        <w:outlineLvl w:val="2"/>
        <w:rPr>
          <w:b/>
          <w:bCs/>
          <w:color w:val="000000"/>
          <w:lang w:eastAsia="fr-FR"/>
        </w:rPr>
      </w:pPr>
      <w:r w:rsidRPr="00D73FDD">
        <w:rPr>
          <w:b/>
          <w:bCs/>
          <w:color w:val="000000"/>
          <w:lang w:eastAsia="fr-FR"/>
        </w:rPr>
        <w:t>4.2.1</w:t>
      </w:r>
      <w:r w:rsidRPr="00D73FDD">
        <w:rPr>
          <w:b/>
          <w:bCs/>
          <w:color w:val="000000"/>
          <w:lang w:eastAsia="fr-FR"/>
        </w:rPr>
        <w:tab/>
        <w:t>Definitions</w:t>
      </w:r>
      <w:r w:rsidR="00260BB4" w:rsidRPr="00B2444F">
        <w:rPr>
          <w:b/>
          <w:bCs/>
          <w:color w:val="4F81BD" w:themeColor="accent1"/>
          <w:lang w:eastAsia="fr-FR"/>
        </w:rPr>
        <w:t xml:space="preserve"> and general considerations</w:t>
      </w:r>
    </w:p>
    <w:p w14:paraId="1916910F" w14:textId="23354B9D" w:rsidR="004C50E6" w:rsidRPr="00B2444F" w:rsidRDefault="004C50E6" w:rsidP="004C50E6">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rPr>
          <w:bCs/>
          <w:color w:val="4F81BD" w:themeColor="accent1"/>
        </w:rPr>
      </w:pPr>
      <w:r w:rsidRPr="00B2444F">
        <w:rPr>
          <w:bCs/>
          <w:color w:val="4F81BD" w:themeColor="accent1"/>
        </w:rPr>
        <w:t>This chapter covers substances and mixtures that are hazardous to the atmospheric system due to their ozone depleting and/or global warming potential. For the purposes of this chapter, the following definitions apply:</w:t>
      </w:r>
    </w:p>
    <w:p w14:paraId="130C2ABF" w14:textId="77777777" w:rsidR="00B2444F" w:rsidRDefault="004C50E6" w:rsidP="00D73FDD">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rPr>
          <w:color w:val="4F81BD" w:themeColor="accent1"/>
        </w:rPr>
      </w:pPr>
      <w:r w:rsidRPr="00B2444F">
        <w:rPr>
          <w:bCs/>
          <w:i/>
          <w:iCs/>
          <w:color w:val="4F81BD" w:themeColor="accent1"/>
        </w:rPr>
        <w:t>Montreal Protocol</w:t>
      </w:r>
      <w:r w:rsidRPr="00B2444F">
        <w:rPr>
          <w:color w:val="4F81BD" w:themeColor="accent1"/>
        </w:rPr>
        <w:t xml:space="preserve"> is the Montreal Protocol on Substances that Deplete the Ozone Layer as either adjusted and/or amended by the Parties to the Protocol. </w:t>
      </w:r>
    </w:p>
    <w:p w14:paraId="75F05A91" w14:textId="67630337" w:rsidR="00D73FDD" w:rsidRDefault="00D73FDD" w:rsidP="00D73FDD">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r w:rsidRPr="00D73FDD">
        <w:rPr>
          <w:bCs/>
          <w:i/>
          <w:iCs/>
        </w:rPr>
        <w:t xml:space="preserve">Ozone Depleting Potential </w:t>
      </w:r>
      <w:r w:rsidR="00F8676A" w:rsidRPr="00F8676A">
        <w:rPr>
          <w:bCs/>
          <w:i/>
          <w:iCs/>
          <w:strike/>
          <w:color w:val="FF0000"/>
        </w:rPr>
        <w:t>(ODP)</w:t>
      </w:r>
      <w:r w:rsidR="00F8676A" w:rsidRPr="00F8676A">
        <w:rPr>
          <w:bCs/>
          <w:i/>
          <w:iCs/>
          <w:color w:val="FF0000"/>
        </w:rPr>
        <w:t xml:space="preserve"> </w:t>
      </w:r>
      <w:r w:rsidRPr="00D73FDD">
        <w:t xml:space="preserve">is an integrative quantity, distinct for each halocarbon source species, that represents the extent of ozone depletion in the stratosphere expected from the halocarbon on a mass-for-mass basis relative to CFC-11. The formal definition of </w:t>
      </w:r>
      <w:r w:rsidR="00A277C8" w:rsidRPr="00A277C8">
        <w:rPr>
          <w:strike/>
          <w:color w:val="FF0000"/>
        </w:rPr>
        <w:t>ODP</w:t>
      </w:r>
      <w:r w:rsidR="00A277C8">
        <w:t xml:space="preserve"> </w:t>
      </w:r>
      <w:r w:rsidR="004E6C0A" w:rsidRPr="00A277C8">
        <w:rPr>
          <w:color w:val="4F81BD" w:themeColor="accent1"/>
        </w:rPr>
        <w:t xml:space="preserve">ozone depleting potential </w:t>
      </w:r>
      <w:r w:rsidRPr="00A277C8">
        <w:rPr>
          <w:color w:val="4F81BD" w:themeColor="accent1"/>
        </w:rPr>
        <w:t xml:space="preserve"> </w:t>
      </w:r>
      <w:r w:rsidRPr="00D73FDD">
        <w:t>is the ratio of integrated perturbations to total ozone, for a differential mass emission of a particular compound relative to an equal emission of CFC-11</w:t>
      </w:r>
      <w:r w:rsidR="00F8676A">
        <w:t>.</w:t>
      </w:r>
    </w:p>
    <w:p w14:paraId="316D0269" w14:textId="5D5D9F92" w:rsidR="00B42153" w:rsidRPr="00A277C8" w:rsidRDefault="00B42153" w:rsidP="00D73FDD">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rPr>
          <w:color w:val="4F81BD" w:themeColor="accent1"/>
        </w:rPr>
      </w:pPr>
      <w:r w:rsidRPr="00A277C8">
        <w:rPr>
          <w:i/>
          <w:iCs/>
          <w:color w:val="4F81BD" w:themeColor="accent1"/>
        </w:rPr>
        <w:t xml:space="preserve">Global </w:t>
      </w:r>
      <w:r w:rsidR="00E50499">
        <w:rPr>
          <w:i/>
          <w:iCs/>
          <w:color w:val="4F81BD" w:themeColor="accent1"/>
        </w:rPr>
        <w:t>W</w:t>
      </w:r>
      <w:r w:rsidRPr="00A277C8">
        <w:rPr>
          <w:i/>
          <w:iCs/>
          <w:color w:val="4F81BD" w:themeColor="accent1"/>
        </w:rPr>
        <w:t xml:space="preserve">arming </w:t>
      </w:r>
      <w:r w:rsidR="00E50499">
        <w:rPr>
          <w:i/>
          <w:iCs/>
          <w:color w:val="4F81BD" w:themeColor="accent1"/>
        </w:rPr>
        <w:t>P</w:t>
      </w:r>
      <w:r w:rsidRPr="00A277C8">
        <w:rPr>
          <w:i/>
          <w:iCs/>
          <w:color w:val="4F81BD" w:themeColor="accent1"/>
        </w:rPr>
        <w:t xml:space="preserve">otential </w:t>
      </w:r>
      <w:r w:rsidRPr="00A277C8">
        <w:rPr>
          <w:color w:val="4F81BD" w:themeColor="accent1"/>
        </w:rPr>
        <w:t>is a metric that compares the ability of a substance or mixture to trap heat in the atmosphere as compared to a benchmark gas (generally carbon dioxide).</w:t>
      </w:r>
      <w:r w:rsidRPr="00A277C8">
        <w:rPr>
          <w:i/>
          <w:iCs/>
          <w:color w:val="4F81BD" w:themeColor="accent1"/>
        </w:rPr>
        <w:t xml:space="preserve">  </w:t>
      </w:r>
      <w:r w:rsidRPr="00A277C8">
        <w:rPr>
          <w:color w:val="4F81BD" w:themeColor="accent1"/>
        </w:rPr>
        <w:t>The formal definition of global warming potential is the cumulative radiative forcing, both direct and indirect effects, over a specified time horizon resulting from the emission of a unit mass of gas relative to that of carbon dioxide (as the reference gas).</w:t>
      </w:r>
    </w:p>
    <w:p w14:paraId="4C71D4DF" w14:textId="34DE3194" w:rsidR="00D73FDD" w:rsidRPr="00D73FDD" w:rsidRDefault="00D73FDD" w:rsidP="00E32AF1">
      <w:pPr>
        <w:keepNext/>
        <w:tabs>
          <w:tab w:val="left" w:pos="1418"/>
        </w:tabs>
        <w:suppressAutoHyphens w:val="0"/>
        <w:autoSpaceDE w:val="0"/>
        <w:autoSpaceDN w:val="0"/>
        <w:adjustRightInd w:val="0"/>
        <w:spacing w:before="240" w:after="240" w:line="240" w:lineRule="auto"/>
        <w:outlineLvl w:val="2"/>
        <w:rPr>
          <w:b/>
          <w:bCs/>
          <w:color w:val="000000"/>
          <w:lang w:eastAsia="fr-FR"/>
        </w:rPr>
      </w:pPr>
      <w:r w:rsidRPr="00D73FDD">
        <w:rPr>
          <w:b/>
          <w:bCs/>
          <w:color w:val="000000"/>
          <w:lang w:eastAsia="fr-FR"/>
        </w:rPr>
        <w:t>4.2.2</w:t>
      </w:r>
      <w:r w:rsidRPr="00D73FDD">
        <w:rPr>
          <w:b/>
          <w:bCs/>
          <w:color w:val="000000"/>
          <w:lang w:eastAsia="fr-FR"/>
        </w:rPr>
        <w:tab/>
        <w:t>Classification criteria</w:t>
      </w:r>
      <w:r w:rsidR="00E32AF1" w:rsidRPr="00E32AF1">
        <w:rPr>
          <w:b/>
          <w:bCs/>
          <w:strike/>
          <w:color w:val="FF0000"/>
          <w:vertAlign w:val="superscript"/>
          <w:lang w:eastAsia="fr-FR"/>
        </w:rPr>
        <w:t>1</w:t>
      </w:r>
    </w:p>
    <w:p w14:paraId="46D618B4" w14:textId="484CF8BA" w:rsidR="009E7708" w:rsidRPr="00A277C8" w:rsidRDefault="00D427F4" w:rsidP="00D427F4">
      <w:pPr>
        <w:tabs>
          <w:tab w:val="left" w:pos="1418"/>
          <w:tab w:val="left" w:pos="1985"/>
          <w:tab w:val="left" w:pos="2552"/>
          <w:tab w:val="left" w:pos="3119"/>
          <w:tab w:val="left" w:pos="3686"/>
        </w:tabs>
        <w:suppressAutoHyphens w:val="0"/>
        <w:autoSpaceDE w:val="0"/>
        <w:autoSpaceDN w:val="0"/>
        <w:adjustRightInd w:val="0"/>
        <w:spacing w:after="240" w:line="240" w:lineRule="auto"/>
        <w:jc w:val="both"/>
        <w:rPr>
          <w:color w:val="4F81BD" w:themeColor="accent1"/>
        </w:rPr>
      </w:pPr>
      <w:r w:rsidRPr="00A277C8">
        <w:rPr>
          <w:color w:val="4F81BD" w:themeColor="accent1"/>
        </w:rPr>
        <w:t>4.2.2.1</w:t>
      </w:r>
      <w:r w:rsidRPr="00A277C8">
        <w:rPr>
          <w:color w:val="4F81BD" w:themeColor="accent1"/>
        </w:rPr>
        <w:tab/>
      </w:r>
      <w:bookmarkStart w:id="0" w:name="_Hlk132622568"/>
      <w:r w:rsidR="005302F8" w:rsidRPr="00A277C8">
        <w:rPr>
          <w:color w:val="4F81BD" w:themeColor="accent1"/>
        </w:rPr>
        <w:t>Substances and mixtures are classified into the hazardous to the ozone layer hazard class due to their ozone depleting potential in accordance with 4.2.2.2 and/or hazardous by contributing to global warming hazard class by their global warming potential in accordance with 4.2.2.3, independently.</w:t>
      </w:r>
      <w:bookmarkEnd w:id="0"/>
    </w:p>
    <w:p w14:paraId="734826F9" w14:textId="2E600261" w:rsidR="009E7708" w:rsidRPr="00AE1B50" w:rsidRDefault="002958B6" w:rsidP="00D427F4">
      <w:pPr>
        <w:tabs>
          <w:tab w:val="left" w:pos="1418"/>
          <w:tab w:val="left" w:pos="1985"/>
          <w:tab w:val="left" w:pos="2552"/>
          <w:tab w:val="left" w:pos="3119"/>
          <w:tab w:val="left" w:pos="3686"/>
        </w:tabs>
        <w:suppressAutoHyphens w:val="0"/>
        <w:autoSpaceDE w:val="0"/>
        <w:autoSpaceDN w:val="0"/>
        <w:adjustRightInd w:val="0"/>
        <w:spacing w:after="240" w:line="240" w:lineRule="auto"/>
        <w:jc w:val="both"/>
        <w:rPr>
          <w:color w:val="4F81BD" w:themeColor="accent1"/>
        </w:rPr>
      </w:pPr>
      <w:r w:rsidRPr="00AE1B50">
        <w:rPr>
          <w:b/>
          <w:bCs/>
          <w:color w:val="4F81BD" w:themeColor="accent1"/>
        </w:rPr>
        <w:t>4.2.2.2</w:t>
      </w:r>
      <w:r w:rsidRPr="00AE1B50">
        <w:rPr>
          <w:color w:val="4F81BD" w:themeColor="accent1"/>
        </w:rPr>
        <w:tab/>
      </w:r>
      <w:r w:rsidR="00014AF0" w:rsidRPr="00AE1B50">
        <w:rPr>
          <w:b/>
          <w:bCs/>
          <w:i/>
          <w:iCs/>
          <w:color w:val="4F81BD" w:themeColor="accent1"/>
        </w:rPr>
        <w:t>Hazardous to the ozone layer</w:t>
      </w:r>
    </w:p>
    <w:p w14:paraId="460058A9" w14:textId="7826E2C8" w:rsidR="00D73FDD" w:rsidRPr="00D73FDD" w:rsidRDefault="00014AF0" w:rsidP="001C61A1">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
        <w:tab/>
      </w:r>
      <w:r w:rsidR="00D73FDD" w:rsidRPr="00D73FDD">
        <w:t xml:space="preserve">A substance or mixture shall be classified as Category 1 </w:t>
      </w:r>
      <w:r w:rsidR="003028D7" w:rsidRPr="00AE1B50">
        <w:rPr>
          <w:color w:val="4F81BD" w:themeColor="accent1"/>
        </w:rPr>
        <w:t xml:space="preserve">hazardous to the ozone layer </w:t>
      </w:r>
      <w:r w:rsidR="00D73FDD" w:rsidRPr="00D73FDD">
        <w:t>according to the following table</w:t>
      </w:r>
      <w:r w:rsidR="00E32AF1" w:rsidRPr="003B0F10">
        <w:rPr>
          <w:rStyle w:val="FootnoteReference"/>
          <w:color w:val="1F497D" w:themeColor="text2"/>
        </w:rPr>
        <w:footnoteReference w:id="2"/>
      </w:r>
      <w:r w:rsidR="00D73FDD" w:rsidRPr="00D73FDD">
        <w:t>:</w:t>
      </w:r>
    </w:p>
    <w:p w14:paraId="16562995" w14:textId="77777777" w:rsidR="00D73FDD" w:rsidRPr="00D73FDD" w:rsidRDefault="00D73FDD" w:rsidP="00D73FDD">
      <w:pPr>
        <w:suppressAutoHyphens w:val="0"/>
        <w:spacing w:after="160" w:line="240" w:lineRule="auto"/>
        <w:jc w:val="center"/>
        <w:rPr>
          <w:b/>
          <w:bCs/>
        </w:rPr>
      </w:pPr>
      <w:r w:rsidRPr="00D73FDD">
        <w:rPr>
          <w:b/>
          <w:bCs/>
        </w:rPr>
        <w:t>Table 4.2.1:  Criteria for substances and mixtures hazardous to the ozone layer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8017"/>
      </w:tblGrid>
      <w:tr w:rsidR="00D73FDD" w:rsidRPr="00D73FDD" w14:paraId="52B10189" w14:textId="77777777" w:rsidTr="00EF5E1D">
        <w:tc>
          <w:tcPr>
            <w:tcW w:w="1197" w:type="dxa"/>
            <w:shd w:val="clear" w:color="auto" w:fill="auto"/>
          </w:tcPr>
          <w:p w14:paraId="0285F8F9" w14:textId="77777777" w:rsidR="00D73FDD" w:rsidRPr="00D73FDD" w:rsidRDefault="00D73FDD" w:rsidP="00D73FDD">
            <w:pPr>
              <w:tabs>
                <w:tab w:val="left" w:pos="1026"/>
              </w:tabs>
              <w:suppressAutoHyphens w:val="0"/>
              <w:spacing w:before="40" w:after="40" w:line="240" w:lineRule="auto"/>
              <w:jc w:val="center"/>
              <w:rPr>
                <w:rFonts w:eastAsia="SimSun"/>
                <w:b/>
              </w:rPr>
            </w:pPr>
            <w:r w:rsidRPr="00D73FDD">
              <w:rPr>
                <w:rFonts w:eastAsia="SimSun"/>
                <w:b/>
              </w:rPr>
              <w:t>Category</w:t>
            </w:r>
          </w:p>
        </w:tc>
        <w:tc>
          <w:tcPr>
            <w:tcW w:w="8017" w:type="dxa"/>
            <w:shd w:val="clear" w:color="auto" w:fill="auto"/>
          </w:tcPr>
          <w:p w14:paraId="68AD12A4" w14:textId="77777777" w:rsidR="00D73FDD" w:rsidRPr="00D73FDD" w:rsidRDefault="00D73FDD" w:rsidP="00D73FDD">
            <w:pPr>
              <w:tabs>
                <w:tab w:val="left" w:pos="1026"/>
              </w:tabs>
              <w:suppressAutoHyphens w:val="0"/>
              <w:spacing w:before="40" w:after="40" w:line="240" w:lineRule="auto"/>
              <w:jc w:val="center"/>
              <w:rPr>
                <w:rFonts w:eastAsia="SimSun"/>
                <w:b/>
              </w:rPr>
            </w:pPr>
            <w:r w:rsidRPr="00D73FDD">
              <w:rPr>
                <w:rFonts w:eastAsia="SimSun"/>
                <w:b/>
              </w:rPr>
              <w:t>Criteria</w:t>
            </w:r>
          </w:p>
        </w:tc>
      </w:tr>
      <w:tr w:rsidR="00D73FDD" w:rsidRPr="00D73FDD" w14:paraId="21CDF093" w14:textId="77777777" w:rsidTr="00EF5E1D">
        <w:trPr>
          <w:trHeight w:val="700"/>
        </w:trPr>
        <w:tc>
          <w:tcPr>
            <w:tcW w:w="1197" w:type="dxa"/>
            <w:shd w:val="clear" w:color="auto" w:fill="auto"/>
            <w:vAlign w:val="center"/>
          </w:tcPr>
          <w:p w14:paraId="6B94BB16" w14:textId="77777777" w:rsidR="00D73FDD" w:rsidRPr="00D73FDD" w:rsidRDefault="00D73FDD" w:rsidP="00D73FDD">
            <w:pPr>
              <w:tabs>
                <w:tab w:val="left" w:pos="1026"/>
              </w:tabs>
              <w:suppressAutoHyphens w:val="0"/>
              <w:spacing w:before="40" w:after="40" w:line="240" w:lineRule="auto"/>
              <w:jc w:val="center"/>
              <w:rPr>
                <w:rFonts w:eastAsia="SimSun"/>
                <w:b/>
              </w:rPr>
            </w:pPr>
            <w:r w:rsidRPr="00D73FDD">
              <w:rPr>
                <w:rFonts w:eastAsia="SimSun"/>
                <w:b/>
              </w:rPr>
              <w:t>1</w:t>
            </w:r>
          </w:p>
        </w:tc>
        <w:tc>
          <w:tcPr>
            <w:tcW w:w="8017" w:type="dxa"/>
            <w:shd w:val="clear" w:color="auto" w:fill="auto"/>
          </w:tcPr>
          <w:p w14:paraId="43DA1E6C" w14:textId="46883C90" w:rsidR="00D73FDD" w:rsidRPr="00D73FDD" w:rsidRDefault="00D73FDD" w:rsidP="00D73FDD">
            <w:pPr>
              <w:tabs>
                <w:tab w:val="left" w:pos="1026"/>
              </w:tabs>
              <w:suppressAutoHyphens w:val="0"/>
              <w:spacing w:before="40" w:after="40" w:line="240" w:lineRule="auto"/>
              <w:rPr>
                <w:rFonts w:eastAsia="SimSun"/>
              </w:rPr>
            </w:pPr>
            <w:r w:rsidRPr="00D73FDD">
              <w:rPr>
                <w:rFonts w:eastAsia="SimSun"/>
              </w:rPr>
              <w:t xml:space="preserve">Any of the controlled substances listed </w:t>
            </w:r>
            <w:r w:rsidR="00283D32" w:rsidRPr="00D50FA6">
              <w:rPr>
                <w:rFonts w:eastAsia="SimSun"/>
                <w:color w:val="4F81BD" w:themeColor="accent1"/>
              </w:rPr>
              <w:t xml:space="preserve">with an </w:t>
            </w:r>
            <w:r w:rsidR="00283D32" w:rsidRPr="00D50FA6">
              <w:rPr>
                <w:color w:val="4F81BD" w:themeColor="accent1"/>
              </w:rPr>
              <w:t>ozone depleting potential</w:t>
            </w:r>
            <w:r w:rsidR="00283D32" w:rsidRPr="00D50FA6">
              <w:rPr>
                <w:rFonts w:eastAsia="SimSun"/>
                <w:color w:val="4F81BD" w:themeColor="accent1"/>
              </w:rPr>
              <w:t xml:space="preserve"> </w:t>
            </w:r>
            <w:r w:rsidRPr="00D73FDD">
              <w:rPr>
                <w:rFonts w:eastAsia="SimSun"/>
              </w:rPr>
              <w:t>in annexes to the Montreal Protocol; or</w:t>
            </w:r>
            <w:r w:rsidRPr="00D73FDD">
              <w:rPr>
                <w:rFonts w:eastAsia="SimSun"/>
              </w:rPr>
              <w:br/>
              <w:t>Any mixture containing at least one</w:t>
            </w:r>
            <w:r w:rsidRPr="00D73FDD">
              <w:rPr>
                <w:rFonts w:eastAsia="SimSun"/>
                <w:bCs/>
                <w:iCs/>
              </w:rPr>
              <w:t xml:space="preserve"> ingredient listed in </w:t>
            </w:r>
            <w:r w:rsidR="00283D32" w:rsidRPr="00D50FA6">
              <w:rPr>
                <w:rFonts w:eastAsia="SimSun"/>
                <w:color w:val="4F81BD" w:themeColor="accent1"/>
              </w:rPr>
              <w:t xml:space="preserve">with an </w:t>
            </w:r>
            <w:r w:rsidR="00283D32" w:rsidRPr="00D50FA6">
              <w:rPr>
                <w:color w:val="4F81BD" w:themeColor="accent1"/>
              </w:rPr>
              <w:t>ozone depleting potential</w:t>
            </w:r>
            <w:r w:rsidR="00283D32" w:rsidRPr="00D50FA6">
              <w:rPr>
                <w:rFonts w:eastAsia="SimSun"/>
                <w:color w:val="4F81BD" w:themeColor="accent1"/>
              </w:rPr>
              <w:t xml:space="preserve"> </w:t>
            </w:r>
            <w:r w:rsidR="003526AF" w:rsidRPr="00D50FA6">
              <w:rPr>
                <w:rFonts w:eastAsia="SimSun"/>
                <w:color w:val="4F81BD" w:themeColor="accent1"/>
              </w:rPr>
              <w:t xml:space="preserve">in </w:t>
            </w:r>
            <w:r w:rsidRPr="00D73FDD">
              <w:rPr>
                <w:rFonts w:eastAsia="SimSun"/>
                <w:bCs/>
                <w:iCs/>
              </w:rPr>
              <w:t>the annexes to the Montreal Protocol, at a concentration ≥ 0.1 %</w:t>
            </w:r>
          </w:p>
        </w:tc>
      </w:tr>
    </w:tbl>
    <w:p w14:paraId="49319A19" w14:textId="6CC6175B" w:rsidR="009F6B7B" w:rsidRPr="003B0F10" w:rsidRDefault="009F6B7B" w:rsidP="001C61A1">
      <w:pPr>
        <w:keepNext/>
        <w:keepLines/>
        <w:tabs>
          <w:tab w:val="left" w:pos="1418"/>
          <w:tab w:val="left" w:pos="1985"/>
          <w:tab w:val="left" w:pos="2552"/>
          <w:tab w:val="left" w:pos="3119"/>
          <w:tab w:val="left" w:pos="3686"/>
        </w:tabs>
        <w:suppressAutoHyphens w:val="0"/>
        <w:autoSpaceDE w:val="0"/>
        <w:autoSpaceDN w:val="0"/>
        <w:adjustRightInd w:val="0"/>
        <w:spacing w:before="240" w:after="240" w:line="240" w:lineRule="auto"/>
        <w:jc w:val="both"/>
        <w:rPr>
          <w:b/>
          <w:bCs/>
          <w:color w:val="4F81BD" w:themeColor="accent1"/>
        </w:rPr>
      </w:pPr>
      <w:r w:rsidRPr="003B0F10">
        <w:rPr>
          <w:b/>
          <w:bCs/>
          <w:color w:val="4F81BD" w:themeColor="accent1"/>
        </w:rPr>
        <w:lastRenderedPageBreak/>
        <w:t>4.2.2.3</w:t>
      </w:r>
      <w:r w:rsidRPr="003B0F10">
        <w:rPr>
          <w:b/>
          <w:bCs/>
          <w:color w:val="4F81BD" w:themeColor="accent1"/>
        </w:rPr>
        <w:tab/>
      </w:r>
      <w:r w:rsidRPr="003B0F10">
        <w:rPr>
          <w:b/>
          <w:bCs/>
          <w:i/>
          <w:iCs/>
          <w:color w:val="4F81BD" w:themeColor="accent1"/>
        </w:rPr>
        <w:t>Hazardous by contributing to global warming</w:t>
      </w:r>
    </w:p>
    <w:p w14:paraId="0EF18BAC" w14:textId="2481AFB9" w:rsidR="009F6B7B" w:rsidRPr="003B0F10" w:rsidRDefault="009F6B7B" w:rsidP="001C61A1">
      <w:pPr>
        <w:tabs>
          <w:tab w:val="left" w:pos="1418"/>
          <w:tab w:val="left" w:pos="1985"/>
          <w:tab w:val="left" w:pos="2552"/>
          <w:tab w:val="left" w:pos="3119"/>
          <w:tab w:val="left" w:pos="3686"/>
        </w:tabs>
        <w:suppressAutoHyphens w:val="0"/>
        <w:autoSpaceDE w:val="0"/>
        <w:autoSpaceDN w:val="0"/>
        <w:adjustRightInd w:val="0"/>
        <w:spacing w:after="240" w:line="240" w:lineRule="auto"/>
        <w:jc w:val="both"/>
        <w:rPr>
          <w:color w:val="4F81BD" w:themeColor="accent1"/>
        </w:rPr>
      </w:pPr>
      <w:r w:rsidRPr="003B0F10">
        <w:rPr>
          <w:color w:val="4F81BD" w:themeColor="accent1"/>
        </w:rPr>
        <w:tab/>
        <w:t>A substance or mixture shall be classified in Category 1 hazardous to global warming according to the following table</w:t>
      </w:r>
      <w:r w:rsidR="007A0262" w:rsidRPr="003B0F10">
        <w:rPr>
          <w:rStyle w:val="FootnoteReference"/>
          <w:color w:val="4F81BD" w:themeColor="accent1"/>
        </w:rPr>
        <w:footnoteReference w:customMarkFollows="1" w:id="3"/>
        <w:t>1</w:t>
      </w:r>
      <w:r w:rsidRPr="003B0F10">
        <w:rPr>
          <w:color w:val="4F81BD" w:themeColor="accent1"/>
        </w:rPr>
        <w:t>:</w:t>
      </w:r>
    </w:p>
    <w:p w14:paraId="6388101C" w14:textId="77777777" w:rsidR="009F6B7B" w:rsidRPr="003B0F10" w:rsidRDefault="009F6B7B" w:rsidP="00143230">
      <w:pPr>
        <w:pStyle w:val="SingleTxtG"/>
        <w:ind w:left="0" w:right="0"/>
        <w:jc w:val="center"/>
        <w:rPr>
          <w:b/>
          <w:bCs/>
          <w:color w:val="4F81BD" w:themeColor="accent1"/>
        </w:rPr>
      </w:pPr>
      <w:r w:rsidRPr="003B0F10">
        <w:rPr>
          <w:b/>
          <w:bCs/>
          <w:color w:val="4F81BD" w:themeColor="accent1"/>
        </w:rPr>
        <w:t>Table 4.2.2:  Criteria for substances and mixtures that are hazardous by contributing to global warming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8017"/>
      </w:tblGrid>
      <w:tr w:rsidR="003B0F10" w:rsidRPr="003B0F10" w14:paraId="72C70624" w14:textId="77777777" w:rsidTr="00EF5E1D">
        <w:tc>
          <w:tcPr>
            <w:tcW w:w="1197" w:type="dxa"/>
            <w:shd w:val="clear" w:color="auto" w:fill="auto"/>
          </w:tcPr>
          <w:p w14:paraId="53A25B8E" w14:textId="77777777" w:rsidR="00B1427F" w:rsidRPr="003B0F10" w:rsidRDefault="00B1427F" w:rsidP="00EF5E1D">
            <w:pPr>
              <w:tabs>
                <w:tab w:val="left" w:pos="1026"/>
              </w:tabs>
              <w:suppressAutoHyphens w:val="0"/>
              <w:spacing w:before="40" w:after="40" w:line="240" w:lineRule="auto"/>
              <w:jc w:val="center"/>
              <w:rPr>
                <w:rFonts w:eastAsia="SimSun"/>
                <w:b/>
                <w:color w:val="4F81BD" w:themeColor="accent1"/>
              </w:rPr>
            </w:pPr>
            <w:r w:rsidRPr="003B0F10">
              <w:rPr>
                <w:rFonts w:eastAsia="SimSun"/>
                <w:b/>
                <w:color w:val="4F81BD" w:themeColor="accent1"/>
              </w:rPr>
              <w:t>Category</w:t>
            </w:r>
          </w:p>
        </w:tc>
        <w:tc>
          <w:tcPr>
            <w:tcW w:w="8017" w:type="dxa"/>
            <w:shd w:val="clear" w:color="auto" w:fill="auto"/>
          </w:tcPr>
          <w:p w14:paraId="169F27D0" w14:textId="77777777" w:rsidR="00B1427F" w:rsidRPr="003B0F10" w:rsidRDefault="00B1427F" w:rsidP="00EF5E1D">
            <w:pPr>
              <w:tabs>
                <w:tab w:val="left" w:pos="1026"/>
              </w:tabs>
              <w:suppressAutoHyphens w:val="0"/>
              <w:spacing w:before="40" w:after="40" w:line="240" w:lineRule="auto"/>
              <w:jc w:val="center"/>
              <w:rPr>
                <w:rFonts w:eastAsia="SimSun"/>
                <w:b/>
                <w:color w:val="4F81BD" w:themeColor="accent1"/>
              </w:rPr>
            </w:pPr>
            <w:r w:rsidRPr="003B0F10">
              <w:rPr>
                <w:rFonts w:eastAsia="SimSun"/>
                <w:b/>
                <w:color w:val="4F81BD" w:themeColor="accent1"/>
              </w:rPr>
              <w:t>Criteria</w:t>
            </w:r>
          </w:p>
        </w:tc>
      </w:tr>
      <w:tr w:rsidR="003B0F10" w:rsidRPr="003B0F10" w14:paraId="26ABB2FF" w14:textId="77777777" w:rsidTr="00EF5E1D">
        <w:trPr>
          <w:trHeight w:val="700"/>
        </w:trPr>
        <w:tc>
          <w:tcPr>
            <w:tcW w:w="1197" w:type="dxa"/>
            <w:shd w:val="clear" w:color="auto" w:fill="auto"/>
            <w:vAlign w:val="center"/>
          </w:tcPr>
          <w:p w14:paraId="58437A07" w14:textId="77777777" w:rsidR="00B1427F" w:rsidRPr="003B0F10" w:rsidRDefault="00B1427F" w:rsidP="00EF5E1D">
            <w:pPr>
              <w:tabs>
                <w:tab w:val="left" w:pos="1026"/>
              </w:tabs>
              <w:suppressAutoHyphens w:val="0"/>
              <w:spacing w:before="40" w:after="40" w:line="240" w:lineRule="auto"/>
              <w:jc w:val="center"/>
              <w:rPr>
                <w:rFonts w:eastAsia="SimSun"/>
                <w:b/>
                <w:color w:val="4F81BD" w:themeColor="accent1"/>
              </w:rPr>
            </w:pPr>
            <w:r w:rsidRPr="003B0F10">
              <w:rPr>
                <w:rFonts w:eastAsia="SimSun"/>
                <w:b/>
                <w:color w:val="4F81BD" w:themeColor="accent1"/>
              </w:rPr>
              <w:t>1</w:t>
            </w:r>
          </w:p>
        </w:tc>
        <w:tc>
          <w:tcPr>
            <w:tcW w:w="8017" w:type="dxa"/>
            <w:shd w:val="clear" w:color="auto" w:fill="auto"/>
          </w:tcPr>
          <w:p w14:paraId="2FAD4E90" w14:textId="4F610B7D" w:rsidR="00B1427F" w:rsidRPr="003B0F10" w:rsidRDefault="00B1427F" w:rsidP="00EF5E1D">
            <w:pPr>
              <w:tabs>
                <w:tab w:val="left" w:pos="1026"/>
              </w:tabs>
              <w:suppressAutoHyphens w:val="0"/>
              <w:spacing w:before="40" w:after="40" w:line="240" w:lineRule="auto"/>
              <w:rPr>
                <w:rFonts w:eastAsia="SimSun"/>
                <w:color w:val="4F81BD" w:themeColor="accent1"/>
              </w:rPr>
            </w:pPr>
            <w:r w:rsidRPr="003B0F10">
              <w:rPr>
                <w:color w:val="4F81BD" w:themeColor="accent1"/>
              </w:rPr>
              <w:t>Any of the controlled substances listed with a global warming potential in annexes to the Montreal Protocol; or</w:t>
            </w:r>
            <w:r w:rsidRPr="003B0F10">
              <w:rPr>
                <w:color w:val="4F81BD" w:themeColor="accent1"/>
              </w:rPr>
              <w:br/>
              <w:t>Any mixture containing at least one</w:t>
            </w:r>
            <w:r w:rsidRPr="003B0F10">
              <w:rPr>
                <w:bCs/>
                <w:iCs/>
                <w:color w:val="4F81BD" w:themeColor="accent1"/>
              </w:rPr>
              <w:t xml:space="preserve"> ingredient listed with a </w:t>
            </w:r>
            <w:r w:rsidRPr="003B0F10">
              <w:rPr>
                <w:color w:val="4F81BD" w:themeColor="accent1"/>
              </w:rPr>
              <w:t>global warming potential</w:t>
            </w:r>
            <w:r w:rsidRPr="003B0F10">
              <w:rPr>
                <w:bCs/>
                <w:iCs/>
                <w:color w:val="4F81BD" w:themeColor="accent1"/>
              </w:rPr>
              <w:t xml:space="preserve"> in the annexes to the Montreal Protocol, at a concentration ≥ 0.1 %</w:t>
            </w:r>
          </w:p>
        </w:tc>
      </w:tr>
    </w:tbl>
    <w:p w14:paraId="7492FAFC" w14:textId="2F240285" w:rsidR="00D73FDD" w:rsidRPr="00D73FDD" w:rsidRDefault="00D73FDD" w:rsidP="00D73FDD">
      <w:pPr>
        <w:keepNext/>
        <w:tabs>
          <w:tab w:val="left" w:pos="1418"/>
        </w:tabs>
        <w:suppressAutoHyphens w:val="0"/>
        <w:autoSpaceDE w:val="0"/>
        <w:autoSpaceDN w:val="0"/>
        <w:adjustRightInd w:val="0"/>
        <w:spacing w:before="240" w:after="240" w:line="240" w:lineRule="auto"/>
        <w:outlineLvl w:val="2"/>
        <w:rPr>
          <w:b/>
          <w:bCs/>
          <w:color w:val="000000"/>
          <w:lang w:eastAsia="fr-FR"/>
        </w:rPr>
      </w:pPr>
      <w:r w:rsidRPr="00D73FDD">
        <w:rPr>
          <w:b/>
          <w:bCs/>
          <w:color w:val="000000"/>
          <w:lang w:eastAsia="fr-FR"/>
        </w:rPr>
        <w:t>4.2.3</w:t>
      </w:r>
      <w:r w:rsidRPr="00D73FDD">
        <w:rPr>
          <w:b/>
          <w:bCs/>
          <w:color w:val="000000"/>
          <w:lang w:eastAsia="fr-FR"/>
        </w:rPr>
        <w:tab/>
        <w:t>Hazard communication</w:t>
      </w:r>
    </w:p>
    <w:p w14:paraId="45B38F9B" w14:textId="5697356C" w:rsidR="00D73FDD" w:rsidRPr="00D73FDD" w:rsidRDefault="0059090E" w:rsidP="001C61A1">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 w:rsidRPr="003B0F10">
        <w:rPr>
          <w:color w:val="4F81BD" w:themeColor="accent1"/>
        </w:rPr>
        <w:t>4.2.3.1</w:t>
      </w:r>
      <w:r w:rsidRPr="003B0F10">
        <w:rPr>
          <w:color w:val="4F81BD" w:themeColor="accent1"/>
        </w:rPr>
        <w:tab/>
      </w:r>
      <w:r w:rsidR="00D73FDD" w:rsidRPr="00D73FDD">
        <w:t xml:space="preserve">General and specific considerations concerning labelling requirements are provided in </w:t>
      </w:r>
      <w:r w:rsidR="00D73FDD" w:rsidRPr="00D73FDD">
        <w:rPr>
          <w:i/>
          <w:iCs/>
        </w:rPr>
        <w:t xml:space="preserve">Hazard Communication: Labelling </w:t>
      </w:r>
      <w:r w:rsidR="00D73FDD" w:rsidRPr="00D73FDD">
        <w:t>(chapter 1.4). Annex 1 contains summary tables about classification and labelling. Annex 3 contains examples of precautionary statements and pictograms which can be used where allowed by the competent authority. Table 4.2.</w:t>
      </w:r>
      <w:r w:rsidR="00D73FDD" w:rsidRPr="003B0F10">
        <w:rPr>
          <w:strike/>
          <w:color w:val="FF0000"/>
        </w:rPr>
        <w:t xml:space="preserve">2 </w:t>
      </w:r>
      <w:r w:rsidR="00D53650" w:rsidRPr="003B0F10">
        <w:rPr>
          <w:color w:val="4F81BD" w:themeColor="accent1"/>
        </w:rPr>
        <w:t>3</w:t>
      </w:r>
      <w:r w:rsidR="00D53650" w:rsidRPr="00D73FDD">
        <w:t xml:space="preserve"> </w:t>
      </w:r>
      <w:r w:rsidR="00D73FDD" w:rsidRPr="00D73FDD">
        <w:t>presents specific label elements for substances and mixtures classified into this hazard class based on the criteria in this chapter.</w:t>
      </w:r>
    </w:p>
    <w:p w14:paraId="1499031B" w14:textId="6FD42D9A" w:rsidR="00D73FDD" w:rsidRPr="00D73FDD" w:rsidRDefault="00D73FDD" w:rsidP="00D73FDD">
      <w:pPr>
        <w:keepNext/>
        <w:keepLines/>
        <w:suppressAutoHyphens w:val="0"/>
        <w:spacing w:after="160" w:line="240" w:lineRule="auto"/>
        <w:jc w:val="center"/>
        <w:rPr>
          <w:b/>
          <w:bCs/>
        </w:rPr>
      </w:pPr>
      <w:r w:rsidRPr="00D73FDD">
        <w:rPr>
          <w:b/>
          <w:bCs/>
        </w:rPr>
        <w:t>Table 4.2.</w:t>
      </w:r>
      <w:r w:rsidRPr="003B0F10">
        <w:rPr>
          <w:b/>
          <w:bCs/>
          <w:strike/>
          <w:color w:val="FF0000"/>
        </w:rPr>
        <w:t>2</w:t>
      </w:r>
      <w:r w:rsidR="00D53650" w:rsidRPr="003B0F10">
        <w:rPr>
          <w:b/>
          <w:bCs/>
          <w:color w:val="4F81BD" w:themeColor="accent1"/>
        </w:rPr>
        <w:t>3</w:t>
      </w:r>
      <w:r w:rsidRPr="00D73FDD">
        <w:rPr>
          <w:b/>
          <w:bCs/>
        </w:rPr>
        <w:t xml:space="preserve">:  Label elements for substances and mixtures hazardous to the </w:t>
      </w:r>
      <w:r w:rsidRPr="003B0F10">
        <w:rPr>
          <w:b/>
          <w:bCs/>
          <w:strike/>
          <w:color w:val="FF0000"/>
        </w:rPr>
        <w:t>ozone layer</w:t>
      </w:r>
      <w:r w:rsidR="00D53650" w:rsidRPr="003B0F10">
        <w:rPr>
          <w:b/>
          <w:bCs/>
          <w:color w:val="4F81BD" w:themeColor="accent1"/>
        </w:rPr>
        <w:t>atmospheric system</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44"/>
        <w:gridCol w:w="4113"/>
      </w:tblGrid>
      <w:tr w:rsidR="00D53650" w:rsidRPr="007C4A94" w14:paraId="44F92465" w14:textId="0CE40497" w:rsidTr="001C61A1">
        <w:tc>
          <w:tcPr>
            <w:tcW w:w="1980" w:type="dxa"/>
          </w:tcPr>
          <w:p w14:paraId="4D18D576" w14:textId="77777777" w:rsidR="00D53650" w:rsidRPr="001C61A1" w:rsidRDefault="00D53650" w:rsidP="001C61A1">
            <w:pPr>
              <w:keepNext/>
              <w:keepLines/>
              <w:suppressAutoHyphens w:val="0"/>
              <w:spacing w:before="40" w:after="40" w:line="240" w:lineRule="auto"/>
              <w:ind w:firstLine="170"/>
              <w:rPr>
                <w:sz w:val="18"/>
              </w:rPr>
            </w:pPr>
          </w:p>
        </w:tc>
        <w:tc>
          <w:tcPr>
            <w:tcW w:w="3544" w:type="dxa"/>
          </w:tcPr>
          <w:p w14:paraId="4CC1E19D" w14:textId="77777777" w:rsidR="00D53650" w:rsidRPr="001C61A1" w:rsidRDefault="00D53650" w:rsidP="001C61A1">
            <w:pPr>
              <w:keepNext/>
              <w:keepLines/>
              <w:suppressAutoHyphens w:val="0"/>
              <w:spacing w:before="40" w:after="40" w:line="240" w:lineRule="auto"/>
              <w:ind w:firstLine="170"/>
              <w:jc w:val="center"/>
              <w:rPr>
                <w:b/>
                <w:bCs/>
                <w:sz w:val="18"/>
              </w:rPr>
            </w:pPr>
            <w:r w:rsidRPr="001C61A1">
              <w:rPr>
                <w:b/>
                <w:bCs/>
                <w:sz w:val="18"/>
              </w:rPr>
              <w:t>Category 1</w:t>
            </w:r>
          </w:p>
        </w:tc>
        <w:tc>
          <w:tcPr>
            <w:tcW w:w="4113" w:type="dxa"/>
          </w:tcPr>
          <w:p w14:paraId="2290BBBF" w14:textId="30DCA370" w:rsidR="00D53650" w:rsidRPr="001C61A1" w:rsidRDefault="00D53650" w:rsidP="001C61A1">
            <w:pPr>
              <w:keepNext/>
              <w:keepLines/>
              <w:suppressAutoHyphens w:val="0"/>
              <w:spacing w:before="40" w:after="40" w:line="240" w:lineRule="auto"/>
              <w:ind w:firstLine="170"/>
              <w:jc w:val="center"/>
              <w:rPr>
                <w:b/>
                <w:bCs/>
                <w:sz w:val="18"/>
              </w:rPr>
            </w:pPr>
            <w:r w:rsidRPr="003B0F10">
              <w:rPr>
                <w:b/>
                <w:bCs/>
                <w:color w:val="4F81BD" w:themeColor="accent1"/>
                <w:sz w:val="18"/>
              </w:rPr>
              <w:t>Category 1</w:t>
            </w:r>
          </w:p>
        </w:tc>
      </w:tr>
      <w:tr w:rsidR="003B0F10" w:rsidRPr="003B0F10" w14:paraId="010F5A91" w14:textId="77777777" w:rsidTr="001C61A1">
        <w:tc>
          <w:tcPr>
            <w:tcW w:w="1980" w:type="dxa"/>
          </w:tcPr>
          <w:p w14:paraId="2E29D5F6" w14:textId="77777777" w:rsidR="006651F4" w:rsidRPr="003B0F10" w:rsidRDefault="006651F4" w:rsidP="001C61A1">
            <w:pPr>
              <w:keepNext/>
              <w:keepLines/>
              <w:suppressAutoHyphens w:val="0"/>
              <w:spacing w:before="40" w:after="40" w:line="240" w:lineRule="auto"/>
              <w:ind w:firstLine="170"/>
              <w:rPr>
                <w:color w:val="4F81BD" w:themeColor="accent1"/>
                <w:sz w:val="18"/>
              </w:rPr>
            </w:pPr>
          </w:p>
        </w:tc>
        <w:tc>
          <w:tcPr>
            <w:tcW w:w="3544" w:type="dxa"/>
          </w:tcPr>
          <w:p w14:paraId="160211FD" w14:textId="5A0C5C84" w:rsidR="006651F4" w:rsidRPr="003B0F10" w:rsidRDefault="009D0B69" w:rsidP="001C61A1">
            <w:pPr>
              <w:keepNext/>
              <w:keepLines/>
              <w:suppressAutoHyphens w:val="0"/>
              <w:spacing w:before="40" w:after="40" w:line="240" w:lineRule="auto"/>
              <w:ind w:firstLine="170"/>
              <w:jc w:val="center"/>
              <w:rPr>
                <w:b/>
                <w:bCs/>
                <w:color w:val="4F81BD" w:themeColor="accent1"/>
                <w:sz w:val="18"/>
              </w:rPr>
            </w:pPr>
            <w:r w:rsidRPr="003B0F10">
              <w:rPr>
                <w:b/>
                <w:bCs/>
                <w:color w:val="4F81BD" w:themeColor="accent1"/>
                <w:sz w:val="18"/>
              </w:rPr>
              <w:t>Hazardous to the ozone layer</w:t>
            </w:r>
          </w:p>
        </w:tc>
        <w:tc>
          <w:tcPr>
            <w:tcW w:w="4113" w:type="dxa"/>
          </w:tcPr>
          <w:p w14:paraId="6878E5A8" w14:textId="7C91E7CB" w:rsidR="006651F4" w:rsidRPr="003B0F10" w:rsidRDefault="006651F4" w:rsidP="001C61A1">
            <w:pPr>
              <w:keepNext/>
              <w:keepLines/>
              <w:suppressAutoHyphens w:val="0"/>
              <w:spacing w:before="40" w:after="40" w:line="240" w:lineRule="auto"/>
              <w:ind w:firstLine="170"/>
              <w:jc w:val="center"/>
              <w:rPr>
                <w:b/>
                <w:bCs/>
                <w:color w:val="4F81BD" w:themeColor="accent1"/>
                <w:sz w:val="18"/>
              </w:rPr>
            </w:pPr>
            <w:r w:rsidRPr="003B0F10">
              <w:rPr>
                <w:b/>
                <w:bCs/>
                <w:color w:val="4F81BD" w:themeColor="accent1"/>
                <w:sz w:val="18"/>
              </w:rPr>
              <w:t>Hazardous by contributing to global warming</w:t>
            </w:r>
          </w:p>
        </w:tc>
      </w:tr>
      <w:tr w:rsidR="00D53650" w:rsidRPr="007C4A94" w14:paraId="0CF1129F" w14:textId="0F7DEB33" w:rsidTr="001C61A1">
        <w:tc>
          <w:tcPr>
            <w:tcW w:w="1980" w:type="dxa"/>
            <w:vAlign w:val="center"/>
          </w:tcPr>
          <w:p w14:paraId="24F600CC" w14:textId="77777777" w:rsidR="00D53650" w:rsidRPr="001C61A1" w:rsidRDefault="00D53650" w:rsidP="001C61A1">
            <w:pPr>
              <w:keepNext/>
              <w:keepLines/>
              <w:suppressAutoHyphens w:val="0"/>
              <w:spacing w:before="40" w:after="40" w:line="240" w:lineRule="auto"/>
              <w:ind w:firstLine="170"/>
              <w:rPr>
                <w:b/>
                <w:bCs/>
                <w:sz w:val="18"/>
              </w:rPr>
            </w:pPr>
            <w:r w:rsidRPr="001C61A1">
              <w:rPr>
                <w:b/>
                <w:bCs/>
                <w:sz w:val="18"/>
              </w:rPr>
              <w:t>Symbol</w:t>
            </w:r>
          </w:p>
        </w:tc>
        <w:tc>
          <w:tcPr>
            <w:tcW w:w="3544" w:type="dxa"/>
          </w:tcPr>
          <w:p w14:paraId="0C895E3D" w14:textId="77777777" w:rsidR="00D53650" w:rsidRPr="001C61A1" w:rsidRDefault="00D53650" w:rsidP="001C61A1">
            <w:pPr>
              <w:keepNext/>
              <w:keepLines/>
              <w:suppressAutoHyphens w:val="0"/>
              <w:spacing w:before="40" w:after="40" w:line="240" w:lineRule="auto"/>
              <w:ind w:firstLine="170"/>
              <w:jc w:val="center"/>
              <w:rPr>
                <w:color w:val="000000"/>
                <w:sz w:val="18"/>
              </w:rPr>
            </w:pPr>
            <w:r w:rsidRPr="001C61A1">
              <w:rPr>
                <w:color w:val="000000"/>
                <w:sz w:val="18"/>
              </w:rPr>
              <w:t>Exclamation mark</w:t>
            </w:r>
          </w:p>
        </w:tc>
        <w:tc>
          <w:tcPr>
            <w:tcW w:w="4113" w:type="dxa"/>
          </w:tcPr>
          <w:p w14:paraId="6CB4B919" w14:textId="38BFC8A5" w:rsidR="00D53650" w:rsidRPr="003B0F10" w:rsidRDefault="009D0B69" w:rsidP="001C61A1">
            <w:pPr>
              <w:keepNext/>
              <w:keepLines/>
              <w:suppressAutoHyphens w:val="0"/>
              <w:spacing w:before="40" w:after="40" w:line="240" w:lineRule="auto"/>
              <w:ind w:firstLine="170"/>
              <w:jc w:val="center"/>
              <w:rPr>
                <w:color w:val="4F81BD" w:themeColor="accent1"/>
                <w:sz w:val="18"/>
              </w:rPr>
            </w:pPr>
            <w:r w:rsidRPr="003B0F10">
              <w:rPr>
                <w:color w:val="4F81BD" w:themeColor="accent1"/>
                <w:sz w:val="18"/>
              </w:rPr>
              <w:t>Exclamation mark</w:t>
            </w:r>
          </w:p>
        </w:tc>
      </w:tr>
      <w:tr w:rsidR="00D53650" w:rsidRPr="007C4A94" w14:paraId="29DA408F" w14:textId="62DF1C1D" w:rsidTr="001C61A1">
        <w:tc>
          <w:tcPr>
            <w:tcW w:w="1980" w:type="dxa"/>
            <w:vAlign w:val="center"/>
          </w:tcPr>
          <w:p w14:paraId="176403AE" w14:textId="77777777" w:rsidR="00D53650" w:rsidRPr="001C61A1" w:rsidRDefault="00D53650" w:rsidP="001C61A1">
            <w:pPr>
              <w:keepNext/>
              <w:keepLines/>
              <w:suppressAutoHyphens w:val="0"/>
              <w:spacing w:before="40" w:after="40" w:line="240" w:lineRule="auto"/>
              <w:ind w:firstLine="170"/>
              <w:rPr>
                <w:b/>
                <w:bCs/>
                <w:sz w:val="18"/>
              </w:rPr>
            </w:pPr>
            <w:r w:rsidRPr="001C61A1">
              <w:rPr>
                <w:b/>
                <w:bCs/>
                <w:sz w:val="18"/>
              </w:rPr>
              <w:t>Signal word</w:t>
            </w:r>
          </w:p>
        </w:tc>
        <w:tc>
          <w:tcPr>
            <w:tcW w:w="3544" w:type="dxa"/>
          </w:tcPr>
          <w:p w14:paraId="72EDDA3D" w14:textId="77777777" w:rsidR="00D53650" w:rsidRPr="001C61A1" w:rsidRDefault="00D53650" w:rsidP="001C61A1">
            <w:pPr>
              <w:keepNext/>
              <w:keepLines/>
              <w:suppressAutoHyphens w:val="0"/>
              <w:spacing w:before="40" w:after="40" w:line="240" w:lineRule="auto"/>
              <w:ind w:firstLine="170"/>
              <w:jc w:val="center"/>
              <w:rPr>
                <w:color w:val="000000"/>
                <w:sz w:val="18"/>
              </w:rPr>
            </w:pPr>
            <w:r w:rsidRPr="001C61A1">
              <w:rPr>
                <w:color w:val="000000"/>
                <w:sz w:val="18"/>
              </w:rPr>
              <w:t>Warning</w:t>
            </w:r>
          </w:p>
        </w:tc>
        <w:tc>
          <w:tcPr>
            <w:tcW w:w="4113" w:type="dxa"/>
          </w:tcPr>
          <w:p w14:paraId="24465F80" w14:textId="41BE6A9F" w:rsidR="00D53650" w:rsidRPr="003B0F10" w:rsidRDefault="009D0B69" w:rsidP="001C61A1">
            <w:pPr>
              <w:keepNext/>
              <w:keepLines/>
              <w:suppressAutoHyphens w:val="0"/>
              <w:spacing w:before="40" w:after="40" w:line="240" w:lineRule="auto"/>
              <w:ind w:firstLine="170"/>
              <w:jc w:val="center"/>
              <w:rPr>
                <w:color w:val="4F81BD" w:themeColor="accent1"/>
                <w:sz w:val="18"/>
              </w:rPr>
            </w:pPr>
            <w:r w:rsidRPr="003B0F10">
              <w:rPr>
                <w:color w:val="4F81BD" w:themeColor="accent1"/>
                <w:sz w:val="18"/>
              </w:rPr>
              <w:t>Warning</w:t>
            </w:r>
          </w:p>
        </w:tc>
      </w:tr>
      <w:tr w:rsidR="00D53650" w:rsidRPr="007C4A94" w14:paraId="05D1686A" w14:textId="7FE0C683" w:rsidTr="001C61A1">
        <w:tc>
          <w:tcPr>
            <w:tcW w:w="1980" w:type="dxa"/>
            <w:vAlign w:val="center"/>
          </w:tcPr>
          <w:p w14:paraId="34EB8518" w14:textId="77777777" w:rsidR="00D53650" w:rsidRPr="001C61A1" w:rsidRDefault="00D53650" w:rsidP="001C61A1">
            <w:pPr>
              <w:suppressAutoHyphens w:val="0"/>
              <w:spacing w:before="40" w:after="40" w:line="240" w:lineRule="auto"/>
              <w:ind w:firstLine="170"/>
              <w:rPr>
                <w:b/>
                <w:bCs/>
                <w:sz w:val="18"/>
              </w:rPr>
            </w:pPr>
            <w:r w:rsidRPr="001C61A1">
              <w:rPr>
                <w:b/>
                <w:bCs/>
                <w:sz w:val="18"/>
              </w:rPr>
              <w:t>Hazard statement</w:t>
            </w:r>
          </w:p>
        </w:tc>
        <w:tc>
          <w:tcPr>
            <w:tcW w:w="3544" w:type="dxa"/>
          </w:tcPr>
          <w:p w14:paraId="4A5DA6B6" w14:textId="77777777" w:rsidR="00D53650" w:rsidRPr="001C61A1" w:rsidRDefault="00D53650" w:rsidP="001C61A1">
            <w:pPr>
              <w:suppressAutoHyphens w:val="0"/>
              <w:spacing w:before="40" w:after="40" w:line="240" w:lineRule="auto"/>
              <w:ind w:firstLine="170"/>
              <w:jc w:val="center"/>
              <w:rPr>
                <w:sz w:val="18"/>
              </w:rPr>
            </w:pPr>
            <w:r w:rsidRPr="001C61A1">
              <w:rPr>
                <w:sz w:val="18"/>
              </w:rPr>
              <w:t>Harms public health and the environment by destroying ozone in the upper atmosphere</w:t>
            </w:r>
          </w:p>
        </w:tc>
        <w:tc>
          <w:tcPr>
            <w:tcW w:w="4113" w:type="dxa"/>
          </w:tcPr>
          <w:p w14:paraId="6D2C999B" w14:textId="44D1CDF6" w:rsidR="00D53650" w:rsidRPr="003B0F10" w:rsidRDefault="007C4A94" w:rsidP="001C61A1">
            <w:pPr>
              <w:suppressAutoHyphens w:val="0"/>
              <w:spacing w:before="40" w:after="40" w:line="240" w:lineRule="auto"/>
              <w:ind w:firstLine="170"/>
              <w:jc w:val="center"/>
              <w:rPr>
                <w:color w:val="4F81BD" w:themeColor="accent1"/>
                <w:sz w:val="18"/>
              </w:rPr>
            </w:pPr>
            <w:r w:rsidRPr="003B0F10">
              <w:rPr>
                <w:color w:val="4F81BD" w:themeColor="accent1"/>
                <w:sz w:val="18"/>
                <w:lang w:val="en-US"/>
              </w:rPr>
              <w:t>Harms public health and the environment by contributing to global warming</w:t>
            </w:r>
          </w:p>
        </w:tc>
      </w:tr>
    </w:tbl>
    <w:p w14:paraId="5EA7BE97" w14:textId="1C572012" w:rsidR="0059090E" w:rsidRDefault="0059090E" w:rsidP="0059090E">
      <w:pPr>
        <w:tabs>
          <w:tab w:val="left" w:pos="1418"/>
          <w:tab w:val="left" w:pos="1985"/>
          <w:tab w:val="left" w:pos="2552"/>
          <w:tab w:val="left" w:pos="3119"/>
          <w:tab w:val="left" w:pos="3686"/>
        </w:tabs>
        <w:suppressAutoHyphens w:val="0"/>
        <w:autoSpaceDE w:val="0"/>
        <w:autoSpaceDN w:val="0"/>
        <w:adjustRightInd w:val="0"/>
        <w:spacing w:before="240" w:after="240" w:line="240" w:lineRule="auto"/>
        <w:jc w:val="both"/>
        <w:rPr>
          <w:color w:val="4F81BD" w:themeColor="accent1"/>
        </w:rPr>
      </w:pPr>
      <w:r w:rsidRPr="003B0F10">
        <w:rPr>
          <w:color w:val="4F81BD" w:themeColor="accent1"/>
        </w:rPr>
        <w:t>4.2.3.2</w:t>
      </w:r>
      <w:r w:rsidRPr="003B0F10">
        <w:rPr>
          <w:color w:val="4F81BD" w:themeColor="accent1"/>
        </w:rPr>
        <w:tab/>
        <w:t>Some substances and mixtures meet the criteria for classification as hazardous to the ozone layer and hazardous by contributing to global warming.  In these cases, the principles outlined in A3.1.2.5 for combining hazard statements can be used to combine the hazard statements for both hazard classes into a single hazard statement (i.e., Harms public health and the environment by contributing to global warming and destroying ozone in the upper atmosphere.).</w:t>
      </w:r>
    </w:p>
    <w:p w14:paraId="77E22753" w14:textId="09D877F5" w:rsidR="00D73FDD" w:rsidRPr="00D73FDD" w:rsidRDefault="00D73FDD" w:rsidP="00D73FDD">
      <w:pPr>
        <w:keepNext/>
        <w:tabs>
          <w:tab w:val="left" w:pos="1418"/>
        </w:tabs>
        <w:suppressAutoHyphens w:val="0"/>
        <w:autoSpaceDE w:val="0"/>
        <w:autoSpaceDN w:val="0"/>
        <w:adjustRightInd w:val="0"/>
        <w:spacing w:before="240" w:after="240" w:line="240" w:lineRule="auto"/>
        <w:outlineLvl w:val="2"/>
        <w:rPr>
          <w:b/>
          <w:bCs/>
          <w:color w:val="000000"/>
          <w:lang w:eastAsia="fr-FR"/>
        </w:rPr>
      </w:pPr>
      <w:r w:rsidRPr="00D73FDD">
        <w:rPr>
          <w:b/>
          <w:bCs/>
          <w:color w:val="000000"/>
          <w:lang w:eastAsia="fr-FR"/>
        </w:rPr>
        <w:t>4.2.4</w:t>
      </w:r>
      <w:r w:rsidRPr="00D73FDD">
        <w:rPr>
          <w:b/>
          <w:bCs/>
          <w:color w:val="000000"/>
          <w:lang w:eastAsia="fr-FR"/>
        </w:rPr>
        <w:tab/>
        <w:t xml:space="preserve">Decision logic for substances and mixtures hazardous to the </w:t>
      </w:r>
      <w:r w:rsidR="00A944AC" w:rsidRPr="003B0F10">
        <w:rPr>
          <w:b/>
          <w:bCs/>
          <w:color w:val="4F81BD" w:themeColor="accent1"/>
        </w:rPr>
        <w:t>atmospheric system</w:t>
      </w:r>
      <w:r w:rsidR="00E243CB">
        <w:rPr>
          <w:b/>
          <w:bCs/>
          <w:color w:val="4F81BD" w:themeColor="accent1"/>
        </w:rPr>
        <w:t xml:space="preserve"> </w:t>
      </w:r>
      <w:r w:rsidRPr="003B0F10">
        <w:rPr>
          <w:b/>
          <w:bCs/>
          <w:strike/>
          <w:color w:val="FF0000"/>
          <w:lang w:eastAsia="fr-FR"/>
        </w:rPr>
        <w:t>ozone layer</w:t>
      </w:r>
    </w:p>
    <w:p w14:paraId="3A0B9A62" w14:textId="0732ECB9" w:rsidR="00D73FDD" w:rsidRPr="00D73FDD" w:rsidRDefault="00661C7B" w:rsidP="00D73FDD">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r w:rsidRPr="003B0F10">
        <w:rPr>
          <w:color w:val="4F81BD" w:themeColor="accent1"/>
        </w:rPr>
        <w:t>The decision logics for hazardous to the ozone layer (see 4.2.2.2) and hazardous by contributing to global warming (see 4.2.2.3)</w:t>
      </w:r>
      <w:r w:rsidRPr="00E243CB">
        <w:rPr>
          <w:strike/>
          <w:color w:val="FF0000"/>
        </w:rPr>
        <w:t xml:space="preserve"> </w:t>
      </w:r>
      <w:r w:rsidR="00D73FDD" w:rsidRPr="00E243CB">
        <w:rPr>
          <w:strike/>
          <w:color w:val="FF0000"/>
        </w:rPr>
        <w:t xml:space="preserve">The decision logic </w:t>
      </w:r>
      <w:r w:rsidR="00D73FDD" w:rsidRPr="00D73FDD">
        <w:t>which follow</w:t>
      </w:r>
      <w:r w:rsidR="00D73FDD" w:rsidRPr="00E243CB">
        <w:rPr>
          <w:strike/>
          <w:color w:val="FF0000"/>
        </w:rPr>
        <w:t>s</w:t>
      </w:r>
      <w:r w:rsidR="00D73FDD" w:rsidRPr="00D73FDD">
        <w:t xml:space="preserve"> </w:t>
      </w:r>
      <w:r w:rsidR="00D73FDD" w:rsidRPr="00E243CB">
        <w:rPr>
          <w:strike/>
          <w:color w:val="FF0000"/>
        </w:rPr>
        <w:t xml:space="preserve">is </w:t>
      </w:r>
      <w:r w:rsidRPr="00E243CB">
        <w:rPr>
          <w:color w:val="4F81BD" w:themeColor="accent1"/>
        </w:rPr>
        <w:t xml:space="preserve">are </w:t>
      </w:r>
      <w:r w:rsidR="00D73FDD" w:rsidRPr="00D73FDD">
        <w:t xml:space="preserve">not part of the harmonized classification system but is provided here as additional guidance. It is strongly recommended that the person responsible for classification study the criteria before and during use of the decision </w:t>
      </w:r>
      <w:r w:rsidR="00D73FDD" w:rsidRPr="00D46E56">
        <w:t>logic</w:t>
      </w:r>
      <w:r w:rsidRPr="00D46E56">
        <w:rPr>
          <w:color w:val="0070C0"/>
        </w:rPr>
        <w:t>s</w:t>
      </w:r>
      <w:r w:rsidR="00D73FDD" w:rsidRPr="00D46E56">
        <w:t>.</w:t>
      </w:r>
      <w:r w:rsidR="00D73FDD" w:rsidRPr="00D73FDD">
        <w:t xml:space="preserve"> </w:t>
      </w:r>
    </w:p>
    <w:p w14:paraId="6A2E658F" w14:textId="34D20C0C" w:rsidR="00D73FDD" w:rsidRPr="00D73FDD" w:rsidRDefault="00D73FDD" w:rsidP="00774CCF">
      <w:pPr>
        <w:keepNext/>
        <w:keepLines/>
        <w:suppressAutoHyphens w:val="0"/>
        <w:spacing w:line="240" w:lineRule="auto"/>
        <w:jc w:val="both"/>
        <w:rPr>
          <w:b/>
          <w:bCs/>
          <w:i/>
          <w:iCs/>
        </w:rPr>
      </w:pPr>
      <w:r w:rsidRPr="00D73FDD">
        <w:rPr>
          <w:b/>
          <w:bCs/>
          <w:i/>
          <w:iCs/>
        </w:rPr>
        <w:lastRenderedPageBreak/>
        <w:tab/>
      </w:r>
      <w:r w:rsidRPr="00D73FDD">
        <w:rPr>
          <w:b/>
          <w:bCs/>
          <w:i/>
          <w:iCs/>
        </w:rPr>
        <w:tab/>
        <w:t xml:space="preserve">Decision logic 4.2.1 </w:t>
      </w:r>
      <w:r w:rsidR="003B0F10" w:rsidRPr="00E243CB">
        <w:rPr>
          <w:b/>
          <w:bCs/>
          <w:i/>
          <w:iCs/>
          <w:color w:val="4F81BD" w:themeColor="accent1"/>
        </w:rPr>
        <w:t xml:space="preserve">for </w:t>
      </w:r>
      <w:r w:rsidR="00F36A8F" w:rsidRPr="00E243CB">
        <w:rPr>
          <w:b/>
          <w:bCs/>
          <w:i/>
          <w:iCs/>
          <w:color w:val="4F81BD" w:themeColor="accent1"/>
        </w:rPr>
        <w:t>hazardous to the ozone layer</w:t>
      </w:r>
    </w:p>
    <w:p w14:paraId="10FB157D" w14:textId="77777777" w:rsidR="00D73FDD" w:rsidRPr="00D73FDD" w:rsidRDefault="00D73FDD" w:rsidP="00774CCF">
      <w:pPr>
        <w:keepNext/>
        <w:keepLines/>
        <w:suppressAutoHyphens w:val="0"/>
        <w:spacing w:line="240" w:lineRule="auto"/>
        <w:jc w:val="both"/>
        <w:rPr>
          <w:b/>
          <w:bCs/>
          <w:i/>
          <w:iCs/>
        </w:rPr>
      </w:pPr>
    </w:p>
    <w:p w14:paraId="0B741D87" w14:textId="450A6755" w:rsidR="00D73FDD" w:rsidRPr="00D73FDD" w:rsidRDefault="00DC7230" w:rsidP="00774CCF">
      <w:pPr>
        <w:keepNext/>
        <w:keepLines/>
        <w:suppressAutoHyphens w:val="0"/>
        <w:spacing w:line="240" w:lineRule="auto"/>
        <w:jc w:val="center"/>
      </w:pPr>
      <w:r w:rsidRPr="00D73FDD">
        <w:rPr>
          <w:sz w:val="22"/>
          <w:szCs w:val="24"/>
        </w:rPr>
        <w:object w:dxaOrig="7635" w:dyaOrig="2895" w14:anchorId="21E0A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45.5pt" o:ole="">
            <v:imagedata r:id="rId11" o:title=""/>
          </v:shape>
          <o:OLEObject Type="Embed" ProgID="Visio.Drawing.15" ShapeID="_x0000_i1025" DrawAspect="Content" ObjectID="_1743945813" r:id="rId12"/>
        </w:object>
      </w:r>
    </w:p>
    <w:p w14:paraId="06F4430C" w14:textId="33246E25" w:rsidR="00D078A9" w:rsidRPr="00E243CB" w:rsidRDefault="00D078A9" w:rsidP="00774CCF">
      <w:pPr>
        <w:keepNext/>
        <w:keepLines/>
        <w:suppressAutoHyphens w:val="0"/>
        <w:spacing w:line="240" w:lineRule="auto"/>
        <w:jc w:val="both"/>
        <w:rPr>
          <w:b/>
          <w:bCs/>
          <w:i/>
          <w:iCs/>
          <w:color w:val="4F81BD" w:themeColor="accent1"/>
        </w:rPr>
      </w:pPr>
      <w:r w:rsidRPr="00E243CB">
        <w:rPr>
          <w:b/>
          <w:bCs/>
          <w:i/>
          <w:iCs/>
          <w:color w:val="4F81BD" w:themeColor="accent1"/>
        </w:rPr>
        <w:t>Decision logic 4.2.2 for hazardous by contributing to global warming</w:t>
      </w:r>
    </w:p>
    <w:p w14:paraId="63BCCA52" w14:textId="77777777" w:rsidR="00D078A9" w:rsidRPr="00916330" w:rsidRDefault="00D078A9" w:rsidP="00774CCF">
      <w:pPr>
        <w:keepNext/>
        <w:keepLines/>
        <w:tabs>
          <w:tab w:val="left" w:pos="1418"/>
        </w:tabs>
        <w:jc w:val="center"/>
      </w:pPr>
    </w:p>
    <w:p w14:paraId="15865B04" w14:textId="5311BF3B" w:rsidR="00406FCB" w:rsidRDefault="00EF6618" w:rsidP="00774CCF">
      <w:pPr>
        <w:keepNext/>
        <w:keepLines/>
        <w:jc w:val="center"/>
      </w:pPr>
      <w:r>
        <w:object w:dxaOrig="7635" w:dyaOrig="2895" w14:anchorId="657CFC9F">
          <v:shape id="_x0000_i1026" type="#_x0000_t75" style="width:382.5pt;height:145.5pt" o:ole="">
            <v:imagedata r:id="rId13" o:title=""/>
          </v:shape>
          <o:OLEObject Type="Embed" ProgID="Visio.Drawing.15" ShapeID="_x0000_i1026" DrawAspect="Content" ObjectID="_1743945814" r:id="rId14"/>
        </w:object>
      </w:r>
      <w:r w:rsidR="00D078A9" w:rsidRPr="00916330">
        <w:rPr>
          <w:noProof/>
        </w:rPr>
        <w:t>”</w:t>
      </w:r>
    </w:p>
    <w:p w14:paraId="3DE3D5A9" w14:textId="77777777" w:rsidR="00406FCB" w:rsidRDefault="00406FCB" w:rsidP="00774CCF">
      <w:pPr>
        <w:keepNext/>
        <w:keepLines/>
      </w:pPr>
    </w:p>
    <w:p w14:paraId="73C9BFAA" w14:textId="7FF413EB" w:rsidR="00B83F82" w:rsidRDefault="00B83F82" w:rsidP="00774CCF">
      <w:pPr>
        <w:keepNext/>
        <w:keepLines/>
        <w:jc w:val="center"/>
        <w:rPr>
          <w:noProof/>
        </w:rPr>
      </w:pPr>
    </w:p>
    <w:p w14:paraId="0943E9DC" w14:textId="77777777" w:rsidR="00B83F82" w:rsidRDefault="00B83F82" w:rsidP="00774CCF">
      <w:pPr>
        <w:keepNext/>
        <w:keepLines/>
        <w:jc w:val="center"/>
        <w:rPr>
          <w:noProof/>
        </w:rPr>
      </w:pPr>
    </w:p>
    <w:p w14:paraId="331A190A" w14:textId="1DCAD46C" w:rsidR="00B83F82" w:rsidRDefault="00B83F82" w:rsidP="00774CCF">
      <w:pPr>
        <w:keepNext/>
        <w:keepLines/>
        <w:jc w:val="center"/>
      </w:pPr>
      <w:r>
        <w:br w:type="page"/>
      </w:r>
    </w:p>
    <w:p w14:paraId="70976F98" w14:textId="74860875" w:rsidR="00E94505" w:rsidRPr="00774CCF" w:rsidRDefault="00B83F82" w:rsidP="00774CCF">
      <w:pPr>
        <w:pStyle w:val="HChG"/>
      </w:pPr>
      <w:r w:rsidRPr="00774CCF">
        <w:lastRenderedPageBreak/>
        <w:t xml:space="preserve">Consequential amendments </w:t>
      </w:r>
      <w:r w:rsidR="00E94505" w:rsidRPr="00774CCF">
        <w:t>to other parts of the GHS</w:t>
      </w:r>
    </w:p>
    <w:p w14:paraId="1AA37376" w14:textId="289CF0F9" w:rsidR="00B83F82" w:rsidRPr="00754C99" w:rsidRDefault="001D5BF3" w:rsidP="00754C99">
      <w:pPr>
        <w:pStyle w:val="H1G"/>
      </w:pPr>
      <w:r w:rsidRPr="00754C99">
        <w:t>Amendments to c</w:t>
      </w:r>
      <w:r w:rsidR="00B83F82" w:rsidRPr="00754C99">
        <w:t>hapter 1.2</w:t>
      </w:r>
    </w:p>
    <w:p w14:paraId="0B912F31" w14:textId="0899B72D" w:rsidR="00B83F82" w:rsidRPr="005F41E9" w:rsidRDefault="00B83F82" w:rsidP="00B83F82">
      <w:pPr>
        <w:pStyle w:val="GHS1stline"/>
        <w:ind w:left="720" w:firstLine="0"/>
        <w:rPr>
          <w:color w:val="0070C0"/>
        </w:rPr>
      </w:pPr>
      <w:r w:rsidRPr="009744F1">
        <w:rPr>
          <w:i/>
          <w:iCs/>
          <w:color w:val="0070C0"/>
        </w:rPr>
        <w:t xml:space="preserve">Global </w:t>
      </w:r>
      <w:r w:rsidR="00754C99">
        <w:rPr>
          <w:i/>
          <w:iCs/>
          <w:color w:val="0070C0"/>
        </w:rPr>
        <w:t>W</w:t>
      </w:r>
      <w:r w:rsidRPr="009744F1">
        <w:rPr>
          <w:i/>
          <w:iCs/>
          <w:color w:val="0070C0"/>
        </w:rPr>
        <w:t xml:space="preserve">arming </w:t>
      </w:r>
      <w:r w:rsidR="00754C99">
        <w:rPr>
          <w:i/>
          <w:iCs/>
          <w:color w:val="0070C0"/>
        </w:rPr>
        <w:t>P</w:t>
      </w:r>
      <w:r w:rsidRPr="009744F1">
        <w:rPr>
          <w:i/>
          <w:iCs/>
          <w:color w:val="0070C0"/>
        </w:rPr>
        <w:t xml:space="preserve">otential </w:t>
      </w:r>
      <w:r w:rsidRPr="009744F1">
        <w:rPr>
          <w:color w:val="0070C0"/>
        </w:rPr>
        <w:t>is a metric that compares the ability of a substance or mixture to trap heat in the atmosphere as compared to a benchmark gas (generally carbon dioxide).</w:t>
      </w:r>
      <w:r w:rsidRPr="009744F1">
        <w:rPr>
          <w:i/>
          <w:iCs/>
          <w:color w:val="0070C0"/>
        </w:rPr>
        <w:t xml:space="preserve">  </w:t>
      </w:r>
      <w:r w:rsidRPr="009744F1">
        <w:rPr>
          <w:color w:val="0070C0"/>
        </w:rPr>
        <w:t xml:space="preserve">The formal definition of </w:t>
      </w:r>
      <w:r>
        <w:rPr>
          <w:color w:val="0070C0"/>
        </w:rPr>
        <w:t>global warming potential</w:t>
      </w:r>
      <w:r w:rsidRPr="009744F1">
        <w:rPr>
          <w:color w:val="0070C0"/>
        </w:rPr>
        <w:t xml:space="preserve"> is the cumulative radiative forcing, both direct and indirect effects, over a specified time horizon resulting from the emission of a unit mass of gas relative to that of carbon dioxide (as the reference gas).</w:t>
      </w:r>
    </w:p>
    <w:p w14:paraId="5BCC1C8D" w14:textId="77777777" w:rsidR="00B83F82" w:rsidRPr="00402D4B" w:rsidRDefault="00B83F82" w:rsidP="00B83F82">
      <w:pPr>
        <w:pStyle w:val="GHS1stline"/>
        <w:ind w:left="709" w:firstLine="0"/>
      </w:pPr>
      <w:r w:rsidRPr="00402D4B">
        <w:rPr>
          <w:bCs/>
          <w:i/>
          <w:iCs/>
        </w:rPr>
        <w:t xml:space="preserve">Ozone Depleting Potential </w:t>
      </w:r>
      <w:r w:rsidRPr="001C61A1">
        <w:rPr>
          <w:bCs/>
          <w:i/>
          <w:iCs/>
          <w:strike/>
          <w:color w:val="FF0000"/>
        </w:rPr>
        <w:t>(ODP)</w:t>
      </w:r>
      <w:r w:rsidRPr="001C61A1">
        <w:rPr>
          <w:bCs/>
          <w:i/>
          <w:iCs/>
          <w:color w:val="FF0000"/>
        </w:rPr>
        <w:t xml:space="preserve"> </w:t>
      </w:r>
      <w:r w:rsidRPr="00402D4B">
        <w:t xml:space="preserve">is an integrative quantity, distinct for each source species, that represents the extent of ozone depletion in the stratosphere expected from </w:t>
      </w:r>
      <w:r>
        <w:t xml:space="preserve">the species </w:t>
      </w:r>
      <w:r w:rsidRPr="00402D4B">
        <w:t xml:space="preserve">on a mass-for-mass basis relative to CFC-11. The formal definition of </w:t>
      </w:r>
      <w:r w:rsidRPr="001C61A1">
        <w:rPr>
          <w:strike/>
          <w:color w:val="FF0000"/>
        </w:rPr>
        <w:t>ODP</w:t>
      </w:r>
      <w:r w:rsidRPr="00402D4B">
        <w:t xml:space="preserve"> </w:t>
      </w:r>
      <w:r w:rsidRPr="00E81A12">
        <w:rPr>
          <w:color w:val="0070C0"/>
        </w:rPr>
        <w:t xml:space="preserve">ozone depleting potential </w:t>
      </w:r>
      <w:r w:rsidRPr="00402D4B">
        <w:t>is the ratio of integrated perturbations to total ozone, for a differential mass emission of a particular compound relative to an equal emission of CFC-11.</w:t>
      </w:r>
    </w:p>
    <w:p w14:paraId="157B1653" w14:textId="0924E4FE" w:rsidR="00B83F82" w:rsidRPr="001D5BF3" w:rsidRDefault="001D5BF3" w:rsidP="00754C99">
      <w:pPr>
        <w:pStyle w:val="H1G"/>
      </w:pPr>
      <w:r w:rsidRPr="001D5BF3">
        <w:t>Amendments to a</w:t>
      </w:r>
      <w:r w:rsidR="00B83F82" w:rsidRPr="001D5BF3">
        <w:t xml:space="preserve">nnex 1 </w:t>
      </w:r>
    </w:p>
    <w:p w14:paraId="2E143E2D" w14:textId="5D382450" w:rsidR="00B83F82" w:rsidRPr="00402D4B" w:rsidRDefault="00B83F82" w:rsidP="00B83F82">
      <w:pPr>
        <w:pStyle w:val="GHSHeading3"/>
        <w:tabs>
          <w:tab w:val="left" w:pos="1134"/>
        </w:tabs>
        <w:spacing w:before="240" w:after="200"/>
        <w:ind w:left="1418" w:hanging="1418"/>
        <w:rPr>
          <w:sz w:val="20"/>
        </w:rPr>
      </w:pPr>
      <w:r w:rsidRPr="00402D4B">
        <w:rPr>
          <w:sz w:val="20"/>
        </w:rPr>
        <w:t xml:space="preserve">A1.30 </w:t>
      </w:r>
      <w:r w:rsidRPr="00402D4B">
        <w:rPr>
          <w:sz w:val="20"/>
        </w:rPr>
        <w:tab/>
      </w:r>
      <w:r w:rsidRPr="005C6782">
        <w:rPr>
          <w:color w:val="auto"/>
          <w:sz w:val="20"/>
          <w:szCs w:val="20"/>
        </w:rPr>
        <w:t>Hazard</w:t>
      </w:r>
      <w:r w:rsidRPr="00767478">
        <w:rPr>
          <w:color w:val="0070C0"/>
          <w:sz w:val="20"/>
          <w:szCs w:val="20"/>
        </w:rPr>
        <w:t>ous</w:t>
      </w:r>
      <w:r w:rsidRPr="005C6782">
        <w:rPr>
          <w:color w:val="auto"/>
          <w:sz w:val="20"/>
          <w:szCs w:val="20"/>
        </w:rPr>
        <w:t xml:space="preserve"> to the</w:t>
      </w:r>
      <w:r>
        <w:rPr>
          <w:color w:val="auto"/>
          <w:sz w:val="20"/>
          <w:szCs w:val="20"/>
        </w:rPr>
        <w:t xml:space="preserve"> </w:t>
      </w:r>
      <w:r w:rsidRPr="001C61A1">
        <w:rPr>
          <w:strike/>
          <w:color w:val="FF0000"/>
          <w:sz w:val="20"/>
          <w:szCs w:val="20"/>
        </w:rPr>
        <w:t>ozone layer</w:t>
      </w:r>
      <w:r w:rsidRPr="001C61A1">
        <w:rPr>
          <w:color w:val="FF0000"/>
          <w:sz w:val="20"/>
          <w:szCs w:val="20"/>
        </w:rPr>
        <w:t xml:space="preserve"> </w:t>
      </w:r>
      <w:r w:rsidRPr="005C6782">
        <w:rPr>
          <w:color w:val="0070C0"/>
          <w:sz w:val="20"/>
          <w:szCs w:val="20"/>
        </w:rPr>
        <w:t>atmospheric system</w:t>
      </w:r>
      <w:r w:rsidRPr="00BA2340">
        <w:rPr>
          <w:color w:val="0070C0"/>
        </w:rPr>
        <w:t xml:space="preserve"> </w:t>
      </w:r>
      <w:r w:rsidRPr="00402D4B">
        <w:rPr>
          <w:sz w:val="20"/>
        </w:rPr>
        <w:t xml:space="preserve">(see </w:t>
      </w:r>
      <w:r w:rsidR="00EE771C">
        <w:rPr>
          <w:sz w:val="20"/>
        </w:rPr>
        <w:t>c</w:t>
      </w:r>
      <w:r w:rsidRPr="00402D4B">
        <w:rPr>
          <w:sz w:val="20"/>
        </w:rPr>
        <w:t>hapter 4.2 for classification criteria)</w:t>
      </w:r>
    </w:p>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74"/>
        <w:gridCol w:w="1337"/>
        <w:gridCol w:w="1055"/>
        <w:gridCol w:w="1169"/>
        <w:gridCol w:w="1056"/>
        <w:gridCol w:w="804"/>
        <w:gridCol w:w="1731"/>
        <w:gridCol w:w="1036"/>
      </w:tblGrid>
      <w:tr w:rsidR="00B83F82" w:rsidRPr="00402D4B" w14:paraId="524C11BA" w14:textId="77777777" w:rsidTr="007C51F8">
        <w:trPr>
          <w:cantSplit/>
          <w:tblHeader/>
        </w:trPr>
        <w:tc>
          <w:tcPr>
            <w:tcW w:w="3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21DE3" w14:textId="77777777" w:rsidR="00B83F82" w:rsidRPr="00402D4B" w:rsidRDefault="00B83F82" w:rsidP="007C51F8">
            <w:pPr>
              <w:keepNext/>
              <w:keepLines/>
              <w:tabs>
                <w:tab w:val="left" w:pos="1425"/>
              </w:tabs>
              <w:spacing w:before="80" w:after="80"/>
              <w:jc w:val="center"/>
              <w:rPr>
                <w:b/>
                <w:sz w:val="18"/>
                <w:szCs w:val="18"/>
              </w:rPr>
            </w:pPr>
            <w:r w:rsidRPr="00402D4B">
              <w:rPr>
                <w:b/>
                <w:sz w:val="18"/>
                <w:szCs w:val="18"/>
              </w:rPr>
              <w:t>Classification</w:t>
            </w:r>
          </w:p>
        </w:tc>
        <w:tc>
          <w:tcPr>
            <w:tcW w:w="4760" w:type="dxa"/>
            <w:gridSpan w:val="4"/>
            <w:tcBorders>
              <w:top w:val="single" w:sz="4" w:space="0" w:color="auto"/>
              <w:left w:val="single" w:sz="4" w:space="0" w:color="auto"/>
              <w:bottom w:val="single" w:sz="4" w:space="0" w:color="auto"/>
              <w:right w:val="single" w:sz="4" w:space="0" w:color="auto"/>
            </w:tcBorders>
            <w:shd w:val="clear" w:color="auto" w:fill="auto"/>
          </w:tcPr>
          <w:p w14:paraId="3B6169A1" w14:textId="77777777" w:rsidR="00B83F82" w:rsidRPr="00402D4B" w:rsidRDefault="00B83F82" w:rsidP="007C51F8">
            <w:pPr>
              <w:keepNext/>
              <w:keepLines/>
              <w:tabs>
                <w:tab w:val="left" w:pos="1425"/>
              </w:tabs>
              <w:spacing w:before="80" w:after="80"/>
              <w:jc w:val="center"/>
              <w:rPr>
                <w:b/>
                <w:sz w:val="18"/>
                <w:szCs w:val="18"/>
              </w:rPr>
            </w:pPr>
            <w:r w:rsidRPr="00402D4B">
              <w:rPr>
                <w:b/>
                <w:sz w:val="18"/>
                <w:szCs w:val="18"/>
              </w:rPr>
              <w:t>Labelling</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cPr>
          <w:p w14:paraId="231E0900" w14:textId="77777777" w:rsidR="00B83F82" w:rsidRPr="00402D4B" w:rsidRDefault="00B83F82" w:rsidP="007C51F8">
            <w:pPr>
              <w:pStyle w:val="Heading5"/>
              <w:tabs>
                <w:tab w:val="left" w:pos="1425"/>
              </w:tabs>
              <w:spacing w:before="80" w:after="80"/>
              <w:jc w:val="center"/>
              <w:rPr>
                <w:b/>
                <w:bCs/>
                <w:iCs/>
                <w:sz w:val="18"/>
                <w:szCs w:val="18"/>
              </w:rPr>
            </w:pPr>
            <w:r w:rsidRPr="00402D4B">
              <w:rPr>
                <w:b/>
                <w:sz w:val="18"/>
                <w:szCs w:val="18"/>
              </w:rPr>
              <w:t>GHS hazard statement code</w:t>
            </w:r>
          </w:p>
        </w:tc>
      </w:tr>
      <w:tr w:rsidR="00B83F82" w:rsidRPr="00402D4B" w14:paraId="283B875E" w14:textId="77777777" w:rsidTr="007C51F8">
        <w:trPr>
          <w:cantSplit/>
          <w:trHeight w:val="526"/>
          <w:tblHeader/>
        </w:trPr>
        <w:tc>
          <w:tcPr>
            <w:tcW w:w="1374" w:type="dxa"/>
            <w:tcBorders>
              <w:bottom w:val="single" w:sz="4" w:space="0" w:color="auto"/>
            </w:tcBorders>
            <w:shd w:val="clear" w:color="auto" w:fill="auto"/>
            <w:vAlign w:val="center"/>
          </w:tcPr>
          <w:p w14:paraId="4B50E669" w14:textId="77777777" w:rsidR="00B83F82" w:rsidRPr="00402D4B" w:rsidRDefault="00B83F82" w:rsidP="007C51F8">
            <w:pPr>
              <w:keepNext/>
              <w:keepLines/>
              <w:tabs>
                <w:tab w:val="left" w:pos="1425"/>
              </w:tabs>
              <w:spacing w:before="80" w:after="80"/>
              <w:jc w:val="center"/>
              <w:rPr>
                <w:b/>
                <w:sz w:val="18"/>
                <w:szCs w:val="18"/>
              </w:rPr>
            </w:pPr>
            <w:r w:rsidRPr="00402D4B">
              <w:rPr>
                <w:b/>
                <w:sz w:val="18"/>
                <w:szCs w:val="18"/>
              </w:rPr>
              <w:t>GHS hazard class</w:t>
            </w:r>
          </w:p>
        </w:tc>
        <w:tc>
          <w:tcPr>
            <w:tcW w:w="1337" w:type="dxa"/>
            <w:tcBorders>
              <w:bottom w:val="single" w:sz="4" w:space="0" w:color="auto"/>
            </w:tcBorders>
            <w:shd w:val="clear" w:color="auto" w:fill="auto"/>
            <w:vAlign w:val="center"/>
          </w:tcPr>
          <w:p w14:paraId="79A41BD0" w14:textId="77777777" w:rsidR="00B83F82" w:rsidRPr="00402D4B" w:rsidRDefault="00B83F82" w:rsidP="007C51F8">
            <w:pPr>
              <w:keepNext/>
              <w:keepLines/>
              <w:tabs>
                <w:tab w:val="left" w:pos="1425"/>
              </w:tabs>
              <w:spacing w:before="80" w:after="80"/>
              <w:jc w:val="center"/>
              <w:rPr>
                <w:b/>
                <w:sz w:val="18"/>
                <w:szCs w:val="18"/>
              </w:rPr>
            </w:pPr>
            <w:r w:rsidRPr="00402D4B">
              <w:rPr>
                <w:b/>
                <w:sz w:val="18"/>
                <w:szCs w:val="18"/>
              </w:rPr>
              <w:t>GHS hazard category</w:t>
            </w:r>
          </w:p>
        </w:tc>
        <w:tc>
          <w:tcPr>
            <w:tcW w:w="1055" w:type="dxa"/>
            <w:tcBorders>
              <w:bottom w:val="single" w:sz="4" w:space="0" w:color="auto"/>
            </w:tcBorders>
          </w:tcPr>
          <w:p w14:paraId="27CBFA51" w14:textId="77777777" w:rsidR="00B83F82" w:rsidRPr="00402D4B" w:rsidRDefault="00B83F82" w:rsidP="007C51F8">
            <w:pPr>
              <w:pStyle w:val="Heading5"/>
              <w:tabs>
                <w:tab w:val="left" w:pos="1425"/>
              </w:tabs>
              <w:spacing w:before="80" w:after="80"/>
              <w:jc w:val="center"/>
              <w:rPr>
                <w:b/>
                <w:bCs/>
                <w:iCs/>
                <w:sz w:val="18"/>
                <w:szCs w:val="18"/>
              </w:rPr>
            </w:pPr>
            <w:r w:rsidRPr="00402D4B">
              <w:rPr>
                <w:b/>
                <w:sz w:val="18"/>
                <w:szCs w:val="18"/>
              </w:rPr>
              <w:t>UN Model Regulations class or division</w:t>
            </w:r>
          </w:p>
        </w:tc>
        <w:tc>
          <w:tcPr>
            <w:tcW w:w="1169" w:type="dxa"/>
            <w:tcBorders>
              <w:bottom w:val="single" w:sz="4" w:space="0" w:color="auto"/>
            </w:tcBorders>
            <w:shd w:val="clear" w:color="auto" w:fill="auto"/>
            <w:vAlign w:val="center"/>
          </w:tcPr>
          <w:p w14:paraId="574EC3BA" w14:textId="77777777" w:rsidR="00B83F82" w:rsidRPr="00402D4B" w:rsidRDefault="00B83F82" w:rsidP="007C51F8">
            <w:pPr>
              <w:pStyle w:val="Heading5"/>
              <w:tabs>
                <w:tab w:val="left" w:pos="1425"/>
              </w:tabs>
              <w:spacing w:before="80" w:after="80"/>
              <w:jc w:val="center"/>
              <w:rPr>
                <w:b/>
                <w:bCs/>
                <w:iCs/>
                <w:sz w:val="18"/>
                <w:szCs w:val="18"/>
              </w:rPr>
            </w:pPr>
            <w:r w:rsidRPr="00402D4B">
              <w:rPr>
                <w:b/>
                <w:noProof/>
                <w:sz w:val="18"/>
                <w:szCs w:val="18"/>
                <w:lang w:eastAsia="sv-SE"/>
              </w:rPr>
              <w:t>GHS p</w:t>
            </w:r>
            <w:r w:rsidRPr="00402D4B">
              <w:rPr>
                <w:b/>
                <w:sz w:val="18"/>
                <w:szCs w:val="18"/>
              </w:rPr>
              <w:t>ictogram</w:t>
            </w:r>
          </w:p>
        </w:tc>
        <w:tc>
          <w:tcPr>
            <w:tcW w:w="1056" w:type="dxa"/>
            <w:tcBorders>
              <w:bottom w:val="single" w:sz="4" w:space="0" w:color="auto"/>
            </w:tcBorders>
            <w:shd w:val="clear" w:color="auto" w:fill="auto"/>
            <w:vAlign w:val="center"/>
          </w:tcPr>
          <w:p w14:paraId="03B7894C" w14:textId="77777777" w:rsidR="00B83F82" w:rsidRPr="00402D4B" w:rsidRDefault="00B83F82" w:rsidP="007C51F8">
            <w:pPr>
              <w:keepNext/>
              <w:keepLines/>
              <w:tabs>
                <w:tab w:val="left" w:pos="1425"/>
              </w:tabs>
              <w:spacing w:before="40" w:after="40"/>
              <w:jc w:val="center"/>
              <w:rPr>
                <w:b/>
                <w:bCs/>
                <w:iCs/>
                <w:sz w:val="18"/>
                <w:szCs w:val="18"/>
              </w:rPr>
            </w:pPr>
            <w:r w:rsidRPr="00402D4B">
              <w:rPr>
                <w:b/>
                <w:bCs/>
                <w:sz w:val="18"/>
                <w:szCs w:val="18"/>
              </w:rPr>
              <w:t>UN Model Regulations pictograms</w:t>
            </w:r>
          </w:p>
        </w:tc>
        <w:tc>
          <w:tcPr>
            <w:tcW w:w="804" w:type="dxa"/>
            <w:tcBorders>
              <w:bottom w:val="single" w:sz="4" w:space="0" w:color="auto"/>
            </w:tcBorders>
            <w:shd w:val="clear" w:color="auto" w:fill="auto"/>
            <w:vAlign w:val="center"/>
          </w:tcPr>
          <w:p w14:paraId="331ACA1A" w14:textId="77777777" w:rsidR="00B83F82" w:rsidRPr="00402D4B" w:rsidRDefault="00B83F82" w:rsidP="007C51F8">
            <w:pPr>
              <w:pStyle w:val="Heading5"/>
              <w:tabs>
                <w:tab w:val="left" w:pos="1425"/>
              </w:tabs>
              <w:spacing w:before="80" w:after="80"/>
              <w:jc w:val="center"/>
              <w:rPr>
                <w:b/>
                <w:bCs/>
                <w:iCs/>
                <w:sz w:val="18"/>
                <w:szCs w:val="18"/>
              </w:rPr>
            </w:pPr>
            <w:r w:rsidRPr="00402D4B">
              <w:rPr>
                <w:b/>
                <w:sz w:val="18"/>
                <w:szCs w:val="18"/>
              </w:rPr>
              <w:t>GHS signal word</w:t>
            </w:r>
          </w:p>
        </w:tc>
        <w:tc>
          <w:tcPr>
            <w:tcW w:w="1731" w:type="dxa"/>
            <w:tcBorders>
              <w:bottom w:val="single" w:sz="4" w:space="0" w:color="auto"/>
              <w:right w:val="single" w:sz="4" w:space="0" w:color="auto"/>
            </w:tcBorders>
            <w:shd w:val="clear" w:color="auto" w:fill="auto"/>
            <w:vAlign w:val="center"/>
          </w:tcPr>
          <w:p w14:paraId="25C828B4" w14:textId="77777777" w:rsidR="00B83F82" w:rsidRPr="00402D4B" w:rsidRDefault="00B83F82" w:rsidP="007C51F8">
            <w:pPr>
              <w:pStyle w:val="Heading5"/>
              <w:tabs>
                <w:tab w:val="left" w:pos="1425"/>
              </w:tabs>
              <w:spacing w:before="80" w:after="80"/>
              <w:rPr>
                <w:b/>
                <w:bCs/>
                <w:iCs/>
                <w:sz w:val="18"/>
                <w:szCs w:val="18"/>
              </w:rPr>
            </w:pPr>
            <w:r w:rsidRPr="00402D4B">
              <w:rPr>
                <w:b/>
                <w:sz w:val="18"/>
                <w:szCs w:val="18"/>
              </w:rPr>
              <w:t>GHS hazard statement</w:t>
            </w:r>
          </w:p>
        </w:tc>
        <w:tc>
          <w:tcPr>
            <w:tcW w:w="1036" w:type="dxa"/>
            <w:vMerge/>
            <w:tcBorders>
              <w:left w:val="single" w:sz="4" w:space="0" w:color="auto"/>
              <w:bottom w:val="single" w:sz="4" w:space="0" w:color="auto"/>
              <w:right w:val="single" w:sz="4" w:space="0" w:color="auto"/>
            </w:tcBorders>
            <w:shd w:val="clear" w:color="auto" w:fill="auto"/>
            <w:vAlign w:val="center"/>
          </w:tcPr>
          <w:p w14:paraId="0ACE5264" w14:textId="77777777" w:rsidR="00B83F82" w:rsidRPr="00402D4B" w:rsidRDefault="00B83F82" w:rsidP="007C51F8">
            <w:pPr>
              <w:pStyle w:val="Heading5"/>
              <w:tabs>
                <w:tab w:val="left" w:pos="1425"/>
              </w:tabs>
              <w:spacing w:before="80" w:after="80"/>
              <w:rPr>
                <w:b/>
                <w:bCs/>
                <w:sz w:val="18"/>
                <w:szCs w:val="18"/>
              </w:rPr>
            </w:pPr>
          </w:p>
        </w:tc>
      </w:tr>
      <w:tr w:rsidR="00B83F82" w:rsidRPr="00402D4B" w14:paraId="723CB04F" w14:textId="77777777" w:rsidTr="007C51F8">
        <w:trPr>
          <w:cantSplit/>
          <w:trHeight w:val="634"/>
        </w:trPr>
        <w:tc>
          <w:tcPr>
            <w:tcW w:w="1374" w:type="dxa"/>
            <w:tcBorders>
              <w:top w:val="single" w:sz="4" w:space="0" w:color="auto"/>
              <w:bottom w:val="single" w:sz="4" w:space="0" w:color="auto"/>
            </w:tcBorders>
            <w:shd w:val="clear" w:color="auto" w:fill="auto"/>
            <w:vAlign w:val="center"/>
          </w:tcPr>
          <w:p w14:paraId="0EC4EE1A" w14:textId="77777777" w:rsidR="00B83F82" w:rsidRPr="00067EDC" w:rsidRDefault="00B83F82" w:rsidP="00E243CB">
            <w:pPr>
              <w:keepNext/>
              <w:keepLines/>
              <w:tabs>
                <w:tab w:val="left" w:pos="1425"/>
              </w:tabs>
              <w:spacing w:before="40" w:after="40" w:line="240" w:lineRule="auto"/>
              <w:jc w:val="center"/>
              <w:rPr>
                <w:b/>
                <w:bCs/>
                <w:sz w:val="18"/>
                <w:szCs w:val="18"/>
              </w:rPr>
            </w:pPr>
            <w:r w:rsidRPr="00067EDC">
              <w:rPr>
                <w:b/>
                <w:bCs/>
                <w:sz w:val="18"/>
                <w:szCs w:val="18"/>
              </w:rPr>
              <w:t>Hazardous to the ozone layer</w:t>
            </w:r>
          </w:p>
        </w:tc>
        <w:tc>
          <w:tcPr>
            <w:tcW w:w="1337" w:type="dxa"/>
            <w:tcBorders>
              <w:top w:val="single" w:sz="4" w:space="0" w:color="auto"/>
            </w:tcBorders>
            <w:shd w:val="clear" w:color="auto" w:fill="auto"/>
            <w:vAlign w:val="center"/>
          </w:tcPr>
          <w:p w14:paraId="33EF23D4" w14:textId="77777777" w:rsidR="00B83F82" w:rsidRPr="00067EDC" w:rsidRDefault="00B83F82" w:rsidP="00E243CB">
            <w:pPr>
              <w:keepNext/>
              <w:keepLines/>
              <w:tabs>
                <w:tab w:val="left" w:pos="1425"/>
              </w:tabs>
              <w:spacing w:before="40" w:after="40" w:line="240" w:lineRule="auto"/>
              <w:jc w:val="center"/>
              <w:rPr>
                <w:b/>
                <w:sz w:val="18"/>
                <w:szCs w:val="18"/>
              </w:rPr>
            </w:pPr>
            <w:r w:rsidRPr="002047AC">
              <w:rPr>
                <w:b/>
                <w:sz w:val="18"/>
                <w:szCs w:val="18"/>
              </w:rPr>
              <w:t>1</w:t>
            </w:r>
          </w:p>
        </w:tc>
        <w:tc>
          <w:tcPr>
            <w:tcW w:w="1055" w:type="dxa"/>
            <w:vMerge w:val="restart"/>
            <w:tcBorders>
              <w:top w:val="single" w:sz="4" w:space="0" w:color="auto"/>
            </w:tcBorders>
            <w:vAlign w:val="center"/>
          </w:tcPr>
          <w:p w14:paraId="783E4152" w14:textId="77777777" w:rsidR="00B83F82" w:rsidRPr="00067EDC" w:rsidRDefault="00B83F82" w:rsidP="00E243CB">
            <w:pPr>
              <w:keepNext/>
              <w:keepLines/>
              <w:tabs>
                <w:tab w:val="left" w:pos="1425"/>
              </w:tabs>
              <w:spacing w:before="40" w:after="40" w:line="240" w:lineRule="auto"/>
              <w:jc w:val="center"/>
              <w:rPr>
                <w:i/>
                <w:sz w:val="18"/>
                <w:szCs w:val="18"/>
              </w:rPr>
            </w:pPr>
            <w:r w:rsidRPr="00067EDC">
              <w:rPr>
                <w:i/>
                <w:sz w:val="18"/>
                <w:szCs w:val="18"/>
              </w:rPr>
              <w:t>Not applicable</w:t>
            </w:r>
          </w:p>
        </w:tc>
        <w:tc>
          <w:tcPr>
            <w:tcW w:w="1169" w:type="dxa"/>
            <w:vMerge w:val="restart"/>
            <w:tcBorders>
              <w:top w:val="single" w:sz="4" w:space="0" w:color="auto"/>
            </w:tcBorders>
            <w:shd w:val="clear" w:color="auto" w:fill="auto"/>
            <w:vAlign w:val="center"/>
          </w:tcPr>
          <w:p w14:paraId="075CE7AB" w14:textId="77777777" w:rsidR="00B83F82" w:rsidRPr="00067EDC" w:rsidRDefault="00B83F82" w:rsidP="00E243CB">
            <w:pPr>
              <w:keepNext/>
              <w:keepLines/>
              <w:tabs>
                <w:tab w:val="left" w:pos="1425"/>
              </w:tabs>
              <w:spacing w:before="40" w:after="40" w:line="240" w:lineRule="auto"/>
              <w:jc w:val="center"/>
              <w:rPr>
                <w:noProof/>
                <w:sz w:val="18"/>
                <w:szCs w:val="18"/>
              </w:rPr>
            </w:pPr>
            <w:r w:rsidRPr="00067EDC">
              <w:rPr>
                <w:noProof/>
                <w:sz w:val="18"/>
                <w:szCs w:val="18"/>
              </w:rPr>
              <w:drawing>
                <wp:inline distT="0" distB="0" distL="0" distR="0" wp14:anchorId="2B08FB5A" wp14:editId="129F79B3">
                  <wp:extent cx="628015" cy="62801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c>
        <w:tc>
          <w:tcPr>
            <w:tcW w:w="1056" w:type="dxa"/>
            <w:vMerge w:val="restart"/>
            <w:tcBorders>
              <w:top w:val="single" w:sz="4" w:space="0" w:color="auto"/>
            </w:tcBorders>
            <w:shd w:val="clear" w:color="auto" w:fill="auto"/>
            <w:vAlign w:val="center"/>
          </w:tcPr>
          <w:p w14:paraId="12304EC9" w14:textId="77777777" w:rsidR="00B83F82" w:rsidRPr="00067EDC" w:rsidRDefault="00B83F82" w:rsidP="00E243CB">
            <w:pPr>
              <w:keepNext/>
              <w:keepLines/>
              <w:tabs>
                <w:tab w:val="left" w:pos="1425"/>
              </w:tabs>
              <w:spacing w:before="40" w:after="40" w:line="240" w:lineRule="auto"/>
              <w:jc w:val="center"/>
              <w:rPr>
                <w:i/>
                <w:sz w:val="18"/>
                <w:szCs w:val="18"/>
              </w:rPr>
            </w:pPr>
            <w:r w:rsidRPr="00067EDC">
              <w:rPr>
                <w:i/>
                <w:sz w:val="18"/>
                <w:szCs w:val="18"/>
              </w:rPr>
              <w:t>Not applicable</w:t>
            </w:r>
          </w:p>
        </w:tc>
        <w:tc>
          <w:tcPr>
            <w:tcW w:w="804" w:type="dxa"/>
            <w:vMerge w:val="restart"/>
            <w:tcBorders>
              <w:top w:val="single" w:sz="4" w:space="0" w:color="auto"/>
            </w:tcBorders>
            <w:shd w:val="clear" w:color="auto" w:fill="auto"/>
            <w:vAlign w:val="center"/>
          </w:tcPr>
          <w:p w14:paraId="624B2951" w14:textId="77777777" w:rsidR="00B83F82" w:rsidRPr="00067EDC" w:rsidRDefault="00B83F82" w:rsidP="00E243CB">
            <w:pPr>
              <w:keepNext/>
              <w:keepLines/>
              <w:tabs>
                <w:tab w:val="left" w:pos="1425"/>
              </w:tabs>
              <w:spacing w:before="40" w:after="40" w:line="240" w:lineRule="auto"/>
              <w:ind w:left="-69" w:right="-15"/>
              <w:jc w:val="center"/>
              <w:rPr>
                <w:b/>
                <w:sz w:val="18"/>
                <w:szCs w:val="18"/>
              </w:rPr>
            </w:pPr>
            <w:r w:rsidRPr="00067EDC">
              <w:rPr>
                <w:b/>
                <w:sz w:val="18"/>
                <w:szCs w:val="18"/>
              </w:rPr>
              <w:t>Warning</w:t>
            </w:r>
          </w:p>
        </w:tc>
        <w:tc>
          <w:tcPr>
            <w:tcW w:w="1731" w:type="dxa"/>
            <w:tcBorders>
              <w:top w:val="single" w:sz="4" w:space="0" w:color="auto"/>
              <w:bottom w:val="single" w:sz="4" w:space="0" w:color="auto"/>
            </w:tcBorders>
            <w:shd w:val="clear" w:color="auto" w:fill="auto"/>
            <w:vAlign w:val="center"/>
          </w:tcPr>
          <w:p w14:paraId="787D0062" w14:textId="77777777" w:rsidR="00B83F82" w:rsidRPr="00067EDC" w:rsidRDefault="00B83F82" w:rsidP="00E243CB">
            <w:pPr>
              <w:keepNext/>
              <w:keepLines/>
              <w:tabs>
                <w:tab w:val="left" w:pos="1425"/>
              </w:tabs>
              <w:spacing w:before="40" w:after="40" w:line="240" w:lineRule="auto"/>
              <w:rPr>
                <w:sz w:val="18"/>
                <w:szCs w:val="18"/>
              </w:rPr>
            </w:pPr>
            <w:r w:rsidRPr="00067EDC">
              <w:rPr>
                <w:sz w:val="18"/>
                <w:szCs w:val="18"/>
              </w:rPr>
              <w:t>Harms public health and the environment by destroying ozone in the upper atmosphere</w:t>
            </w:r>
          </w:p>
        </w:tc>
        <w:tc>
          <w:tcPr>
            <w:tcW w:w="1036" w:type="dxa"/>
            <w:tcBorders>
              <w:top w:val="single" w:sz="4" w:space="0" w:color="auto"/>
              <w:bottom w:val="single" w:sz="4" w:space="0" w:color="auto"/>
            </w:tcBorders>
            <w:shd w:val="clear" w:color="auto" w:fill="auto"/>
            <w:vAlign w:val="center"/>
          </w:tcPr>
          <w:p w14:paraId="6E84A862" w14:textId="77777777" w:rsidR="00B83F82" w:rsidRPr="00067EDC" w:rsidRDefault="00B83F82" w:rsidP="00E243CB">
            <w:pPr>
              <w:keepNext/>
              <w:keepLines/>
              <w:tabs>
                <w:tab w:val="left" w:pos="1425"/>
              </w:tabs>
              <w:spacing w:before="40" w:after="40" w:line="240" w:lineRule="auto"/>
              <w:jc w:val="center"/>
              <w:rPr>
                <w:sz w:val="18"/>
                <w:szCs w:val="18"/>
              </w:rPr>
            </w:pPr>
            <w:r w:rsidRPr="00067EDC">
              <w:rPr>
                <w:sz w:val="18"/>
                <w:szCs w:val="18"/>
              </w:rPr>
              <w:t>H420</w:t>
            </w:r>
          </w:p>
        </w:tc>
      </w:tr>
      <w:tr w:rsidR="00B83F82" w:rsidRPr="00402D4B" w14:paraId="139D9D42" w14:textId="77777777" w:rsidTr="007C51F8">
        <w:trPr>
          <w:cantSplit/>
          <w:trHeight w:val="634"/>
        </w:trPr>
        <w:tc>
          <w:tcPr>
            <w:tcW w:w="1374" w:type="dxa"/>
            <w:tcBorders>
              <w:top w:val="single" w:sz="4" w:space="0" w:color="auto"/>
              <w:bottom w:val="single" w:sz="4" w:space="0" w:color="auto"/>
            </w:tcBorders>
            <w:shd w:val="clear" w:color="auto" w:fill="auto"/>
            <w:vAlign w:val="center"/>
          </w:tcPr>
          <w:p w14:paraId="1D44B885" w14:textId="77777777" w:rsidR="00B83F82" w:rsidRPr="00067EDC" w:rsidRDefault="00B83F82" w:rsidP="00E243CB">
            <w:pPr>
              <w:keepNext/>
              <w:keepLines/>
              <w:tabs>
                <w:tab w:val="left" w:pos="1425"/>
              </w:tabs>
              <w:spacing w:before="40" w:after="40" w:line="240" w:lineRule="auto"/>
              <w:jc w:val="center"/>
              <w:rPr>
                <w:b/>
                <w:bCs/>
                <w:sz w:val="18"/>
                <w:szCs w:val="18"/>
              </w:rPr>
            </w:pPr>
            <w:r w:rsidRPr="00BA2340">
              <w:rPr>
                <w:b/>
                <w:bCs/>
                <w:color w:val="0070C0"/>
                <w:sz w:val="18"/>
                <w:szCs w:val="18"/>
              </w:rPr>
              <w:t xml:space="preserve">Hazardous by contributing to global warming  </w:t>
            </w:r>
          </w:p>
        </w:tc>
        <w:tc>
          <w:tcPr>
            <w:tcW w:w="1337" w:type="dxa"/>
            <w:tcBorders>
              <w:top w:val="single" w:sz="4" w:space="0" w:color="auto"/>
            </w:tcBorders>
            <w:shd w:val="clear" w:color="auto" w:fill="auto"/>
            <w:vAlign w:val="center"/>
          </w:tcPr>
          <w:p w14:paraId="7067767E" w14:textId="77777777" w:rsidR="00B83F82" w:rsidRPr="00067EDC" w:rsidRDefault="00B83F82" w:rsidP="00E243CB">
            <w:pPr>
              <w:keepNext/>
              <w:keepLines/>
              <w:tabs>
                <w:tab w:val="left" w:pos="1425"/>
              </w:tabs>
              <w:spacing w:before="40" w:after="40" w:line="240" w:lineRule="auto"/>
              <w:jc w:val="center"/>
              <w:rPr>
                <w:b/>
                <w:sz w:val="18"/>
                <w:szCs w:val="18"/>
              </w:rPr>
            </w:pPr>
            <w:r w:rsidRPr="002047AC" w:rsidDel="00C2698B">
              <w:rPr>
                <w:b/>
                <w:color w:val="0070C0"/>
                <w:sz w:val="18"/>
                <w:szCs w:val="18"/>
              </w:rPr>
              <w:t>1</w:t>
            </w:r>
          </w:p>
        </w:tc>
        <w:tc>
          <w:tcPr>
            <w:tcW w:w="1055" w:type="dxa"/>
            <w:vMerge/>
            <w:vAlign w:val="center"/>
          </w:tcPr>
          <w:p w14:paraId="4C39B81C" w14:textId="77777777" w:rsidR="00B83F82" w:rsidRPr="00067EDC" w:rsidRDefault="00B83F82" w:rsidP="00E243CB">
            <w:pPr>
              <w:keepNext/>
              <w:keepLines/>
              <w:tabs>
                <w:tab w:val="left" w:pos="1425"/>
              </w:tabs>
              <w:spacing w:before="40" w:after="40" w:line="240" w:lineRule="auto"/>
              <w:jc w:val="center"/>
              <w:rPr>
                <w:noProof/>
                <w:sz w:val="18"/>
                <w:szCs w:val="18"/>
              </w:rPr>
            </w:pPr>
          </w:p>
        </w:tc>
        <w:tc>
          <w:tcPr>
            <w:tcW w:w="1169" w:type="dxa"/>
            <w:vMerge/>
            <w:shd w:val="clear" w:color="auto" w:fill="auto"/>
            <w:vAlign w:val="center"/>
          </w:tcPr>
          <w:p w14:paraId="5D58D938" w14:textId="77777777" w:rsidR="00B83F82" w:rsidRPr="00067EDC" w:rsidRDefault="00B83F82" w:rsidP="00E243CB">
            <w:pPr>
              <w:keepNext/>
              <w:keepLines/>
              <w:tabs>
                <w:tab w:val="left" w:pos="1425"/>
              </w:tabs>
              <w:spacing w:before="40" w:after="40" w:line="240" w:lineRule="auto"/>
              <w:jc w:val="center"/>
              <w:rPr>
                <w:sz w:val="18"/>
                <w:szCs w:val="18"/>
              </w:rPr>
            </w:pPr>
          </w:p>
        </w:tc>
        <w:tc>
          <w:tcPr>
            <w:tcW w:w="1056" w:type="dxa"/>
            <w:vMerge/>
            <w:shd w:val="clear" w:color="auto" w:fill="auto"/>
            <w:vAlign w:val="center"/>
          </w:tcPr>
          <w:p w14:paraId="34922B63" w14:textId="77777777" w:rsidR="00B83F82" w:rsidRPr="00067EDC" w:rsidRDefault="00B83F82" w:rsidP="00E243CB">
            <w:pPr>
              <w:keepNext/>
              <w:keepLines/>
              <w:tabs>
                <w:tab w:val="left" w:pos="1425"/>
              </w:tabs>
              <w:spacing w:before="40" w:after="40" w:line="240" w:lineRule="auto"/>
              <w:jc w:val="center"/>
              <w:rPr>
                <w:sz w:val="18"/>
                <w:szCs w:val="18"/>
              </w:rPr>
            </w:pPr>
          </w:p>
        </w:tc>
        <w:tc>
          <w:tcPr>
            <w:tcW w:w="804" w:type="dxa"/>
            <w:vMerge/>
            <w:shd w:val="clear" w:color="auto" w:fill="auto"/>
            <w:vAlign w:val="center"/>
          </w:tcPr>
          <w:p w14:paraId="669739F9" w14:textId="77777777" w:rsidR="00B83F82" w:rsidRPr="00067EDC" w:rsidRDefault="00B83F82" w:rsidP="00E243CB">
            <w:pPr>
              <w:keepNext/>
              <w:keepLines/>
              <w:tabs>
                <w:tab w:val="left" w:pos="1425"/>
              </w:tabs>
              <w:spacing w:before="40" w:after="40" w:line="240" w:lineRule="auto"/>
              <w:ind w:left="-69" w:right="-15"/>
              <w:jc w:val="center"/>
              <w:rPr>
                <w:sz w:val="18"/>
                <w:szCs w:val="18"/>
              </w:rPr>
            </w:pPr>
          </w:p>
        </w:tc>
        <w:tc>
          <w:tcPr>
            <w:tcW w:w="1731" w:type="dxa"/>
            <w:tcBorders>
              <w:top w:val="single" w:sz="4" w:space="0" w:color="auto"/>
              <w:bottom w:val="single" w:sz="4" w:space="0" w:color="auto"/>
            </w:tcBorders>
            <w:shd w:val="clear" w:color="auto" w:fill="auto"/>
            <w:vAlign w:val="center"/>
          </w:tcPr>
          <w:p w14:paraId="5297EA76" w14:textId="77777777" w:rsidR="00B83F82" w:rsidRPr="00067EDC" w:rsidRDefault="00B83F82" w:rsidP="00E243CB">
            <w:pPr>
              <w:keepNext/>
              <w:keepLines/>
              <w:tabs>
                <w:tab w:val="left" w:pos="1425"/>
              </w:tabs>
              <w:spacing w:before="40" w:after="40" w:line="240" w:lineRule="auto"/>
              <w:rPr>
                <w:sz w:val="18"/>
                <w:szCs w:val="18"/>
              </w:rPr>
            </w:pPr>
            <w:r w:rsidRPr="00BA2340">
              <w:rPr>
                <w:color w:val="0070C0"/>
                <w:sz w:val="18"/>
                <w:szCs w:val="18"/>
                <w:lang w:val="en-US"/>
              </w:rPr>
              <w:t xml:space="preserve">Harms public health and the environment by contributing to global warming </w:t>
            </w:r>
          </w:p>
        </w:tc>
        <w:tc>
          <w:tcPr>
            <w:tcW w:w="1036" w:type="dxa"/>
            <w:tcBorders>
              <w:top w:val="single" w:sz="4" w:space="0" w:color="auto"/>
              <w:bottom w:val="single" w:sz="4" w:space="0" w:color="auto"/>
            </w:tcBorders>
            <w:shd w:val="clear" w:color="auto" w:fill="auto"/>
            <w:vAlign w:val="center"/>
          </w:tcPr>
          <w:p w14:paraId="290A8503" w14:textId="77777777" w:rsidR="00B83F82" w:rsidRPr="00067EDC" w:rsidRDefault="00B83F82" w:rsidP="00E243CB">
            <w:pPr>
              <w:keepNext/>
              <w:keepLines/>
              <w:tabs>
                <w:tab w:val="left" w:pos="1425"/>
              </w:tabs>
              <w:spacing w:before="40" w:after="40" w:line="240" w:lineRule="auto"/>
              <w:jc w:val="center"/>
              <w:rPr>
                <w:sz w:val="18"/>
                <w:szCs w:val="18"/>
              </w:rPr>
            </w:pPr>
            <w:r w:rsidRPr="00D717BC">
              <w:rPr>
                <w:color w:val="0070C0"/>
                <w:sz w:val="18"/>
                <w:szCs w:val="18"/>
              </w:rPr>
              <w:t>H421</w:t>
            </w:r>
          </w:p>
        </w:tc>
      </w:tr>
    </w:tbl>
    <w:p w14:paraId="57A56DAE" w14:textId="7B146B1E" w:rsidR="00B83F82" w:rsidRPr="001D5BF3" w:rsidRDefault="001D5BF3" w:rsidP="00754C99">
      <w:pPr>
        <w:pStyle w:val="H1G"/>
      </w:pPr>
      <w:r>
        <w:t>Amendments to a</w:t>
      </w:r>
      <w:r w:rsidR="00B83F82" w:rsidRPr="001D5BF3">
        <w:t xml:space="preserve">nnex 3, </w:t>
      </w:r>
      <w:r>
        <w:t>s</w:t>
      </w:r>
      <w:r w:rsidR="00B83F82" w:rsidRPr="001D5BF3">
        <w:t>ection 1</w:t>
      </w:r>
    </w:p>
    <w:p w14:paraId="0774131A" w14:textId="77777777" w:rsidR="00B83F82" w:rsidRPr="00402D4B" w:rsidRDefault="00B83F82" w:rsidP="00B83F82">
      <w:pPr>
        <w:keepNext/>
        <w:keepLines/>
        <w:spacing w:after="240"/>
        <w:jc w:val="center"/>
      </w:pPr>
      <w:r w:rsidRPr="00402D4B">
        <w:rPr>
          <w:b/>
        </w:rPr>
        <w:t>Table A3.1.3:  Hazard statement codes for environmental hazards</w:t>
      </w:r>
    </w:p>
    <w:tbl>
      <w:tblPr>
        <w:tblW w:w="95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
        <w:gridCol w:w="4287"/>
        <w:gridCol w:w="3249"/>
        <w:gridCol w:w="1368"/>
      </w:tblGrid>
      <w:tr w:rsidR="00B83F82" w:rsidRPr="00402D4B" w14:paraId="48106BFB" w14:textId="77777777" w:rsidTr="007C51F8">
        <w:trPr>
          <w:cantSplit/>
          <w:trHeight w:val="20"/>
          <w:tblHeader/>
        </w:trPr>
        <w:tc>
          <w:tcPr>
            <w:tcW w:w="672" w:type="dxa"/>
            <w:tcBorders>
              <w:bottom w:val="nil"/>
            </w:tcBorders>
            <w:noWrap/>
          </w:tcPr>
          <w:p w14:paraId="0B0D7FA0" w14:textId="77777777" w:rsidR="00B83F82" w:rsidRPr="00402D4B" w:rsidRDefault="00B83F82" w:rsidP="007C51F8">
            <w:pPr>
              <w:keepNext/>
              <w:keepLines/>
              <w:spacing w:before="40" w:after="40"/>
              <w:jc w:val="center"/>
              <w:rPr>
                <w:b/>
              </w:rPr>
            </w:pPr>
            <w:r w:rsidRPr="00402D4B">
              <w:rPr>
                <w:b/>
              </w:rPr>
              <w:t>Code</w:t>
            </w:r>
          </w:p>
        </w:tc>
        <w:tc>
          <w:tcPr>
            <w:tcW w:w="4287" w:type="dxa"/>
            <w:tcBorders>
              <w:bottom w:val="nil"/>
            </w:tcBorders>
            <w:noWrap/>
          </w:tcPr>
          <w:p w14:paraId="1FE5DE6D" w14:textId="77777777" w:rsidR="00B83F82" w:rsidRPr="00402D4B" w:rsidRDefault="00B83F82" w:rsidP="007C51F8">
            <w:pPr>
              <w:keepNext/>
              <w:keepLines/>
              <w:spacing w:before="40" w:after="40"/>
              <w:jc w:val="center"/>
              <w:rPr>
                <w:b/>
              </w:rPr>
            </w:pPr>
            <w:r w:rsidRPr="00402D4B">
              <w:rPr>
                <w:b/>
              </w:rPr>
              <w:t>Environmental hazard statements</w:t>
            </w:r>
          </w:p>
        </w:tc>
        <w:tc>
          <w:tcPr>
            <w:tcW w:w="3249" w:type="dxa"/>
            <w:tcBorders>
              <w:bottom w:val="nil"/>
            </w:tcBorders>
          </w:tcPr>
          <w:p w14:paraId="5092CDC1" w14:textId="77777777" w:rsidR="00B83F82" w:rsidRPr="00402D4B" w:rsidRDefault="00B83F82" w:rsidP="007C51F8">
            <w:pPr>
              <w:keepNext/>
              <w:keepLines/>
              <w:spacing w:before="40" w:after="40"/>
              <w:jc w:val="center"/>
              <w:rPr>
                <w:b/>
              </w:rPr>
            </w:pPr>
            <w:r w:rsidRPr="00402D4B">
              <w:rPr>
                <w:b/>
              </w:rPr>
              <w:t>Hazard class (GHS chapter)</w:t>
            </w:r>
          </w:p>
        </w:tc>
        <w:tc>
          <w:tcPr>
            <w:tcW w:w="1368" w:type="dxa"/>
            <w:tcBorders>
              <w:bottom w:val="nil"/>
            </w:tcBorders>
          </w:tcPr>
          <w:p w14:paraId="2AEC589E" w14:textId="77777777" w:rsidR="00B83F82" w:rsidRPr="00402D4B" w:rsidRDefault="00B83F82" w:rsidP="007C51F8">
            <w:pPr>
              <w:keepNext/>
              <w:keepLines/>
              <w:spacing w:before="40" w:after="40"/>
              <w:jc w:val="center"/>
              <w:rPr>
                <w:b/>
              </w:rPr>
            </w:pPr>
            <w:r w:rsidRPr="00402D4B">
              <w:rPr>
                <w:b/>
              </w:rPr>
              <w:t>Hazard category</w:t>
            </w:r>
          </w:p>
        </w:tc>
      </w:tr>
      <w:tr w:rsidR="00B83F82" w:rsidRPr="00402D4B" w14:paraId="7BDF6185" w14:textId="77777777" w:rsidTr="007C51F8">
        <w:trPr>
          <w:cantSplit/>
          <w:trHeight w:val="20"/>
          <w:tblHeader/>
        </w:trPr>
        <w:tc>
          <w:tcPr>
            <w:tcW w:w="672" w:type="dxa"/>
            <w:tcBorders>
              <w:top w:val="nil"/>
            </w:tcBorders>
            <w:noWrap/>
            <w:vAlign w:val="center"/>
          </w:tcPr>
          <w:p w14:paraId="390B5A12" w14:textId="77777777" w:rsidR="00B83F82" w:rsidRPr="00402D4B" w:rsidRDefault="00B83F82" w:rsidP="007C51F8">
            <w:pPr>
              <w:keepNext/>
              <w:keepLines/>
              <w:spacing w:before="40" w:after="40"/>
              <w:jc w:val="center"/>
              <w:rPr>
                <w:b/>
              </w:rPr>
            </w:pPr>
            <w:r w:rsidRPr="00402D4B">
              <w:rPr>
                <w:b/>
              </w:rPr>
              <w:t>(1)</w:t>
            </w:r>
          </w:p>
        </w:tc>
        <w:tc>
          <w:tcPr>
            <w:tcW w:w="4287" w:type="dxa"/>
            <w:tcBorders>
              <w:top w:val="nil"/>
            </w:tcBorders>
            <w:noWrap/>
            <w:vAlign w:val="center"/>
          </w:tcPr>
          <w:p w14:paraId="038B2EDF" w14:textId="77777777" w:rsidR="00B83F82" w:rsidRPr="00402D4B" w:rsidRDefault="00B83F82" w:rsidP="007C51F8">
            <w:pPr>
              <w:keepNext/>
              <w:keepLines/>
              <w:spacing w:before="40" w:after="40"/>
              <w:jc w:val="center"/>
              <w:rPr>
                <w:b/>
              </w:rPr>
            </w:pPr>
            <w:r w:rsidRPr="00402D4B">
              <w:rPr>
                <w:b/>
              </w:rPr>
              <w:t>(2)</w:t>
            </w:r>
          </w:p>
        </w:tc>
        <w:tc>
          <w:tcPr>
            <w:tcW w:w="3249" w:type="dxa"/>
            <w:tcBorders>
              <w:top w:val="nil"/>
            </w:tcBorders>
            <w:vAlign w:val="center"/>
          </w:tcPr>
          <w:p w14:paraId="0D91DBAF" w14:textId="77777777" w:rsidR="00B83F82" w:rsidRPr="00402D4B" w:rsidRDefault="00B83F82" w:rsidP="007C51F8">
            <w:pPr>
              <w:keepNext/>
              <w:keepLines/>
              <w:spacing w:before="40" w:after="40"/>
              <w:jc w:val="center"/>
              <w:rPr>
                <w:b/>
              </w:rPr>
            </w:pPr>
            <w:r w:rsidRPr="00402D4B">
              <w:rPr>
                <w:b/>
              </w:rPr>
              <w:t>(3)</w:t>
            </w:r>
          </w:p>
        </w:tc>
        <w:tc>
          <w:tcPr>
            <w:tcW w:w="1368" w:type="dxa"/>
            <w:tcBorders>
              <w:top w:val="nil"/>
            </w:tcBorders>
            <w:vAlign w:val="center"/>
          </w:tcPr>
          <w:p w14:paraId="2FA584AB" w14:textId="77777777" w:rsidR="00B83F82" w:rsidRPr="00402D4B" w:rsidRDefault="00B83F82" w:rsidP="007C51F8">
            <w:pPr>
              <w:keepNext/>
              <w:keepLines/>
              <w:spacing w:before="40" w:after="40"/>
              <w:jc w:val="center"/>
              <w:rPr>
                <w:b/>
              </w:rPr>
            </w:pPr>
            <w:r w:rsidRPr="00402D4B">
              <w:rPr>
                <w:b/>
              </w:rPr>
              <w:t>(4)</w:t>
            </w:r>
          </w:p>
        </w:tc>
      </w:tr>
      <w:tr w:rsidR="00B83F82" w:rsidRPr="00601459" w14:paraId="60DA0747" w14:textId="77777777" w:rsidTr="007C51F8">
        <w:trPr>
          <w:cantSplit/>
          <w:trHeight w:val="20"/>
        </w:trPr>
        <w:tc>
          <w:tcPr>
            <w:tcW w:w="672" w:type="dxa"/>
          </w:tcPr>
          <w:p w14:paraId="43AD1D82" w14:textId="77777777" w:rsidR="00B83F82" w:rsidRPr="00D717BC" w:rsidRDefault="00B83F82" w:rsidP="007C51F8">
            <w:pPr>
              <w:spacing w:before="40" w:after="40"/>
              <w:jc w:val="center"/>
              <w:rPr>
                <w:color w:val="0070C0"/>
                <w:sz w:val="18"/>
                <w:szCs w:val="18"/>
              </w:rPr>
            </w:pPr>
            <w:r w:rsidRPr="00D717BC">
              <w:rPr>
                <w:color w:val="0070C0"/>
                <w:sz w:val="18"/>
                <w:szCs w:val="18"/>
              </w:rPr>
              <w:t>H421</w:t>
            </w:r>
          </w:p>
        </w:tc>
        <w:tc>
          <w:tcPr>
            <w:tcW w:w="4287" w:type="dxa"/>
          </w:tcPr>
          <w:p w14:paraId="6351D72C" w14:textId="77777777" w:rsidR="00B83F82" w:rsidRPr="00601459" w:rsidRDefault="00B83F82" w:rsidP="007C51F8">
            <w:pPr>
              <w:spacing w:before="40" w:after="40"/>
              <w:rPr>
                <w:b/>
                <w:bCs/>
                <w:color w:val="0070C0"/>
                <w:sz w:val="18"/>
                <w:szCs w:val="18"/>
              </w:rPr>
            </w:pPr>
            <w:r w:rsidRPr="00601459">
              <w:rPr>
                <w:b/>
                <w:bCs/>
                <w:color w:val="0070C0"/>
                <w:sz w:val="18"/>
                <w:szCs w:val="18"/>
                <w:lang w:val="en-US"/>
              </w:rPr>
              <w:t>Harms public health and the environment by contributing to global warming</w:t>
            </w:r>
          </w:p>
        </w:tc>
        <w:tc>
          <w:tcPr>
            <w:tcW w:w="3249" w:type="dxa"/>
            <w:vAlign w:val="center"/>
          </w:tcPr>
          <w:p w14:paraId="55B88FBF" w14:textId="77777777" w:rsidR="00B83F82" w:rsidRPr="00601459" w:rsidRDefault="00B83F82" w:rsidP="007C51F8">
            <w:pPr>
              <w:spacing w:before="40" w:after="40"/>
              <w:ind w:right="-6"/>
              <w:rPr>
                <w:color w:val="0070C0"/>
                <w:sz w:val="18"/>
                <w:szCs w:val="18"/>
              </w:rPr>
            </w:pPr>
            <w:r w:rsidRPr="00601459">
              <w:rPr>
                <w:color w:val="0070C0"/>
                <w:sz w:val="18"/>
                <w:szCs w:val="18"/>
              </w:rPr>
              <w:t>Hazardous by contributing to global warming</w:t>
            </w:r>
            <w:r w:rsidRPr="00601459">
              <w:rPr>
                <w:b/>
                <w:bCs/>
                <w:color w:val="0070C0"/>
                <w:sz w:val="18"/>
                <w:szCs w:val="18"/>
              </w:rPr>
              <w:t xml:space="preserve"> </w:t>
            </w:r>
            <w:r w:rsidRPr="00601459">
              <w:rPr>
                <w:color w:val="0070C0"/>
                <w:sz w:val="18"/>
                <w:szCs w:val="18"/>
              </w:rPr>
              <w:t>(chapter 4.2)</w:t>
            </w:r>
          </w:p>
        </w:tc>
        <w:tc>
          <w:tcPr>
            <w:tcW w:w="1368" w:type="dxa"/>
            <w:vAlign w:val="center"/>
          </w:tcPr>
          <w:p w14:paraId="246F6748" w14:textId="77777777" w:rsidR="00B83F82" w:rsidRPr="00601459" w:rsidRDefault="00B83F82" w:rsidP="007C51F8">
            <w:pPr>
              <w:spacing w:before="40" w:after="40"/>
              <w:jc w:val="center"/>
              <w:rPr>
                <w:color w:val="0070C0"/>
                <w:sz w:val="18"/>
                <w:szCs w:val="18"/>
              </w:rPr>
            </w:pPr>
            <w:r w:rsidRPr="00601459">
              <w:rPr>
                <w:color w:val="0070C0"/>
                <w:sz w:val="18"/>
                <w:szCs w:val="18"/>
              </w:rPr>
              <w:t>1</w:t>
            </w:r>
          </w:p>
        </w:tc>
      </w:tr>
    </w:tbl>
    <w:p w14:paraId="27560BA2" w14:textId="77777777" w:rsidR="00B83F82" w:rsidRDefault="00B83F82" w:rsidP="00B83F82"/>
    <w:p w14:paraId="52B8A8A3" w14:textId="7F9494EC" w:rsidR="00B02EDF" w:rsidRPr="005F03DD" w:rsidRDefault="0072436E" w:rsidP="002501BC">
      <w:pPr>
        <w:pStyle w:val="H1G"/>
      </w:pPr>
      <w:r>
        <w:lastRenderedPageBreak/>
        <w:t>Amendments to a</w:t>
      </w:r>
      <w:r w:rsidR="00B02EDF" w:rsidRPr="0072436E">
        <w:t xml:space="preserve">nnex 3, </w:t>
      </w:r>
      <w:r>
        <w:t>s</w:t>
      </w:r>
      <w:r w:rsidR="00B02EDF" w:rsidRPr="0072436E">
        <w:t>ection 2</w:t>
      </w:r>
    </w:p>
    <w:p w14:paraId="112A489D" w14:textId="77777777" w:rsidR="00B02EDF" w:rsidRPr="00402D4B" w:rsidRDefault="00B02EDF" w:rsidP="00B02EDF">
      <w:pPr>
        <w:keepNext/>
        <w:keepLines/>
        <w:spacing w:before="480" w:after="160"/>
        <w:jc w:val="center"/>
        <w:rPr>
          <w:b/>
        </w:rPr>
      </w:pPr>
      <w:r w:rsidRPr="00402D4B">
        <w:rPr>
          <w:b/>
        </w:rPr>
        <w:t>Table A3.2.5:  Disposal precautionary statements</w:t>
      </w:r>
    </w:p>
    <w:tbl>
      <w:tblPr>
        <w:tblW w:w="935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43" w:type="dxa"/>
          <w:bottom w:w="29" w:type="dxa"/>
          <w:right w:w="43" w:type="dxa"/>
        </w:tblCellMar>
        <w:tblLook w:val="01E0" w:firstRow="1" w:lastRow="1" w:firstColumn="1" w:lastColumn="1" w:noHBand="0" w:noVBand="0"/>
      </w:tblPr>
      <w:tblGrid>
        <w:gridCol w:w="724"/>
        <w:gridCol w:w="2394"/>
        <w:gridCol w:w="3261"/>
        <w:gridCol w:w="1134"/>
        <w:gridCol w:w="1842"/>
      </w:tblGrid>
      <w:tr w:rsidR="00B02EDF" w:rsidRPr="00402D4B" w14:paraId="1A807334" w14:textId="77777777" w:rsidTr="006440F3">
        <w:trPr>
          <w:trHeight w:val="117"/>
          <w:tblHeader/>
        </w:trPr>
        <w:tc>
          <w:tcPr>
            <w:tcW w:w="724" w:type="dxa"/>
            <w:tcBorders>
              <w:bottom w:val="nil"/>
            </w:tcBorders>
          </w:tcPr>
          <w:p w14:paraId="1E3068E2" w14:textId="77777777" w:rsidR="00B02EDF" w:rsidRPr="00402D4B" w:rsidRDefault="00B02EDF" w:rsidP="007C51F8">
            <w:pPr>
              <w:keepNext/>
              <w:keepLines/>
              <w:spacing w:before="20" w:after="20"/>
              <w:jc w:val="center"/>
              <w:rPr>
                <w:b/>
                <w:sz w:val="18"/>
                <w:szCs w:val="18"/>
              </w:rPr>
            </w:pPr>
            <w:r w:rsidRPr="00402D4B">
              <w:rPr>
                <w:b/>
                <w:sz w:val="18"/>
                <w:szCs w:val="18"/>
              </w:rPr>
              <w:t>Code</w:t>
            </w:r>
          </w:p>
        </w:tc>
        <w:tc>
          <w:tcPr>
            <w:tcW w:w="2394" w:type="dxa"/>
            <w:tcBorders>
              <w:bottom w:val="nil"/>
            </w:tcBorders>
          </w:tcPr>
          <w:p w14:paraId="42346245" w14:textId="77777777" w:rsidR="00B02EDF" w:rsidRPr="00402D4B" w:rsidRDefault="00B02EDF" w:rsidP="007C51F8">
            <w:pPr>
              <w:keepNext/>
              <w:keepLines/>
              <w:spacing w:before="20" w:after="20"/>
              <w:jc w:val="center"/>
              <w:rPr>
                <w:b/>
                <w:sz w:val="18"/>
                <w:szCs w:val="18"/>
              </w:rPr>
            </w:pPr>
            <w:r w:rsidRPr="00402D4B">
              <w:rPr>
                <w:b/>
                <w:sz w:val="18"/>
                <w:szCs w:val="18"/>
              </w:rPr>
              <w:t>Disposal precautionary statements</w:t>
            </w:r>
          </w:p>
        </w:tc>
        <w:tc>
          <w:tcPr>
            <w:tcW w:w="3261" w:type="dxa"/>
            <w:tcBorders>
              <w:bottom w:val="nil"/>
            </w:tcBorders>
          </w:tcPr>
          <w:p w14:paraId="6EAAC56F" w14:textId="77777777" w:rsidR="00B02EDF" w:rsidRPr="00402D4B" w:rsidRDefault="00B02EDF" w:rsidP="007C51F8">
            <w:pPr>
              <w:keepNext/>
              <w:keepLines/>
              <w:spacing w:before="20" w:after="20"/>
              <w:jc w:val="center"/>
              <w:rPr>
                <w:b/>
                <w:sz w:val="18"/>
                <w:szCs w:val="18"/>
              </w:rPr>
            </w:pPr>
            <w:r w:rsidRPr="00402D4B">
              <w:rPr>
                <w:b/>
                <w:sz w:val="18"/>
                <w:szCs w:val="18"/>
              </w:rPr>
              <w:t>Hazard class</w:t>
            </w:r>
          </w:p>
        </w:tc>
        <w:tc>
          <w:tcPr>
            <w:tcW w:w="1134" w:type="dxa"/>
            <w:tcBorders>
              <w:bottom w:val="nil"/>
            </w:tcBorders>
          </w:tcPr>
          <w:p w14:paraId="28652165" w14:textId="77777777" w:rsidR="00B02EDF" w:rsidRPr="00402D4B" w:rsidRDefault="00B02EDF" w:rsidP="007C51F8">
            <w:pPr>
              <w:keepNext/>
              <w:keepLines/>
              <w:spacing w:before="20" w:after="20"/>
              <w:jc w:val="center"/>
              <w:rPr>
                <w:sz w:val="18"/>
                <w:szCs w:val="18"/>
              </w:rPr>
            </w:pPr>
            <w:r w:rsidRPr="00402D4B">
              <w:rPr>
                <w:b/>
                <w:sz w:val="18"/>
                <w:szCs w:val="18"/>
              </w:rPr>
              <w:t>Hazard category</w:t>
            </w:r>
          </w:p>
        </w:tc>
        <w:tc>
          <w:tcPr>
            <w:tcW w:w="1842" w:type="dxa"/>
            <w:tcBorders>
              <w:bottom w:val="nil"/>
            </w:tcBorders>
          </w:tcPr>
          <w:p w14:paraId="4ABEF316" w14:textId="77777777" w:rsidR="00B02EDF" w:rsidRPr="00402D4B" w:rsidRDefault="00B02EDF" w:rsidP="007C51F8">
            <w:pPr>
              <w:keepNext/>
              <w:keepLines/>
              <w:spacing w:before="20" w:after="20"/>
              <w:jc w:val="center"/>
              <w:rPr>
                <w:b/>
                <w:sz w:val="18"/>
                <w:szCs w:val="18"/>
              </w:rPr>
            </w:pPr>
            <w:r w:rsidRPr="00402D4B">
              <w:rPr>
                <w:b/>
                <w:sz w:val="18"/>
                <w:szCs w:val="18"/>
              </w:rPr>
              <w:t>Conditions for use</w:t>
            </w:r>
          </w:p>
        </w:tc>
      </w:tr>
      <w:tr w:rsidR="00B02EDF" w:rsidRPr="00402D4B" w14:paraId="2DA0CFF0" w14:textId="77777777" w:rsidTr="006440F3">
        <w:trPr>
          <w:trHeight w:val="20"/>
          <w:tblHeader/>
        </w:trPr>
        <w:tc>
          <w:tcPr>
            <w:tcW w:w="724" w:type="dxa"/>
            <w:tcBorders>
              <w:top w:val="nil"/>
            </w:tcBorders>
          </w:tcPr>
          <w:p w14:paraId="4CD04E0F" w14:textId="77777777" w:rsidR="00B02EDF" w:rsidRPr="00402D4B" w:rsidRDefault="00B02EDF" w:rsidP="007C51F8">
            <w:pPr>
              <w:keepNext/>
              <w:keepLines/>
              <w:spacing w:before="20" w:after="20"/>
              <w:jc w:val="center"/>
              <w:rPr>
                <w:b/>
                <w:sz w:val="18"/>
                <w:szCs w:val="18"/>
              </w:rPr>
            </w:pPr>
            <w:r w:rsidRPr="00402D4B">
              <w:rPr>
                <w:b/>
                <w:sz w:val="18"/>
                <w:szCs w:val="18"/>
              </w:rPr>
              <w:t>(1)</w:t>
            </w:r>
          </w:p>
        </w:tc>
        <w:tc>
          <w:tcPr>
            <w:tcW w:w="2394" w:type="dxa"/>
            <w:tcBorders>
              <w:top w:val="nil"/>
            </w:tcBorders>
          </w:tcPr>
          <w:p w14:paraId="6E4F69D1" w14:textId="77777777" w:rsidR="00B02EDF" w:rsidRPr="00402D4B" w:rsidRDefault="00B02EDF" w:rsidP="007C51F8">
            <w:pPr>
              <w:keepNext/>
              <w:keepLines/>
              <w:spacing w:before="20" w:after="20"/>
              <w:jc w:val="center"/>
              <w:rPr>
                <w:b/>
                <w:sz w:val="18"/>
                <w:szCs w:val="18"/>
              </w:rPr>
            </w:pPr>
            <w:r w:rsidRPr="00402D4B">
              <w:rPr>
                <w:b/>
                <w:sz w:val="18"/>
                <w:szCs w:val="18"/>
              </w:rPr>
              <w:t>(2)</w:t>
            </w:r>
          </w:p>
        </w:tc>
        <w:tc>
          <w:tcPr>
            <w:tcW w:w="3261" w:type="dxa"/>
            <w:tcBorders>
              <w:top w:val="nil"/>
            </w:tcBorders>
          </w:tcPr>
          <w:p w14:paraId="779B64FE" w14:textId="77777777" w:rsidR="00B02EDF" w:rsidRPr="00402D4B" w:rsidRDefault="00B02EDF" w:rsidP="007C51F8">
            <w:pPr>
              <w:keepNext/>
              <w:keepLines/>
              <w:spacing w:before="20" w:after="20"/>
              <w:jc w:val="center"/>
              <w:rPr>
                <w:b/>
                <w:sz w:val="18"/>
                <w:szCs w:val="18"/>
              </w:rPr>
            </w:pPr>
            <w:r w:rsidRPr="00402D4B">
              <w:rPr>
                <w:b/>
                <w:sz w:val="18"/>
                <w:szCs w:val="18"/>
              </w:rPr>
              <w:t>(3)</w:t>
            </w:r>
          </w:p>
        </w:tc>
        <w:tc>
          <w:tcPr>
            <w:tcW w:w="1134" w:type="dxa"/>
            <w:tcBorders>
              <w:top w:val="nil"/>
            </w:tcBorders>
          </w:tcPr>
          <w:p w14:paraId="1F7E5E09" w14:textId="77777777" w:rsidR="00B02EDF" w:rsidRPr="00402D4B" w:rsidRDefault="00B02EDF" w:rsidP="007C51F8">
            <w:pPr>
              <w:keepNext/>
              <w:keepLines/>
              <w:spacing w:before="20" w:after="20"/>
              <w:jc w:val="center"/>
              <w:rPr>
                <w:b/>
                <w:sz w:val="18"/>
                <w:szCs w:val="18"/>
              </w:rPr>
            </w:pPr>
            <w:r w:rsidRPr="00402D4B">
              <w:rPr>
                <w:b/>
                <w:sz w:val="18"/>
                <w:szCs w:val="18"/>
              </w:rPr>
              <w:t>(4)</w:t>
            </w:r>
          </w:p>
        </w:tc>
        <w:tc>
          <w:tcPr>
            <w:tcW w:w="1842" w:type="dxa"/>
            <w:tcBorders>
              <w:top w:val="nil"/>
            </w:tcBorders>
          </w:tcPr>
          <w:p w14:paraId="4DEA3930" w14:textId="77777777" w:rsidR="00B02EDF" w:rsidRPr="00402D4B" w:rsidRDefault="00B02EDF" w:rsidP="007C51F8">
            <w:pPr>
              <w:keepNext/>
              <w:keepLines/>
              <w:spacing w:before="20" w:after="20"/>
              <w:jc w:val="center"/>
              <w:rPr>
                <w:b/>
                <w:sz w:val="18"/>
                <w:szCs w:val="18"/>
              </w:rPr>
            </w:pPr>
            <w:r w:rsidRPr="00402D4B">
              <w:rPr>
                <w:b/>
                <w:sz w:val="18"/>
                <w:szCs w:val="18"/>
              </w:rPr>
              <w:t>(5)</w:t>
            </w:r>
          </w:p>
        </w:tc>
      </w:tr>
      <w:tr w:rsidR="00B02EDF" w:rsidRPr="00402D4B" w14:paraId="7DC2094E" w14:textId="77777777" w:rsidTr="006440F3">
        <w:trPr>
          <w:trHeight w:val="385"/>
        </w:trPr>
        <w:tc>
          <w:tcPr>
            <w:tcW w:w="724" w:type="dxa"/>
            <w:vMerge w:val="restart"/>
          </w:tcPr>
          <w:p w14:paraId="0D55FA70" w14:textId="77777777" w:rsidR="00B02EDF" w:rsidRPr="00CA5A22" w:rsidRDefault="00B02EDF" w:rsidP="00E243CB">
            <w:pPr>
              <w:keepNext/>
              <w:keepLines/>
              <w:spacing w:line="240" w:lineRule="auto"/>
              <w:ind w:left="-139" w:right="-122"/>
              <w:jc w:val="center"/>
              <w:rPr>
                <w:sz w:val="18"/>
                <w:szCs w:val="18"/>
              </w:rPr>
            </w:pPr>
            <w:r w:rsidRPr="00CA5A22">
              <w:rPr>
                <w:sz w:val="18"/>
                <w:szCs w:val="18"/>
              </w:rPr>
              <w:t>P502</w:t>
            </w:r>
          </w:p>
        </w:tc>
        <w:tc>
          <w:tcPr>
            <w:tcW w:w="2394" w:type="dxa"/>
            <w:vMerge w:val="restart"/>
          </w:tcPr>
          <w:p w14:paraId="367562C5" w14:textId="77777777" w:rsidR="00B02EDF" w:rsidRPr="00402D4B" w:rsidRDefault="00B02EDF" w:rsidP="00E243CB">
            <w:pPr>
              <w:keepNext/>
              <w:keepLines/>
              <w:spacing w:line="240" w:lineRule="auto"/>
              <w:rPr>
                <w:rStyle w:val="StyleBold"/>
                <w:sz w:val="18"/>
                <w:szCs w:val="18"/>
              </w:rPr>
            </w:pPr>
            <w:r w:rsidRPr="00402D4B">
              <w:rPr>
                <w:b/>
                <w:bCs/>
                <w:iCs/>
                <w:color w:val="000000"/>
                <w:sz w:val="18"/>
                <w:szCs w:val="18"/>
                <w:lang w:eastAsia="en-CA"/>
              </w:rPr>
              <w:t>Refer to manufacturer or supplier for information on recovery or recycling.</w:t>
            </w:r>
          </w:p>
        </w:tc>
        <w:tc>
          <w:tcPr>
            <w:tcW w:w="3261" w:type="dxa"/>
          </w:tcPr>
          <w:p w14:paraId="4B9DADC8" w14:textId="6D606C2D" w:rsidR="00B02EDF" w:rsidRPr="00402D4B" w:rsidRDefault="00B02EDF" w:rsidP="00E243CB">
            <w:pPr>
              <w:keepNext/>
              <w:keepLines/>
              <w:spacing w:line="240" w:lineRule="auto"/>
              <w:rPr>
                <w:sz w:val="18"/>
                <w:szCs w:val="18"/>
              </w:rPr>
            </w:pPr>
            <w:r w:rsidRPr="00402D4B">
              <w:rPr>
                <w:sz w:val="18"/>
                <w:szCs w:val="18"/>
              </w:rPr>
              <w:t>Hazardous to the ozone layer (chapter 4.2)</w:t>
            </w:r>
            <w:r w:rsidRPr="00C11C94">
              <w:rPr>
                <w:color w:val="0070C0"/>
                <w:sz w:val="18"/>
                <w:szCs w:val="18"/>
              </w:rPr>
              <w:t xml:space="preserve"> </w:t>
            </w:r>
          </w:p>
        </w:tc>
        <w:tc>
          <w:tcPr>
            <w:tcW w:w="1134" w:type="dxa"/>
          </w:tcPr>
          <w:p w14:paraId="7B20BA2E" w14:textId="77777777" w:rsidR="00B02EDF" w:rsidRPr="00402D4B" w:rsidRDefault="00B02EDF" w:rsidP="00E243CB">
            <w:pPr>
              <w:keepNext/>
              <w:keepLines/>
              <w:spacing w:line="240" w:lineRule="auto"/>
              <w:jc w:val="center"/>
              <w:rPr>
                <w:sz w:val="18"/>
                <w:szCs w:val="18"/>
              </w:rPr>
            </w:pPr>
            <w:r w:rsidRPr="00402D4B">
              <w:rPr>
                <w:sz w:val="18"/>
                <w:szCs w:val="18"/>
              </w:rPr>
              <w:t>1</w:t>
            </w:r>
          </w:p>
        </w:tc>
        <w:tc>
          <w:tcPr>
            <w:tcW w:w="1842" w:type="dxa"/>
            <w:vMerge w:val="restart"/>
          </w:tcPr>
          <w:p w14:paraId="31935F76" w14:textId="77777777" w:rsidR="00B02EDF" w:rsidRPr="00402D4B" w:rsidRDefault="00B02EDF" w:rsidP="00E243CB">
            <w:pPr>
              <w:keepNext/>
              <w:keepLines/>
              <w:spacing w:line="240" w:lineRule="auto"/>
              <w:rPr>
                <w:sz w:val="18"/>
                <w:szCs w:val="18"/>
              </w:rPr>
            </w:pPr>
          </w:p>
        </w:tc>
      </w:tr>
      <w:tr w:rsidR="00B02EDF" w:rsidRPr="00402D4B" w14:paraId="18FBE6B8" w14:textId="77777777" w:rsidTr="006440F3">
        <w:trPr>
          <w:trHeight w:val="385"/>
        </w:trPr>
        <w:tc>
          <w:tcPr>
            <w:tcW w:w="724" w:type="dxa"/>
            <w:vMerge/>
          </w:tcPr>
          <w:p w14:paraId="17EBF491" w14:textId="77777777" w:rsidR="00B02EDF" w:rsidRPr="0000291B" w:rsidRDefault="00B02EDF" w:rsidP="007C51F8">
            <w:pPr>
              <w:keepNext/>
              <w:keepLines/>
              <w:ind w:left="-139" w:right="-122"/>
              <w:jc w:val="center"/>
              <w:rPr>
                <w:b/>
                <w:bCs/>
                <w:sz w:val="18"/>
                <w:szCs w:val="18"/>
              </w:rPr>
            </w:pPr>
          </w:p>
        </w:tc>
        <w:tc>
          <w:tcPr>
            <w:tcW w:w="2394" w:type="dxa"/>
            <w:vMerge/>
          </w:tcPr>
          <w:p w14:paraId="521222A3" w14:textId="77777777" w:rsidR="00B02EDF" w:rsidRPr="00402D4B" w:rsidRDefault="00B02EDF" w:rsidP="007C51F8">
            <w:pPr>
              <w:keepNext/>
              <w:keepLines/>
              <w:rPr>
                <w:b/>
                <w:bCs/>
                <w:iCs/>
                <w:color w:val="000000"/>
                <w:sz w:val="18"/>
                <w:szCs w:val="18"/>
                <w:lang w:eastAsia="en-CA"/>
              </w:rPr>
            </w:pPr>
          </w:p>
        </w:tc>
        <w:tc>
          <w:tcPr>
            <w:tcW w:w="3261" w:type="dxa"/>
          </w:tcPr>
          <w:p w14:paraId="1CC79764" w14:textId="77777777" w:rsidR="00B02EDF" w:rsidRPr="00402D4B" w:rsidRDefault="00B02EDF" w:rsidP="00E243CB">
            <w:pPr>
              <w:keepNext/>
              <w:keepLines/>
              <w:spacing w:line="240" w:lineRule="auto"/>
              <w:rPr>
                <w:sz w:val="18"/>
                <w:szCs w:val="18"/>
              </w:rPr>
            </w:pPr>
            <w:r w:rsidRPr="00C11C94">
              <w:rPr>
                <w:color w:val="0070C0"/>
                <w:sz w:val="18"/>
                <w:szCs w:val="18"/>
              </w:rPr>
              <w:t>Hazardous by contributing to global warming</w:t>
            </w:r>
            <w:r w:rsidRPr="00C11C94">
              <w:rPr>
                <w:b/>
                <w:bCs/>
                <w:color w:val="0070C0"/>
                <w:sz w:val="18"/>
                <w:szCs w:val="18"/>
              </w:rPr>
              <w:t xml:space="preserve"> </w:t>
            </w:r>
            <w:r w:rsidRPr="00C11C94">
              <w:rPr>
                <w:color w:val="0070C0"/>
                <w:sz w:val="18"/>
                <w:szCs w:val="18"/>
              </w:rPr>
              <w:t>(chapter 4.2)</w:t>
            </w:r>
          </w:p>
        </w:tc>
        <w:tc>
          <w:tcPr>
            <w:tcW w:w="1134" w:type="dxa"/>
          </w:tcPr>
          <w:p w14:paraId="30079871" w14:textId="77777777" w:rsidR="00B02EDF" w:rsidRPr="00402D4B" w:rsidRDefault="00B02EDF" w:rsidP="007C51F8">
            <w:pPr>
              <w:keepNext/>
              <w:keepLines/>
              <w:jc w:val="center"/>
              <w:rPr>
                <w:sz w:val="18"/>
                <w:szCs w:val="18"/>
              </w:rPr>
            </w:pPr>
            <w:r w:rsidRPr="00C11C94">
              <w:rPr>
                <w:color w:val="0070C0"/>
                <w:sz w:val="18"/>
                <w:szCs w:val="18"/>
              </w:rPr>
              <w:t>1</w:t>
            </w:r>
          </w:p>
        </w:tc>
        <w:tc>
          <w:tcPr>
            <w:tcW w:w="1842" w:type="dxa"/>
            <w:vMerge/>
          </w:tcPr>
          <w:p w14:paraId="2E6FFAF9" w14:textId="77777777" w:rsidR="00B02EDF" w:rsidRPr="00402D4B" w:rsidRDefault="00B02EDF" w:rsidP="007C51F8">
            <w:pPr>
              <w:keepNext/>
              <w:keepLines/>
              <w:rPr>
                <w:sz w:val="18"/>
                <w:szCs w:val="18"/>
              </w:rPr>
            </w:pPr>
          </w:p>
        </w:tc>
      </w:tr>
    </w:tbl>
    <w:p w14:paraId="12CEE688" w14:textId="77777777" w:rsidR="00B02EDF" w:rsidRDefault="00B02EDF" w:rsidP="00B02EDF"/>
    <w:p w14:paraId="1A26ECB3" w14:textId="1CBAF53B" w:rsidR="00FE7C0B" w:rsidRPr="0072436E" w:rsidRDefault="0072436E" w:rsidP="002501BC">
      <w:pPr>
        <w:pStyle w:val="H1G"/>
      </w:pPr>
      <w:r>
        <w:t>Amendments to a</w:t>
      </w:r>
      <w:r w:rsidR="00FE7C0B" w:rsidRPr="0072436E">
        <w:t xml:space="preserve">nnex 3, </w:t>
      </w:r>
      <w:r>
        <w:t>s</w:t>
      </w:r>
      <w:r w:rsidR="00FE7C0B" w:rsidRPr="0072436E">
        <w:t>ection 3</w:t>
      </w:r>
    </w:p>
    <w:p w14:paraId="62534712" w14:textId="77777777" w:rsidR="00FE7C0B" w:rsidRPr="00D35F02" w:rsidRDefault="00FE7C0B" w:rsidP="00FE7C0B">
      <w:pPr>
        <w:rPr>
          <w:color w:val="0070C0"/>
        </w:rPr>
      </w:pPr>
    </w:p>
    <w:tbl>
      <w:tblPr>
        <w:tblW w:w="933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425"/>
        <w:gridCol w:w="851"/>
        <w:gridCol w:w="992"/>
        <w:gridCol w:w="425"/>
        <w:gridCol w:w="1252"/>
        <w:gridCol w:w="166"/>
        <w:gridCol w:w="3488"/>
        <w:gridCol w:w="197"/>
      </w:tblGrid>
      <w:tr w:rsidR="00FE7C0B" w:rsidRPr="00B618F2" w14:paraId="3E5613AB" w14:textId="77777777" w:rsidTr="0072436E">
        <w:tc>
          <w:tcPr>
            <w:tcW w:w="9331" w:type="dxa"/>
            <w:gridSpan w:val="9"/>
            <w:tcBorders>
              <w:top w:val="nil"/>
              <w:left w:val="nil"/>
              <w:bottom w:val="nil"/>
              <w:right w:val="nil"/>
            </w:tcBorders>
          </w:tcPr>
          <w:p w14:paraId="2FDA78A6" w14:textId="77777777" w:rsidR="00FE7C0B" w:rsidRPr="00B618F2" w:rsidRDefault="00FE7C0B" w:rsidP="0072436E">
            <w:pPr>
              <w:keepNext/>
              <w:keepLines/>
              <w:spacing w:line="220" w:lineRule="exact"/>
              <w:ind w:left="8"/>
              <w:jc w:val="center"/>
              <w:rPr>
                <w:b/>
                <w:color w:val="0070C0"/>
                <w:sz w:val="18"/>
                <w:szCs w:val="18"/>
              </w:rPr>
            </w:pP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color w:val="0070C0"/>
                <w:sz w:val="18"/>
                <w:szCs w:val="18"/>
              </w:rPr>
              <w:br w:type="page"/>
            </w:r>
            <w:r w:rsidRPr="00B618F2">
              <w:rPr>
                <w:b/>
                <w:sz w:val="18"/>
                <w:szCs w:val="18"/>
              </w:rPr>
              <w:t xml:space="preserve">HAZARDOUS TO THE </w:t>
            </w:r>
            <w:r w:rsidRPr="00B20C88">
              <w:rPr>
                <w:b/>
                <w:strike/>
                <w:color w:val="FF0000"/>
                <w:sz w:val="18"/>
                <w:szCs w:val="18"/>
              </w:rPr>
              <w:t>OZONE LAYER</w:t>
            </w:r>
            <w:r w:rsidRPr="00B20C88">
              <w:rPr>
                <w:b/>
                <w:color w:val="FF0000"/>
                <w:sz w:val="18"/>
                <w:szCs w:val="18"/>
              </w:rPr>
              <w:t xml:space="preserve"> </w:t>
            </w:r>
            <w:r w:rsidRPr="00B618F2">
              <w:rPr>
                <w:b/>
                <w:color w:val="0070C0"/>
                <w:sz w:val="18"/>
                <w:szCs w:val="18"/>
              </w:rPr>
              <w:t>ATMOSPHERIC SYSTEM</w:t>
            </w:r>
          </w:p>
          <w:p w14:paraId="6B533C7D" w14:textId="77777777" w:rsidR="00FE7C0B" w:rsidRPr="00B618F2" w:rsidRDefault="00FE7C0B" w:rsidP="0072436E">
            <w:pPr>
              <w:keepNext/>
              <w:keepLines/>
              <w:spacing w:line="220" w:lineRule="exact"/>
              <w:ind w:left="8"/>
              <w:jc w:val="center"/>
              <w:rPr>
                <w:b/>
                <w:sz w:val="18"/>
                <w:szCs w:val="18"/>
              </w:rPr>
            </w:pPr>
            <w:r w:rsidRPr="00B618F2">
              <w:rPr>
                <w:b/>
                <w:sz w:val="18"/>
                <w:szCs w:val="18"/>
              </w:rPr>
              <w:t>(CHAPTER 4.2)</w:t>
            </w:r>
          </w:p>
          <w:p w14:paraId="73446C7C" w14:textId="77777777" w:rsidR="00FE7C0B" w:rsidRPr="00B618F2" w:rsidRDefault="00FE7C0B" w:rsidP="0072436E">
            <w:pPr>
              <w:keepNext/>
              <w:keepLines/>
              <w:spacing w:line="220" w:lineRule="exact"/>
              <w:ind w:left="8"/>
              <w:jc w:val="center"/>
              <w:rPr>
                <w:b/>
                <w:color w:val="0070C0"/>
                <w:sz w:val="18"/>
                <w:szCs w:val="18"/>
              </w:rPr>
            </w:pPr>
            <w:r w:rsidRPr="00B618F2">
              <w:rPr>
                <w:b/>
                <w:color w:val="0070C0"/>
                <w:sz w:val="18"/>
                <w:szCs w:val="18"/>
              </w:rPr>
              <w:t>(Hazardous to the ozone layer)</w:t>
            </w:r>
          </w:p>
          <w:p w14:paraId="2302D29A" w14:textId="77777777" w:rsidR="00FE7C0B" w:rsidRPr="00B618F2" w:rsidRDefault="00FE7C0B" w:rsidP="00B618F2">
            <w:pPr>
              <w:keepNext/>
              <w:keepLines/>
              <w:spacing w:line="220" w:lineRule="exact"/>
              <w:ind w:left="1134" w:firstLine="170"/>
              <w:rPr>
                <w:b/>
                <w:color w:val="0070C0"/>
                <w:sz w:val="18"/>
                <w:szCs w:val="18"/>
              </w:rPr>
            </w:pPr>
          </w:p>
        </w:tc>
      </w:tr>
      <w:tr w:rsidR="00B618F2" w:rsidRPr="00B618F2" w14:paraId="39ED006D" w14:textId="77777777" w:rsidTr="0072436E">
        <w:tc>
          <w:tcPr>
            <w:tcW w:w="1535" w:type="dxa"/>
            <w:tcBorders>
              <w:top w:val="nil"/>
              <w:left w:val="nil"/>
              <w:bottom w:val="nil"/>
              <w:right w:val="nil"/>
            </w:tcBorders>
          </w:tcPr>
          <w:p w14:paraId="073D6A08" w14:textId="77777777" w:rsidR="00FE7C0B" w:rsidRPr="00B618F2" w:rsidRDefault="00FE7C0B" w:rsidP="00B618F2">
            <w:pPr>
              <w:keepNext/>
              <w:keepLines/>
              <w:spacing w:line="220" w:lineRule="exact"/>
              <w:ind w:left="8" w:hanging="8"/>
              <w:rPr>
                <w:b/>
                <w:bCs/>
                <w:sz w:val="18"/>
                <w:szCs w:val="18"/>
              </w:rPr>
            </w:pPr>
            <w:r w:rsidRPr="00B618F2">
              <w:rPr>
                <w:b/>
                <w:bCs/>
                <w:sz w:val="18"/>
                <w:szCs w:val="18"/>
              </w:rPr>
              <w:t>Hazard category</w:t>
            </w:r>
          </w:p>
        </w:tc>
        <w:tc>
          <w:tcPr>
            <w:tcW w:w="1276" w:type="dxa"/>
            <w:gridSpan w:val="2"/>
            <w:tcBorders>
              <w:top w:val="nil"/>
              <w:left w:val="nil"/>
              <w:bottom w:val="nil"/>
              <w:right w:val="nil"/>
            </w:tcBorders>
          </w:tcPr>
          <w:p w14:paraId="5A195F64" w14:textId="77777777" w:rsidR="00FE7C0B" w:rsidRPr="00B618F2" w:rsidRDefault="00FE7C0B" w:rsidP="00B618F2">
            <w:pPr>
              <w:pStyle w:val="Heading3"/>
              <w:keepLines/>
              <w:spacing w:line="220" w:lineRule="exact"/>
              <w:rPr>
                <w:b/>
                <w:bCs/>
                <w:sz w:val="18"/>
                <w:szCs w:val="18"/>
              </w:rPr>
            </w:pPr>
            <w:r w:rsidRPr="00B618F2">
              <w:rPr>
                <w:b/>
                <w:bCs/>
                <w:sz w:val="18"/>
                <w:szCs w:val="18"/>
              </w:rPr>
              <w:t>Symbol</w:t>
            </w:r>
          </w:p>
        </w:tc>
        <w:tc>
          <w:tcPr>
            <w:tcW w:w="1417" w:type="dxa"/>
            <w:gridSpan w:val="2"/>
            <w:vMerge w:val="restart"/>
            <w:tcBorders>
              <w:top w:val="nil"/>
              <w:left w:val="nil"/>
              <w:bottom w:val="nil"/>
              <w:right w:val="nil"/>
            </w:tcBorders>
          </w:tcPr>
          <w:p w14:paraId="1A6D58CC" w14:textId="154A505C" w:rsidR="00FE7C0B" w:rsidRPr="00B618F2" w:rsidRDefault="00B4326D" w:rsidP="0072436E">
            <w:pPr>
              <w:keepNext/>
              <w:keepLines/>
              <w:spacing w:line="220" w:lineRule="exact"/>
              <w:ind w:left="-41"/>
              <w:rPr>
                <w:b/>
                <w:bCs/>
                <w:sz w:val="18"/>
                <w:szCs w:val="18"/>
              </w:rPr>
            </w:pPr>
            <w:r w:rsidRPr="00402D4B">
              <w:rPr>
                <w:noProof/>
              </w:rPr>
              <w:drawing>
                <wp:anchor distT="0" distB="0" distL="114300" distR="114300" simplePos="0" relativeHeight="251659264" behindDoc="0" locked="1" layoutInCell="1" allowOverlap="0" wp14:anchorId="5EF9907E" wp14:editId="63FDAC07">
                  <wp:simplePos x="0" y="0"/>
                  <wp:positionH relativeFrom="column">
                    <wp:posOffset>-635</wp:posOffset>
                  </wp:positionH>
                  <wp:positionV relativeFrom="paragraph">
                    <wp:posOffset>0</wp:posOffset>
                  </wp:positionV>
                  <wp:extent cx="291465" cy="514985"/>
                  <wp:effectExtent l="0" t="0" r="0" b="0"/>
                  <wp:wrapSquare wrapText="bothSides"/>
                  <wp:docPr id="1634" name="Picture 5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 cy="514985"/>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Borders>
              <w:top w:val="nil"/>
              <w:left w:val="nil"/>
              <w:bottom w:val="nil"/>
              <w:right w:val="nil"/>
            </w:tcBorders>
          </w:tcPr>
          <w:p w14:paraId="6FF438F0" w14:textId="77777777" w:rsidR="00FE7C0B" w:rsidRPr="00B618F2" w:rsidRDefault="00FE7C0B" w:rsidP="00B618F2">
            <w:pPr>
              <w:keepNext/>
              <w:keepLines/>
              <w:spacing w:line="220" w:lineRule="exact"/>
              <w:ind w:left="-27"/>
              <w:rPr>
                <w:b/>
                <w:bCs/>
                <w:sz w:val="18"/>
                <w:szCs w:val="18"/>
              </w:rPr>
            </w:pPr>
            <w:r w:rsidRPr="00B618F2">
              <w:rPr>
                <w:b/>
                <w:bCs/>
                <w:sz w:val="18"/>
                <w:szCs w:val="18"/>
              </w:rPr>
              <w:t>Signal word</w:t>
            </w:r>
          </w:p>
        </w:tc>
        <w:tc>
          <w:tcPr>
            <w:tcW w:w="3851" w:type="dxa"/>
            <w:gridSpan w:val="3"/>
            <w:tcBorders>
              <w:top w:val="nil"/>
              <w:left w:val="nil"/>
              <w:bottom w:val="nil"/>
              <w:right w:val="nil"/>
            </w:tcBorders>
          </w:tcPr>
          <w:p w14:paraId="07393D30" w14:textId="77777777" w:rsidR="00FE7C0B" w:rsidRPr="00B618F2" w:rsidRDefault="00FE7C0B" w:rsidP="00B618F2">
            <w:pPr>
              <w:keepNext/>
              <w:keepLines/>
              <w:spacing w:line="220" w:lineRule="exact"/>
              <w:rPr>
                <w:b/>
                <w:bCs/>
                <w:sz w:val="18"/>
                <w:szCs w:val="18"/>
              </w:rPr>
            </w:pPr>
            <w:r w:rsidRPr="00B618F2">
              <w:rPr>
                <w:b/>
                <w:bCs/>
                <w:sz w:val="18"/>
                <w:szCs w:val="18"/>
              </w:rPr>
              <w:t>Hazard statement</w:t>
            </w:r>
          </w:p>
        </w:tc>
      </w:tr>
      <w:tr w:rsidR="0072436E" w:rsidRPr="00B618F2" w14:paraId="69A7F171" w14:textId="77777777" w:rsidTr="0072436E">
        <w:trPr>
          <w:gridAfter w:val="1"/>
          <w:wAfter w:w="197" w:type="dxa"/>
        </w:trPr>
        <w:tc>
          <w:tcPr>
            <w:tcW w:w="1535" w:type="dxa"/>
            <w:tcBorders>
              <w:top w:val="nil"/>
              <w:left w:val="nil"/>
              <w:bottom w:val="nil"/>
              <w:right w:val="nil"/>
            </w:tcBorders>
          </w:tcPr>
          <w:p w14:paraId="543632F5" w14:textId="77777777" w:rsidR="0072436E" w:rsidRPr="00B618F2" w:rsidRDefault="0072436E" w:rsidP="00B618F2">
            <w:pPr>
              <w:keepNext/>
              <w:keepLines/>
              <w:spacing w:line="220" w:lineRule="exact"/>
              <w:ind w:left="8" w:hanging="8"/>
              <w:rPr>
                <w:sz w:val="18"/>
                <w:szCs w:val="18"/>
              </w:rPr>
            </w:pPr>
            <w:r w:rsidRPr="00B618F2">
              <w:rPr>
                <w:sz w:val="18"/>
                <w:szCs w:val="18"/>
              </w:rPr>
              <w:t>1</w:t>
            </w:r>
          </w:p>
        </w:tc>
        <w:tc>
          <w:tcPr>
            <w:tcW w:w="1276" w:type="dxa"/>
            <w:gridSpan w:val="2"/>
            <w:tcBorders>
              <w:top w:val="nil"/>
              <w:left w:val="nil"/>
              <w:bottom w:val="nil"/>
              <w:right w:val="nil"/>
            </w:tcBorders>
          </w:tcPr>
          <w:p w14:paraId="3E4DC748" w14:textId="77777777" w:rsidR="0072436E" w:rsidRPr="00B618F2" w:rsidRDefault="0072436E" w:rsidP="00B618F2">
            <w:pPr>
              <w:keepNext/>
              <w:keepLines/>
              <w:spacing w:line="220" w:lineRule="exact"/>
              <w:ind w:left="-42"/>
              <w:rPr>
                <w:sz w:val="18"/>
                <w:szCs w:val="18"/>
              </w:rPr>
            </w:pPr>
            <w:r w:rsidRPr="00B618F2">
              <w:rPr>
                <w:sz w:val="18"/>
                <w:szCs w:val="18"/>
              </w:rPr>
              <w:t>Exclamation mark</w:t>
            </w:r>
          </w:p>
        </w:tc>
        <w:tc>
          <w:tcPr>
            <w:tcW w:w="1417" w:type="dxa"/>
            <w:gridSpan w:val="2"/>
            <w:vMerge/>
            <w:tcBorders>
              <w:top w:val="nil"/>
              <w:left w:val="nil"/>
              <w:bottom w:val="nil"/>
              <w:right w:val="nil"/>
            </w:tcBorders>
            <w:vAlign w:val="center"/>
          </w:tcPr>
          <w:p w14:paraId="48E2ECAC" w14:textId="77777777" w:rsidR="0072436E" w:rsidRPr="00B618F2" w:rsidRDefault="0072436E" w:rsidP="00B618F2">
            <w:pPr>
              <w:keepNext/>
              <w:keepLines/>
              <w:spacing w:line="220" w:lineRule="exact"/>
              <w:ind w:left="1134" w:firstLine="170"/>
              <w:rPr>
                <w:sz w:val="18"/>
                <w:szCs w:val="18"/>
              </w:rPr>
            </w:pPr>
          </w:p>
        </w:tc>
        <w:tc>
          <w:tcPr>
            <w:tcW w:w="1252" w:type="dxa"/>
            <w:tcBorders>
              <w:top w:val="nil"/>
              <w:left w:val="nil"/>
              <w:bottom w:val="nil"/>
              <w:right w:val="nil"/>
            </w:tcBorders>
          </w:tcPr>
          <w:p w14:paraId="449E6251" w14:textId="77777777" w:rsidR="0072436E" w:rsidRPr="00B618F2" w:rsidRDefault="0072436E" w:rsidP="00B618F2">
            <w:pPr>
              <w:keepNext/>
              <w:keepLines/>
              <w:spacing w:line="220" w:lineRule="exact"/>
              <w:rPr>
                <w:sz w:val="18"/>
                <w:szCs w:val="18"/>
              </w:rPr>
            </w:pPr>
            <w:r w:rsidRPr="00B618F2">
              <w:rPr>
                <w:sz w:val="18"/>
                <w:szCs w:val="18"/>
              </w:rPr>
              <w:t>Warning</w:t>
            </w:r>
          </w:p>
        </w:tc>
        <w:tc>
          <w:tcPr>
            <w:tcW w:w="3654" w:type="dxa"/>
            <w:gridSpan w:val="2"/>
            <w:tcBorders>
              <w:top w:val="nil"/>
              <w:left w:val="nil"/>
              <w:bottom w:val="nil"/>
              <w:right w:val="nil"/>
            </w:tcBorders>
          </w:tcPr>
          <w:p w14:paraId="1742684C" w14:textId="77777777" w:rsidR="0072436E" w:rsidRPr="00B618F2" w:rsidRDefault="0072436E" w:rsidP="00B618F2">
            <w:pPr>
              <w:keepNext/>
              <w:keepLines/>
              <w:spacing w:line="220" w:lineRule="exact"/>
              <w:rPr>
                <w:sz w:val="18"/>
                <w:szCs w:val="18"/>
              </w:rPr>
            </w:pPr>
            <w:r w:rsidRPr="00B618F2">
              <w:rPr>
                <w:sz w:val="18"/>
                <w:szCs w:val="18"/>
              </w:rPr>
              <w:t>Harms public health and the environment by destroying ozone in the upper atmosphere</w:t>
            </w:r>
          </w:p>
        </w:tc>
      </w:tr>
      <w:tr w:rsidR="0072436E" w:rsidRPr="00B618F2" w14:paraId="54EBA5D5" w14:textId="77777777" w:rsidTr="0072436E">
        <w:tc>
          <w:tcPr>
            <w:tcW w:w="9331" w:type="dxa"/>
            <w:gridSpan w:val="9"/>
            <w:tcBorders>
              <w:top w:val="nil"/>
              <w:left w:val="nil"/>
              <w:right w:val="nil"/>
            </w:tcBorders>
          </w:tcPr>
          <w:p w14:paraId="6073C8CF" w14:textId="77777777" w:rsidR="0072436E" w:rsidRPr="00B618F2" w:rsidRDefault="0072436E" w:rsidP="00B618F2">
            <w:pPr>
              <w:keepNext/>
              <w:keepLines/>
              <w:spacing w:line="220" w:lineRule="exact"/>
              <w:ind w:firstLine="8"/>
              <w:jc w:val="center"/>
              <w:rPr>
                <w:b/>
                <w:sz w:val="18"/>
                <w:szCs w:val="18"/>
              </w:rPr>
            </w:pPr>
          </w:p>
        </w:tc>
      </w:tr>
      <w:tr w:rsidR="00FE7C0B" w:rsidRPr="00B618F2" w14:paraId="23234A5D" w14:textId="77777777" w:rsidTr="0072436E">
        <w:tc>
          <w:tcPr>
            <w:tcW w:w="9331" w:type="dxa"/>
            <w:gridSpan w:val="9"/>
            <w:tcBorders>
              <w:top w:val="single" w:sz="4" w:space="0" w:color="auto"/>
            </w:tcBorders>
          </w:tcPr>
          <w:p w14:paraId="6AE660FA" w14:textId="77777777" w:rsidR="00FE7C0B" w:rsidRPr="00B618F2" w:rsidRDefault="00FE7C0B" w:rsidP="00B618F2">
            <w:pPr>
              <w:keepNext/>
              <w:keepLines/>
              <w:spacing w:line="220" w:lineRule="exact"/>
              <w:ind w:firstLine="8"/>
              <w:jc w:val="center"/>
              <w:rPr>
                <w:b/>
                <w:sz w:val="18"/>
                <w:szCs w:val="18"/>
              </w:rPr>
            </w:pPr>
            <w:r w:rsidRPr="00B618F2">
              <w:rPr>
                <w:b/>
                <w:sz w:val="18"/>
                <w:szCs w:val="18"/>
              </w:rPr>
              <w:t>Precautionary statements</w:t>
            </w:r>
          </w:p>
        </w:tc>
      </w:tr>
      <w:tr w:rsidR="00B618F2" w:rsidRPr="00B618F2" w14:paraId="46CF711C" w14:textId="77777777" w:rsidTr="0072436E">
        <w:tc>
          <w:tcPr>
            <w:tcW w:w="1960" w:type="dxa"/>
            <w:gridSpan w:val="2"/>
          </w:tcPr>
          <w:p w14:paraId="1BE888DC" w14:textId="77777777" w:rsidR="00FE7C0B" w:rsidRPr="00B618F2" w:rsidRDefault="00FE7C0B" w:rsidP="0072436E">
            <w:pPr>
              <w:keepNext/>
              <w:keepLines/>
              <w:spacing w:line="220" w:lineRule="exact"/>
              <w:jc w:val="center"/>
              <w:rPr>
                <w:b/>
                <w:bCs/>
                <w:sz w:val="18"/>
                <w:szCs w:val="18"/>
              </w:rPr>
            </w:pPr>
            <w:r w:rsidRPr="00B618F2">
              <w:rPr>
                <w:b/>
                <w:bCs/>
                <w:sz w:val="18"/>
                <w:szCs w:val="18"/>
              </w:rPr>
              <w:t>Prevention</w:t>
            </w:r>
          </w:p>
        </w:tc>
        <w:tc>
          <w:tcPr>
            <w:tcW w:w="1843" w:type="dxa"/>
            <w:gridSpan w:val="2"/>
          </w:tcPr>
          <w:p w14:paraId="42D726CE" w14:textId="77777777" w:rsidR="00FE7C0B" w:rsidRPr="00B618F2" w:rsidRDefault="00FE7C0B" w:rsidP="0072436E">
            <w:pPr>
              <w:keepNext/>
              <w:keepLines/>
              <w:spacing w:line="220" w:lineRule="exact"/>
              <w:jc w:val="center"/>
              <w:rPr>
                <w:b/>
                <w:bCs/>
                <w:sz w:val="18"/>
                <w:szCs w:val="18"/>
              </w:rPr>
            </w:pPr>
            <w:r w:rsidRPr="00B618F2">
              <w:rPr>
                <w:b/>
                <w:bCs/>
                <w:sz w:val="18"/>
                <w:szCs w:val="18"/>
              </w:rPr>
              <w:t>Response</w:t>
            </w:r>
          </w:p>
        </w:tc>
        <w:tc>
          <w:tcPr>
            <w:tcW w:w="1843" w:type="dxa"/>
            <w:gridSpan w:val="3"/>
          </w:tcPr>
          <w:p w14:paraId="52F8803B" w14:textId="77777777" w:rsidR="00FE7C0B" w:rsidRPr="00B618F2" w:rsidRDefault="00FE7C0B" w:rsidP="0072436E">
            <w:pPr>
              <w:keepNext/>
              <w:keepLines/>
              <w:spacing w:line="220" w:lineRule="exact"/>
              <w:jc w:val="center"/>
              <w:rPr>
                <w:b/>
                <w:bCs/>
                <w:sz w:val="18"/>
                <w:szCs w:val="18"/>
              </w:rPr>
            </w:pPr>
            <w:r w:rsidRPr="00B618F2">
              <w:rPr>
                <w:b/>
                <w:bCs/>
                <w:sz w:val="18"/>
                <w:szCs w:val="18"/>
              </w:rPr>
              <w:t>Storage</w:t>
            </w:r>
          </w:p>
        </w:tc>
        <w:tc>
          <w:tcPr>
            <w:tcW w:w="3685" w:type="dxa"/>
            <w:gridSpan w:val="2"/>
          </w:tcPr>
          <w:p w14:paraId="225C37A5" w14:textId="77777777" w:rsidR="00FE7C0B" w:rsidRPr="00B618F2" w:rsidRDefault="00FE7C0B" w:rsidP="00B618F2">
            <w:pPr>
              <w:keepNext/>
              <w:keepLines/>
              <w:spacing w:line="220" w:lineRule="exact"/>
              <w:ind w:left="40"/>
              <w:rPr>
                <w:b/>
                <w:bCs/>
                <w:sz w:val="18"/>
                <w:szCs w:val="18"/>
              </w:rPr>
            </w:pPr>
            <w:r w:rsidRPr="00B618F2">
              <w:rPr>
                <w:b/>
                <w:bCs/>
                <w:sz w:val="18"/>
                <w:szCs w:val="18"/>
              </w:rPr>
              <w:t>Disposal</w:t>
            </w:r>
          </w:p>
        </w:tc>
      </w:tr>
      <w:tr w:rsidR="00B618F2" w:rsidRPr="00B618F2" w14:paraId="63E93C9C" w14:textId="77777777" w:rsidTr="0072436E">
        <w:trPr>
          <w:trHeight w:val="874"/>
        </w:trPr>
        <w:tc>
          <w:tcPr>
            <w:tcW w:w="1960" w:type="dxa"/>
            <w:gridSpan w:val="2"/>
          </w:tcPr>
          <w:p w14:paraId="1F33138B" w14:textId="77777777" w:rsidR="00FE7C0B" w:rsidRPr="00B618F2" w:rsidRDefault="00FE7C0B" w:rsidP="00B618F2">
            <w:pPr>
              <w:keepNext/>
              <w:keepLines/>
              <w:spacing w:line="220" w:lineRule="exact"/>
              <w:ind w:left="8"/>
              <w:rPr>
                <w:sz w:val="18"/>
                <w:szCs w:val="18"/>
              </w:rPr>
            </w:pPr>
          </w:p>
        </w:tc>
        <w:tc>
          <w:tcPr>
            <w:tcW w:w="1843" w:type="dxa"/>
            <w:gridSpan w:val="2"/>
          </w:tcPr>
          <w:p w14:paraId="05818335" w14:textId="77777777" w:rsidR="00FE7C0B" w:rsidRPr="00B618F2" w:rsidRDefault="00FE7C0B" w:rsidP="00B618F2">
            <w:pPr>
              <w:pStyle w:val="BalloonText"/>
              <w:keepNext/>
              <w:keepLines/>
              <w:spacing w:line="220" w:lineRule="exact"/>
              <w:ind w:firstLine="9"/>
              <w:rPr>
                <w:rFonts w:ascii="Times New Roman" w:hAnsi="Times New Roman" w:cs="Times New Roman"/>
                <w:b/>
              </w:rPr>
            </w:pPr>
          </w:p>
        </w:tc>
        <w:tc>
          <w:tcPr>
            <w:tcW w:w="1843" w:type="dxa"/>
            <w:gridSpan w:val="3"/>
          </w:tcPr>
          <w:p w14:paraId="54933536" w14:textId="77777777" w:rsidR="00FE7C0B" w:rsidRPr="00B618F2" w:rsidRDefault="00FE7C0B" w:rsidP="00B618F2">
            <w:pPr>
              <w:pStyle w:val="BalloonText"/>
              <w:keepNext/>
              <w:keepLines/>
              <w:spacing w:line="220" w:lineRule="exact"/>
              <w:rPr>
                <w:rFonts w:ascii="Times New Roman" w:hAnsi="Times New Roman" w:cs="Times New Roman"/>
              </w:rPr>
            </w:pPr>
          </w:p>
        </w:tc>
        <w:tc>
          <w:tcPr>
            <w:tcW w:w="3685" w:type="dxa"/>
            <w:gridSpan w:val="2"/>
          </w:tcPr>
          <w:p w14:paraId="2E1E8536" w14:textId="28E30E1D" w:rsidR="00FE7C0B" w:rsidRPr="00B618F2" w:rsidRDefault="00FE7C0B" w:rsidP="0072436E">
            <w:pPr>
              <w:keepNext/>
              <w:keepLines/>
              <w:spacing w:line="220" w:lineRule="exact"/>
              <w:rPr>
                <w:sz w:val="18"/>
                <w:szCs w:val="18"/>
              </w:rPr>
            </w:pPr>
            <w:r w:rsidRPr="00B618F2">
              <w:rPr>
                <w:bCs/>
                <w:sz w:val="18"/>
                <w:szCs w:val="18"/>
              </w:rPr>
              <w:t>P502</w:t>
            </w:r>
            <w:r w:rsidRPr="00B618F2">
              <w:rPr>
                <w:b/>
                <w:sz w:val="18"/>
                <w:szCs w:val="18"/>
              </w:rPr>
              <w:br/>
            </w:r>
            <w:r w:rsidRPr="00B618F2">
              <w:rPr>
                <w:b/>
                <w:bCs/>
                <w:sz w:val="18"/>
                <w:szCs w:val="18"/>
                <w:lang w:eastAsia="en-CA"/>
              </w:rPr>
              <w:t>Refer to manufacturer or supplier for information on recovery or recycling</w:t>
            </w:r>
          </w:p>
        </w:tc>
      </w:tr>
    </w:tbl>
    <w:p w14:paraId="75ED5710" w14:textId="77777777" w:rsidR="0066390F" w:rsidRDefault="0066390F" w:rsidP="00B83F82"/>
    <w:tbl>
      <w:tblPr>
        <w:tblW w:w="933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425"/>
        <w:gridCol w:w="851"/>
        <w:gridCol w:w="992"/>
        <w:gridCol w:w="425"/>
        <w:gridCol w:w="1252"/>
        <w:gridCol w:w="166"/>
        <w:gridCol w:w="3488"/>
        <w:gridCol w:w="197"/>
      </w:tblGrid>
      <w:tr w:rsidR="00BC0591" w:rsidRPr="00BC0591" w14:paraId="15B55413" w14:textId="77777777" w:rsidTr="00EF5E1D">
        <w:tc>
          <w:tcPr>
            <w:tcW w:w="9331" w:type="dxa"/>
            <w:gridSpan w:val="9"/>
            <w:tcBorders>
              <w:top w:val="nil"/>
              <w:left w:val="nil"/>
              <w:bottom w:val="nil"/>
              <w:right w:val="nil"/>
            </w:tcBorders>
          </w:tcPr>
          <w:p w14:paraId="0B4EED1F" w14:textId="4BA66B92" w:rsidR="009839FF" w:rsidRPr="00BC0591" w:rsidRDefault="009839FF" w:rsidP="00EF5E1D">
            <w:pPr>
              <w:keepNext/>
              <w:keepLines/>
              <w:spacing w:line="220" w:lineRule="exact"/>
              <w:ind w:left="8"/>
              <w:jc w:val="center"/>
              <w:rPr>
                <w:b/>
                <w:color w:val="4F81BD" w:themeColor="accent1"/>
                <w:sz w:val="18"/>
                <w:szCs w:val="18"/>
              </w:rPr>
            </w:pP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r>
            <w:r w:rsidRPr="00BC0591">
              <w:rPr>
                <w:b/>
                <w:color w:val="4F81BD" w:themeColor="accent1"/>
                <w:sz w:val="18"/>
                <w:szCs w:val="18"/>
              </w:rPr>
              <w:br w:type="page"/>
              <w:t>HAZARDOUS TO THE ATMOSPHERIC SYSTEM</w:t>
            </w:r>
          </w:p>
          <w:p w14:paraId="6DEB866A" w14:textId="77777777" w:rsidR="009839FF" w:rsidRPr="00BC0591" w:rsidRDefault="009839FF" w:rsidP="00EF5E1D">
            <w:pPr>
              <w:keepNext/>
              <w:keepLines/>
              <w:spacing w:line="220" w:lineRule="exact"/>
              <w:ind w:left="8"/>
              <w:jc w:val="center"/>
              <w:rPr>
                <w:b/>
                <w:color w:val="4F81BD" w:themeColor="accent1"/>
                <w:sz w:val="18"/>
                <w:szCs w:val="18"/>
              </w:rPr>
            </w:pPr>
            <w:r w:rsidRPr="00BC0591">
              <w:rPr>
                <w:b/>
                <w:color w:val="4F81BD" w:themeColor="accent1"/>
                <w:sz w:val="18"/>
                <w:szCs w:val="18"/>
              </w:rPr>
              <w:t>(CHAPTER 4.2)</w:t>
            </w:r>
          </w:p>
          <w:p w14:paraId="7F908DA2" w14:textId="6EF8947D" w:rsidR="009839FF" w:rsidRPr="00BC0591" w:rsidRDefault="009839FF" w:rsidP="00EF5E1D">
            <w:pPr>
              <w:keepNext/>
              <w:keepLines/>
              <w:spacing w:line="220" w:lineRule="exact"/>
              <w:ind w:left="8"/>
              <w:jc w:val="center"/>
              <w:rPr>
                <w:b/>
                <w:color w:val="4F81BD" w:themeColor="accent1"/>
                <w:sz w:val="18"/>
                <w:szCs w:val="18"/>
              </w:rPr>
            </w:pPr>
            <w:r w:rsidRPr="00BC0591">
              <w:rPr>
                <w:b/>
                <w:color w:val="4F81BD" w:themeColor="accent1"/>
                <w:sz w:val="18"/>
                <w:szCs w:val="18"/>
              </w:rPr>
              <w:t>(Hazardous by contributing to global warming)</w:t>
            </w:r>
          </w:p>
          <w:p w14:paraId="67968D3D" w14:textId="77777777" w:rsidR="009839FF" w:rsidRPr="00BC0591" w:rsidRDefault="009839FF" w:rsidP="00EF5E1D">
            <w:pPr>
              <w:keepNext/>
              <w:keepLines/>
              <w:spacing w:line="220" w:lineRule="exact"/>
              <w:ind w:left="1134" w:firstLine="170"/>
              <w:rPr>
                <w:b/>
                <w:color w:val="4F81BD" w:themeColor="accent1"/>
                <w:sz w:val="18"/>
                <w:szCs w:val="18"/>
              </w:rPr>
            </w:pPr>
          </w:p>
        </w:tc>
      </w:tr>
      <w:tr w:rsidR="00BC0591" w:rsidRPr="00BC0591" w14:paraId="25A8A32D" w14:textId="77777777" w:rsidTr="00EF5E1D">
        <w:tc>
          <w:tcPr>
            <w:tcW w:w="1535" w:type="dxa"/>
            <w:tcBorders>
              <w:top w:val="nil"/>
              <w:left w:val="nil"/>
              <w:bottom w:val="nil"/>
              <w:right w:val="nil"/>
            </w:tcBorders>
          </w:tcPr>
          <w:p w14:paraId="68671A7E" w14:textId="77777777" w:rsidR="009839FF" w:rsidRPr="00BC0591" w:rsidRDefault="009839FF" w:rsidP="00EF5E1D">
            <w:pPr>
              <w:keepNext/>
              <w:keepLines/>
              <w:spacing w:line="220" w:lineRule="exact"/>
              <w:ind w:left="8" w:hanging="8"/>
              <w:rPr>
                <w:b/>
                <w:bCs/>
                <w:color w:val="4F81BD" w:themeColor="accent1"/>
                <w:sz w:val="18"/>
                <w:szCs w:val="18"/>
              </w:rPr>
            </w:pPr>
            <w:r w:rsidRPr="00BC0591">
              <w:rPr>
                <w:b/>
                <w:bCs/>
                <w:color w:val="4F81BD" w:themeColor="accent1"/>
                <w:sz w:val="18"/>
                <w:szCs w:val="18"/>
              </w:rPr>
              <w:t>Hazard category</w:t>
            </w:r>
          </w:p>
        </w:tc>
        <w:tc>
          <w:tcPr>
            <w:tcW w:w="1276" w:type="dxa"/>
            <w:gridSpan w:val="2"/>
            <w:tcBorders>
              <w:top w:val="nil"/>
              <w:left w:val="nil"/>
              <w:bottom w:val="nil"/>
              <w:right w:val="nil"/>
            </w:tcBorders>
          </w:tcPr>
          <w:p w14:paraId="56703973" w14:textId="77777777" w:rsidR="009839FF" w:rsidRPr="00BC0591" w:rsidRDefault="009839FF" w:rsidP="00EF5E1D">
            <w:pPr>
              <w:pStyle w:val="Heading3"/>
              <w:keepLines/>
              <w:spacing w:line="220" w:lineRule="exact"/>
              <w:rPr>
                <w:b/>
                <w:bCs/>
                <w:color w:val="4F81BD" w:themeColor="accent1"/>
                <w:sz w:val="18"/>
                <w:szCs w:val="18"/>
              </w:rPr>
            </w:pPr>
            <w:r w:rsidRPr="00BC0591">
              <w:rPr>
                <w:b/>
                <w:bCs/>
                <w:color w:val="4F81BD" w:themeColor="accent1"/>
                <w:sz w:val="18"/>
                <w:szCs w:val="18"/>
              </w:rPr>
              <w:t>Symbol</w:t>
            </w:r>
          </w:p>
        </w:tc>
        <w:tc>
          <w:tcPr>
            <w:tcW w:w="1417" w:type="dxa"/>
            <w:gridSpan w:val="2"/>
            <w:vMerge w:val="restart"/>
            <w:tcBorders>
              <w:top w:val="nil"/>
              <w:left w:val="nil"/>
              <w:bottom w:val="nil"/>
              <w:right w:val="nil"/>
            </w:tcBorders>
          </w:tcPr>
          <w:p w14:paraId="2A58DD46" w14:textId="77777777" w:rsidR="009839FF" w:rsidRPr="00BC0591" w:rsidRDefault="009839FF" w:rsidP="00EF5E1D">
            <w:pPr>
              <w:keepNext/>
              <w:keepLines/>
              <w:spacing w:line="220" w:lineRule="exact"/>
              <w:ind w:left="-41"/>
              <w:rPr>
                <w:b/>
                <w:bCs/>
                <w:color w:val="4F81BD" w:themeColor="accent1"/>
                <w:sz w:val="18"/>
                <w:szCs w:val="18"/>
              </w:rPr>
            </w:pPr>
            <w:r w:rsidRPr="00BC0591">
              <w:rPr>
                <w:noProof/>
                <w:color w:val="4F81BD" w:themeColor="accent1"/>
              </w:rPr>
              <w:drawing>
                <wp:anchor distT="0" distB="0" distL="114300" distR="114300" simplePos="0" relativeHeight="251665408" behindDoc="0" locked="1" layoutInCell="1" allowOverlap="0" wp14:anchorId="10D20F2E" wp14:editId="659D063D">
                  <wp:simplePos x="0" y="0"/>
                  <wp:positionH relativeFrom="column">
                    <wp:posOffset>-635</wp:posOffset>
                  </wp:positionH>
                  <wp:positionV relativeFrom="paragraph">
                    <wp:posOffset>0</wp:posOffset>
                  </wp:positionV>
                  <wp:extent cx="291465" cy="514985"/>
                  <wp:effectExtent l="0" t="0" r="0" b="0"/>
                  <wp:wrapSquare wrapText="bothSides"/>
                  <wp:docPr id="5" name="Picture 5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 cy="514985"/>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Borders>
              <w:top w:val="nil"/>
              <w:left w:val="nil"/>
              <w:bottom w:val="nil"/>
              <w:right w:val="nil"/>
            </w:tcBorders>
          </w:tcPr>
          <w:p w14:paraId="2E2DA0DF" w14:textId="77777777" w:rsidR="009839FF" w:rsidRPr="00BC0591" w:rsidRDefault="009839FF" w:rsidP="00EF5E1D">
            <w:pPr>
              <w:keepNext/>
              <w:keepLines/>
              <w:spacing w:line="220" w:lineRule="exact"/>
              <w:ind w:left="-27"/>
              <w:rPr>
                <w:b/>
                <w:bCs/>
                <w:color w:val="4F81BD" w:themeColor="accent1"/>
                <w:sz w:val="18"/>
                <w:szCs w:val="18"/>
              </w:rPr>
            </w:pPr>
            <w:r w:rsidRPr="00BC0591">
              <w:rPr>
                <w:b/>
                <w:bCs/>
                <w:color w:val="4F81BD" w:themeColor="accent1"/>
                <w:sz w:val="18"/>
                <w:szCs w:val="18"/>
              </w:rPr>
              <w:t>Signal word</w:t>
            </w:r>
          </w:p>
        </w:tc>
        <w:tc>
          <w:tcPr>
            <w:tcW w:w="3851" w:type="dxa"/>
            <w:gridSpan w:val="3"/>
            <w:tcBorders>
              <w:top w:val="nil"/>
              <w:left w:val="nil"/>
              <w:bottom w:val="nil"/>
              <w:right w:val="nil"/>
            </w:tcBorders>
          </w:tcPr>
          <w:p w14:paraId="278147B5" w14:textId="77777777" w:rsidR="009839FF" w:rsidRPr="00BC0591" w:rsidRDefault="009839FF" w:rsidP="00EF5E1D">
            <w:pPr>
              <w:keepNext/>
              <w:keepLines/>
              <w:spacing w:line="220" w:lineRule="exact"/>
              <w:rPr>
                <w:b/>
                <w:bCs/>
                <w:color w:val="4F81BD" w:themeColor="accent1"/>
                <w:sz w:val="18"/>
                <w:szCs w:val="18"/>
              </w:rPr>
            </w:pPr>
            <w:r w:rsidRPr="00BC0591">
              <w:rPr>
                <w:b/>
                <w:bCs/>
                <w:color w:val="4F81BD" w:themeColor="accent1"/>
                <w:sz w:val="18"/>
                <w:szCs w:val="18"/>
              </w:rPr>
              <w:t>Hazard statement</w:t>
            </w:r>
          </w:p>
        </w:tc>
      </w:tr>
      <w:tr w:rsidR="00BC0591" w:rsidRPr="00BC0591" w14:paraId="4DDAF633" w14:textId="77777777" w:rsidTr="00EF5E1D">
        <w:trPr>
          <w:gridAfter w:val="1"/>
          <w:wAfter w:w="197" w:type="dxa"/>
        </w:trPr>
        <w:tc>
          <w:tcPr>
            <w:tcW w:w="1535" w:type="dxa"/>
            <w:tcBorders>
              <w:top w:val="nil"/>
              <w:left w:val="nil"/>
              <w:bottom w:val="nil"/>
              <w:right w:val="nil"/>
            </w:tcBorders>
          </w:tcPr>
          <w:p w14:paraId="5188C692" w14:textId="77777777" w:rsidR="009839FF" w:rsidRPr="00BC0591" w:rsidRDefault="009839FF" w:rsidP="00EF5E1D">
            <w:pPr>
              <w:keepNext/>
              <w:keepLines/>
              <w:spacing w:line="220" w:lineRule="exact"/>
              <w:ind w:left="8" w:hanging="8"/>
              <w:rPr>
                <w:color w:val="4F81BD" w:themeColor="accent1"/>
                <w:sz w:val="18"/>
                <w:szCs w:val="18"/>
              </w:rPr>
            </w:pPr>
            <w:r w:rsidRPr="00BC0591">
              <w:rPr>
                <w:color w:val="4F81BD" w:themeColor="accent1"/>
                <w:sz w:val="18"/>
                <w:szCs w:val="18"/>
              </w:rPr>
              <w:t>1</w:t>
            </w:r>
          </w:p>
        </w:tc>
        <w:tc>
          <w:tcPr>
            <w:tcW w:w="1276" w:type="dxa"/>
            <w:gridSpan w:val="2"/>
            <w:tcBorders>
              <w:top w:val="nil"/>
              <w:left w:val="nil"/>
              <w:bottom w:val="nil"/>
              <w:right w:val="nil"/>
            </w:tcBorders>
          </w:tcPr>
          <w:p w14:paraId="0736A4FC" w14:textId="77777777" w:rsidR="009839FF" w:rsidRPr="00BC0591" w:rsidRDefault="009839FF" w:rsidP="00EF5E1D">
            <w:pPr>
              <w:keepNext/>
              <w:keepLines/>
              <w:spacing w:line="220" w:lineRule="exact"/>
              <w:ind w:left="-42"/>
              <w:rPr>
                <w:color w:val="4F81BD" w:themeColor="accent1"/>
                <w:sz w:val="18"/>
                <w:szCs w:val="18"/>
              </w:rPr>
            </w:pPr>
            <w:r w:rsidRPr="00BC0591">
              <w:rPr>
                <w:color w:val="4F81BD" w:themeColor="accent1"/>
                <w:sz w:val="18"/>
                <w:szCs w:val="18"/>
              </w:rPr>
              <w:t>Exclamation mark</w:t>
            </w:r>
          </w:p>
        </w:tc>
        <w:tc>
          <w:tcPr>
            <w:tcW w:w="1417" w:type="dxa"/>
            <w:gridSpan w:val="2"/>
            <w:vMerge/>
            <w:tcBorders>
              <w:top w:val="nil"/>
              <w:left w:val="nil"/>
              <w:bottom w:val="nil"/>
              <w:right w:val="nil"/>
            </w:tcBorders>
            <w:vAlign w:val="center"/>
          </w:tcPr>
          <w:p w14:paraId="56641822" w14:textId="77777777" w:rsidR="009839FF" w:rsidRPr="00BC0591" w:rsidRDefault="009839FF" w:rsidP="00EF5E1D">
            <w:pPr>
              <w:keepNext/>
              <w:keepLines/>
              <w:spacing w:line="220" w:lineRule="exact"/>
              <w:ind w:left="1134" w:firstLine="170"/>
              <w:rPr>
                <w:color w:val="4F81BD" w:themeColor="accent1"/>
                <w:sz w:val="18"/>
                <w:szCs w:val="18"/>
              </w:rPr>
            </w:pPr>
          </w:p>
        </w:tc>
        <w:tc>
          <w:tcPr>
            <w:tcW w:w="1252" w:type="dxa"/>
            <w:tcBorders>
              <w:top w:val="nil"/>
              <w:left w:val="nil"/>
              <w:bottom w:val="nil"/>
              <w:right w:val="nil"/>
            </w:tcBorders>
          </w:tcPr>
          <w:p w14:paraId="58FEC038" w14:textId="77777777" w:rsidR="009839FF" w:rsidRPr="00BC0591" w:rsidRDefault="009839FF" w:rsidP="00EF5E1D">
            <w:pPr>
              <w:keepNext/>
              <w:keepLines/>
              <w:spacing w:line="220" w:lineRule="exact"/>
              <w:rPr>
                <w:color w:val="4F81BD" w:themeColor="accent1"/>
                <w:sz w:val="18"/>
                <w:szCs w:val="18"/>
              </w:rPr>
            </w:pPr>
            <w:r w:rsidRPr="00BC0591">
              <w:rPr>
                <w:color w:val="4F81BD" w:themeColor="accent1"/>
                <w:sz w:val="18"/>
                <w:szCs w:val="18"/>
              </w:rPr>
              <w:t>Warning</w:t>
            </w:r>
          </w:p>
        </w:tc>
        <w:tc>
          <w:tcPr>
            <w:tcW w:w="3654" w:type="dxa"/>
            <w:gridSpan w:val="2"/>
            <w:tcBorders>
              <w:top w:val="nil"/>
              <w:left w:val="nil"/>
              <w:bottom w:val="nil"/>
              <w:right w:val="nil"/>
            </w:tcBorders>
          </w:tcPr>
          <w:p w14:paraId="40210573" w14:textId="58C74467" w:rsidR="009839FF" w:rsidRPr="00BC0591" w:rsidRDefault="009839FF" w:rsidP="00EF5E1D">
            <w:pPr>
              <w:keepNext/>
              <w:keepLines/>
              <w:spacing w:line="220" w:lineRule="exact"/>
              <w:rPr>
                <w:color w:val="4F81BD" w:themeColor="accent1"/>
                <w:sz w:val="18"/>
                <w:szCs w:val="18"/>
              </w:rPr>
            </w:pPr>
            <w:r w:rsidRPr="00BC0591">
              <w:rPr>
                <w:color w:val="4F81BD" w:themeColor="accent1"/>
                <w:sz w:val="18"/>
                <w:szCs w:val="18"/>
              </w:rPr>
              <w:t xml:space="preserve">Harms public health and the environment by </w:t>
            </w:r>
            <w:r w:rsidR="00BC0591" w:rsidRPr="00BC0591">
              <w:rPr>
                <w:color w:val="4F81BD" w:themeColor="accent1"/>
                <w:sz w:val="18"/>
                <w:szCs w:val="18"/>
                <w:lang w:val="en-US"/>
              </w:rPr>
              <w:t>contributing to global warming</w:t>
            </w:r>
          </w:p>
        </w:tc>
      </w:tr>
      <w:tr w:rsidR="00BC0591" w:rsidRPr="00BC0591" w14:paraId="520E4E30" w14:textId="77777777" w:rsidTr="00EF5E1D">
        <w:tc>
          <w:tcPr>
            <w:tcW w:w="9331" w:type="dxa"/>
            <w:gridSpan w:val="9"/>
            <w:tcBorders>
              <w:top w:val="nil"/>
              <w:left w:val="nil"/>
              <w:right w:val="nil"/>
            </w:tcBorders>
          </w:tcPr>
          <w:p w14:paraId="6423F22B" w14:textId="77777777" w:rsidR="009839FF" w:rsidRPr="00BC0591" w:rsidRDefault="009839FF" w:rsidP="00EF5E1D">
            <w:pPr>
              <w:keepNext/>
              <w:keepLines/>
              <w:spacing w:line="220" w:lineRule="exact"/>
              <w:ind w:firstLine="8"/>
              <w:jc w:val="center"/>
              <w:rPr>
                <w:b/>
                <w:color w:val="4F81BD" w:themeColor="accent1"/>
                <w:sz w:val="18"/>
                <w:szCs w:val="18"/>
              </w:rPr>
            </w:pPr>
          </w:p>
        </w:tc>
      </w:tr>
      <w:tr w:rsidR="00BC0591" w:rsidRPr="00BC0591" w14:paraId="18432472" w14:textId="77777777" w:rsidTr="00EF5E1D">
        <w:tc>
          <w:tcPr>
            <w:tcW w:w="9331" w:type="dxa"/>
            <w:gridSpan w:val="9"/>
            <w:tcBorders>
              <w:top w:val="single" w:sz="4" w:space="0" w:color="auto"/>
            </w:tcBorders>
          </w:tcPr>
          <w:p w14:paraId="09DA56DD" w14:textId="77777777" w:rsidR="009839FF" w:rsidRPr="00BC0591" w:rsidRDefault="009839FF" w:rsidP="00EF5E1D">
            <w:pPr>
              <w:keepNext/>
              <w:keepLines/>
              <w:spacing w:line="220" w:lineRule="exact"/>
              <w:ind w:firstLine="8"/>
              <w:jc w:val="center"/>
              <w:rPr>
                <w:b/>
                <w:color w:val="4F81BD" w:themeColor="accent1"/>
                <w:sz w:val="18"/>
                <w:szCs w:val="18"/>
              </w:rPr>
            </w:pPr>
            <w:r w:rsidRPr="00BC0591">
              <w:rPr>
                <w:b/>
                <w:color w:val="4F81BD" w:themeColor="accent1"/>
                <w:sz w:val="18"/>
                <w:szCs w:val="18"/>
              </w:rPr>
              <w:t>Precautionary statements</w:t>
            </w:r>
          </w:p>
        </w:tc>
      </w:tr>
      <w:tr w:rsidR="00BC0591" w:rsidRPr="00BC0591" w14:paraId="5ACEE2B5" w14:textId="77777777" w:rsidTr="00EF5E1D">
        <w:tc>
          <w:tcPr>
            <w:tcW w:w="1960" w:type="dxa"/>
            <w:gridSpan w:val="2"/>
          </w:tcPr>
          <w:p w14:paraId="62D9D9D1" w14:textId="77777777" w:rsidR="009839FF" w:rsidRPr="00BC0591" w:rsidRDefault="009839FF" w:rsidP="00EF5E1D">
            <w:pPr>
              <w:keepNext/>
              <w:keepLines/>
              <w:spacing w:line="220" w:lineRule="exact"/>
              <w:jc w:val="center"/>
              <w:rPr>
                <w:b/>
                <w:bCs/>
                <w:color w:val="4F81BD" w:themeColor="accent1"/>
                <w:sz w:val="18"/>
                <w:szCs w:val="18"/>
              </w:rPr>
            </w:pPr>
            <w:r w:rsidRPr="00BC0591">
              <w:rPr>
                <w:b/>
                <w:bCs/>
                <w:color w:val="4F81BD" w:themeColor="accent1"/>
                <w:sz w:val="18"/>
                <w:szCs w:val="18"/>
              </w:rPr>
              <w:t>Prevention</w:t>
            </w:r>
          </w:p>
        </w:tc>
        <w:tc>
          <w:tcPr>
            <w:tcW w:w="1843" w:type="dxa"/>
            <w:gridSpan w:val="2"/>
          </w:tcPr>
          <w:p w14:paraId="5A860DCD" w14:textId="77777777" w:rsidR="009839FF" w:rsidRPr="00BC0591" w:rsidRDefault="009839FF" w:rsidP="00EF5E1D">
            <w:pPr>
              <w:keepNext/>
              <w:keepLines/>
              <w:spacing w:line="220" w:lineRule="exact"/>
              <w:jc w:val="center"/>
              <w:rPr>
                <w:b/>
                <w:bCs/>
                <w:color w:val="4F81BD" w:themeColor="accent1"/>
                <w:sz w:val="18"/>
                <w:szCs w:val="18"/>
              </w:rPr>
            </w:pPr>
            <w:r w:rsidRPr="00BC0591">
              <w:rPr>
                <w:b/>
                <w:bCs/>
                <w:color w:val="4F81BD" w:themeColor="accent1"/>
                <w:sz w:val="18"/>
                <w:szCs w:val="18"/>
              </w:rPr>
              <w:t>Response</w:t>
            </w:r>
          </w:p>
        </w:tc>
        <w:tc>
          <w:tcPr>
            <w:tcW w:w="1843" w:type="dxa"/>
            <w:gridSpan w:val="3"/>
          </w:tcPr>
          <w:p w14:paraId="63CC5A5F" w14:textId="77777777" w:rsidR="009839FF" w:rsidRPr="00BC0591" w:rsidRDefault="009839FF" w:rsidP="00EF5E1D">
            <w:pPr>
              <w:keepNext/>
              <w:keepLines/>
              <w:spacing w:line="220" w:lineRule="exact"/>
              <w:jc w:val="center"/>
              <w:rPr>
                <w:b/>
                <w:bCs/>
                <w:color w:val="4F81BD" w:themeColor="accent1"/>
                <w:sz w:val="18"/>
                <w:szCs w:val="18"/>
              </w:rPr>
            </w:pPr>
            <w:r w:rsidRPr="00BC0591">
              <w:rPr>
                <w:b/>
                <w:bCs/>
                <w:color w:val="4F81BD" w:themeColor="accent1"/>
                <w:sz w:val="18"/>
                <w:szCs w:val="18"/>
              </w:rPr>
              <w:t>Storage</w:t>
            </w:r>
          </w:p>
        </w:tc>
        <w:tc>
          <w:tcPr>
            <w:tcW w:w="3685" w:type="dxa"/>
            <w:gridSpan w:val="2"/>
          </w:tcPr>
          <w:p w14:paraId="31B3D3BE" w14:textId="77777777" w:rsidR="009839FF" w:rsidRPr="00BC0591" w:rsidRDefault="009839FF" w:rsidP="00EF5E1D">
            <w:pPr>
              <w:keepNext/>
              <w:keepLines/>
              <w:spacing w:line="220" w:lineRule="exact"/>
              <w:ind w:left="40"/>
              <w:rPr>
                <w:b/>
                <w:bCs/>
                <w:color w:val="4F81BD" w:themeColor="accent1"/>
                <w:sz w:val="18"/>
                <w:szCs w:val="18"/>
              </w:rPr>
            </w:pPr>
            <w:r w:rsidRPr="00BC0591">
              <w:rPr>
                <w:b/>
                <w:bCs/>
                <w:color w:val="4F81BD" w:themeColor="accent1"/>
                <w:sz w:val="18"/>
                <w:szCs w:val="18"/>
              </w:rPr>
              <w:t>Disposal</w:t>
            </w:r>
          </w:p>
        </w:tc>
      </w:tr>
      <w:tr w:rsidR="00BC0591" w:rsidRPr="00BC0591" w14:paraId="7C3ED082" w14:textId="77777777" w:rsidTr="00EF5E1D">
        <w:trPr>
          <w:trHeight w:val="874"/>
        </w:trPr>
        <w:tc>
          <w:tcPr>
            <w:tcW w:w="1960" w:type="dxa"/>
            <w:gridSpan w:val="2"/>
          </w:tcPr>
          <w:p w14:paraId="4DDC2CEB" w14:textId="77777777" w:rsidR="009839FF" w:rsidRPr="00BC0591" w:rsidRDefault="009839FF" w:rsidP="00EF5E1D">
            <w:pPr>
              <w:keepNext/>
              <w:keepLines/>
              <w:spacing w:line="220" w:lineRule="exact"/>
              <w:ind w:left="8"/>
              <w:rPr>
                <w:color w:val="4F81BD" w:themeColor="accent1"/>
                <w:sz w:val="18"/>
                <w:szCs w:val="18"/>
              </w:rPr>
            </w:pPr>
          </w:p>
        </w:tc>
        <w:tc>
          <w:tcPr>
            <w:tcW w:w="1843" w:type="dxa"/>
            <w:gridSpan w:val="2"/>
          </w:tcPr>
          <w:p w14:paraId="12B4142E" w14:textId="77777777" w:rsidR="009839FF" w:rsidRPr="00BC0591" w:rsidRDefault="009839FF" w:rsidP="00EF5E1D">
            <w:pPr>
              <w:pStyle w:val="BalloonText"/>
              <w:keepNext/>
              <w:keepLines/>
              <w:spacing w:line="220" w:lineRule="exact"/>
              <w:ind w:firstLine="9"/>
              <w:rPr>
                <w:rFonts w:ascii="Times New Roman" w:hAnsi="Times New Roman" w:cs="Times New Roman"/>
                <w:b/>
                <w:color w:val="4F81BD" w:themeColor="accent1"/>
              </w:rPr>
            </w:pPr>
          </w:p>
        </w:tc>
        <w:tc>
          <w:tcPr>
            <w:tcW w:w="1843" w:type="dxa"/>
            <w:gridSpan w:val="3"/>
          </w:tcPr>
          <w:p w14:paraId="2176F644" w14:textId="77777777" w:rsidR="009839FF" w:rsidRPr="00BC0591" w:rsidRDefault="009839FF" w:rsidP="00EF5E1D">
            <w:pPr>
              <w:pStyle w:val="BalloonText"/>
              <w:keepNext/>
              <w:keepLines/>
              <w:spacing w:line="220" w:lineRule="exact"/>
              <w:rPr>
                <w:rFonts w:ascii="Times New Roman" w:hAnsi="Times New Roman" w:cs="Times New Roman"/>
                <w:color w:val="4F81BD" w:themeColor="accent1"/>
              </w:rPr>
            </w:pPr>
          </w:p>
        </w:tc>
        <w:tc>
          <w:tcPr>
            <w:tcW w:w="3685" w:type="dxa"/>
            <w:gridSpan w:val="2"/>
          </w:tcPr>
          <w:p w14:paraId="6BD2421A" w14:textId="77777777" w:rsidR="009839FF" w:rsidRPr="00BC0591" w:rsidRDefault="009839FF" w:rsidP="00EF5E1D">
            <w:pPr>
              <w:keepNext/>
              <w:keepLines/>
              <w:spacing w:line="220" w:lineRule="exact"/>
              <w:rPr>
                <w:color w:val="4F81BD" w:themeColor="accent1"/>
                <w:sz w:val="18"/>
                <w:szCs w:val="18"/>
              </w:rPr>
            </w:pPr>
            <w:r w:rsidRPr="00BC0591">
              <w:rPr>
                <w:bCs/>
                <w:color w:val="4F81BD" w:themeColor="accent1"/>
                <w:sz w:val="18"/>
                <w:szCs w:val="18"/>
              </w:rPr>
              <w:t>P502</w:t>
            </w:r>
            <w:r w:rsidRPr="00BC0591">
              <w:rPr>
                <w:b/>
                <w:color w:val="4F81BD" w:themeColor="accent1"/>
                <w:sz w:val="18"/>
                <w:szCs w:val="18"/>
              </w:rPr>
              <w:br/>
            </w:r>
            <w:r w:rsidRPr="00BC0591">
              <w:rPr>
                <w:b/>
                <w:bCs/>
                <w:color w:val="4F81BD" w:themeColor="accent1"/>
                <w:sz w:val="18"/>
                <w:szCs w:val="18"/>
                <w:lang w:eastAsia="en-CA"/>
              </w:rPr>
              <w:t>Refer to manufacturer or supplier for information on recovery or recycling</w:t>
            </w:r>
          </w:p>
        </w:tc>
      </w:tr>
    </w:tbl>
    <w:p w14:paraId="5A9EED16" w14:textId="486BB531" w:rsidR="00D45103" w:rsidRPr="00BA550A" w:rsidRDefault="00BA550A" w:rsidP="00BA550A">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A550A" w:rsidSect="0072436E">
      <w:headerReference w:type="even" r:id="rId17"/>
      <w:headerReference w:type="default" r:id="rId18"/>
      <w:footerReference w:type="even" r:id="rId19"/>
      <w:footerReference w:type="default" r:id="rId20"/>
      <w:endnotePr>
        <w:numFmt w:val="decimal"/>
      </w:endnotePr>
      <w:pgSz w:w="11907" w:h="16840" w:code="9"/>
      <w:pgMar w:top="1701" w:right="1134" w:bottom="1134" w:left="1134" w:header="113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CB12" w14:textId="77777777" w:rsidR="00F577E9" w:rsidRDefault="00F577E9"/>
  </w:endnote>
  <w:endnote w:type="continuationSeparator" w:id="0">
    <w:p w14:paraId="0065697F" w14:textId="77777777" w:rsidR="00F577E9" w:rsidRDefault="00F577E9"/>
  </w:endnote>
  <w:endnote w:type="continuationNotice" w:id="1">
    <w:p w14:paraId="2D477E9A" w14:textId="77777777" w:rsidR="00F577E9" w:rsidRDefault="00F5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DC8"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80F9"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F0D7" w14:textId="77777777" w:rsidR="00F577E9" w:rsidRPr="000B175B" w:rsidRDefault="00F577E9" w:rsidP="000B175B">
      <w:pPr>
        <w:tabs>
          <w:tab w:val="right" w:pos="2155"/>
        </w:tabs>
        <w:spacing w:after="80"/>
        <w:ind w:left="680"/>
        <w:rPr>
          <w:u w:val="single"/>
        </w:rPr>
      </w:pPr>
      <w:r>
        <w:rPr>
          <w:u w:val="single"/>
        </w:rPr>
        <w:tab/>
      </w:r>
    </w:p>
  </w:footnote>
  <w:footnote w:type="continuationSeparator" w:id="0">
    <w:p w14:paraId="374B1950" w14:textId="77777777" w:rsidR="00F577E9" w:rsidRPr="00FC68B7" w:rsidRDefault="00F577E9" w:rsidP="00FC68B7">
      <w:pPr>
        <w:tabs>
          <w:tab w:val="left" w:pos="2155"/>
        </w:tabs>
        <w:spacing w:after="80"/>
        <w:ind w:left="680"/>
        <w:rPr>
          <w:u w:val="single"/>
        </w:rPr>
      </w:pPr>
      <w:r>
        <w:rPr>
          <w:u w:val="single"/>
        </w:rPr>
        <w:tab/>
      </w:r>
    </w:p>
  </w:footnote>
  <w:footnote w:type="continuationNotice" w:id="1">
    <w:p w14:paraId="260E66F6" w14:textId="77777777" w:rsidR="00F577E9" w:rsidRDefault="00F577E9"/>
  </w:footnote>
  <w:footnote w:id="2">
    <w:p w14:paraId="01A7281F" w14:textId="3F9C1532" w:rsidR="00E32AF1" w:rsidRPr="000C700A" w:rsidRDefault="00E32AF1">
      <w:pPr>
        <w:pStyle w:val="FootnoteText"/>
      </w:pPr>
      <w:r>
        <w:tab/>
      </w:r>
      <w:r>
        <w:rPr>
          <w:rStyle w:val="FootnoteReference"/>
        </w:rPr>
        <w:footnoteRef/>
      </w:r>
      <w:r>
        <w:t xml:space="preserve"> </w:t>
      </w:r>
      <w:r>
        <w:tab/>
      </w:r>
      <w:r w:rsidRPr="0026631F">
        <w:rPr>
          <w:i/>
        </w:rPr>
        <w:t xml:space="preserve">The criteria in this chapter are intended to be applied to substances and mixtures. Equipment, articles or appliances (such as refrigeration or air conditioning equipment) containing substances hazardous to the </w:t>
      </w:r>
      <w:r w:rsidRPr="00D50FA6">
        <w:rPr>
          <w:i/>
          <w:iCs/>
          <w:color w:val="4F81BD" w:themeColor="accent1"/>
        </w:rPr>
        <w:t xml:space="preserve">atmospheric system </w:t>
      </w:r>
      <w:r w:rsidRPr="00D50FA6">
        <w:rPr>
          <w:i/>
          <w:strike/>
          <w:color w:val="FF0000"/>
        </w:rPr>
        <w:t>ozone layer</w:t>
      </w:r>
      <w:r w:rsidRPr="00D50FA6">
        <w:rPr>
          <w:i/>
          <w:color w:val="FF0000"/>
        </w:rPr>
        <w:t xml:space="preserve"> </w:t>
      </w:r>
      <w:r w:rsidRPr="0026631F">
        <w:rPr>
          <w:i/>
        </w:rPr>
        <w:t>are beyond the scope of these criteria. Consistent with 1.1.2.5 (a)(iii) regarding pharmaceutical products, GHS classification and labelling criteria do not apply to medical inhalers at the point of intentional intake.</w:t>
      </w:r>
    </w:p>
  </w:footnote>
  <w:footnote w:id="3">
    <w:p w14:paraId="1E3F0036" w14:textId="6F392548" w:rsidR="007A0262" w:rsidRPr="000C700A" w:rsidRDefault="007A0262" w:rsidP="007A0262">
      <w:pPr>
        <w:pStyle w:val="FootnoteText"/>
        <w:tabs>
          <w:tab w:val="clear" w:pos="1021"/>
          <w:tab w:val="left" w:pos="426"/>
        </w:tabs>
        <w:spacing w:before="60" w:after="60"/>
        <w:ind w:left="0" w:right="141" w:firstLine="0"/>
        <w:jc w:val="both"/>
      </w:pPr>
      <w:r>
        <w:rPr>
          <w:rStyle w:val="FootnoteReference"/>
        </w:rPr>
        <w:t>1</w:t>
      </w:r>
      <w:r>
        <w:t xml:space="preserve"> </w:t>
      </w:r>
      <w:r w:rsidRPr="0026631F">
        <w:rPr>
          <w:i/>
        </w:rPr>
        <w:t xml:space="preserve">The criteria in this chapter are intended to be applied to substances and mixtures. Equipment, articles or appliances (such as refrigeration or air conditioning equipment) containing substances hazardous to the </w:t>
      </w:r>
      <w:r w:rsidRPr="003B0F10">
        <w:rPr>
          <w:i/>
          <w:iCs/>
          <w:color w:val="4F81BD" w:themeColor="accent1"/>
        </w:rPr>
        <w:t xml:space="preserve">atmospheric system </w:t>
      </w:r>
      <w:r w:rsidRPr="003B0F10">
        <w:rPr>
          <w:i/>
          <w:strike/>
          <w:color w:val="FF0000"/>
        </w:rPr>
        <w:t>ozone layer</w:t>
      </w:r>
      <w:r w:rsidRPr="003B0F10">
        <w:rPr>
          <w:i/>
          <w:color w:val="FF0000"/>
        </w:rPr>
        <w:t xml:space="preserve"> </w:t>
      </w:r>
      <w:r w:rsidRPr="0026631F">
        <w:rPr>
          <w:i/>
        </w:rPr>
        <w:t>are beyond the scope of these criteria. Consistent with 1.1.2.5 (a)(iii) regarding pharmaceutical products, GHS classification and labelling criteria do not apply to medical inhalers at the point of intentional intake.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CBEE" w14:textId="394E476F" w:rsidR="006C0DC6" w:rsidRPr="0099001C" w:rsidRDefault="006C0DC6" w:rsidP="00366CA7">
    <w:pPr>
      <w:pStyle w:val="Header"/>
    </w:pPr>
    <w:r>
      <w:t>UN/SCE</w:t>
    </w:r>
    <w:r w:rsidR="00F244F1">
      <w:t>GHS</w:t>
    </w:r>
    <w:r w:rsidR="00692718">
      <w:t>/</w:t>
    </w:r>
    <w:r w:rsidR="001E40AD">
      <w:t>4</w:t>
    </w:r>
    <w:r w:rsidR="00146318">
      <w:t>4</w:t>
    </w:r>
    <w:r>
      <w:t>/INF.</w:t>
    </w:r>
    <w:r w:rsidR="00B83F8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6B16" w14:textId="23DFFE93" w:rsidR="006C0DC6" w:rsidRPr="0099001C" w:rsidRDefault="006C0DC6" w:rsidP="0099001C">
    <w:pPr>
      <w:pStyle w:val="Header"/>
      <w:jc w:val="right"/>
    </w:pPr>
    <w:r>
      <w:t>UN/SCEGHS/</w:t>
    </w:r>
    <w:r w:rsidR="001E40AD">
      <w:t>4</w:t>
    </w:r>
    <w:r w:rsidR="00146318">
      <w:t>4</w:t>
    </w:r>
    <w:r w:rsidR="00C07F9E">
      <w:t>/</w:t>
    </w:r>
    <w:r>
      <w:t>INF.</w:t>
    </w:r>
    <w:r w:rsidR="00EF605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65B90"/>
    <w:multiLevelType w:val="hybridMultilevel"/>
    <w:tmpl w:val="D9647798"/>
    <w:lvl w:ilvl="0" w:tplc="A28666B2">
      <w:start w:val="1"/>
      <w:numFmt w:val="decimal"/>
      <w:lvlText w:val="%1."/>
      <w:lvlJc w:val="left"/>
      <w:pPr>
        <w:ind w:left="720" w:hanging="360"/>
      </w:pPr>
      <w:rPr>
        <w:rFonts w:hint="default"/>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31641"/>
    <w:multiLevelType w:val="hybridMultilevel"/>
    <w:tmpl w:val="428EC2FC"/>
    <w:lvl w:ilvl="0" w:tplc="92F8CD1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259B2"/>
    <w:multiLevelType w:val="hybridMultilevel"/>
    <w:tmpl w:val="3FF049C4"/>
    <w:lvl w:ilvl="0" w:tplc="54EC4B6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081094">
    <w:abstractNumId w:val="0"/>
  </w:num>
  <w:num w:numId="2" w16cid:durableId="72633574">
    <w:abstractNumId w:val="3"/>
  </w:num>
  <w:num w:numId="3" w16cid:durableId="489759850">
    <w:abstractNumId w:val="2"/>
  </w:num>
  <w:num w:numId="4" w16cid:durableId="529955489">
    <w:abstractNumId w:val="1"/>
  </w:num>
  <w:num w:numId="5" w16cid:durableId="90761939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2F33"/>
    <w:rsid w:val="00012CCC"/>
    <w:rsid w:val="00013671"/>
    <w:rsid w:val="00014AF0"/>
    <w:rsid w:val="000211A8"/>
    <w:rsid w:val="0002166E"/>
    <w:rsid w:val="0003123C"/>
    <w:rsid w:val="00031CBB"/>
    <w:rsid w:val="00032D87"/>
    <w:rsid w:val="00033B3D"/>
    <w:rsid w:val="00035153"/>
    <w:rsid w:val="00037D3B"/>
    <w:rsid w:val="00040D3C"/>
    <w:rsid w:val="0004216B"/>
    <w:rsid w:val="000448F5"/>
    <w:rsid w:val="00045390"/>
    <w:rsid w:val="00050F6B"/>
    <w:rsid w:val="0005512E"/>
    <w:rsid w:val="000604F9"/>
    <w:rsid w:val="00065CFB"/>
    <w:rsid w:val="00066C22"/>
    <w:rsid w:val="000715C0"/>
    <w:rsid w:val="00072C8C"/>
    <w:rsid w:val="00076E62"/>
    <w:rsid w:val="00080F78"/>
    <w:rsid w:val="00081647"/>
    <w:rsid w:val="00082474"/>
    <w:rsid w:val="00083C33"/>
    <w:rsid w:val="00084F62"/>
    <w:rsid w:val="000859D7"/>
    <w:rsid w:val="000877CA"/>
    <w:rsid w:val="00090FEC"/>
    <w:rsid w:val="00092572"/>
    <w:rsid w:val="000931C0"/>
    <w:rsid w:val="000932EF"/>
    <w:rsid w:val="0009395A"/>
    <w:rsid w:val="00094F1E"/>
    <w:rsid w:val="00096CD4"/>
    <w:rsid w:val="000A0664"/>
    <w:rsid w:val="000A18E8"/>
    <w:rsid w:val="000A27C1"/>
    <w:rsid w:val="000A4960"/>
    <w:rsid w:val="000A5146"/>
    <w:rsid w:val="000B0C0A"/>
    <w:rsid w:val="000B175B"/>
    <w:rsid w:val="000B277D"/>
    <w:rsid w:val="000B3A0F"/>
    <w:rsid w:val="000B3A1F"/>
    <w:rsid w:val="000C124B"/>
    <w:rsid w:val="000C2277"/>
    <w:rsid w:val="000C3E42"/>
    <w:rsid w:val="000C6544"/>
    <w:rsid w:val="000C700A"/>
    <w:rsid w:val="000D191F"/>
    <w:rsid w:val="000D209B"/>
    <w:rsid w:val="000D39F8"/>
    <w:rsid w:val="000D3B0C"/>
    <w:rsid w:val="000E0415"/>
    <w:rsid w:val="000E2E6C"/>
    <w:rsid w:val="000E5853"/>
    <w:rsid w:val="000E776A"/>
    <w:rsid w:val="000F2D6D"/>
    <w:rsid w:val="000F368C"/>
    <w:rsid w:val="000F4338"/>
    <w:rsid w:val="000F4FAA"/>
    <w:rsid w:val="000F6C7B"/>
    <w:rsid w:val="00100A9D"/>
    <w:rsid w:val="001035FB"/>
    <w:rsid w:val="00105320"/>
    <w:rsid w:val="00107042"/>
    <w:rsid w:val="0011098D"/>
    <w:rsid w:val="00110DF6"/>
    <w:rsid w:val="00111D56"/>
    <w:rsid w:val="001176A4"/>
    <w:rsid w:val="0011793B"/>
    <w:rsid w:val="001220B8"/>
    <w:rsid w:val="00123D39"/>
    <w:rsid w:val="00137D36"/>
    <w:rsid w:val="00142C81"/>
    <w:rsid w:val="00143230"/>
    <w:rsid w:val="00146318"/>
    <w:rsid w:val="00156F3C"/>
    <w:rsid w:val="00162BF7"/>
    <w:rsid w:val="00166E15"/>
    <w:rsid w:val="00170F4C"/>
    <w:rsid w:val="001715A2"/>
    <w:rsid w:val="00172E04"/>
    <w:rsid w:val="001774E0"/>
    <w:rsid w:val="00182DDC"/>
    <w:rsid w:val="00190AEA"/>
    <w:rsid w:val="00191C2E"/>
    <w:rsid w:val="00192056"/>
    <w:rsid w:val="00195391"/>
    <w:rsid w:val="001A4AB0"/>
    <w:rsid w:val="001B0566"/>
    <w:rsid w:val="001B1CED"/>
    <w:rsid w:val="001B1F42"/>
    <w:rsid w:val="001B4B04"/>
    <w:rsid w:val="001B7FE6"/>
    <w:rsid w:val="001C180D"/>
    <w:rsid w:val="001C61A1"/>
    <w:rsid w:val="001C6663"/>
    <w:rsid w:val="001C7895"/>
    <w:rsid w:val="001D26DF"/>
    <w:rsid w:val="001D5BF3"/>
    <w:rsid w:val="001E40AD"/>
    <w:rsid w:val="001E47FD"/>
    <w:rsid w:val="001E4C75"/>
    <w:rsid w:val="001E710B"/>
    <w:rsid w:val="001F6A6D"/>
    <w:rsid w:val="00202BA7"/>
    <w:rsid w:val="00205593"/>
    <w:rsid w:val="00205A37"/>
    <w:rsid w:val="00211ADF"/>
    <w:rsid w:val="00211E0B"/>
    <w:rsid w:val="002178E4"/>
    <w:rsid w:val="0022466B"/>
    <w:rsid w:val="00226D9D"/>
    <w:rsid w:val="002348F4"/>
    <w:rsid w:val="00236E81"/>
    <w:rsid w:val="00237536"/>
    <w:rsid w:val="002405A7"/>
    <w:rsid w:val="00245F4B"/>
    <w:rsid w:val="0024624B"/>
    <w:rsid w:val="00246F41"/>
    <w:rsid w:val="002501BC"/>
    <w:rsid w:val="002505DA"/>
    <w:rsid w:val="002570BC"/>
    <w:rsid w:val="00257D55"/>
    <w:rsid w:val="00257E45"/>
    <w:rsid w:val="00260BB4"/>
    <w:rsid w:val="00261207"/>
    <w:rsid w:val="00262488"/>
    <w:rsid w:val="00266309"/>
    <w:rsid w:val="00267291"/>
    <w:rsid w:val="0027313E"/>
    <w:rsid w:val="00275662"/>
    <w:rsid w:val="00275D77"/>
    <w:rsid w:val="00277585"/>
    <w:rsid w:val="002828C1"/>
    <w:rsid w:val="00283D32"/>
    <w:rsid w:val="00284A54"/>
    <w:rsid w:val="00291AA5"/>
    <w:rsid w:val="002931D7"/>
    <w:rsid w:val="00295357"/>
    <w:rsid w:val="002958B6"/>
    <w:rsid w:val="002966C0"/>
    <w:rsid w:val="002A2D3E"/>
    <w:rsid w:val="002A5947"/>
    <w:rsid w:val="002A5A2D"/>
    <w:rsid w:val="002B1F8A"/>
    <w:rsid w:val="002B3229"/>
    <w:rsid w:val="002B3D2E"/>
    <w:rsid w:val="002C133E"/>
    <w:rsid w:val="002C38A6"/>
    <w:rsid w:val="002C40A7"/>
    <w:rsid w:val="002C4DEE"/>
    <w:rsid w:val="002C710D"/>
    <w:rsid w:val="002D59D3"/>
    <w:rsid w:val="002D7989"/>
    <w:rsid w:val="002E0624"/>
    <w:rsid w:val="002E34A6"/>
    <w:rsid w:val="002E7B40"/>
    <w:rsid w:val="002E7C49"/>
    <w:rsid w:val="002E7F8C"/>
    <w:rsid w:val="002F1024"/>
    <w:rsid w:val="002F42B7"/>
    <w:rsid w:val="002F4558"/>
    <w:rsid w:val="002F6D07"/>
    <w:rsid w:val="00300BAE"/>
    <w:rsid w:val="00300EE9"/>
    <w:rsid w:val="0030270D"/>
    <w:rsid w:val="003028D7"/>
    <w:rsid w:val="00302CD3"/>
    <w:rsid w:val="00305C3C"/>
    <w:rsid w:val="00305F41"/>
    <w:rsid w:val="0030642A"/>
    <w:rsid w:val="00307BB6"/>
    <w:rsid w:val="0031010C"/>
    <w:rsid w:val="0031024C"/>
    <w:rsid w:val="003107FA"/>
    <w:rsid w:val="00310840"/>
    <w:rsid w:val="003118D4"/>
    <w:rsid w:val="00311EC5"/>
    <w:rsid w:val="003127A2"/>
    <w:rsid w:val="00313E8C"/>
    <w:rsid w:val="003168C3"/>
    <w:rsid w:val="00321878"/>
    <w:rsid w:val="003229D8"/>
    <w:rsid w:val="00323FD8"/>
    <w:rsid w:val="00326087"/>
    <w:rsid w:val="00332301"/>
    <w:rsid w:val="00334D85"/>
    <w:rsid w:val="0033745A"/>
    <w:rsid w:val="00337513"/>
    <w:rsid w:val="00342A02"/>
    <w:rsid w:val="003443E5"/>
    <w:rsid w:val="00350146"/>
    <w:rsid w:val="00350692"/>
    <w:rsid w:val="003526AF"/>
    <w:rsid w:val="00353DBA"/>
    <w:rsid w:val="003542AA"/>
    <w:rsid w:val="003565E5"/>
    <w:rsid w:val="00366CA7"/>
    <w:rsid w:val="00366F1B"/>
    <w:rsid w:val="00367256"/>
    <w:rsid w:val="00371853"/>
    <w:rsid w:val="00373C77"/>
    <w:rsid w:val="003841B8"/>
    <w:rsid w:val="0038656E"/>
    <w:rsid w:val="00390D42"/>
    <w:rsid w:val="0039277A"/>
    <w:rsid w:val="003937A6"/>
    <w:rsid w:val="0039504C"/>
    <w:rsid w:val="003972E0"/>
    <w:rsid w:val="003A35BE"/>
    <w:rsid w:val="003A4B23"/>
    <w:rsid w:val="003B0F10"/>
    <w:rsid w:val="003B39CC"/>
    <w:rsid w:val="003C00AD"/>
    <w:rsid w:val="003C2CC4"/>
    <w:rsid w:val="003C32AD"/>
    <w:rsid w:val="003C3750"/>
    <w:rsid w:val="003C3936"/>
    <w:rsid w:val="003C40BA"/>
    <w:rsid w:val="003D02C2"/>
    <w:rsid w:val="003D0476"/>
    <w:rsid w:val="003D15AE"/>
    <w:rsid w:val="003D4B23"/>
    <w:rsid w:val="003D621B"/>
    <w:rsid w:val="003D6D11"/>
    <w:rsid w:val="003E1216"/>
    <w:rsid w:val="003E166C"/>
    <w:rsid w:val="003E1B5B"/>
    <w:rsid w:val="003E2A39"/>
    <w:rsid w:val="003F0752"/>
    <w:rsid w:val="003F103C"/>
    <w:rsid w:val="003F18A0"/>
    <w:rsid w:val="003F1ED3"/>
    <w:rsid w:val="003F7973"/>
    <w:rsid w:val="00406EF0"/>
    <w:rsid w:val="00406FCB"/>
    <w:rsid w:val="004160C6"/>
    <w:rsid w:val="004230C0"/>
    <w:rsid w:val="00426C9C"/>
    <w:rsid w:val="004325CB"/>
    <w:rsid w:val="00446DE4"/>
    <w:rsid w:val="00447538"/>
    <w:rsid w:val="0045333F"/>
    <w:rsid w:val="00453FEB"/>
    <w:rsid w:val="00454B78"/>
    <w:rsid w:val="004558E0"/>
    <w:rsid w:val="00457941"/>
    <w:rsid w:val="00460A62"/>
    <w:rsid w:val="00460DD9"/>
    <w:rsid w:val="00463BE7"/>
    <w:rsid w:val="00464AF9"/>
    <w:rsid w:val="00465BDB"/>
    <w:rsid w:val="004672DE"/>
    <w:rsid w:val="00471E4E"/>
    <w:rsid w:val="0047324D"/>
    <w:rsid w:val="004769D7"/>
    <w:rsid w:val="0048291A"/>
    <w:rsid w:val="00483579"/>
    <w:rsid w:val="004901B7"/>
    <w:rsid w:val="00495D81"/>
    <w:rsid w:val="004A2F84"/>
    <w:rsid w:val="004A41CA"/>
    <w:rsid w:val="004A6C6E"/>
    <w:rsid w:val="004A7239"/>
    <w:rsid w:val="004B14D6"/>
    <w:rsid w:val="004B2B6E"/>
    <w:rsid w:val="004B6733"/>
    <w:rsid w:val="004C50E6"/>
    <w:rsid w:val="004D0E8C"/>
    <w:rsid w:val="004D56AF"/>
    <w:rsid w:val="004D5CB2"/>
    <w:rsid w:val="004D6E91"/>
    <w:rsid w:val="004E1ECA"/>
    <w:rsid w:val="004E478E"/>
    <w:rsid w:val="004E5083"/>
    <w:rsid w:val="004E674C"/>
    <w:rsid w:val="004E6C0A"/>
    <w:rsid w:val="004F3B51"/>
    <w:rsid w:val="004F4B24"/>
    <w:rsid w:val="004F65C1"/>
    <w:rsid w:val="004F66A5"/>
    <w:rsid w:val="00503228"/>
    <w:rsid w:val="005049A9"/>
    <w:rsid w:val="00505384"/>
    <w:rsid w:val="00511072"/>
    <w:rsid w:val="005141C1"/>
    <w:rsid w:val="00516318"/>
    <w:rsid w:val="00523086"/>
    <w:rsid w:val="0052543F"/>
    <w:rsid w:val="005254AC"/>
    <w:rsid w:val="005302F8"/>
    <w:rsid w:val="00532EF8"/>
    <w:rsid w:val="00533A2F"/>
    <w:rsid w:val="005356FB"/>
    <w:rsid w:val="00540DD6"/>
    <w:rsid w:val="005420F2"/>
    <w:rsid w:val="005504B6"/>
    <w:rsid w:val="00553222"/>
    <w:rsid w:val="00570364"/>
    <w:rsid w:val="00570DDB"/>
    <w:rsid w:val="00572B36"/>
    <w:rsid w:val="00573B67"/>
    <w:rsid w:val="005777F3"/>
    <w:rsid w:val="005850CA"/>
    <w:rsid w:val="0059090E"/>
    <w:rsid w:val="00590B7E"/>
    <w:rsid w:val="0059189E"/>
    <w:rsid w:val="00592D34"/>
    <w:rsid w:val="0059731C"/>
    <w:rsid w:val="005A113F"/>
    <w:rsid w:val="005A531C"/>
    <w:rsid w:val="005B1F57"/>
    <w:rsid w:val="005B2C89"/>
    <w:rsid w:val="005B3DB3"/>
    <w:rsid w:val="005B4554"/>
    <w:rsid w:val="005C4858"/>
    <w:rsid w:val="005C53DB"/>
    <w:rsid w:val="005C563A"/>
    <w:rsid w:val="005D425A"/>
    <w:rsid w:val="005E743D"/>
    <w:rsid w:val="005F0ED6"/>
    <w:rsid w:val="005F7309"/>
    <w:rsid w:val="00602FF5"/>
    <w:rsid w:val="00603E59"/>
    <w:rsid w:val="00605319"/>
    <w:rsid w:val="0061022E"/>
    <w:rsid w:val="00611FC4"/>
    <w:rsid w:val="00616DA1"/>
    <w:rsid w:val="006176FB"/>
    <w:rsid w:val="006218CD"/>
    <w:rsid w:val="00623353"/>
    <w:rsid w:val="006241C1"/>
    <w:rsid w:val="00624260"/>
    <w:rsid w:val="00627ED0"/>
    <w:rsid w:val="00633B10"/>
    <w:rsid w:val="00633B6C"/>
    <w:rsid w:val="00634702"/>
    <w:rsid w:val="00635D36"/>
    <w:rsid w:val="00640B26"/>
    <w:rsid w:val="00643E18"/>
    <w:rsid w:val="006440F3"/>
    <w:rsid w:val="00645CD2"/>
    <w:rsid w:val="00645F39"/>
    <w:rsid w:val="00646911"/>
    <w:rsid w:val="006524FE"/>
    <w:rsid w:val="00661C7B"/>
    <w:rsid w:val="006631FC"/>
    <w:rsid w:val="006632CE"/>
    <w:rsid w:val="0066390F"/>
    <w:rsid w:val="006651F4"/>
    <w:rsid w:val="00665595"/>
    <w:rsid w:val="006666F6"/>
    <w:rsid w:val="00677682"/>
    <w:rsid w:val="00677FFB"/>
    <w:rsid w:val="00680497"/>
    <w:rsid w:val="00684780"/>
    <w:rsid w:val="00686A4C"/>
    <w:rsid w:val="00691F20"/>
    <w:rsid w:val="00692718"/>
    <w:rsid w:val="00693543"/>
    <w:rsid w:val="00694E7D"/>
    <w:rsid w:val="006A3F47"/>
    <w:rsid w:val="006A4D36"/>
    <w:rsid w:val="006A5235"/>
    <w:rsid w:val="006A55EF"/>
    <w:rsid w:val="006A7392"/>
    <w:rsid w:val="006A7757"/>
    <w:rsid w:val="006B352C"/>
    <w:rsid w:val="006B4217"/>
    <w:rsid w:val="006B4EA7"/>
    <w:rsid w:val="006B71CD"/>
    <w:rsid w:val="006C0DC6"/>
    <w:rsid w:val="006C52B9"/>
    <w:rsid w:val="006D258E"/>
    <w:rsid w:val="006D2C01"/>
    <w:rsid w:val="006D3111"/>
    <w:rsid w:val="006D5BDC"/>
    <w:rsid w:val="006E09C2"/>
    <w:rsid w:val="006E470E"/>
    <w:rsid w:val="006E4F08"/>
    <w:rsid w:val="006E5093"/>
    <w:rsid w:val="006E564B"/>
    <w:rsid w:val="006E7CEF"/>
    <w:rsid w:val="006F17B5"/>
    <w:rsid w:val="006F1999"/>
    <w:rsid w:val="006F2032"/>
    <w:rsid w:val="006F2413"/>
    <w:rsid w:val="00702BA6"/>
    <w:rsid w:val="00703D6C"/>
    <w:rsid w:val="007054E7"/>
    <w:rsid w:val="0070625A"/>
    <w:rsid w:val="0071349F"/>
    <w:rsid w:val="00717E07"/>
    <w:rsid w:val="00720DEB"/>
    <w:rsid w:val="00720E11"/>
    <w:rsid w:val="00721C1F"/>
    <w:rsid w:val="0072436E"/>
    <w:rsid w:val="00725594"/>
    <w:rsid w:val="0072632A"/>
    <w:rsid w:val="0073084C"/>
    <w:rsid w:val="007327BF"/>
    <w:rsid w:val="00733AAE"/>
    <w:rsid w:val="00741094"/>
    <w:rsid w:val="007415A9"/>
    <w:rsid w:val="00745024"/>
    <w:rsid w:val="00745630"/>
    <w:rsid w:val="007503C7"/>
    <w:rsid w:val="00752BD5"/>
    <w:rsid w:val="00754C99"/>
    <w:rsid w:val="00754EE1"/>
    <w:rsid w:val="00755A5C"/>
    <w:rsid w:val="00763C11"/>
    <w:rsid w:val="00773A09"/>
    <w:rsid w:val="0077406B"/>
    <w:rsid w:val="00774CCF"/>
    <w:rsid w:val="007750C3"/>
    <w:rsid w:val="00781A60"/>
    <w:rsid w:val="0078400A"/>
    <w:rsid w:val="00787875"/>
    <w:rsid w:val="00787C77"/>
    <w:rsid w:val="00790122"/>
    <w:rsid w:val="007931C9"/>
    <w:rsid w:val="00793B61"/>
    <w:rsid w:val="007952B3"/>
    <w:rsid w:val="00795BA9"/>
    <w:rsid w:val="007A0262"/>
    <w:rsid w:val="007A0A17"/>
    <w:rsid w:val="007A3C2E"/>
    <w:rsid w:val="007A3FBD"/>
    <w:rsid w:val="007A46B3"/>
    <w:rsid w:val="007A4977"/>
    <w:rsid w:val="007A56B1"/>
    <w:rsid w:val="007A7379"/>
    <w:rsid w:val="007B16C8"/>
    <w:rsid w:val="007B179E"/>
    <w:rsid w:val="007B30A6"/>
    <w:rsid w:val="007B6BA5"/>
    <w:rsid w:val="007C22F5"/>
    <w:rsid w:val="007C3390"/>
    <w:rsid w:val="007C3709"/>
    <w:rsid w:val="007C41E2"/>
    <w:rsid w:val="007C4A94"/>
    <w:rsid w:val="007C4F4B"/>
    <w:rsid w:val="007C5AA6"/>
    <w:rsid w:val="007D4767"/>
    <w:rsid w:val="007E7DCA"/>
    <w:rsid w:val="007F025F"/>
    <w:rsid w:val="007F07A4"/>
    <w:rsid w:val="007F0B83"/>
    <w:rsid w:val="007F2A10"/>
    <w:rsid w:val="007F48EF"/>
    <w:rsid w:val="007F4FCD"/>
    <w:rsid w:val="007F64C3"/>
    <w:rsid w:val="007F6611"/>
    <w:rsid w:val="00801114"/>
    <w:rsid w:val="00801E05"/>
    <w:rsid w:val="008166C5"/>
    <w:rsid w:val="0081732C"/>
    <w:rsid w:val="008175E9"/>
    <w:rsid w:val="008200F6"/>
    <w:rsid w:val="00820370"/>
    <w:rsid w:val="00822F07"/>
    <w:rsid w:val="008242D7"/>
    <w:rsid w:val="00826EFF"/>
    <w:rsid w:val="00827E05"/>
    <w:rsid w:val="00830DB0"/>
    <w:rsid w:val="008311A3"/>
    <w:rsid w:val="00836AF7"/>
    <w:rsid w:val="00842E4A"/>
    <w:rsid w:val="00847C30"/>
    <w:rsid w:val="00852EAB"/>
    <w:rsid w:val="00854525"/>
    <w:rsid w:val="00854F2C"/>
    <w:rsid w:val="0086000D"/>
    <w:rsid w:val="00860FF5"/>
    <w:rsid w:val="00861ED3"/>
    <w:rsid w:val="00863D05"/>
    <w:rsid w:val="00865A21"/>
    <w:rsid w:val="00870D13"/>
    <w:rsid w:val="00871FD5"/>
    <w:rsid w:val="00873530"/>
    <w:rsid w:val="0087598F"/>
    <w:rsid w:val="008761E9"/>
    <w:rsid w:val="00881544"/>
    <w:rsid w:val="00886EDC"/>
    <w:rsid w:val="00896186"/>
    <w:rsid w:val="00896995"/>
    <w:rsid w:val="008979B1"/>
    <w:rsid w:val="008A643A"/>
    <w:rsid w:val="008A6B25"/>
    <w:rsid w:val="008A6C1B"/>
    <w:rsid w:val="008A6C4F"/>
    <w:rsid w:val="008B0CE3"/>
    <w:rsid w:val="008B6E26"/>
    <w:rsid w:val="008C34B0"/>
    <w:rsid w:val="008C64C8"/>
    <w:rsid w:val="008C6CD3"/>
    <w:rsid w:val="008D0BEF"/>
    <w:rsid w:val="008D5C5D"/>
    <w:rsid w:val="008D7B52"/>
    <w:rsid w:val="008E0E46"/>
    <w:rsid w:val="008E4C4C"/>
    <w:rsid w:val="008E63D9"/>
    <w:rsid w:val="008F7DA2"/>
    <w:rsid w:val="00902BF1"/>
    <w:rsid w:val="00905BB8"/>
    <w:rsid w:val="00906D38"/>
    <w:rsid w:val="00907AD2"/>
    <w:rsid w:val="00911047"/>
    <w:rsid w:val="009134D8"/>
    <w:rsid w:val="00921936"/>
    <w:rsid w:val="00921DF8"/>
    <w:rsid w:val="00922225"/>
    <w:rsid w:val="00923580"/>
    <w:rsid w:val="00927FFB"/>
    <w:rsid w:val="00930308"/>
    <w:rsid w:val="00933D9F"/>
    <w:rsid w:val="00935057"/>
    <w:rsid w:val="0093545E"/>
    <w:rsid w:val="00940200"/>
    <w:rsid w:val="00940735"/>
    <w:rsid w:val="00940847"/>
    <w:rsid w:val="0094220B"/>
    <w:rsid w:val="00951778"/>
    <w:rsid w:val="009524E5"/>
    <w:rsid w:val="00952BE3"/>
    <w:rsid w:val="009564E3"/>
    <w:rsid w:val="0095713C"/>
    <w:rsid w:val="00957AD6"/>
    <w:rsid w:val="009612BF"/>
    <w:rsid w:val="00963CBA"/>
    <w:rsid w:val="0096731F"/>
    <w:rsid w:val="009715EE"/>
    <w:rsid w:val="00972C23"/>
    <w:rsid w:val="00974146"/>
    <w:rsid w:val="00974A8D"/>
    <w:rsid w:val="00974F4C"/>
    <w:rsid w:val="009754D8"/>
    <w:rsid w:val="00975826"/>
    <w:rsid w:val="0098016B"/>
    <w:rsid w:val="009839FF"/>
    <w:rsid w:val="00985096"/>
    <w:rsid w:val="00986712"/>
    <w:rsid w:val="00987072"/>
    <w:rsid w:val="009871E8"/>
    <w:rsid w:val="00987E26"/>
    <w:rsid w:val="0099001C"/>
    <w:rsid w:val="009901DF"/>
    <w:rsid w:val="00991261"/>
    <w:rsid w:val="00992BE6"/>
    <w:rsid w:val="009A0D5F"/>
    <w:rsid w:val="009A23DA"/>
    <w:rsid w:val="009A2732"/>
    <w:rsid w:val="009B55EC"/>
    <w:rsid w:val="009B6EA9"/>
    <w:rsid w:val="009B71F3"/>
    <w:rsid w:val="009C31E7"/>
    <w:rsid w:val="009D0B69"/>
    <w:rsid w:val="009D0EC7"/>
    <w:rsid w:val="009D1390"/>
    <w:rsid w:val="009D1B37"/>
    <w:rsid w:val="009D21D5"/>
    <w:rsid w:val="009E2F2F"/>
    <w:rsid w:val="009E72B5"/>
    <w:rsid w:val="009E7708"/>
    <w:rsid w:val="009E7885"/>
    <w:rsid w:val="009E7EB1"/>
    <w:rsid w:val="009F24EE"/>
    <w:rsid w:val="009F3A17"/>
    <w:rsid w:val="009F60E2"/>
    <w:rsid w:val="009F6B7B"/>
    <w:rsid w:val="009F6E01"/>
    <w:rsid w:val="00A103CC"/>
    <w:rsid w:val="00A119EF"/>
    <w:rsid w:val="00A1427D"/>
    <w:rsid w:val="00A1649D"/>
    <w:rsid w:val="00A16FE9"/>
    <w:rsid w:val="00A202EC"/>
    <w:rsid w:val="00A22066"/>
    <w:rsid w:val="00A277C8"/>
    <w:rsid w:val="00A27974"/>
    <w:rsid w:val="00A3227A"/>
    <w:rsid w:val="00A341C1"/>
    <w:rsid w:val="00A36772"/>
    <w:rsid w:val="00A36D59"/>
    <w:rsid w:val="00A41C9A"/>
    <w:rsid w:val="00A429E3"/>
    <w:rsid w:val="00A449C3"/>
    <w:rsid w:val="00A467EC"/>
    <w:rsid w:val="00A477A7"/>
    <w:rsid w:val="00A52B4E"/>
    <w:rsid w:val="00A5384D"/>
    <w:rsid w:val="00A548BF"/>
    <w:rsid w:val="00A55FB2"/>
    <w:rsid w:val="00A605AD"/>
    <w:rsid w:val="00A65B71"/>
    <w:rsid w:val="00A6650E"/>
    <w:rsid w:val="00A665BE"/>
    <w:rsid w:val="00A67424"/>
    <w:rsid w:val="00A67771"/>
    <w:rsid w:val="00A70749"/>
    <w:rsid w:val="00A71EC0"/>
    <w:rsid w:val="00A72F22"/>
    <w:rsid w:val="00A748A6"/>
    <w:rsid w:val="00A805EB"/>
    <w:rsid w:val="00A81711"/>
    <w:rsid w:val="00A8577D"/>
    <w:rsid w:val="00A8584C"/>
    <w:rsid w:val="00A879A4"/>
    <w:rsid w:val="00A91158"/>
    <w:rsid w:val="00A944AC"/>
    <w:rsid w:val="00A94CB3"/>
    <w:rsid w:val="00A958C8"/>
    <w:rsid w:val="00A97044"/>
    <w:rsid w:val="00A972A2"/>
    <w:rsid w:val="00AA332B"/>
    <w:rsid w:val="00AA496B"/>
    <w:rsid w:val="00AA7F68"/>
    <w:rsid w:val="00AB3FD6"/>
    <w:rsid w:val="00AC2B6F"/>
    <w:rsid w:val="00AC2BA3"/>
    <w:rsid w:val="00AC35ED"/>
    <w:rsid w:val="00AC6829"/>
    <w:rsid w:val="00AC706E"/>
    <w:rsid w:val="00AD6092"/>
    <w:rsid w:val="00AE1B50"/>
    <w:rsid w:val="00AE2DBE"/>
    <w:rsid w:val="00AE3FBF"/>
    <w:rsid w:val="00AF26F8"/>
    <w:rsid w:val="00B00FE6"/>
    <w:rsid w:val="00B02038"/>
    <w:rsid w:val="00B02EDF"/>
    <w:rsid w:val="00B10465"/>
    <w:rsid w:val="00B10CA2"/>
    <w:rsid w:val="00B1427F"/>
    <w:rsid w:val="00B20C88"/>
    <w:rsid w:val="00B2444F"/>
    <w:rsid w:val="00B30179"/>
    <w:rsid w:val="00B3083A"/>
    <w:rsid w:val="00B336DE"/>
    <w:rsid w:val="00B33EC0"/>
    <w:rsid w:val="00B40E5F"/>
    <w:rsid w:val="00B42153"/>
    <w:rsid w:val="00B4319A"/>
    <w:rsid w:val="00B4326D"/>
    <w:rsid w:val="00B44F71"/>
    <w:rsid w:val="00B546FA"/>
    <w:rsid w:val="00B561A9"/>
    <w:rsid w:val="00B5742C"/>
    <w:rsid w:val="00B618F2"/>
    <w:rsid w:val="00B81E12"/>
    <w:rsid w:val="00B83093"/>
    <w:rsid w:val="00B83916"/>
    <w:rsid w:val="00B839A7"/>
    <w:rsid w:val="00B83F82"/>
    <w:rsid w:val="00B845D6"/>
    <w:rsid w:val="00B85329"/>
    <w:rsid w:val="00B87CF1"/>
    <w:rsid w:val="00B90C56"/>
    <w:rsid w:val="00B94086"/>
    <w:rsid w:val="00B953BE"/>
    <w:rsid w:val="00BA1611"/>
    <w:rsid w:val="00BA4ED4"/>
    <w:rsid w:val="00BA515F"/>
    <w:rsid w:val="00BA550A"/>
    <w:rsid w:val="00BB116C"/>
    <w:rsid w:val="00BB4DFB"/>
    <w:rsid w:val="00BB5DF7"/>
    <w:rsid w:val="00BB6799"/>
    <w:rsid w:val="00BC0591"/>
    <w:rsid w:val="00BC3830"/>
    <w:rsid w:val="00BC3C7D"/>
    <w:rsid w:val="00BC74E9"/>
    <w:rsid w:val="00BD2146"/>
    <w:rsid w:val="00BD5794"/>
    <w:rsid w:val="00BE16E4"/>
    <w:rsid w:val="00BE4F74"/>
    <w:rsid w:val="00BE6017"/>
    <w:rsid w:val="00BE618E"/>
    <w:rsid w:val="00BE725B"/>
    <w:rsid w:val="00BE7E74"/>
    <w:rsid w:val="00BF4200"/>
    <w:rsid w:val="00C07F9E"/>
    <w:rsid w:val="00C07FD5"/>
    <w:rsid w:val="00C1027D"/>
    <w:rsid w:val="00C1144D"/>
    <w:rsid w:val="00C117F2"/>
    <w:rsid w:val="00C12062"/>
    <w:rsid w:val="00C127CB"/>
    <w:rsid w:val="00C17699"/>
    <w:rsid w:val="00C1778D"/>
    <w:rsid w:val="00C25DDD"/>
    <w:rsid w:val="00C2784E"/>
    <w:rsid w:val="00C33A83"/>
    <w:rsid w:val="00C37443"/>
    <w:rsid w:val="00C419CE"/>
    <w:rsid w:val="00C41A28"/>
    <w:rsid w:val="00C463DD"/>
    <w:rsid w:val="00C505B2"/>
    <w:rsid w:val="00C527B3"/>
    <w:rsid w:val="00C564FA"/>
    <w:rsid w:val="00C6298F"/>
    <w:rsid w:val="00C67B25"/>
    <w:rsid w:val="00C73EA4"/>
    <w:rsid w:val="00C745C3"/>
    <w:rsid w:val="00C75695"/>
    <w:rsid w:val="00C94B66"/>
    <w:rsid w:val="00C9663B"/>
    <w:rsid w:val="00CA1321"/>
    <w:rsid w:val="00CA59D6"/>
    <w:rsid w:val="00CA797A"/>
    <w:rsid w:val="00CB1281"/>
    <w:rsid w:val="00CC65C1"/>
    <w:rsid w:val="00CC716F"/>
    <w:rsid w:val="00CD1260"/>
    <w:rsid w:val="00CE14AF"/>
    <w:rsid w:val="00CE3C0E"/>
    <w:rsid w:val="00CE4A8F"/>
    <w:rsid w:val="00CE4CB7"/>
    <w:rsid w:val="00CE5DA9"/>
    <w:rsid w:val="00CF1FA2"/>
    <w:rsid w:val="00CF2FA9"/>
    <w:rsid w:val="00D032BA"/>
    <w:rsid w:val="00D05E94"/>
    <w:rsid w:val="00D06FFE"/>
    <w:rsid w:val="00D078A9"/>
    <w:rsid w:val="00D171FE"/>
    <w:rsid w:val="00D1722D"/>
    <w:rsid w:val="00D20104"/>
    <w:rsid w:val="00D2031B"/>
    <w:rsid w:val="00D23428"/>
    <w:rsid w:val="00D24347"/>
    <w:rsid w:val="00D25FE2"/>
    <w:rsid w:val="00D279BB"/>
    <w:rsid w:val="00D304ED"/>
    <w:rsid w:val="00D317BB"/>
    <w:rsid w:val="00D3192B"/>
    <w:rsid w:val="00D31A35"/>
    <w:rsid w:val="00D35D8F"/>
    <w:rsid w:val="00D37410"/>
    <w:rsid w:val="00D427F4"/>
    <w:rsid w:val="00D43252"/>
    <w:rsid w:val="00D4403B"/>
    <w:rsid w:val="00D45103"/>
    <w:rsid w:val="00D46E56"/>
    <w:rsid w:val="00D47074"/>
    <w:rsid w:val="00D50FA6"/>
    <w:rsid w:val="00D514B3"/>
    <w:rsid w:val="00D53650"/>
    <w:rsid w:val="00D56F2D"/>
    <w:rsid w:val="00D63AF3"/>
    <w:rsid w:val="00D64ED3"/>
    <w:rsid w:val="00D64F75"/>
    <w:rsid w:val="00D66FD7"/>
    <w:rsid w:val="00D73FDD"/>
    <w:rsid w:val="00D74E9A"/>
    <w:rsid w:val="00D815EC"/>
    <w:rsid w:val="00D81865"/>
    <w:rsid w:val="00D81A2B"/>
    <w:rsid w:val="00D90195"/>
    <w:rsid w:val="00D9246C"/>
    <w:rsid w:val="00D978C6"/>
    <w:rsid w:val="00DA3054"/>
    <w:rsid w:val="00DA4DC9"/>
    <w:rsid w:val="00DA618C"/>
    <w:rsid w:val="00DA67AD"/>
    <w:rsid w:val="00DB27B6"/>
    <w:rsid w:val="00DB5D0F"/>
    <w:rsid w:val="00DC2272"/>
    <w:rsid w:val="00DC3156"/>
    <w:rsid w:val="00DC3242"/>
    <w:rsid w:val="00DC7230"/>
    <w:rsid w:val="00DC7F2C"/>
    <w:rsid w:val="00DD1E2D"/>
    <w:rsid w:val="00DD4EB5"/>
    <w:rsid w:val="00DD5F36"/>
    <w:rsid w:val="00DD6647"/>
    <w:rsid w:val="00DD6DB6"/>
    <w:rsid w:val="00DE057D"/>
    <w:rsid w:val="00DE48FC"/>
    <w:rsid w:val="00DF0A29"/>
    <w:rsid w:val="00DF12F7"/>
    <w:rsid w:val="00DF2C64"/>
    <w:rsid w:val="00DF6813"/>
    <w:rsid w:val="00DF6F00"/>
    <w:rsid w:val="00E018A8"/>
    <w:rsid w:val="00E01AFD"/>
    <w:rsid w:val="00E027C0"/>
    <w:rsid w:val="00E02BA9"/>
    <w:rsid w:val="00E02C81"/>
    <w:rsid w:val="00E05953"/>
    <w:rsid w:val="00E06EAB"/>
    <w:rsid w:val="00E07263"/>
    <w:rsid w:val="00E130AB"/>
    <w:rsid w:val="00E218CA"/>
    <w:rsid w:val="00E21DB3"/>
    <w:rsid w:val="00E24274"/>
    <w:rsid w:val="00E243CB"/>
    <w:rsid w:val="00E259FD"/>
    <w:rsid w:val="00E25C7F"/>
    <w:rsid w:val="00E26913"/>
    <w:rsid w:val="00E329E0"/>
    <w:rsid w:val="00E32AF1"/>
    <w:rsid w:val="00E50499"/>
    <w:rsid w:val="00E56E17"/>
    <w:rsid w:val="00E61F55"/>
    <w:rsid w:val="00E64376"/>
    <w:rsid w:val="00E6761B"/>
    <w:rsid w:val="00E71B23"/>
    <w:rsid w:val="00E7260F"/>
    <w:rsid w:val="00E72FE9"/>
    <w:rsid w:val="00E80F5F"/>
    <w:rsid w:val="00E810AA"/>
    <w:rsid w:val="00E828B8"/>
    <w:rsid w:val="00E85307"/>
    <w:rsid w:val="00E87921"/>
    <w:rsid w:val="00E9159E"/>
    <w:rsid w:val="00E94505"/>
    <w:rsid w:val="00E949B2"/>
    <w:rsid w:val="00E96630"/>
    <w:rsid w:val="00E97F8A"/>
    <w:rsid w:val="00EA264E"/>
    <w:rsid w:val="00EA2D43"/>
    <w:rsid w:val="00EA3A41"/>
    <w:rsid w:val="00EA52FB"/>
    <w:rsid w:val="00EA5E8A"/>
    <w:rsid w:val="00EB430E"/>
    <w:rsid w:val="00EB7DAE"/>
    <w:rsid w:val="00EC0D2D"/>
    <w:rsid w:val="00EC2A90"/>
    <w:rsid w:val="00EC3AE0"/>
    <w:rsid w:val="00EC5C86"/>
    <w:rsid w:val="00EC66FE"/>
    <w:rsid w:val="00ED5C86"/>
    <w:rsid w:val="00ED6CF6"/>
    <w:rsid w:val="00ED7A2A"/>
    <w:rsid w:val="00EE5DF8"/>
    <w:rsid w:val="00EE686F"/>
    <w:rsid w:val="00EE771C"/>
    <w:rsid w:val="00EF0716"/>
    <w:rsid w:val="00EF0A24"/>
    <w:rsid w:val="00EF1D7F"/>
    <w:rsid w:val="00EF3A31"/>
    <w:rsid w:val="00EF605B"/>
    <w:rsid w:val="00EF6618"/>
    <w:rsid w:val="00EF7A6D"/>
    <w:rsid w:val="00EF7DEE"/>
    <w:rsid w:val="00F05659"/>
    <w:rsid w:val="00F07179"/>
    <w:rsid w:val="00F10DBF"/>
    <w:rsid w:val="00F11145"/>
    <w:rsid w:val="00F112C2"/>
    <w:rsid w:val="00F17440"/>
    <w:rsid w:val="00F20A41"/>
    <w:rsid w:val="00F2251B"/>
    <w:rsid w:val="00F227C7"/>
    <w:rsid w:val="00F23051"/>
    <w:rsid w:val="00F244F1"/>
    <w:rsid w:val="00F27EFF"/>
    <w:rsid w:val="00F27F41"/>
    <w:rsid w:val="00F30322"/>
    <w:rsid w:val="00F31CF4"/>
    <w:rsid w:val="00F32BB4"/>
    <w:rsid w:val="00F36A8F"/>
    <w:rsid w:val="00F37CBD"/>
    <w:rsid w:val="00F4234A"/>
    <w:rsid w:val="00F429EB"/>
    <w:rsid w:val="00F44D10"/>
    <w:rsid w:val="00F50504"/>
    <w:rsid w:val="00F53EDA"/>
    <w:rsid w:val="00F577E9"/>
    <w:rsid w:val="00F6169D"/>
    <w:rsid w:val="00F618D8"/>
    <w:rsid w:val="00F61FC5"/>
    <w:rsid w:val="00F75075"/>
    <w:rsid w:val="00F7753D"/>
    <w:rsid w:val="00F84736"/>
    <w:rsid w:val="00F85F34"/>
    <w:rsid w:val="00F8676A"/>
    <w:rsid w:val="00F87F19"/>
    <w:rsid w:val="00F90674"/>
    <w:rsid w:val="00F96ABA"/>
    <w:rsid w:val="00F9789D"/>
    <w:rsid w:val="00FA06F7"/>
    <w:rsid w:val="00FA3A6F"/>
    <w:rsid w:val="00FB003B"/>
    <w:rsid w:val="00FB09F9"/>
    <w:rsid w:val="00FB171A"/>
    <w:rsid w:val="00FB48D5"/>
    <w:rsid w:val="00FC68B7"/>
    <w:rsid w:val="00FD4730"/>
    <w:rsid w:val="00FD4D51"/>
    <w:rsid w:val="00FD4DBE"/>
    <w:rsid w:val="00FD4F7E"/>
    <w:rsid w:val="00FD7BF6"/>
    <w:rsid w:val="00FE57F9"/>
    <w:rsid w:val="00FE7133"/>
    <w:rsid w:val="00FE7C0B"/>
    <w:rsid w:val="00FF0A40"/>
    <w:rsid w:val="00FF1DEA"/>
    <w:rsid w:val="00FF5918"/>
    <w:rsid w:val="00FF6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65F1"/>
  <w15:docId w15:val="{75F221BB-1AA6-4A64-AA9F-AED12B9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F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paragraph" w:styleId="BalloonText">
    <w:name w:val="Balloon Text"/>
    <w:basedOn w:val="Normal"/>
    <w:link w:val="BalloonTextChar"/>
    <w:unhideWhenUsed/>
    <w:rsid w:val="00447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47538"/>
    <w:rPr>
      <w:rFonts w:ascii="Segoe UI" w:hAnsi="Segoe UI" w:cs="Segoe UI"/>
      <w:sz w:val="18"/>
      <w:szCs w:val="18"/>
      <w:lang w:eastAsia="en-US"/>
    </w:rPr>
  </w:style>
  <w:style w:type="character" w:styleId="CommentReference">
    <w:name w:val="annotation reference"/>
    <w:basedOn w:val="DefaultParagraphFont"/>
    <w:semiHidden/>
    <w:unhideWhenUsed/>
    <w:rsid w:val="00B953BE"/>
    <w:rPr>
      <w:sz w:val="6"/>
    </w:rPr>
  </w:style>
  <w:style w:type="character" w:customStyle="1" w:styleId="H1GChar">
    <w:name w:val="_ H_1_G Char"/>
    <w:link w:val="H1G"/>
    <w:rsid w:val="00D304ED"/>
    <w:rPr>
      <w:b/>
      <w:sz w:val="24"/>
      <w:lang w:eastAsia="en-US"/>
    </w:rPr>
  </w:style>
  <w:style w:type="character" w:customStyle="1" w:styleId="Heading2Char">
    <w:name w:val="Heading 2 Char"/>
    <w:aliases w:val="GHS Chapter Heading Char"/>
    <w:basedOn w:val="DefaultParagraphFont"/>
    <w:link w:val="Heading2"/>
    <w:rsid w:val="00B83F82"/>
    <w:rPr>
      <w:lang w:eastAsia="en-US"/>
    </w:rPr>
  </w:style>
  <w:style w:type="character" w:customStyle="1" w:styleId="Heading5Char">
    <w:name w:val="Heading 5 Char"/>
    <w:basedOn w:val="DefaultParagraphFont"/>
    <w:link w:val="Heading5"/>
    <w:rsid w:val="00B83F82"/>
    <w:rPr>
      <w:lang w:eastAsia="en-US"/>
    </w:rPr>
  </w:style>
  <w:style w:type="paragraph" w:customStyle="1" w:styleId="GHSHeading3">
    <w:name w:val="GHSHeading3"/>
    <w:basedOn w:val="Heading3"/>
    <w:rsid w:val="00B83F82"/>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B83F8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yleBold">
    <w:name w:val="Style Bold"/>
    <w:rsid w:val="00B02EDF"/>
    <w:rPr>
      <w:rFonts w:ascii="Times New Roman" w:hAnsi="Times New Roman"/>
      <w:b/>
      <w:bCs/>
    </w:rPr>
  </w:style>
  <w:style w:type="character" w:customStyle="1" w:styleId="Heading3Char">
    <w:name w:val="Heading 3 Char"/>
    <w:basedOn w:val="DefaultParagraphFont"/>
    <w:link w:val="Heading3"/>
    <w:rsid w:val="00FE7C0B"/>
    <w:rPr>
      <w:lang w:eastAsia="en-US"/>
    </w:rPr>
  </w:style>
  <w:style w:type="character" w:customStyle="1" w:styleId="HeaderChar">
    <w:name w:val="Header Char"/>
    <w:aliases w:val="6_G Char"/>
    <w:basedOn w:val="DefaultParagraphFont"/>
    <w:link w:val="Header"/>
    <w:rsid w:val="0072436E"/>
    <w:rPr>
      <w:b/>
      <w:sz w:val="18"/>
      <w:lang w:eastAsia="en-US"/>
    </w:rPr>
  </w:style>
  <w:style w:type="paragraph" w:styleId="Revision">
    <w:name w:val="Revision"/>
    <w:hidden/>
    <w:uiPriority w:val="99"/>
    <w:semiHidden/>
    <w:rsid w:val="00906D38"/>
    <w:rPr>
      <w:lang w:eastAsia="en-US"/>
    </w:rPr>
  </w:style>
  <w:style w:type="character" w:customStyle="1" w:styleId="Heading7Char">
    <w:name w:val="Heading 7 Char"/>
    <w:basedOn w:val="DefaultParagraphFont"/>
    <w:link w:val="Heading7"/>
    <w:rsid w:val="00886EDC"/>
    <w:rPr>
      <w:lang w:eastAsia="en-US"/>
    </w:rPr>
  </w:style>
  <w:style w:type="paragraph" w:styleId="CommentText">
    <w:name w:val="annotation text"/>
    <w:basedOn w:val="Normal"/>
    <w:link w:val="CommentTextChar"/>
    <w:semiHidden/>
    <w:unhideWhenUsed/>
    <w:rsid w:val="00F75075"/>
    <w:pPr>
      <w:spacing w:line="240" w:lineRule="auto"/>
    </w:pPr>
  </w:style>
  <w:style w:type="character" w:customStyle="1" w:styleId="CommentTextChar">
    <w:name w:val="Comment Text Char"/>
    <w:basedOn w:val="DefaultParagraphFont"/>
    <w:link w:val="CommentText"/>
    <w:semiHidden/>
    <w:rsid w:val="00F75075"/>
    <w:rPr>
      <w:lang w:eastAsia="en-US"/>
    </w:rPr>
  </w:style>
  <w:style w:type="paragraph" w:styleId="CommentSubject">
    <w:name w:val="annotation subject"/>
    <w:basedOn w:val="CommentText"/>
    <w:next w:val="CommentText"/>
    <w:link w:val="CommentSubjectChar"/>
    <w:semiHidden/>
    <w:unhideWhenUsed/>
    <w:rsid w:val="00F75075"/>
    <w:rPr>
      <w:b/>
      <w:bCs/>
    </w:rPr>
  </w:style>
  <w:style w:type="character" w:customStyle="1" w:styleId="CommentSubjectChar">
    <w:name w:val="Comment Subject Char"/>
    <w:basedOn w:val="CommentTextChar"/>
    <w:link w:val="CommentSubject"/>
    <w:semiHidden/>
    <w:rsid w:val="00F750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7DE4-1DA9-4F8A-A402-7A3F7F33C20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8DEDF9C-05F3-4805-9A46-D25814BB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A12B0-C827-4380-8AC2-91511175997C}">
  <ds:schemaRefs>
    <ds:schemaRef ds:uri="http://schemas.microsoft.com/sharepoint/v3/contenttype/forms"/>
  </ds:schemaRefs>
</ds:datastoreItem>
</file>

<file path=customXml/itemProps4.xml><?xml version="1.0" encoding="utf-8"?>
<ds:datastoreItem xmlns:ds="http://schemas.openxmlformats.org/officeDocument/2006/customXml" ds:itemID="{D4EC13BE-CF9F-454F-9B6B-8A87C193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6</Pages>
  <Words>1385</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UN/SCEGHS/19/INF</vt:lpstr>
      <vt:lpstr>    “CHAPTER 4.2</vt:lpstr>
      <vt:lpstr>    HAZARDOUS TO THE OZONE LAYERATMOSPHERIC SYSTEM</vt:lpstr>
      <vt:lpstr>        4.2.1	Definitions and general considerations</vt:lpstr>
      <vt:lpstr>        4.2.2	Classification criteria1</vt:lpstr>
      <vt:lpstr>        4.2.3	Hazard communication</vt:lpstr>
      <vt:lpstr>        4.2.4	Decision logic for substances and mixtures hazardous to the atmospheric s</vt:lpstr>
      <vt:lpstr>        A1.30 	Hazardous to the ozone layer atmospheric system (see chapter 4.2 for clas</vt:lpstr>
    </vt:vector>
  </TitlesOfParts>
  <Company>CSD</Company>
  <LinksUpToDate>false</LinksUpToDate>
  <CharactersWithSpaces>9268</CharactersWithSpaces>
  <SharedDoc>false</SharedDoc>
  <HLinks>
    <vt:vector size="6" baseType="variant">
      <vt:variant>
        <vt:i4>7798886</vt:i4>
      </vt:variant>
      <vt:variant>
        <vt:i4>0</vt:i4>
      </vt:variant>
      <vt:variant>
        <vt:i4>0</vt:i4>
      </vt:variant>
      <vt:variant>
        <vt:i4>5</vt:i4>
      </vt:variant>
      <vt:variant>
        <vt:lpwstr>https://unece.org/transport/documents/2022/09/working-documents/consolidated-list-draft-amendments-adopted-sub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Nadiya</cp:lastModifiedBy>
  <cp:revision>280</cp:revision>
  <cp:lastPrinted>2019-06-14T13:25:00Z</cp:lastPrinted>
  <dcterms:created xsi:type="dcterms:W3CDTF">2022-06-03T08:40:00Z</dcterms:created>
  <dcterms:modified xsi:type="dcterms:W3CDTF">2023-04-25T14:37:00Z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7911400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