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613" w14:textId="33D21379" w:rsidR="009914B5" w:rsidRPr="000355BF" w:rsidRDefault="009914B5" w:rsidP="004645B5">
      <w:pPr>
        <w:pStyle w:val="HChG"/>
        <w:spacing w:before="0"/>
        <w:ind w:firstLine="0"/>
        <w:jc w:val="center"/>
      </w:pPr>
      <w:r w:rsidRPr="00405791">
        <w:rPr>
          <w:lang w:val="en-GB"/>
        </w:rPr>
        <w:t>1958 Agreement</w:t>
      </w:r>
      <w:r w:rsidR="004645B5">
        <w:rPr>
          <w:lang w:val="en-GB"/>
        </w:rPr>
        <w:t xml:space="preserve"> - </w:t>
      </w:r>
      <w:r w:rsidRPr="000355BF">
        <w:t>Unique Identifier</w:t>
      </w:r>
      <w:r w:rsidR="00B941F3" w:rsidRPr="000355BF">
        <w:t xml:space="preserve"> </w:t>
      </w:r>
      <w:r w:rsidR="008264D0">
        <w:br/>
      </w:r>
      <w:r w:rsidR="00557D55">
        <w:t>Review of UN Regu</w:t>
      </w:r>
      <w:r w:rsidR="00021C23">
        <w:t>l</w:t>
      </w:r>
      <w:r w:rsidR="0002140B">
        <w:t>ation</w:t>
      </w:r>
      <w:r w:rsidR="009133E3">
        <w:t>s under the purview of GRE</w:t>
      </w:r>
    </w:p>
    <w:tbl>
      <w:tblPr>
        <w:tblStyle w:val="TableGrid"/>
        <w:tblW w:w="15309" w:type="dxa"/>
        <w:tblLook w:val="04A0" w:firstRow="1" w:lastRow="0" w:firstColumn="1" w:lastColumn="0" w:noHBand="0" w:noVBand="1"/>
      </w:tblPr>
      <w:tblGrid>
        <w:gridCol w:w="578"/>
        <w:gridCol w:w="5662"/>
        <w:gridCol w:w="854"/>
        <w:gridCol w:w="2408"/>
        <w:gridCol w:w="1275"/>
        <w:gridCol w:w="2408"/>
        <w:gridCol w:w="2124"/>
      </w:tblGrid>
      <w:tr w:rsidR="002D5AC8" w:rsidRPr="004F6084" w14:paraId="4668968B" w14:textId="77777777" w:rsidTr="002D5AC8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90986" w14:textId="77777777" w:rsidR="002D5AC8" w:rsidRPr="004F6084" w:rsidRDefault="002D5AC8" w:rsidP="0076734F">
            <w:pPr>
              <w:pStyle w:val="Roman8pt"/>
              <w:spacing w:before="10" w:after="10"/>
              <w:jc w:val="center"/>
              <w:rPr>
                <w:b/>
                <w:bCs/>
                <w:i/>
              </w:rPr>
            </w:pPr>
            <w:r w:rsidRPr="004F6084">
              <w:rPr>
                <w:b/>
                <w:bCs/>
                <w:lang w:val="en-GB"/>
              </w:rPr>
              <w:tab/>
            </w:r>
            <w:r w:rsidRPr="004F6084">
              <w:rPr>
                <w:b/>
                <w:bCs/>
              </w:rPr>
              <w:t xml:space="preserve"> </w:t>
            </w:r>
          </w:p>
          <w:p w14:paraId="68F1712D" w14:textId="76DF2521" w:rsidR="002D5AC8" w:rsidRPr="004F6084" w:rsidRDefault="002D5AC8" w:rsidP="0076734F">
            <w:pPr>
              <w:pStyle w:val="Roman8pt"/>
              <w:spacing w:before="10" w:after="10"/>
              <w:jc w:val="center"/>
              <w:rPr>
                <w:b/>
                <w:bCs/>
                <w:i/>
              </w:rPr>
            </w:pPr>
            <w:r w:rsidRPr="004F6084">
              <w:rPr>
                <w:b/>
                <w:bCs/>
                <w:i/>
              </w:rPr>
              <w:t xml:space="preserve">No. </w:t>
            </w:r>
          </w:p>
        </w:tc>
        <w:tc>
          <w:tcPr>
            <w:tcW w:w="5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702BA5" w14:textId="77777777" w:rsidR="002D5AC8" w:rsidRPr="004F6084" w:rsidRDefault="002D5AC8" w:rsidP="008264D0">
            <w:pPr>
              <w:pStyle w:val="Roman8pt"/>
              <w:spacing w:before="10" w:after="10"/>
              <w:ind w:left="-114"/>
              <w:jc w:val="center"/>
              <w:rPr>
                <w:b/>
                <w:bCs/>
                <w:i/>
              </w:rPr>
            </w:pPr>
          </w:p>
          <w:p w14:paraId="66761924" w14:textId="7B4724FE" w:rsidR="002D5AC8" w:rsidRPr="004F6084" w:rsidRDefault="002D5AC8" w:rsidP="008264D0">
            <w:pPr>
              <w:pStyle w:val="Roman8pt"/>
              <w:spacing w:before="10" w:after="10"/>
              <w:ind w:left="-114"/>
              <w:jc w:val="center"/>
              <w:rPr>
                <w:b/>
                <w:bCs/>
                <w:i/>
              </w:rPr>
            </w:pPr>
            <w:r w:rsidRPr="004F6084">
              <w:rPr>
                <w:b/>
                <w:bCs/>
                <w:i/>
              </w:rPr>
              <w:t>Title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4F75D1" w14:textId="77777777" w:rsidR="002D5AC8" w:rsidRPr="004F6084" w:rsidRDefault="002D5AC8" w:rsidP="008264D0">
            <w:pPr>
              <w:pStyle w:val="Roman8pt"/>
              <w:spacing w:before="10" w:after="10"/>
              <w:ind w:left="-114"/>
              <w:jc w:val="center"/>
              <w:rPr>
                <w:b/>
                <w:bCs/>
                <w:i/>
              </w:rPr>
            </w:pPr>
          </w:p>
          <w:p w14:paraId="118FAEC8" w14:textId="340BEB52" w:rsidR="002D5AC8" w:rsidRPr="004F6084" w:rsidRDefault="002D5AC8" w:rsidP="008264D0">
            <w:pPr>
              <w:pStyle w:val="Roman8pt"/>
              <w:spacing w:before="10" w:after="10"/>
              <w:ind w:left="-114"/>
              <w:jc w:val="center"/>
              <w:rPr>
                <w:b/>
                <w:bCs/>
                <w:i/>
              </w:rPr>
            </w:pPr>
            <w:r w:rsidRPr="004F6084">
              <w:rPr>
                <w:b/>
                <w:bCs/>
                <w:i/>
              </w:rPr>
              <w:t>Use of UI prohibited</w:t>
            </w:r>
          </w:p>
        </w:tc>
        <w:tc>
          <w:tcPr>
            <w:tcW w:w="6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F7D" w14:textId="399AECD4" w:rsidR="002D5AC8" w:rsidRPr="004F6084" w:rsidRDefault="002D5AC8" w:rsidP="008B2423">
            <w:pPr>
              <w:pStyle w:val="Roman8pt"/>
              <w:spacing w:before="10" w:after="10"/>
              <w:ind w:left="2"/>
              <w:jc w:val="center"/>
              <w:rPr>
                <w:b/>
                <w:bCs/>
                <w:i/>
              </w:rPr>
            </w:pPr>
            <w:r w:rsidRPr="004F6084">
              <w:rPr>
                <w:b/>
                <w:bCs/>
                <w:i/>
              </w:rPr>
              <w:t xml:space="preserve">Use of UI possible </w:t>
            </w:r>
            <w:r w:rsidRPr="004F6084">
              <w:rPr>
                <w:b/>
                <w:bCs/>
                <w:i/>
              </w:rPr>
              <w:br/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A1E" w14:textId="7D0394E6" w:rsidR="002D5AC8" w:rsidRPr="004F6084" w:rsidRDefault="002D5AC8" w:rsidP="0076734F">
            <w:pPr>
              <w:pStyle w:val="Roman8pt"/>
              <w:spacing w:before="10" w:after="10"/>
              <w:ind w:left="-1"/>
              <w:jc w:val="center"/>
              <w:rPr>
                <w:b/>
                <w:bCs/>
                <w:i/>
                <w:u w:val="single"/>
              </w:rPr>
            </w:pPr>
            <w:r w:rsidRPr="004F6084">
              <w:rPr>
                <w:b/>
                <w:bCs/>
                <w:i/>
              </w:rPr>
              <w:t>Remarks</w:t>
            </w:r>
          </w:p>
        </w:tc>
      </w:tr>
      <w:tr w:rsidR="002D5AC8" w:rsidRPr="00613D53" w14:paraId="0A9BFCE9" w14:textId="77777777" w:rsidTr="002D5AC8"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BAFE0" w14:textId="4911F190" w:rsidR="002D5AC8" w:rsidRPr="00613D53" w:rsidRDefault="002D5AC8" w:rsidP="0076734F">
            <w:pPr>
              <w:pStyle w:val="Roman8pt"/>
              <w:spacing w:before="10" w:after="10"/>
              <w:jc w:val="center"/>
              <w:rPr>
                <w:i/>
              </w:rPr>
            </w:pPr>
          </w:p>
        </w:tc>
        <w:tc>
          <w:tcPr>
            <w:tcW w:w="56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7DFDCB" w14:textId="44EB0D99" w:rsidR="002D5AC8" w:rsidRPr="00613D53" w:rsidRDefault="002D5AC8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710A6" w14:textId="4F09869C" w:rsidR="002D5AC8" w:rsidRPr="00613D53" w:rsidRDefault="002D5AC8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8675D7" w14:textId="25278A5D" w:rsidR="002D5AC8" w:rsidRPr="004F6084" w:rsidRDefault="002D5AC8" w:rsidP="0076734F">
            <w:pPr>
              <w:pStyle w:val="Roman8pt"/>
              <w:spacing w:before="10" w:after="10"/>
              <w:ind w:left="-8"/>
              <w:jc w:val="center"/>
              <w:rPr>
                <w:b/>
                <w:bCs/>
                <w:i/>
              </w:rPr>
            </w:pPr>
            <w:r w:rsidRPr="004F6084">
              <w:rPr>
                <w:b/>
                <w:bCs/>
                <w:i/>
              </w:rPr>
              <w:t>Is there additional information required in the approval mark</w:t>
            </w:r>
            <w:r w:rsidRPr="004F6084">
              <w:rPr>
                <w:rStyle w:val="FootnoteReference"/>
                <w:b/>
                <w:bCs/>
                <w:i/>
              </w:rPr>
              <w:footnoteReference w:id="2"/>
            </w:r>
            <w:r w:rsidRPr="004F6084">
              <w:rPr>
                <w:b/>
                <w:bCs/>
                <w:i/>
              </w:rPr>
              <w:br/>
              <w:t>(Yes/No)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3822A" w14:textId="52C92C6D" w:rsidR="002D5AC8" w:rsidRPr="004F6084" w:rsidRDefault="002D5AC8" w:rsidP="00743ABC">
            <w:pPr>
              <w:pStyle w:val="Roman8pt"/>
              <w:spacing w:before="10" w:after="10"/>
              <w:ind w:left="1"/>
              <w:jc w:val="center"/>
              <w:rPr>
                <w:b/>
                <w:bCs/>
                <w:i/>
              </w:rPr>
            </w:pPr>
            <w:r w:rsidRPr="004F6084">
              <w:rPr>
                <w:b/>
                <w:bCs/>
                <w:i/>
              </w:rPr>
              <w:t>Summary document necessary (Yes/No)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1B1F8" w14:textId="6B2E27FB" w:rsidR="002D5AC8" w:rsidRPr="004F6084" w:rsidRDefault="002D5AC8" w:rsidP="0043747B">
            <w:pPr>
              <w:pStyle w:val="Roman8pt"/>
              <w:spacing w:before="10" w:after="10"/>
              <w:ind w:left="2"/>
              <w:jc w:val="center"/>
              <w:rPr>
                <w:b/>
                <w:bCs/>
                <w:i/>
              </w:rPr>
            </w:pPr>
            <w:r w:rsidRPr="004F6084">
              <w:rPr>
                <w:b/>
                <w:bCs/>
                <w:i/>
              </w:rPr>
              <w:t>Should additional physical marking remain on the product (Yes/No)?</w:t>
            </w:r>
          </w:p>
          <w:p w14:paraId="31853C8E" w14:textId="31CBCD58" w:rsidR="002D5AC8" w:rsidRPr="004F6084" w:rsidRDefault="002D5AC8" w:rsidP="0063598B">
            <w:pPr>
              <w:pStyle w:val="Roman8pt"/>
              <w:spacing w:before="10" w:after="10"/>
              <w:ind w:left="2"/>
              <w:jc w:val="center"/>
              <w:rPr>
                <w:b/>
                <w:bCs/>
                <w:i/>
              </w:rPr>
            </w:pPr>
            <w:r w:rsidRPr="004F6084">
              <w:rPr>
                <w:b/>
                <w:bCs/>
                <w:i/>
              </w:rPr>
              <w:t>In case of yes, which one(s)?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70EF5F" w14:textId="5F4CAD82" w:rsidR="002D5AC8" w:rsidRPr="004F6084" w:rsidRDefault="002D5AC8" w:rsidP="0076734F">
            <w:pPr>
              <w:pStyle w:val="Roman8pt"/>
              <w:spacing w:before="10" w:after="10"/>
              <w:ind w:left="-1"/>
              <w:jc w:val="center"/>
              <w:rPr>
                <w:b/>
                <w:bCs/>
                <w:i/>
              </w:rPr>
            </w:pPr>
            <w:proofErr w:type="gramStart"/>
            <w:r w:rsidRPr="004F6084">
              <w:rPr>
                <w:b/>
                <w:bCs/>
                <w:i/>
              </w:rPr>
              <w:t>E.g.</w:t>
            </w:r>
            <w:proofErr w:type="gramEnd"/>
            <w:r w:rsidRPr="004F6084">
              <w:rPr>
                <w:b/>
                <w:bCs/>
                <w:i/>
              </w:rPr>
              <w:t xml:space="preserve"> justifications for additional physical markings that must remain on the product</w:t>
            </w:r>
          </w:p>
        </w:tc>
      </w:tr>
      <w:tr w:rsidR="002D5AC8" w:rsidRPr="00613D53" w14:paraId="5EA4CB3C" w14:textId="7937A08D" w:rsidTr="004807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058C" w14:textId="28A8CAF1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780C" w14:textId="6E7E56FD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motor vehicle headlamps emitting an asymmetrical passing-beam and/or a driving-beam and equipped with filament lamps of categories R</w:t>
            </w:r>
            <w:r w:rsidRPr="004F6084">
              <w:rPr>
                <w:sz w:val="18"/>
                <w:szCs w:val="18"/>
                <w:vertAlign w:val="subscript"/>
              </w:rPr>
              <w:t>2</w:t>
            </w:r>
            <w:r w:rsidRPr="004F6084">
              <w:rPr>
                <w:sz w:val="18"/>
                <w:szCs w:val="18"/>
              </w:rPr>
              <w:t xml:space="preserve"> and/or HS</w:t>
            </w:r>
            <w:r w:rsidRPr="004F6084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898" w14:textId="1E895AD6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38E" w14:textId="61EBF598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0EF" w14:textId="203FF2FC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130" w14:textId="475B9A6C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3ECD" w14:textId="3FDDF8DD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5AC8" w:rsidRPr="00613D53" w14:paraId="258BA99E" w14:textId="0716EA49" w:rsidTr="004807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B607" w14:textId="7FDC2723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C79" w14:textId="3BD6540A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incandescent electric lamps for headlamps emitting an asymmetrical passing-beam or a driving-beam or both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6B4" w14:textId="1AE8C1ED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A1E" w14:textId="241BD354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6B5" w14:textId="640B2512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4AC" w14:textId="10E6099A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3A3" w14:textId="41A11DD6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5AC8" w:rsidRPr="00613D53" w14:paraId="03C5DF36" w14:textId="340A6D31" w:rsidTr="004807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845" w14:textId="2862D3E2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 xml:space="preserve">  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84F" w14:textId="72674D2E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retro-reflecting devices for power-driven vehicles and their trailers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FE9" w14:textId="15798B0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667" w14:textId="071FC335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B76" w14:textId="17E7B46A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AC6" w14:textId="56FED268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B67D" w14:textId="5D0275A1" w:rsidR="00351B1B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5AC8" w:rsidRPr="00613D53" w14:paraId="4500AC35" w14:textId="5F10770D" w:rsidTr="004807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A29" w14:textId="0008D3E1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 xml:space="preserve">  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A77" w14:textId="6DB4FD15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devices for the illumination of rear registration plates of power-driven vehicles and their trailers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2CA" w14:textId="03B8F796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ECD" w14:textId="086C17AE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39A" w14:textId="2F00F783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860" w14:textId="08DAC5B0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0A43" w14:textId="426787FE" w:rsidR="00351B1B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5AC8" w:rsidRPr="00613D53" w14:paraId="4441A733" w14:textId="401AB100" w:rsidTr="004807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002" w14:textId="535DFE1F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 xml:space="preserve">  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FC6B" w14:textId="57EADDAD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power-driven vehicle's "sealed beam" headlamps (SB) emitting a European asymmetrical passing-beam or a driving-beam or both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601" w14:textId="7487CC92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FB5" w14:textId="4D71637D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D3E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2FF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8B6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5AC8" w:rsidRPr="00613D53" w14:paraId="0826CC3A" w14:textId="0CD61DF4" w:rsidTr="004807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E34" w14:textId="68471DB2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 xml:space="preserve">  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BF54" w14:textId="0B4B2C6E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direction indicators for power-driven vehicles and their trailers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018" w14:textId="4D982B95" w:rsidR="00351B1B" w:rsidRPr="00A12AA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BF8" w14:textId="055B557B" w:rsidR="00351B1B" w:rsidRPr="00A12AA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9C7" w14:textId="77777777" w:rsidR="00351B1B" w:rsidRPr="00A12AA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7BF" w14:textId="77777777" w:rsidR="00351B1B" w:rsidRPr="00A12AA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CB06" w14:textId="77777777" w:rsidR="00351B1B" w:rsidRPr="00A12AA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2D5AC8" w:rsidRPr="00613D53" w14:paraId="3D1389D0" w14:textId="55522A7D" w:rsidTr="004807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79D" w14:textId="77777777" w:rsidR="00351B1B" w:rsidRPr="004F6084" w:rsidRDefault="00351B1B" w:rsidP="00351B1B">
            <w:pPr>
              <w:spacing w:after="120"/>
              <w:ind w:left="-142" w:right="283"/>
              <w:jc w:val="right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 xml:space="preserve">  7</w:t>
            </w:r>
          </w:p>
          <w:p w14:paraId="1ECDE1ED" w14:textId="25F03AFD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003" w14:textId="7AA09FF4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bCs/>
                <w:sz w:val="18"/>
                <w:szCs w:val="18"/>
              </w:rPr>
              <w:t>Uniform provisions concerning the approval of front and rear position lamps, stop-lamps and end-outline marker lamps for motor vehicles and their trailers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C71" w14:textId="7775F78A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4F7F" w14:textId="38BBEF10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092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DF4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782" w14:textId="18D8E156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5AC8" w:rsidRPr="00613D53" w14:paraId="0EE42AD3" w14:textId="00AB9067" w:rsidTr="004807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BFC3" w14:textId="7F253F62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 xml:space="preserve">  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D64" w14:textId="52FD9A98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motor vehicle headlamps emitting an asymmetrical passing-beam or a driving-beam or both and equipped with halogen filament lamps (H</w:t>
            </w:r>
            <w:r w:rsidRPr="004F6084">
              <w:rPr>
                <w:sz w:val="18"/>
                <w:szCs w:val="18"/>
                <w:vertAlign w:val="subscript"/>
              </w:rPr>
              <w:t>1</w:t>
            </w:r>
            <w:r w:rsidRPr="004F6084">
              <w:rPr>
                <w:sz w:val="18"/>
                <w:szCs w:val="18"/>
              </w:rPr>
              <w:t>, H</w:t>
            </w:r>
            <w:r w:rsidRPr="004F6084">
              <w:rPr>
                <w:sz w:val="18"/>
                <w:szCs w:val="18"/>
                <w:vertAlign w:val="subscript"/>
              </w:rPr>
              <w:t>2</w:t>
            </w:r>
            <w:r w:rsidRPr="004F6084">
              <w:rPr>
                <w:sz w:val="18"/>
                <w:szCs w:val="18"/>
              </w:rPr>
              <w:t>, H</w:t>
            </w:r>
            <w:r w:rsidRPr="004F6084">
              <w:rPr>
                <w:sz w:val="18"/>
                <w:szCs w:val="18"/>
                <w:vertAlign w:val="subscript"/>
              </w:rPr>
              <w:t>3</w:t>
            </w:r>
            <w:r w:rsidRPr="004F6084">
              <w:rPr>
                <w:sz w:val="18"/>
                <w:szCs w:val="18"/>
              </w:rPr>
              <w:t>, HB</w:t>
            </w:r>
            <w:r w:rsidRPr="004F6084">
              <w:rPr>
                <w:sz w:val="18"/>
                <w:szCs w:val="18"/>
                <w:vertAlign w:val="subscript"/>
              </w:rPr>
              <w:t>3</w:t>
            </w:r>
            <w:r w:rsidRPr="004F6084">
              <w:rPr>
                <w:sz w:val="18"/>
                <w:szCs w:val="18"/>
              </w:rPr>
              <w:t>, HB</w:t>
            </w:r>
            <w:r w:rsidRPr="004F6084">
              <w:rPr>
                <w:sz w:val="18"/>
                <w:szCs w:val="18"/>
                <w:vertAlign w:val="subscript"/>
              </w:rPr>
              <w:t>4</w:t>
            </w:r>
            <w:r w:rsidRPr="004F6084">
              <w:rPr>
                <w:sz w:val="18"/>
                <w:szCs w:val="18"/>
              </w:rPr>
              <w:t>, H</w:t>
            </w:r>
            <w:r w:rsidRPr="004F6084">
              <w:rPr>
                <w:sz w:val="18"/>
                <w:szCs w:val="18"/>
                <w:vertAlign w:val="subscript"/>
              </w:rPr>
              <w:t>7</w:t>
            </w:r>
            <w:r w:rsidRPr="004F6084">
              <w:rPr>
                <w:sz w:val="18"/>
                <w:szCs w:val="18"/>
              </w:rPr>
              <w:t>, H</w:t>
            </w:r>
            <w:r w:rsidRPr="004F6084">
              <w:rPr>
                <w:sz w:val="18"/>
                <w:szCs w:val="18"/>
                <w:vertAlign w:val="subscript"/>
              </w:rPr>
              <w:t>8</w:t>
            </w:r>
            <w:r w:rsidRPr="004F6084">
              <w:rPr>
                <w:sz w:val="18"/>
                <w:szCs w:val="18"/>
              </w:rPr>
              <w:t>, H</w:t>
            </w:r>
            <w:r w:rsidRPr="004F6084">
              <w:rPr>
                <w:sz w:val="18"/>
                <w:szCs w:val="18"/>
                <w:vertAlign w:val="subscript"/>
              </w:rPr>
              <w:t>9</w:t>
            </w:r>
            <w:r w:rsidRPr="004F6084">
              <w:rPr>
                <w:sz w:val="18"/>
                <w:szCs w:val="18"/>
              </w:rPr>
              <w:t>, HIR</w:t>
            </w:r>
            <w:r w:rsidRPr="004F6084">
              <w:rPr>
                <w:sz w:val="18"/>
                <w:szCs w:val="18"/>
                <w:vertAlign w:val="subscript"/>
              </w:rPr>
              <w:t>1</w:t>
            </w:r>
            <w:r w:rsidRPr="004F6084">
              <w:rPr>
                <w:sz w:val="18"/>
                <w:szCs w:val="18"/>
              </w:rPr>
              <w:t>, HIR</w:t>
            </w:r>
            <w:r w:rsidRPr="004F6084">
              <w:rPr>
                <w:sz w:val="18"/>
                <w:szCs w:val="18"/>
                <w:vertAlign w:val="subscript"/>
              </w:rPr>
              <w:t>2</w:t>
            </w:r>
            <w:r w:rsidRPr="004F6084">
              <w:rPr>
                <w:sz w:val="18"/>
                <w:szCs w:val="18"/>
              </w:rPr>
              <w:t xml:space="preserve"> and/or H</w:t>
            </w:r>
            <w:r w:rsidRPr="004F6084">
              <w:rPr>
                <w:sz w:val="18"/>
                <w:szCs w:val="18"/>
                <w:vertAlign w:val="subscript"/>
              </w:rPr>
              <w:t>11</w:t>
            </w:r>
            <w:r w:rsidRPr="004F6084">
              <w:rPr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575" w14:textId="581EFFA2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645" w14:textId="5D35B38D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709" w14:textId="4BDEA59D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E85" w14:textId="53242E7C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BDA" w14:textId="53494D59" w:rsidR="00351B1B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5AC8" w:rsidRPr="00613D53" w14:paraId="3FE6A5C6" w14:textId="2488FD6B" w:rsidTr="004807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8763" w14:textId="6620AD21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8C4" w14:textId="0E9ECB1E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vehicles with regard to electromagnetic compatibility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DA6" w14:textId="527ACB9B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65F" w14:textId="1CCF03BE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C1D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C56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B3A" w14:textId="3E293682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5AC8" w:rsidRPr="00613D53" w14:paraId="3DF0AE30" w14:textId="257EDCD4" w:rsidTr="004807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FEA" w14:textId="7CE30899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19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365" w14:textId="2CCDD975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power-driven vehicle front fog lamps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576" w14:textId="06398A8E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536" w14:textId="4CCF5C13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37E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B04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98D" w14:textId="4E1CF7A3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5AC8" w:rsidRPr="00613D53" w14:paraId="10F31F30" w14:textId="135AB515" w:rsidTr="004807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2B8C" w14:textId="701C2B5A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20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F229" w14:textId="03B81156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motor vehicle headlamps emitting an asymmetrical passing-beam or a driving-beam or both and equipped with halogen filament lamps (H</w:t>
            </w:r>
            <w:r w:rsidRPr="004F6084">
              <w:rPr>
                <w:sz w:val="18"/>
                <w:szCs w:val="18"/>
                <w:vertAlign w:val="subscript"/>
              </w:rPr>
              <w:t>4</w:t>
            </w:r>
            <w:r w:rsidRPr="004F6084">
              <w:rPr>
                <w:sz w:val="18"/>
                <w:szCs w:val="18"/>
              </w:rPr>
              <w:t xml:space="preserve"> lamps)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7F9" w14:textId="6A36E2C1" w:rsidR="00351B1B" w:rsidRPr="00A12AA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453" w14:textId="257B99E2" w:rsidR="00351B1B" w:rsidRPr="00A12AA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D8EA" w14:textId="77777777" w:rsidR="00351B1B" w:rsidRPr="00A12AA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5F17" w14:textId="77777777" w:rsidR="00351B1B" w:rsidRPr="00A12AA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AB0B" w14:textId="77777777" w:rsidR="00351B1B" w:rsidRPr="00A12AA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2D5AC8" w:rsidRPr="00613D53" w14:paraId="48942DEF" w14:textId="120AF65E" w:rsidTr="004807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1CD" w14:textId="477DCA9C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23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F91" w14:textId="3FD2AF9E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 xml:space="preserve">Uniform provisions concerning the approval of reversing and </w:t>
            </w:r>
            <w:proofErr w:type="spellStart"/>
            <w:r w:rsidRPr="004F6084">
              <w:rPr>
                <w:sz w:val="18"/>
                <w:szCs w:val="18"/>
              </w:rPr>
              <w:t>manoeuvring</w:t>
            </w:r>
            <w:proofErr w:type="spellEnd"/>
            <w:r w:rsidRPr="004F6084">
              <w:rPr>
                <w:sz w:val="18"/>
                <w:szCs w:val="18"/>
              </w:rPr>
              <w:t xml:space="preserve"> lamps for power-driven vehicles and their trailers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7C9C" w14:textId="45ED5CA3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F2B" w14:textId="3CA48A22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A6EE" w14:textId="3784461C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B18" w14:textId="2E183958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23F4" w14:textId="4854FCF5" w:rsidR="00351B1B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5AC8" w:rsidRPr="00613D53" w14:paraId="6B5F9331" w14:textId="05BDC10C" w:rsidTr="004807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771" w14:textId="10A81E49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DBF" w14:textId="1C9EA0DA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advance-warning triangles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04A" w14:textId="7388FCBC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2A3" w14:textId="4A0C2CC1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0EB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0F5F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95F1" w14:textId="7F792D8C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5AC8" w:rsidRPr="00613D53" w14:paraId="7A8E01AF" w14:textId="2470A0F5" w:rsidTr="004807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33C1" w14:textId="0C8D85DE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31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78B0" w14:textId="2C5551BE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bCs/>
                <w:sz w:val="18"/>
                <w:szCs w:val="18"/>
              </w:rPr>
              <w:t>Uniform provisions concerning the approval of power-driven vehicle's halogen sealed-beam headlamps (HSB) emitting a European asymmetrical passing-beam or a driving-beam or both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D7A" w14:textId="6999D1A4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1D68" w14:textId="501DB883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4BD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DFE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A921" w14:textId="66D55F4D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5AC8" w:rsidRPr="00613D53" w14:paraId="28F0770C" w14:textId="45B543BB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8DC9" w14:textId="602DB36C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37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EE01" w14:textId="5449286D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rFonts w:asciiTheme="majorBidi" w:hAnsiTheme="majorBidi" w:cstheme="majorBidi"/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filament light sources for use in approved lamps of power-driven vehicles and of their trailers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3190" w14:textId="3CAE29AF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171D" w14:textId="0A3C4B6E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3D5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4F5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2B15" w14:textId="22B5E82A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74A61B7D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8A4AB" w14:textId="23797817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38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22377" w14:textId="0600C2C8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rear fog lamps for power-driven vehicles and their trailers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62EC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7A4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B99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184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BC5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488F9FCC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E1E30" w14:textId="48F2250F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45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8F4E0" w14:textId="0C848306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headlamp cleaners, and of power-driven vehicles with regard to headlamp cleaners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FC41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360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3CB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1C40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6D22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1FD746F5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B1A92" w14:textId="20C9EC43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48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750B3" w14:textId="7D799636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vehicles with regard to the installation of lighting and light-</w:t>
            </w:r>
            <w:proofErr w:type="spellStart"/>
            <w:r w:rsidRPr="004F6084">
              <w:rPr>
                <w:sz w:val="18"/>
                <w:szCs w:val="18"/>
              </w:rPr>
              <w:t>signalling</w:t>
            </w:r>
            <w:proofErr w:type="spellEnd"/>
            <w:r w:rsidRPr="004F6084">
              <w:rPr>
                <w:sz w:val="18"/>
                <w:szCs w:val="18"/>
              </w:rPr>
              <w:t xml:space="preserve"> devices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7AA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7E24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ECF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EBF8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81F4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6A4FFE19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7EAE67" w14:textId="19D3E6DE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50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54CE8" w14:textId="714C87B2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front position lamps, rear position lamps, stop lamps, direction indicators and rear-registration-plate illuminating devices for vehicles of category 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F8D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3B2C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BFB4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97D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05DF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3F5F113C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9B875" w14:textId="3D25107A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53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4536" w14:textId="51F5DE74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category L</w:t>
            </w:r>
            <w:r w:rsidRPr="004F6084">
              <w:rPr>
                <w:sz w:val="18"/>
                <w:szCs w:val="18"/>
                <w:vertAlign w:val="subscript"/>
              </w:rPr>
              <w:t>3</w:t>
            </w:r>
            <w:r w:rsidRPr="004F6084">
              <w:rPr>
                <w:sz w:val="18"/>
                <w:szCs w:val="18"/>
              </w:rPr>
              <w:t xml:space="preserve"> vehicles with regard to the installation of lighting and light-</w:t>
            </w:r>
            <w:proofErr w:type="spellStart"/>
            <w:r w:rsidRPr="004F6084">
              <w:rPr>
                <w:sz w:val="18"/>
                <w:szCs w:val="18"/>
              </w:rPr>
              <w:t>signalling</w:t>
            </w:r>
            <w:proofErr w:type="spellEnd"/>
            <w:r w:rsidRPr="004F6084">
              <w:rPr>
                <w:sz w:val="18"/>
                <w:szCs w:val="18"/>
              </w:rPr>
              <w:t xml:space="preserve"> devices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E0E3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E1E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CB9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550B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7DE8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71EA485C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F4AB2" w14:textId="43E6F838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56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16655" w14:textId="0ECD4D7F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headlamps for mopeds and vehicles treated as such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9249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D854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83E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2151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DC24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72AE5C14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908228" w14:textId="260F66F9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57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E1E49" w14:textId="4765C126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headlamps for motorcycles and vehicles treated as such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3A0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E114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FB3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AED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4915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12A6561E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2DB52" w14:textId="124286B5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65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4D792" w14:textId="1D367E03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special warning lamps for power-driven vehicles and their trailers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BC67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662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4B6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C0E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68EE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14645030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43939" w14:textId="67650146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69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41E0A" w14:textId="28EED158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rear marking plates for slow-moving vehicles (by construction) and their trailers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59C5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C93D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780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F822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A00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742C6309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3E848" w14:textId="65E052F1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70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2FAFC" w14:textId="69DADF5C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rear marking plates for heavy and long vehicles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D71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D538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822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4AF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F95E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4F90A33F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8B350" w14:textId="7AD38F49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72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40A8F" w14:textId="25AFB9F4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motorcycle headlamps emitting an asymmetrical passing-beam and a driving-beam and equipped with halogen lamps (HS</w:t>
            </w:r>
            <w:r w:rsidRPr="004F6084">
              <w:rPr>
                <w:sz w:val="18"/>
                <w:szCs w:val="18"/>
                <w:vertAlign w:val="subscript"/>
              </w:rPr>
              <w:t>1</w:t>
            </w:r>
            <w:r w:rsidRPr="004F6084">
              <w:rPr>
                <w:sz w:val="18"/>
                <w:szCs w:val="18"/>
              </w:rPr>
              <w:t xml:space="preserve"> lamps)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B95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B8F3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2C00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127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7740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3A7FFDCF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A6EFD" w14:textId="5B38C4F7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74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0A346" w14:textId="2BE91E9C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category L</w:t>
            </w:r>
            <w:r w:rsidRPr="004F6084">
              <w:rPr>
                <w:sz w:val="18"/>
                <w:szCs w:val="18"/>
                <w:vertAlign w:val="subscript"/>
              </w:rPr>
              <w:t>1</w:t>
            </w:r>
            <w:r w:rsidRPr="004F6084">
              <w:rPr>
                <w:sz w:val="18"/>
                <w:szCs w:val="18"/>
              </w:rPr>
              <w:t xml:space="preserve"> vehicles with regard to the installation of lighting and light-</w:t>
            </w:r>
            <w:proofErr w:type="spellStart"/>
            <w:r w:rsidRPr="004F6084">
              <w:rPr>
                <w:sz w:val="18"/>
                <w:szCs w:val="18"/>
              </w:rPr>
              <w:t>signalling</w:t>
            </w:r>
            <w:proofErr w:type="spellEnd"/>
            <w:r w:rsidRPr="004F6084">
              <w:rPr>
                <w:sz w:val="18"/>
                <w:szCs w:val="18"/>
              </w:rPr>
              <w:t xml:space="preserve"> devices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339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D6E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F86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1BF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83D2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4E0D7A0D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83238" w14:textId="76101E8F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76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B536D" w14:textId="63714BFC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headlamps for mopeds emitting a driving-beam and a passing-beam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891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7911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45A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3CDC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76F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32F69748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77DAA7" w14:textId="39166256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77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C0326" w14:textId="2AC74FC7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parking lamps for power-driven vehicles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16A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35C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EE93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4231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FB8A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10FE0073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23516" w14:textId="7B64091A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82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B560C" w14:textId="47BE15AB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moped headlamps equipped with filament halogen lamps (HS</w:t>
            </w:r>
            <w:r w:rsidRPr="004F6084">
              <w:rPr>
                <w:sz w:val="18"/>
                <w:szCs w:val="18"/>
                <w:vertAlign w:val="subscript"/>
              </w:rPr>
              <w:t>2</w:t>
            </w:r>
            <w:r w:rsidRPr="004F6084">
              <w:rPr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E805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39B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7857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82F1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0928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3042EDFB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E2A9B" w14:textId="12B081CA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86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53EC5" w14:textId="186FE06D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agricultural or forestry vehicles with regard to the installation of lighting and light-</w:t>
            </w:r>
            <w:proofErr w:type="spellStart"/>
            <w:r w:rsidRPr="004F6084">
              <w:rPr>
                <w:sz w:val="18"/>
                <w:szCs w:val="18"/>
              </w:rPr>
              <w:t>signalling</w:t>
            </w:r>
            <w:proofErr w:type="spellEnd"/>
            <w:r w:rsidRPr="004F6084">
              <w:rPr>
                <w:sz w:val="18"/>
                <w:szCs w:val="18"/>
              </w:rPr>
              <w:t xml:space="preserve"> devices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9D3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0D4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DB14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729A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ED7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345F1D17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AED94" w14:textId="3FEBC71C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87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8FC91" w14:textId="53424926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daytime running lamps for power-driven vehicles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0A2F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02A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4519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1C1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281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09AE7004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7CC15" w14:textId="040C10B7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88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D1819" w14:textId="5DE9E5FD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 xml:space="preserve">Uniform provisions concerning the approval of retroreflective </w:t>
            </w:r>
            <w:proofErr w:type="spellStart"/>
            <w:r w:rsidRPr="004F6084">
              <w:rPr>
                <w:sz w:val="18"/>
                <w:szCs w:val="18"/>
              </w:rPr>
              <w:t>tyres</w:t>
            </w:r>
            <w:proofErr w:type="spellEnd"/>
            <w:r w:rsidRPr="004F6084">
              <w:rPr>
                <w:sz w:val="18"/>
                <w:szCs w:val="18"/>
              </w:rPr>
              <w:t xml:space="preserve"> for two-wheeled vehicles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215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904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6BD3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2811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04F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13AC6573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A0CB1" w14:textId="57BC9683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91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5BB04" w14:textId="78E70018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 xml:space="preserve">Uniform provisions concerning the approval of side-marker lamps for motor </w:t>
            </w:r>
            <w:r w:rsidRPr="004F6084">
              <w:rPr>
                <w:sz w:val="18"/>
                <w:szCs w:val="18"/>
              </w:rPr>
              <w:lastRenderedPageBreak/>
              <w:t>vehicles and their trailers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64B1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A4C8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5543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58E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6BD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35FB0F35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116C4" w14:textId="7B833BD7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98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3329F" w14:textId="749BB444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motor vehicle headlamps equipped with gas-discharge light sources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DA4D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BF6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AD9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08E9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92B6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0BE1DA48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CB049" w14:textId="727FA07E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99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3C96B" w14:textId="253D05A6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gas-discharge light sources for use in approved lamps of power-driven vehicles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F319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F21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827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90FA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45F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2CAC46EF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C5EEBE" w14:textId="682A1A89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104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4DF0B" w14:textId="3248E033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retro-reflective markings for vehicles of category M, N and 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71C0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AE6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F5FA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4B49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D10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1EF77150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964791" w14:textId="15C2BCDE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112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477CC" w14:textId="6AD449F7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motor vehicle headlamps emitting an asymmetrical passing-beam or a driving-beam or both and equipped with filament lamps and/or Light-Emitting Diode (LED) modules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72CB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3F6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4E9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08F5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B33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00A9AD4A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9BB0F" w14:textId="086999EC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113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9E872" w14:textId="5642A264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motor vehicle headlamps emitting a symmetrical passing-beam or a driving-beam or both and equipped with filament, gas-discharge light sources or LED modules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785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F0E9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B16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968F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D54C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4C17CA84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E0E5C" w14:textId="47C0FDB9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119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9C16E" w14:textId="51D27EE4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cornering lamps for power-driven vehicles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62EA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F8F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804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6B2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08B4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194B1709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0B0471" w14:textId="70BF6F4F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123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62057" w14:textId="7B1E2EFE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adaptive front-lighting systems (AFS) for motor vehicles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9C6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17A0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0EAD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A325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80EF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0D8A3BD4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ACE3D" w14:textId="0B25DA6C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128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6ACE3" w14:textId="46390503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Uniform provisions concerning the approval of Light Emitting Diode (LED) light sources for use in approved lamps on power-driven vehicles and their trailers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92D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5F3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D5D5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1BF5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5BD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261F11AB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D4CCC" w14:textId="10F58D0A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148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81104" w14:textId="373069C9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sz w:val="18"/>
                <w:szCs w:val="18"/>
              </w:rPr>
            </w:pPr>
            <w:r w:rsidRPr="004F6084">
              <w:rPr>
                <w:bCs/>
                <w:sz w:val="18"/>
                <w:szCs w:val="18"/>
              </w:rPr>
              <w:t>Uniform provisions concerning the approval of light-</w:t>
            </w:r>
            <w:proofErr w:type="spellStart"/>
            <w:r w:rsidRPr="004F6084">
              <w:rPr>
                <w:bCs/>
                <w:sz w:val="18"/>
                <w:szCs w:val="18"/>
              </w:rPr>
              <w:t>signalling</w:t>
            </w:r>
            <w:proofErr w:type="spellEnd"/>
            <w:r w:rsidRPr="004F6084">
              <w:rPr>
                <w:bCs/>
                <w:sz w:val="18"/>
                <w:szCs w:val="18"/>
              </w:rPr>
              <w:t xml:space="preserve"> devices (lamps) for power-driven vehicles and their trailers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974D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3E70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3E1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CBC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4A7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1FF7F58F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28E61" w14:textId="06943A55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149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CDB7A" w14:textId="7F8E7803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bCs/>
                <w:sz w:val="18"/>
                <w:szCs w:val="18"/>
              </w:rPr>
            </w:pPr>
            <w:r w:rsidRPr="004F6084">
              <w:rPr>
                <w:bCs/>
                <w:sz w:val="18"/>
                <w:szCs w:val="18"/>
              </w:rPr>
              <w:t>Uniform provisions concerning the approval of road illumination devices (lamps) and systems for power-driven vehicles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D905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7ED8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D8C5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F2A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0AE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B1B" w:rsidRPr="00613D53" w14:paraId="6413B2C1" w14:textId="77777777" w:rsidTr="00C80C7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36A78F" w14:textId="62BD8D8C" w:rsidR="00351B1B" w:rsidRPr="004F6084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sz w:val="18"/>
                <w:szCs w:val="18"/>
              </w:rPr>
            </w:pPr>
            <w:r w:rsidRPr="004F6084">
              <w:rPr>
                <w:sz w:val="18"/>
                <w:szCs w:val="18"/>
              </w:rPr>
              <w:t>150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6C980" w14:textId="66C1E8AA" w:rsidR="00351B1B" w:rsidRPr="004F6084" w:rsidRDefault="00351B1B" w:rsidP="002D5AC8">
            <w:pPr>
              <w:pStyle w:val="Roman8pt"/>
              <w:spacing w:before="10" w:after="10"/>
              <w:ind w:left="137"/>
              <w:rPr>
                <w:bCs/>
                <w:sz w:val="18"/>
                <w:szCs w:val="18"/>
              </w:rPr>
            </w:pPr>
            <w:r w:rsidRPr="004F6084">
              <w:rPr>
                <w:bCs/>
                <w:sz w:val="18"/>
                <w:szCs w:val="18"/>
              </w:rPr>
              <w:t>Uniform provisions concerning the approval of retro-reflective devices and markings for power</w:t>
            </w:r>
            <w:r w:rsidR="004F6084">
              <w:rPr>
                <w:bCs/>
                <w:sz w:val="18"/>
                <w:szCs w:val="18"/>
              </w:rPr>
              <w:t>-</w:t>
            </w:r>
            <w:r w:rsidRPr="004F6084">
              <w:rPr>
                <w:bCs/>
                <w:sz w:val="18"/>
                <w:szCs w:val="18"/>
              </w:rPr>
              <w:t>driven vehicles and their trailers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2D2850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065B8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FB29D3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3F5F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0BF070" w14:textId="77777777" w:rsidR="00351B1B" w:rsidRPr="00613D53" w:rsidRDefault="00351B1B" w:rsidP="00351B1B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C219CF5" w14:textId="185595A7" w:rsidR="00B941F3" w:rsidRPr="008264D0" w:rsidRDefault="00931DF1" w:rsidP="009133E3">
      <w:pPr>
        <w:pStyle w:val="H1G"/>
        <w:ind w:right="567"/>
      </w:pPr>
      <w:r>
        <w:tab/>
      </w:r>
    </w:p>
    <w:sectPr w:rsidR="00B941F3" w:rsidRPr="008264D0" w:rsidSect="00743AB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40" w:h="11907" w:orient="landscape" w:code="9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EDA1" w14:textId="77777777" w:rsidR="00793FED" w:rsidRDefault="00793FED"/>
  </w:endnote>
  <w:endnote w:type="continuationSeparator" w:id="0">
    <w:p w14:paraId="556CE457" w14:textId="77777777" w:rsidR="00793FED" w:rsidRDefault="00793FED"/>
  </w:endnote>
  <w:endnote w:type="continuationNotice" w:id="1">
    <w:p w14:paraId="5ED678E7" w14:textId="77777777" w:rsidR="00793FED" w:rsidRDefault="00793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35E" w14:textId="156B572B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43747B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0B2D" w14:textId="7721B04B" w:rsidR="004F07B1" w:rsidRDefault="004F07B1" w:rsidP="00BF79DD">
    <w:pPr>
      <w:pStyle w:val="Footer"/>
      <w:jc w:val="center"/>
    </w:pPr>
    <w:r w:rsidRPr="0027112F">
      <w:rPr>
        <w:noProof/>
        <w:lang w:val="nl-NL" w:eastAsia="nl-NL"/>
      </w:rPr>
      <w:drawing>
        <wp:anchor distT="0" distB="0" distL="114300" distR="114300" simplePos="0" relativeHeight="251658240" behindDoc="0" locked="1" layoutInCell="1" allowOverlap="1" wp14:anchorId="00F87D5E" wp14:editId="57EE359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7" name="Picture 7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ECBD" w14:textId="77777777" w:rsidR="00793FED" w:rsidRPr="000B175B" w:rsidRDefault="00793FE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4DCBCB" w14:textId="77777777" w:rsidR="00793FED" w:rsidRPr="00FC68B7" w:rsidRDefault="00793FE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07006D" w14:textId="77777777" w:rsidR="00793FED" w:rsidRDefault="00793FED"/>
  </w:footnote>
  <w:footnote w:id="2">
    <w:p w14:paraId="6BCA3182" w14:textId="66794745" w:rsidR="002D5AC8" w:rsidRDefault="002D5AC8" w:rsidP="005467AB">
      <w:r>
        <w:rPr>
          <w:rStyle w:val="FootnoteReference"/>
        </w:rPr>
        <w:footnoteRef/>
      </w:r>
      <w:r>
        <w:t xml:space="preserve"> A circle surrounding the letter "E" followed by the distinguishing number of the country which has granted approval. The approval </w:t>
      </w:r>
      <w:proofErr w:type="gramStart"/>
      <w:r>
        <w:t>number</w:t>
      </w:r>
      <w:proofErr w:type="gramEnd"/>
      <w:r>
        <w:t>. The number of this Regulation followed by the letter 'R' and the two digits indicating the series of amendments in force at the time of issue of the approval.</w:t>
      </w:r>
    </w:p>
    <w:p w14:paraId="582A2376" w14:textId="46DA28E2" w:rsidR="002D5AC8" w:rsidRPr="00501AB0" w:rsidRDefault="002D5AC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491B" w14:textId="417B99BA" w:rsidR="00E82FDF" w:rsidRDefault="00E82FDF" w:rsidP="008770B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  <w:gridCol w:w="5245"/>
    </w:tblGrid>
    <w:tr w:rsidR="004A4461" w:rsidRPr="00820FA6" w14:paraId="5CF03933" w14:textId="77777777" w:rsidTr="003E14E8">
      <w:tc>
        <w:tcPr>
          <w:tcW w:w="9356" w:type="dxa"/>
        </w:tcPr>
        <w:p w14:paraId="3247CECF" w14:textId="75CA37D8" w:rsidR="004A4461" w:rsidRPr="00882B34" w:rsidRDefault="00F223C6" w:rsidP="004A4461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>
            <w:rPr>
              <w:b w:val="0"/>
              <w:bCs/>
            </w:rPr>
            <w:t xml:space="preserve">Note by the secretariat </w:t>
          </w:r>
        </w:p>
      </w:tc>
      <w:tc>
        <w:tcPr>
          <w:tcW w:w="5245" w:type="dxa"/>
        </w:tcPr>
        <w:p w14:paraId="07D5A4EF" w14:textId="7415E46A" w:rsidR="004A4461" w:rsidRPr="004A4461" w:rsidRDefault="004A4461" w:rsidP="004A4461">
          <w:pPr>
            <w:pStyle w:val="Header"/>
            <w:pBdr>
              <w:bottom w:val="none" w:sz="0" w:space="0" w:color="auto"/>
            </w:pBdr>
            <w:ind w:left="2131"/>
            <w:rPr>
              <w:b w:val="0"/>
              <w:bCs/>
            </w:rPr>
          </w:pPr>
          <w:r w:rsidRPr="004A4461">
            <w:rPr>
              <w:b w:val="0"/>
              <w:bCs/>
              <w:u w:val="single"/>
            </w:rPr>
            <w:t>Informal document</w:t>
          </w:r>
          <w:r w:rsidRPr="004A4461">
            <w:rPr>
              <w:b w:val="0"/>
              <w:bCs/>
            </w:rPr>
            <w:t xml:space="preserve"> </w:t>
          </w:r>
          <w:r w:rsidRPr="004A4461">
            <w:t>GRE-8</w:t>
          </w:r>
          <w:r w:rsidR="00F223C6">
            <w:t>8-26</w:t>
          </w:r>
        </w:p>
        <w:p w14:paraId="2A250E1D" w14:textId="77777777" w:rsidR="004A4461" w:rsidRPr="00820FA6" w:rsidRDefault="004A4461" w:rsidP="004A4461">
          <w:pPr>
            <w:pStyle w:val="Header"/>
            <w:pBdr>
              <w:bottom w:val="none" w:sz="0" w:space="0" w:color="auto"/>
            </w:pBdr>
            <w:ind w:left="2131"/>
            <w:rPr>
              <w:b w:val="0"/>
            </w:rPr>
          </w:pPr>
          <w:r w:rsidRPr="00820FA6">
            <w:rPr>
              <w:b w:val="0"/>
            </w:rPr>
            <w:t>(8</w:t>
          </w:r>
          <w:r>
            <w:rPr>
              <w:b w:val="0"/>
            </w:rPr>
            <w:t>8</w:t>
          </w:r>
          <w:r w:rsidRPr="00820FA6">
            <w:rPr>
              <w:b w:val="0"/>
            </w:rPr>
            <w:t xml:space="preserve">th GRE, 25-28 </w:t>
          </w:r>
          <w:r>
            <w:rPr>
              <w:b w:val="0"/>
            </w:rPr>
            <w:t xml:space="preserve">April </w:t>
          </w:r>
          <w:r w:rsidRPr="00820FA6">
            <w:rPr>
              <w:b w:val="0"/>
            </w:rPr>
            <w:t>202</w:t>
          </w:r>
          <w:r>
            <w:rPr>
              <w:b w:val="0"/>
            </w:rPr>
            <w:t>3</w:t>
          </w:r>
          <w:r w:rsidRPr="00820FA6">
            <w:rPr>
              <w:b w:val="0"/>
            </w:rPr>
            <w:t xml:space="preserve">, </w:t>
          </w:r>
        </w:p>
        <w:p w14:paraId="6A9B253B" w14:textId="77777777" w:rsidR="004A4461" w:rsidRPr="00820FA6" w:rsidRDefault="004A4461" w:rsidP="004A4461">
          <w:pPr>
            <w:pStyle w:val="Header"/>
            <w:pBdr>
              <w:bottom w:val="none" w:sz="0" w:space="0" w:color="auto"/>
            </w:pBdr>
            <w:ind w:left="2131"/>
            <w:rPr>
              <w:b w:val="0"/>
            </w:rPr>
          </w:pPr>
          <w:r w:rsidRPr="00820FA6">
            <w:rPr>
              <w:b w:val="0"/>
            </w:rPr>
            <w:t xml:space="preserve">agenda item </w:t>
          </w:r>
          <w:r>
            <w:rPr>
              <w:b w:val="0"/>
            </w:rPr>
            <w:t>4</w:t>
          </w:r>
          <w:r w:rsidRPr="00820FA6">
            <w:rPr>
              <w:b w:val="0"/>
            </w:rPr>
            <w:t>)</w:t>
          </w:r>
        </w:p>
      </w:tc>
    </w:tr>
  </w:tbl>
  <w:p w14:paraId="7A99AB05" w14:textId="302561D9" w:rsidR="00882B34" w:rsidRDefault="00882B34" w:rsidP="00882B3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2970140">
    <w:abstractNumId w:val="1"/>
  </w:num>
  <w:num w:numId="2" w16cid:durableId="2018925975">
    <w:abstractNumId w:val="0"/>
  </w:num>
  <w:num w:numId="3" w16cid:durableId="455948471">
    <w:abstractNumId w:val="2"/>
  </w:num>
  <w:num w:numId="4" w16cid:durableId="1862162289">
    <w:abstractNumId w:val="3"/>
  </w:num>
  <w:num w:numId="5" w16cid:durableId="1592930522">
    <w:abstractNumId w:val="8"/>
  </w:num>
  <w:num w:numId="6" w16cid:durableId="583993301">
    <w:abstractNumId w:val="9"/>
  </w:num>
  <w:num w:numId="7" w16cid:durableId="851643949">
    <w:abstractNumId w:val="7"/>
  </w:num>
  <w:num w:numId="8" w16cid:durableId="1004942727">
    <w:abstractNumId w:val="6"/>
  </w:num>
  <w:num w:numId="9" w16cid:durableId="1390181283">
    <w:abstractNumId w:val="5"/>
  </w:num>
  <w:num w:numId="10" w16cid:durableId="716591858">
    <w:abstractNumId w:val="4"/>
  </w:num>
  <w:num w:numId="11" w16cid:durableId="904609596">
    <w:abstractNumId w:val="15"/>
  </w:num>
  <w:num w:numId="12" w16cid:durableId="237518345">
    <w:abstractNumId w:val="14"/>
  </w:num>
  <w:num w:numId="13" w16cid:durableId="683167060">
    <w:abstractNumId w:val="10"/>
  </w:num>
  <w:num w:numId="14" w16cid:durableId="1207059797">
    <w:abstractNumId w:val="12"/>
  </w:num>
  <w:num w:numId="15" w16cid:durableId="1247618284">
    <w:abstractNumId w:val="16"/>
  </w:num>
  <w:num w:numId="16" w16cid:durableId="251938230">
    <w:abstractNumId w:val="13"/>
  </w:num>
  <w:num w:numId="17" w16cid:durableId="996035600">
    <w:abstractNumId w:val="17"/>
  </w:num>
  <w:num w:numId="18" w16cid:durableId="860751349">
    <w:abstractNumId w:val="18"/>
  </w:num>
  <w:num w:numId="19" w16cid:durableId="5505167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7A1"/>
    <w:rsid w:val="00002A7D"/>
    <w:rsid w:val="000038A8"/>
    <w:rsid w:val="00003FD5"/>
    <w:rsid w:val="00005DF3"/>
    <w:rsid w:val="00006790"/>
    <w:rsid w:val="00010D6E"/>
    <w:rsid w:val="000116A7"/>
    <w:rsid w:val="00015A71"/>
    <w:rsid w:val="00015C3D"/>
    <w:rsid w:val="0001737C"/>
    <w:rsid w:val="0002140B"/>
    <w:rsid w:val="00021C23"/>
    <w:rsid w:val="00027624"/>
    <w:rsid w:val="0003374E"/>
    <w:rsid w:val="000355BF"/>
    <w:rsid w:val="00036F89"/>
    <w:rsid w:val="000415EA"/>
    <w:rsid w:val="00044517"/>
    <w:rsid w:val="00045282"/>
    <w:rsid w:val="00050F6B"/>
    <w:rsid w:val="000678CD"/>
    <w:rsid w:val="00072C8C"/>
    <w:rsid w:val="00076C2A"/>
    <w:rsid w:val="00077936"/>
    <w:rsid w:val="00081CE0"/>
    <w:rsid w:val="00084D30"/>
    <w:rsid w:val="00085AEF"/>
    <w:rsid w:val="00090320"/>
    <w:rsid w:val="000931C0"/>
    <w:rsid w:val="00097003"/>
    <w:rsid w:val="000A23E9"/>
    <w:rsid w:val="000A2E09"/>
    <w:rsid w:val="000A324D"/>
    <w:rsid w:val="000B151F"/>
    <w:rsid w:val="000B175B"/>
    <w:rsid w:val="000B2958"/>
    <w:rsid w:val="000B3A0F"/>
    <w:rsid w:val="000B4329"/>
    <w:rsid w:val="000B5E62"/>
    <w:rsid w:val="000C46D4"/>
    <w:rsid w:val="000C621A"/>
    <w:rsid w:val="000D269E"/>
    <w:rsid w:val="000E0415"/>
    <w:rsid w:val="000E776C"/>
    <w:rsid w:val="000F3F73"/>
    <w:rsid w:val="000F4C5C"/>
    <w:rsid w:val="000F6971"/>
    <w:rsid w:val="000F7715"/>
    <w:rsid w:val="00100096"/>
    <w:rsid w:val="00102F76"/>
    <w:rsid w:val="00103A52"/>
    <w:rsid w:val="00110D5B"/>
    <w:rsid w:val="001135E1"/>
    <w:rsid w:val="0012188C"/>
    <w:rsid w:val="0012379B"/>
    <w:rsid w:val="0014224D"/>
    <w:rsid w:val="00144BCB"/>
    <w:rsid w:val="00146675"/>
    <w:rsid w:val="00150077"/>
    <w:rsid w:val="00156B99"/>
    <w:rsid w:val="00160919"/>
    <w:rsid w:val="00161F0D"/>
    <w:rsid w:val="00166124"/>
    <w:rsid w:val="00172FD1"/>
    <w:rsid w:val="0017331A"/>
    <w:rsid w:val="00175259"/>
    <w:rsid w:val="00175A1A"/>
    <w:rsid w:val="0018492C"/>
    <w:rsid w:val="00184DDA"/>
    <w:rsid w:val="0018704E"/>
    <w:rsid w:val="001900CD"/>
    <w:rsid w:val="001A0452"/>
    <w:rsid w:val="001A0AFD"/>
    <w:rsid w:val="001B4B04"/>
    <w:rsid w:val="001B5875"/>
    <w:rsid w:val="001C2B0D"/>
    <w:rsid w:val="001C4B9C"/>
    <w:rsid w:val="001C6663"/>
    <w:rsid w:val="001C6808"/>
    <w:rsid w:val="001C7895"/>
    <w:rsid w:val="001D26DF"/>
    <w:rsid w:val="001D70CA"/>
    <w:rsid w:val="001E21BA"/>
    <w:rsid w:val="001E30B1"/>
    <w:rsid w:val="001E36E0"/>
    <w:rsid w:val="001F1599"/>
    <w:rsid w:val="001F19C4"/>
    <w:rsid w:val="001F4B29"/>
    <w:rsid w:val="002019A5"/>
    <w:rsid w:val="00203547"/>
    <w:rsid w:val="002043F0"/>
    <w:rsid w:val="002052BA"/>
    <w:rsid w:val="00211E0B"/>
    <w:rsid w:val="0021365A"/>
    <w:rsid w:val="00213ACC"/>
    <w:rsid w:val="00213F94"/>
    <w:rsid w:val="00214877"/>
    <w:rsid w:val="00232575"/>
    <w:rsid w:val="00246DF3"/>
    <w:rsid w:val="00247258"/>
    <w:rsid w:val="00251F3F"/>
    <w:rsid w:val="00257CAC"/>
    <w:rsid w:val="00267159"/>
    <w:rsid w:val="0027237A"/>
    <w:rsid w:val="00272635"/>
    <w:rsid w:val="002734FC"/>
    <w:rsid w:val="002920F0"/>
    <w:rsid w:val="002974E9"/>
    <w:rsid w:val="002A306B"/>
    <w:rsid w:val="002A3DEF"/>
    <w:rsid w:val="002A4540"/>
    <w:rsid w:val="002A4C6D"/>
    <w:rsid w:val="002A5995"/>
    <w:rsid w:val="002A7F94"/>
    <w:rsid w:val="002B109A"/>
    <w:rsid w:val="002B6E5C"/>
    <w:rsid w:val="002C6D45"/>
    <w:rsid w:val="002C7F3D"/>
    <w:rsid w:val="002D5AC8"/>
    <w:rsid w:val="002D6E53"/>
    <w:rsid w:val="002D785E"/>
    <w:rsid w:val="002F046D"/>
    <w:rsid w:val="002F293E"/>
    <w:rsid w:val="002F3023"/>
    <w:rsid w:val="002F7D7B"/>
    <w:rsid w:val="00301764"/>
    <w:rsid w:val="003044E9"/>
    <w:rsid w:val="00304539"/>
    <w:rsid w:val="0031128C"/>
    <w:rsid w:val="0031725D"/>
    <w:rsid w:val="003229D8"/>
    <w:rsid w:val="0032599F"/>
    <w:rsid w:val="00326649"/>
    <w:rsid w:val="00326D7A"/>
    <w:rsid w:val="003330B4"/>
    <w:rsid w:val="00336C97"/>
    <w:rsid w:val="00337F88"/>
    <w:rsid w:val="0034112A"/>
    <w:rsid w:val="00342432"/>
    <w:rsid w:val="00351B1B"/>
    <w:rsid w:val="0035223F"/>
    <w:rsid w:val="00352D4B"/>
    <w:rsid w:val="00354EA5"/>
    <w:rsid w:val="0035638C"/>
    <w:rsid w:val="00366AE5"/>
    <w:rsid w:val="00380301"/>
    <w:rsid w:val="00380D3E"/>
    <w:rsid w:val="00382277"/>
    <w:rsid w:val="00382420"/>
    <w:rsid w:val="00385455"/>
    <w:rsid w:val="00387564"/>
    <w:rsid w:val="00396602"/>
    <w:rsid w:val="003A035D"/>
    <w:rsid w:val="003A379F"/>
    <w:rsid w:val="003A3B5D"/>
    <w:rsid w:val="003A46BB"/>
    <w:rsid w:val="003A4EC7"/>
    <w:rsid w:val="003A7295"/>
    <w:rsid w:val="003B1F60"/>
    <w:rsid w:val="003C04AC"/>
    <w:rsid w:val="003C089E"/>
    <w:rsid w:val="003C0FCF"/>
    <w:rsid w:val="003C16CA"/>
    <w:rsid w:val="003C2CC4"/>
    <w:rsid w:val="003C3530"/>
    <w:rsid w:val="003D2080"/>
    <w:rsid w:val="003D4B23"/>
    <w:rsid w:val="003D5CD7"/>
    <w:rsid w:val="003E1120"/>
    <w:rsid w:val="003E1388"/>
    <w:rsid w:val="003E14E8"/>
    <w:rsid w:val="003E278A"/>
    <w:rsid w:val="003E30CC"/>
    <w:rsid w:val="003E57BD"/>
    <w:rsid w:val="0040473B"/>
    <w:rsid w:val="00405791"/>
    <w:rsid w:val="00411717"/>
    <w:rsid w:val="00413520"/>
    <w:rsid w:val="00414F4A"/>
    <w:rsid w:val="004325CB"/>
    <w:rsid w:val="00433CD5"/>
    <w:rsid w:val="0043747B"/>
    <w:rsid w:val="00440A07"/>
    <w:rsid w:val="00441082"/>
    <w:rsid w:val="00441A5E"/>
    <w:rsid w:val="00443DC4"/>
    <w:rsid w:val="00450E08"/>
    <w:rsid w:val="00451912"/>
    <w:rsid w:val="004523AA"/>
    <w:rsid w:val="004530E5"/>
    <w:rsid w:val="00460328"/>
    <w:rsid w:val="00462880"/>
    <w:rsid w:val="004645B5"/>
    <w:rsid w:val="00470754"/>
    <w:rsid w:val="00476F24"/>
    <w:rsid w:val="00477DB9"/>
    <w:rsid w:val="00480757"/>
    <w:rsid w:val="00491419"/>
    <w:rsid w:val="00491735"/>
    <w:rsid w:val="00496B51"/>
    <w:rsid w:val="004A4461"/>
    <w:rsid w:val="004A5D33"/>
    <w:rsid w:val="004B5D06"/>
    <w:rsid w:val="004B62B7"/>
    <w:rsid w:val="004B62D8"/>
    <w:rsid w:val="004C55B0"/>
    <w:rsid w:val="004D3E88"/>
    <w:rsid w:val="004E4776"/>
    <w:rsid w:val="004F07B1"/>
    <w:rsid w:val="004F6084"/>
    <w:rsid w:val="004F6BA0"/>
    <w:rsid w:val="00501AB0"/>
    <w:rsid w:val="00503BEA"/>
    <w:rsid w:val="0050475F"/>
    <w:rsid w:val="00510415"/>
    <w:rsid w:val="00510903"/>
    <w:rsid w:val="00511F2B"/>
    <w:rsid w:val="005140A4"/>
    <w:rsid w:val="00517328"/>
    <w:rsid w:val="00522ECC"/>
    <w:rsid w:val="00530CFC"/>
    <w:rsid w:val="00533616"/>
    <w:rsid w:val="00535ABA"/>
    <w:rsid w:val="0053768B"/>
    <w:rsid w:val="0054096B"/>
    <w:rsid w:val="005420F2"/>
    <w:rsid w:val="0054285C"/>
    <w:rsid w:val="00542B47"/>
    <w:rsid w:val="00544400"/>
    <w:rsid w:val="005467AB"/>
    <w:rsid w:val="00546AA6"/>
    <w:rsid w:val="00551147"/>
    <w:rsid w:val="0055170C"/>
    <w:rsid w:val="00552EE6"/>
    <w:rsid w:val="00554773"/>
    <w:rsid w:val="00556F05"/>
    <w:rsid w:val="00557D55"/>
    <w:rsid w:val="005601B6"/>
    <w:rsid w:val="0056144E"/>
    <w:rsid w:val="0056229B"/>
    <w:rsid w:val="00562B9E"/>
    <w:rsid w:val="005635C9"/>
    <w:rsid w:val="0056378B"/>
    <w:rsid w:val="00584173"/>
    <w:rsid w:val="00595520"/>
    <w:rsid w:val="00595D46"/>
    <w:rsid w:val="005A29F8"/>
    <w:rsid w:val="005A44B9"/>
    <w:rsid w:val="005A6CC2"/>
    <w:rsid w:val="005B1BA0"/>
    <w:rsid w:val="005B3DB3"/>
    <w:rsid w:val="005B6570"/>
    <w:rsid w:val="005B692A"/>
    <w:rsid w:val="005C0268"/>
    <w:rsid w:val="005C7A23"/>
    <w:rsid w:val="005D15CA"/>
    <w:rsid w:val="005D3389"/>
    <w:rsid w:val="005D67B0"/>
    <w:rsid w:val="005E1BDF"/>
    <w:rsid w:val="005E49EB"/>
    <w:rsid w:val="005E5D0F"/>
    <w:rsid w:val="005F08DF"/>
    <w:rsid w:val="005F28CB"/>
    <w:rsid w:val="005F3066"/>
    <w:rsid w:val="005F3E61"/>
    <w:rsid w:val="005F61F6"/>
    <w:rsid w:val="006005BA"/>
    <w:rsid w:val="0060132D"/>
    <w:rsid w:val="00604DDD"/>
    <w:rsid w:val="006115CC"/>
    <w:rsid w:val="00611FC4"/>
    <w:rsid w:val="0061237A"/>
    <w:rsid w:val="00612C3E"/>
    <w:rsid w:val="00613D53"/>
    <w:rsid w:val="00615D97"/>
    <w:rsid w:val="006176FB"/>
    <w:rsid w:val="00621CA3"/>
    <w:rsid w:val="006266B3"/>
    <w:rsid w:val="00630FCB"/>
    <w:rsid w:val="00631715"/>
    <w:rsid w:val="0063598B"/>
    <w:rsid w:val="00640B26"/>
    <w:rsid w:val="006415B9"/>
    <w:rsid w:val="0064384A"/>
    <w:rsid w:val="00650002"/>
    <w:rsid w:val="00650978"/>
    <w:rsid w:val="00651068"/>
    <w:rsid w:val="00651438"/>
    <w:rsid w:val="00653C83"/>
    <w:rsid w:val="00655986"/>
    <w:rsid w:val="0065766B"/>
    <w:rsid w:val="00664478"/>
    <w:rsid w:val="0067293C"/>
    <w:rsid w:val="0067346C"/>
    <w:rsid w:val="006770B2"/>
    <w:rsid w:val="00682ABD"/>
    <w:rsid w:val="00686A48"/>
    <w:rsid w:val="0068743A"/>
    <w:rsid w:val="0068763C"/>
    <w:rsid w:val="006940E1"/>
    <w:rsid w:val="006959A8"/>
    <w:rsid w:val="006A067F"/>
    <w:rsid w:val="006A3C72"/>
    <w:rsid w:val="006A7392"/>
    <w:rsid w:val="006B03A1"/>
    <w:rsid w:val="006B2C0E"/>
    <w:rsid w:val="006B67D9"/>
    <w:rsid w:val="006C0057"/>
    <w:rsid w:val="006C4C21"/>
    <w:rsid w:val="006C5535"/>
    <w:rsid w:val="006C6D10"/>
    <w:rsid w:val="006D0589"/>
    <w:rsid w:val="006E276A"/>
    <w:rsid w:val="006E564B"/>
    <w:rsid w:val="006E7154"/>
    <w:rsid w:val="006F07D3"/>
    <w:rsid w:val="007003CD"/>
    <w:rsid w:val="00703843"/>
    <w:rsid w:val="00706177"/>
    <w:rsid w:val="007064FC"/>
    <w:rsid w:val="00706870"/>
    <w:rsid w:val="0070701E"/>
    <w:rsid w:val="00715D62"/>
    <w:rsid w:val="0071765B"/>
    <w:rsid w:val="00722F9B"/>
    <w:rsid w:val="0072632A"/>
    <w:rsid w:val="00735273"/>
    <w:rsid w:val="007358E8"/>
    <w:rsid w:val="00736ECE"/>
    <w:rsid w:val="00743ABC"/>
    <w:rsid w:val="00743AEF"/>
    <w:rsid w:val="0074533B"/>
    <w:rsid w:val="00752CD7"/>
    <w:rsid w:val="007554D9"/>
    <w:rsid w:val="007643BC"/>
    <w:rsid w:val="0076734F"/>
    <w:rsid w:val="007775C4"/>
    <w:rsid w:val="00780C68"/>
    <w:rsid w:val="00793FED"/>
    <w:rsid w:val="007959FE"/>
    <w:rsid w:val="00797DE2"/>
    <w:rsid w:val="007A0CF1"/>
    <w:rsid w:val="007A6378"/>
    <w:rsid w:val="007B5346"/>
    <w:rsid w:val="007B6BA5"/>
    <w:rsid w:val="007C3390"/>
    <w:rsid w:val="007C42D8"/>
    <w:rsid w:val="007C4F4B"/>
    <w:rsid w:val="007C794D"/>
    <w:rsid w:val="007D3C61"/>
    <w:rsid w:val="007D5F78"/>
    <w:rsid w:val="007D6F65"/>
    <w:rsid w:val="007D7362"/>
    <w:rsid w:val="007E471A"/>
    <w:rsid w:val="007F16B4"/>
    <w:rsid w:val="007F2BAA"/>
    <w:rsid w:val="007F4D67"/>
    <w:rsid w:val="007F581A"/>
    <w:rsid w:val="007F5CE2"/>
    <w:rsid w:val="007F6611"/>
    <w:rsid w:val="008042BE"/>
    <w:rsid w:val="0080524A"/>
    <w:rsid w:val="00810BAC"/>
    <w:rsid w:val="008155D1"/>
    <w:rsid w:val="008175E9"/>
    <w:rsid w:val="00820688"/>
    <w:rsid w:val="00822B14"/>
    <w:rsid w:val="008242D7"/>
    <w:rsid w:val="00825336"/>
    <w:rsid w:val="0082577B"/>
    <w:rsid w:val="00825CB5"/>
    <w:rsid w:val="008264D0"/>
    <w:rsid w:val="008420D7"/>
    <w:rsid w:val="00853778"/>
    <w:rsid w:val="00863F41"/>
    <w:rsid w:val="00866893"/>
    <w:rsid w:val="00866F02"/>
    <w:rsid w:val="00867D18"/>
    <w:rsid w:val="00871F9A"/>
    <w:rsid w:val="00871FD5"/>
    <w:rsid w:val="0087294D"/>
    <w:rsid w:val="00873F06"/>
    <w:rsid w:val="008770B4"/>
    <w:rsid w:val="0088172E"/>
    <w:rsid w:val="00881C11"/>
    <w:rsid w:val="00881EFA"/>
    <w:rsid w:val="00881F81"/>
    <w:rsid w:val="00882B34"/>
    <w:rsid w:val="008833D8"/>
    <w:rsid w:val="00884B0A"/>
    <w:rsid w:val="00884B81"/>
    <w:rsid w:val="00885276"/>
    <w:rsid w:val="008879CB"/>
    <w:rsid w:val="00890FC0"/>
    <w:rsid w:val="008963EE"/>
    <w:rsid w:val="008979B1"/>
    <w:rsid w:val="008A097F"/>
    <w:rsid w:val="008A6B25"/>
    <w:rsid w:val="008A6C4F"/>
    <w:rsid w:val="008B2423"/>
    <w:rsid w:val="008B305F"/>
    <w:rsid w:val="008B389E"/>
    <w:rsid w:val="008B3912"/>
    <w:rsid w:val="008C0064"/>
    <w:rsid w:val="008C00E9"/>
    <w:rsid w:val="008D045E"/>
    <w:rsid w:val="008D3F25"/>
    <w:rsid w:val="008D4D82"/>
    <w:rsid w:val="008E0E46"/>
    <w:rsid w:val="008E39BB"/>
    <w:rsid w:val="008E7116"/>
    <w:rsid w:val="008E72C2"/>
    <w:rsid w:val="008E72D4"/>
    <w:rsid w:val="008E75B6"/>
    <w:rsid w:val="008F143B"/>
    <w:rsid w:val="008F2222"/>
    <w:rsid w:val="008F3882"/>
    <w:rsid w:val="008F4997"/>
    <w:rsid w:val="008F4B7C"/>
    <w:rsid w:val="0090028B"/>
    <w:rsid w:val="00905DA3"/>
    <w:rsid w:val="00906226"/>
    <w:rsid w:val="00911045"/>
    <w:rsid w:val="009133E3"/>
    <w:rsid w:val="0091388C"/>
    <w:rsid w:val="009237BC"/>
    <w:rsid w:val="00926E47"/>
    <w:rsid w:val="00931DF1"/>
    <w:rsid w:val="009326BB"/>
    <w:rsid w:val="009329EE"/>
    <w:rsid w:val="009348A7"/>
    <w:rsid w:val="009369F0"/>
    <w:rsid w:val="00940A9D"/>
    <w:rsid w:val="00943FFC"/>
    <w:rsid w:val="00947162"/>
    <w:rsid w:val="0094753F"/>
    <w:rsid w:val="00951F43"/>
    <w:rsid w:val="009529FA"/>
    <w:rsid w:val="009544BF"/>
    <w:rsid w:val="00954CCB"/>
    <w:rsid w:val="009560C1"/>
    <w:rsid w:val="00960092"/>
    <w:rsid w:val="00960B45"/>
    <w:rsid w:val="009610D0"/>
    <w:rsid w:val="00961845"/>
    <w:rsid w:val="0096375C"/>
    <w:rsid w:val="009662E6"/>
    <w:rsid w:val="0097095E"/>
    <w:rsid w:val="00973E6D"/>
    <w:rsid w:val="009767A9"/>
    <w:rsid w:val="0098506D"/>
    <w:rsid w:val="0098592B"/>
    <w:rsid w:val="00985FC4"/>
    <w:rsid w:val="00990766"/>
    <w:rsid w:val="00991261"/>
    <w:rsid w:val="009914B5"/>
    <w:rsid w:val="00993483"/>
    <w:rsid w:val="009961ED"/>
    <w:rsid w:val="009964C4"/>
    <w:rsid w:val="009A1FC3"/>
    <w:rsid w:val="009A7B81"/>
    <w:rsid w:val="009B4156"/>
    <w:rsid w:val="009B4993"/>
    <w:rsid w:val="009B7EB7"/>
    <w:rsid w:val="009C109C"/>
    <w:rsid w:val="009C2BB3"/>
    <w:rsid w:val="009C2CEF"/>
    <w:rsid w:val="009C35C2"/>
    <w:rsid w:val="009C437C"/>
    <w:rsid w:val="009C53A2"/>
    <w:rsid w:val="009C69E9"/>
    <w:rsid w:val="009C7AF0"/>
    <w:rsid w:val="009D01C0"/>
    <w:rsid w:val="009D60B6"/>
    <w:rsid w:val="009D6A08"/>
    <w:rsid w:val="009D77A7"/>
    <w:rsid w:val="009E0A16"/>
    <w:rsid w:val="009E28B4"/>
    <w:rsid w:val="009E6CB7"/>
    <w:rsid w:val="009E7970"/>
    <w:rsid w:val="009E7FE3"/>
    <w:rsid w:val="009F2EAC"/>
    <w:rsid w:val="009F50B0"/>
    <w:rsid w:val="009F57E3"/>
    <w:rsid w:val="009F6B3E"/>
    <w:rsid w:val="00A10F4F"/>
    <w:rsid w:val="00A11067"/>
    <w:rsid w:val="00A12808"/>
    <w:rsid w:val="00A12AA4"/>
    <w:rsid w:val="00A1704A"/>
    <w:rsid w:val="00A175FA"/>
    <w:rsid w:val="00A220EE"/>
    <w:rsid w:val="00A249E3"/>
    <w:rsid w:val="00A31107"/>
    <w:rsid w:val="00A33011"/>
    <w:rsid w:val="00A344E6"/>
    <w:rsid w:val="00A36AC2"/>
    <w:rsid w:val="00A421A8"/>
    <w:rsid w:val="00A425EB"/>
    <w:rsid w:val="00A4738C"/>
    <w:rsid w:val="00A50002"/>
    <w:rsid w:val="00A52D93"/>
    <w:rsid w:val="00A5528A"/>
    <w:rsid w:val="00A5533B"/>
    <w:rsid w:val="00A56859"/>
    <w:rsid w:val="00A57B83"/>
    <w:rsid w:val="00A60732"/>
    <w:rsid w:val="00A61094"/>
    <w:rsid w:val="00A6331C"/>
    <w:rsid w:val="00A66220"/>
    <w:rsid w:val="00A66541"/>
    <w:rsid w:val="00A72F22"/>
    <w:rsid w:val="00A733BC"/>
    <w:rsid w:val="00A748A6"/>
    <w:rsid w:val="00A76A69"/>
    <w:rsid w:val="00A85C25"/>
    <w:rsid w:val="00A879A4"/>
    <w:rsid w:val="00AA0FF8"/>
    <w:rsid w:val="00AA216D"/>
    <w:rsid w:val="00AA39C7"/>
    <w:rsid w:val="00AB09C6"/>
    <w:rsid w:val="00AC0F2C"/>
    <w:rsid w:val="00AC502A"/>
    <w:rsid w:val="00AD19B0"/>
    <w:rsid w:val="00AD4252"/>
    <w:rsid w:val="00AE1E26"/>
    <w:rsid w:val="00AE2645"/>
    <w:rsid w:val="00AE6696"/>
    <w:rsid w:val="00AF58C1"/>
    <w:rsid w:val="00AF75BD"/>
    <w:rsid w:val="00B04213"/>
    <w:rsid w:val="00B04A3F"/>
    <w:rsid w:val="00B06643"/>
    <w:rsid w:val="00B06904"/>
    <w:rsid w:val="00B10A32"/>
    <w:rsid w:val="00B143D5"/>
    <w:rsid w:val="00B15055"/>
    <w:rsid w:val="00B20551"/>
    <w:rsid w:val="00B235CA"/>
    <w:rsid w:val="00B30179"/>
    <w:rsid w:val="00B31E0B"/>
    <w:rsid w:val="00B33FC7"/>
    <w:rsid w:val="00B35051"/>
    <w:rsid w:val="00B36FA8"/>
    <w:rsid w:val="00B37B15"/>
    <w:rsid w:val="00B4162A"/>
    <w:rsid w:val="00B42868"/>
    <w:rsid w:val="00B45C02"/>
    <w:rsid w:val="00B47345"/>
    <w:rsid w:val="00B53AD4"/>
    <w:rsid w:val="00B5445D"/>
    <w:rsid w:val="00B616DC"/>
    <w:rsid w:val="00B70B63"/>
    <w:rsid w:val="00B72A1E"/>
    <w:rsid w:val="00B779C3"/>
    <w:rsid w:val="00B81E12"/>
    <w:rsid w:val="00B83124"/>
    <w:rsid w:val="00B832DD"/>
    <w:rsid w:val="00B83386"/>
    <w:rsid w:val="00B941F3"/>
    <w:rsid w:val="00B97FCB"/>
    <w:rsid w:val="00BA0C97"/>
    <w:rsid w:val="00BA1342"/>
    <w:rsid w:val="00BA249C"/>
    <w:rsid w:val="00BA339B"/>
    <w:rsid w:val="00BB0625"/>
    <w:rsid w:val="00BB23CC"/>
    <w:rsid w:val="00BB3AA2"/>
    <w:rsid w:val="00BB7583"/>
    <w:rsid w:val="00BC02BF"/>
    <w:rsid w:val="00BC1E7E"/>
    <w:rsid w:val="00BC2AE1"/>
    <w:rsid w:val="00BC74E9"/>
    <w:rsid w:val="00BD6966"/>
    <w:rsid w:val="00BE36A9"/>
    <w:rsid w:val="00BE55E5"/>
    <w:rsid w:val="00BE618E"/>
    <w:rsid w:val="00BE7215"/>
    <w:rsid w:val="00BE7BEC"/>
    <w:rsid w:val="00BF0A5A"/>
    <w:rsid w:val="00BF0E63"/>
    <w:rsid w:val="00BF0F38"/>
    <w:rsid w:val="00BF12A3"/>
    <w:rsid w:val="00BF16D7"/>
    <w:rsid w:val="00BF2373"/>
    <w:rsid w:val="00BF279B"/>
    <w:rsid w:val="00BF79DD"/>
    <w:rsid w:val="00C044E2"/>
    <w:rsid w:val="00C048CB"/>
    <w:rsid w:val="00C066F3"/>
    <w:rsid w:val="00C07DE6"/>
    <w:rsid w:val="00C10C4A"/>
    <w:rsid w:val="00C159C5"/>
    <w:rsid w:val="00C277E1"/>
    <w:rsid w:val="00C326D9"/>
    <w:rsid w:val="00C3757A"/>
    <w:rsid w:val="00C40A40"/>
    <w:rsid w:val="00C463DD"/>
    <w:rsid w:val="00C71A9E"/>
    <w:rsid w:val="00C72982"/>
    <w:rsid w:val="00C745C3"/>
    <w:rsid w:val="00C76CEA"/>
    <w:rsid w:val="00C80C71"/>
    <w:rsid w:val="00C82326"/>
    <w:rsid w:val="00C978F5"/>
    <w:rsid w:val="00CA24A4"/>
    <w:rsid w:val="00CA2510"/>
    <w:rsid w:val="00CA7FF4"/>
    <w:rsid w:val="00CB348D"/>
    <w:rsid w:val="00CC1BE1"/>
    <w:rsid w:val="00CC2321"/>
    <w:rsid w:val="00CC6CBD"/>
    <w:rsid w:val="00CD46F5"/>
    <w:rsid w:val="00CE2323"/>
    <w:rsid w:val="00CE4A8F"/>
    <w:rsid w:val="00CF071D"/>
    <w:rsid w:val="00D00464"/>
    <w:rsid w:val="00D0123D"/>
    <w:rsid w:val="00D134CC"/>
    <w:rsid w:val="00D15B04"/>
    <w:rsid w:val="00D2031B"/>
    <w:rsid w:val="00D248ED"/>
    <w:rsid w:val="00D25FE2"/>
    <w:rsid w:val="00D37DA9"/>
    <w:rsid w:val="00D406A7"/>
    <w:rsid w:val="00D43252"/>
    <w:rsid w:val="00D44D86"/>
    <w:rsid w:val="00D45707"/>
    <w:rsid w:val="00D50B7D"/>
    <w:rsid w:val="00D52012"/>
    <w:rsid w:val="00D52A7B"/>
    <w:rsid w:val="00D569B3"/>
    <w:rsid w:val="00D57E2A"/>
    <w:rsid w:val="00D62BDF"/>
    <w:rsid w:val="00D704E5"/>
    <w:rsid w:val="00D72727"/>
    <w:rsid w:val="00D81CE3"/>
    <w:rsid w:val="00D97702"/>
    <w:rsid w:val="00D978C6"/>
    <w:rsid w:val="00DA0956"/>
    <w:rsid w:val="00DA2139"/>
    <w:rsid w:val="00DA2690"/>
    <w:rsid w:val="00DA357F"/>
    <w:rsid w:val="00DA3E12"/>
    <w:rsid w:val="00DB1AEB"/>
    <w:rsid w:val="00DB1B4A"/>
    <w:rsid w:val="00DB7324"/>
    <w:rsid w:val="00DC1647"/>
    <w:rsid w:val="00DC18AD"/>
    <w:rsid w:val="00DC1CD1"/>
    <w:rsid w:val="00DC6354"/>
    <w:rsid w:val="00DC7B00"/>
    <w:rsid w:val="00DD2C90"/>
    <w:rsid w:val="00DF5DC5"/>
    <w:rsid w:val="00DF7CAE"/>
    <w:rsid w:val="00E03DD1"/>
    <w:rsid w:val="00E060C3"/>
    <w:rsid w:val="00E1172E"/>
    <w:rsid w:val="00E12356"/>
    <w:rsid w:val="00E16A35"/>
    <w:rsid w:val="00E2155B"/>
    <w:rsid w:val="00E21EA2"/>
    <w:rsid w:val="00E3365D"/>
    <w:rsid w:val="00E3393B"/>
    <w:rsid w:val="00E36189"/>
    <w:rsid w:val="00E40573"/>
    <w:rsid w:val="00E423C0"/>
    <w:rsid w:val="00E42F07"/>
    <w:rsid w:val="00E50060"/>
    <w:rsid w:val="00E603EE"/>
    <w:rsid w:val="00E63B5F"/>
    <w:rsid w:val="00E64085"/>
    <w:rsid w:val="00E6414C"/>
    <w:rsid w:val="00E724E0"/>
    <w:rsid w:val="00E7260F"/>
    <w:rsid w:val="00E769DD"/>
    <w:rsid w:val="00E82FDF"/>
    <w:rsid w:val="00E8702D"/>
    <w:rsid w:val="00E905F4"/>
    <w:rsid w:val="00E916A9"/>
    <w:rsid w:val="00E916DE"/>
    <w:rsid w:val="00E925AD"/>
    <w:rsid w:val="00E93204"/>
    <w:rsid w:val="00E95009"/>
    <w:rsid w:val="00E96630"/>
    <w:rsid w:val="00EB3AA3"/>
    <w:rsid w:val="00EC03D4"/>
    <w:rsid w:val="00EC0B08"/>
    <w:rsid w:val="00EC42B7"/>
    <w:rsid w:val="00EC599F"/>
    <w:rsid w:val="00EC5C0B"/>
    <w:rsid w:val="00EC6D60"/>
    <w:rsid w:val="00ED18DC"/>
    <w:rsid w:val="00ED22F2"/>
    <w:rsid w:val="00ED367E"/>
    <w:rsid w:val="00ED6201"/>
    <w:rsid w:val="00ED7A2A"/>
    <w:rsid w:val="00EE6AC0"/>
    <w:rsid w:val="00EF1644"/>
    <w:rsid w:val="00EF1D7F"/>
    <w:rsid w:val="00EF25C4"/>
    <w:rsid w:val="00EF300F"/>
    <w:rsid w:val="00EF6069"/>
    <w:rsid w:val="00EF7A95"/>
    <w:rsid w:val="00F0137E"/>
    <w:rsid w:val="00F039BE"/>
    <w:rsid w:val="00F04E44"/>
    <w:rsid w:val="00F068C0"/>
    <w:rsid w:val="00F13ED1"/>
    <w:rsid w:val="00F1631D"/>
    <w:rsid w:val="00F16ECB"/>
    <w:rsid w:val="00F21786"/>
    <w:rsid w:val="00F223C6"/>
    <w:rsid w:val="00F23EAD"/>
    <w:rsid w:val="00F25D06"/>
    <w:rsid w:val="00F26542"/>
    <w:rsid w:val="00F30936"/>
    <w:rsid w:val="00F31CFF"/>
    <w:rsid w:val="00F3421B"/>
    <w:rsid w:val="00F3742B"/>
    <w:rsid w:val="00F37BF8"/>
    <w:rsid w:val="00F40A2D"/>
    <w:rsid w:val="00F419CE"/>
    <w:rsid w:val="00F41FDB"/>
    <w:rsid w:val="00F44B9E"/>
    <w:rsid w:val="00F50597"/>
    <w:rsid w:val="00F56D63"/>
    <w:rsid w:val="00F609A9"/>
    <w:rsid w:val="00F623E9"/>
    <w:rsid w:val="00F800C1"/>
    <w:rsid w:val="00F80C99"/>
    <w:rsid w:val="00F827B2"/>
    <w:rsid w:val="00F8479C"/>
    <w:rsid w:val="00F85E4B"/>
    <w:rsid w:val="00F867EC"/>
    <w:rsid w:val="00F86E07"/>
    <w:rsid w:val="00F91B2B"/>
    <w:rsid w:val="00FB4C77"/>
    <w:rsid w:val="00FC03CD"/>
    <w:rsid w:val="00FC0646"/>
    <w:rsid w:val="00FC61B7"/>
    <w:rsid w:val="00FC68B7"/>
    <w:rsid w:val="00FD111E"/>
    <w:rsid w:val="00FD706E"/>
    <w:rsid w:val="00FE6985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1AE17"/>
  <w15:docId w15:val="{5BD3FAB8-B044-4603-B385-F7E7D4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Roman8pt">
    <w:name w:val="Roman 8pt"/>
    <w:basedOn w:val="Normal"/>
    <w:rsid w:val="00613D53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16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31D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1DF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31DF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1DF1"/>
    <w:rPr>
      <w:b/>
      <w:bCs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rsid w:val="004A4461"/>
    <w:rPr>
      <w:b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7B853-597B-4102-8789-D961055644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5A1824-B346-4395-A8C1-72447B383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1091</Words>
  <Characters>5698</Characters>
  <Application>Microsoft Office Word</Application>
  <DocSecurity>0</DocSecurity>
  <Lines>121</Lines>
  <Paragraphs>72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ECE/TRANS/WP.29/GRVA/2022/1</vt:lpstr>
      <vt:lpstr>ECE/TRANS/WP.29/GRVA/2022/1</vt:lpstr>
      <vt:lpstr/>
    </vt:vector>
  </TitlesOfParts>
  <Company>CSD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</dc:title>
  <dc:subject>2116363</dc:subject>
  <dc:creator>Francois Guichard</dc:creator>
  <cp:keywords/>
  <dc:description/>
  <cp:lastModifiedBy>secretariat</cp:lastModifiedBy>
  <cp:revision>22</cp:revision>
  <cp:lastPrinted>2021-11-03T14:42:00Z</cp:lastPrinted>
  <dcterms:created xsi:type="dcterms:W3CDTF">2023-04-27T14:23:00Z</dcterms:created>
  <dcterms:modified xsi:type="dcterms:W3CDTF">2023-04-27T19:04:00Z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