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F8B" w14:textId="260577BC" w:rsidR="004171B7" w:rsidRDefault="004171B7" w:rsidP="000E7E35">
      <w:pPr>
        <w:ind w:left="1134"/>
        <w:jc w:val="center"/>
        <w:rPr>
          <w:sz w:val="24"/>
          <w:szCs w:val="24"/>
        </w:rPr>
      </w:pPr>
    </w:p>
    <w:p w14:paraId="7FF52DE2" w14:textId="77777777" w:rsidR="003701C1" w:rsidRDefault="009C0824" w:rsidP="003701C1">
      <w:pPr>
        <w:pStyle w:val="HChG"/>
        <w:tabs>
          <w:tab w:val="clear" w:pos="851"/>
        </w:tabs>
        <w:spacing w:before="320" w:after="0"/>
        <w:ind w:firstLine="0"/>
        <w:jc w:val="center"/>
      </w:pPr>
      <w:r w:rsidRPr="00246DB7">
        <w:t xml:space="preserve">Proposal for Supplements to </w:t>
      </w:r>
      <w:r w:rsidR="003701C1">
        <w:t xml:space="preserve">09 series of amendments </w:t>
      </w:r>
    </w:p>
    <w:p w14:paraId="49BA8B9E" w14:textId="004C08AB" w:rsidR="0065242B" w:rsidRDefault="003701C1" w:rsidP="003701C1">
      <w:pPr>
        <w:pStyle w:val="HChG"/>
        <w:tabs>
          <w:tab w:val="clear" w:pos="851"/>
        </w:tabs>
        <w:spacing w:before="0" w:after="200"/>
        <w:ind w:firstLine="0"/>
        <w:jc w:val="center"/>
      </w:pPr>
      <w:r>
        <w:t xml:space="preserve">to </w:t>
      </w:r>
      <w:r w:rsidR="009C0824" w:rsidRPr="00246DB7">
        <w:t>UN Regulation No. 48</w:t>
      </w:r>
    </w:p>
    <w:p w14:paraId="33B1308E" w14:textId="77777777" w:rsidR="003701C1" w:rsidRDefault="003701C1" w:rsidP="009C0824">
      <w:pPr>
        <w:pStyle w:val="SingleTxtG"/>
      </w:pPr>
    </w:p>
    <w:p w14:paraId="2F639280" w14:textId="28C1D197" w:rsidR="009C0824" w:rsidRDefault="009C0824" w:rsidP="009C0824">
      <w:pPr>
        <w:pStyle w:val="SingleTxtG"/>
      </w:pPr>
      <w:r w:rsidRPr="00246DB7">
        <w:t>This document is a proposal t</w:t>
      </w:r>
      <w:r>
        <w:t xml:space="preserve">o </w:t>
      </w:r>
      <w:r w:rsidR="003701C1">
        <w:t xml:space="preserve">align the 09 series of amendments of </w:t>
      </w:r>
      <w:r w:rsidR="00C37FC2">
        <w:t xml:space="preserve">UN Regulation No. 48 with </w:t>
      </w:r>
      <w:r w:rsidR="00DC169D">
        <w:t xml:space="preserve">01 series of amendments to </w:t>
      </w:r>
      <w:r w:rsidR="003701C1">
        <w:t>UN Regulations Nos.148</w:t>
      </w:r>
      <w:r w:rsidR="00DC169D">
        <w:t xml:space="preserve"> and </w:t>
      </w:r>
      <w:r w:rsidR="003701C1">
        <w:t>149</w:t>
      </w:r>
      <w:r w:rsidRPr="00246DB7">
        <w:t xml:space="preserve">. </w:t>
      </w:r>
      <w:r w:rsidR="003701C1">
        <w:t>The modifications to the current text of the regulation are marked in bold for new and strikethrough for deleted characters.</w:t>
      </w:r>
      <w:r>
        <w:t xml:space="preserve"> </w:t>
      </w:r>
    </w:p>
    <w:p w14:paraId="07C2D575" w14:textId="56CE6211" w:rsidR="009C0824" w:rsidRDefault="009C0824" w:rsidP="009C0824">
      <w:pPr>
        <w:pStyle w:val="SingleTxtG"/>
      </w:pPr>
    </w:p>
    <w:p w14:paraId="46951512" w14:textId="77777777" w:rsidR="009C0824" w:rsidRDefault="009C0824" w:rsidP="009C0824">
      <w:pPr>
        <w:pStyle w:val="SingleTxtG"/>
      </w:pPr>
    </w:p>
    <w:p w14:paraId="3D87E073" w14:textId="058BEC4D" w:rsidR="009C0824" w:rsidRDefault="009C0824" w:rsidP="00FE40E4">
      <w:pPr>
        <w:pStyle w:val="HChG"/>
        <w:tabs>
          <w:tab w:val="clear" w:pos="851"/>
        </w:tabs>
        <w:ind w:hanging="567"/>
      </w:pPr>
      <w:r w:rsidRPr="00525E6C">
        <w:t>I.</w:t>
      </w:r>
      <w:r w:rsidR="003701C1">
        <w:t xml:space="preserve"> </w:t>
      </w:r>
      <w:r w:rsidR="00FE40E4">
        <w:tab/>
      </w:r>
      <w:r w:rsidRPr="00525E6C">
        <w:t>Proposal</w:t>
      </w:r>
    </w:p>
    <w:p w14:paraId="28B588CF" w14:textId="475910A4" w:rsidR="009C0824" w:rsidRPr="00AE2A0E" w:rsidRDefault="003701C1" w:rsidP="009C082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>
        <w:rPr>
          <w:i/>
          <w:lang w:val="en-US"/>
        </w:rPr>
        <w:t>P</w:t>
      </w:r>
      <w:r w:rsidR="009C0824" w:rsidRPr="00AE2A0E">
        <w:rPr>
          <w:i/>
          <w:lang w:val="en-US"/>
        </w:rPr>
        <w:t xml:space="preserve">aragraph </w:t>
      </w:r>
      <w:r>
        <w:rPr>
          <w:i/>
          <w:lang w:val="en-US"/>
        </w:rPr>
        <w:t>5.10.4.3.,</w:t>
      </w:r>
      <w:r w:rsidR="009C0824" w:rsidRPr="00294CBD">
        <w:rPr>
          <w:i/>
          <w:lang w:val="en-US"/>
        </w:rPr>
        <w:t xml:space="preserve"> </w:t>
      </w:r>
      <w:r w:rsidRPr="003701C1">
        <w:rPr>
          <w:iCs/>
          <w:lang w:val="en-US"/>
        </w:rPr>
        <w:t xml:space="preserve">amend </w:t>
      </w:r>
      <w:r w:rsidR="009C0824" w:rsidRPr="003701C1">
        <w:rPr>
          <w:iCs/>
          <w:lang w:val="en-US"/>
        </w:rPr>
        <w:t>to read:</w:t>
      </w:r>
    </w:p>
    <w:p w14:paraId="574E405E" w14:textId="4D1BD91B" w:rsidR="009C0824" w:rsidRPr="00294CBD" w:rsidRDefault="009C0824" w:rsidP="009C0824">
      <w:pPr>
        <w:pStyle w:val="ListParagraph"/>
        <w:spacing w:after="120"/>
        <w:ind w:left="2268" w:right="1134" w:hanging="1134"/>
        <w:contextualSpacing w:val="0"/>
      </w:pPr>
      <w:r w:rsidRPr="00AE2A0E">
        <w:rPr>
          <w:lang w:val="en-US"/>
        </w:rPr>
        <w:t>"</w:t>
      </w:r>
      <w:r w:rsidR="00993F60">
        <w:rPr>
          <w:lang w:val="en-US"/>
        </w:rPr>
        <w:t>5.10.4.3</w:t>
      </w:r>
      <w:r w:rsidRPr="00AE2A0E">
        <w:rPr>
          <w:lang w:val="en-US"/>
        </w:rPr>
        <w:t>.</w:t>
      </w:r>
      <w:r w:rsidRPr="00AE2A0E">
        <w:rPr>
          <w:lang w:val="en-US"/>
        </w:rPr>
        <w:tab/>
      </w:r>
      <w:r w:rsidR="00486323">
        <w:rPr>
          <w:sz w:val="20"/>
          <w:szCs w:val="20"/>
          <w:lang w:val="en-US"/>
        </w:rPr>
        <w:t xml:space="preserve">In case of doubt, the requirement above shall be deemed fulfilled if the luminous intensity of the red light emitted to the front and/or the white light emitted to the rear, as verified during type approval of the lamps, is </w:t>
      </w:r>
      <w:r w:rsidR="00486323" w:rsidRPr="00486323">
        <w:rPr>
          <w:strike/>
          <w:sz w:val="20"/>
          <w:szCs w:val="20"/>
          <w:lang w:val="en-US"/>
        </w:rPr>
        <w:t>less</w:t>
      </w:r>
      <w:r w:rsidR="00486323">
        <w:rPr>
          <w:sz w:val="20"/>
          <w:szCs w:val="20"/>
          <w:lang w:val="en-US"/>
        </w:rPr>
        <w:t xml:space="preserve"> </w:t>
      </w:r>
      <w:r w:rsidR="00486323" w:rsidRPr="00486323">
        <w:rPr>
          <w:b/>
          <w:bCs/>
          <w:sz w:val="20"/>
          <w:szCs w:val="20"/>
          <w:lang w:val="en-US"/>
        </w:rPr>
        <w:t xml:space="preserve">not more </w:t>
      </w:r>
      <w:r w:rsidR="00486323" w:rsidRPr="00486323">
        <w:rPr>
          <w:sz w:val="20"/>
          <w:szCs w:val="20"/>
          <w:lang w:val="en-US"/>
        </w:rPr>
        <w:t xml:space="preserve">than 0.25 cd </w:t>
      </w:r>
      <w:r w:rsidR="00486323">
        <w:rPr>
          <w:sz w:val="20"/>
          <w:szCs w:val="20"/>
          <w:lang w:val="en-US"/>
        </w:rPr>
        <w:t>per lamp taking into account the influence of the vehicle body if applicable</w:t>
      </w:r>
      <w:r>
        <w:t>.</w:t>
      </w:r>
      <w:r w:rsidR="003701C1" w:rsidRPr="00AE2A0E">
        <w:rPr>
          <w:lang w:val="en-US"/>
        </w:rPr>
        <w:t>"</w:t>
      </w:r>
    </w:p>
    <w:p w14:paraId="641ABF4A" w14:textId="3EE03207" w:rsidR="009C0824" w:rsidRPr="00A473E7" w:rsidRDefault="009C0824" w:rsidP="003701C1">
      <w:pPr>
        <w:tabs>
          <w:tab w:val="left" w:pos="1134"/>
        </w:tabs>
        <w:spacing w:after="120"/>
        <w:ind w:right="1134"/>
        <w:jc w:val="both"/>
      </w:pPr>
      <w:r>
        <w:rPr>
          <w:i/>
          <w:lang w:val="en-US"/>
        </w:rPr>
        <w:tab/>
      </w:r>
    </w:p>
    <w:p w14:paraId="11EA8CC1" w14:textId="77777777" w:rsidR="009C0824" w:rsidRDefault="009C0824" w:rsidP="009C0824">
      <w:pPr>
        <w:pStyle w:val="HChG"/>
        <w:ind w:left="0" w:firstLine="0"/>
      </w:pPr>
      <w:r w:rsidRPr="00525E6C">
        <w:tab/>
        <w:t>II.</w:t>
      </w:r>
      <w:r w:rsidRPr="00525E6C">
        <w:tab/>
        <w:t>Justification</w:t>
      </w:r>
    </w:p>
    <w:p w14:paraId="6E267405" w14:textId="4F8ED28C" w:rsidR="009C0824" w:rsidRPr="00486323" w:rsidRDefault="00486323" w:rsidP="00486323">
      <w:pPr>
        <w:pStyle w:val="ListParagraph"/>
        <w:widowControl/>
        <w:numPr>
          <w:ilvl w:val="0"/>
          <w:numId w:val="23"/>
        </w:numPr>
        <w:suppressAutoHyphens/>
        <w:spacing w:line="240" w:lineRule="atLeast"/>
        <w:ind w:left="1134" w:right="1134" w:firstLine="0"/>
        <w:rPr>
          <w:sz w:val="20"/>
          <w:szCs w:val="20"/>
          <w:lang w:val="en-US"/>
        </w:rPr>
      </w:pPr>
      <w:r w:rsidRPr="00486323">
        <w:rPr>
          <w:sz w:val="20"/>
          <w:szCs w:val="20"/>
          <w:lang w:val="en-US"/>
        </w:rPr>
        <w:t xml:space="preserve">This proposal aims to align the requirement </w:t>
      </w:r>
      <w:r w:rsidR="00C37FC2">
        <w:rPr>
          <w:sz w:val="20"/>
          <w:szCs w:val="20"/>
          <w:lang w:val="en-US"/>
        </w:rPr>
        <w:t xml:space="preserve">for the visibility of red light towards the front and/or white light toward the rear of the vehicle </w:t>
      </w:r>
      <w:r>
        <w:rPr>
          <w:sz w:val="20"/>
          <w:szCs w:val="20"/>
          <w:lang w:val="en-US"/>
        </w:rPr>
        <w:t xml:space="preserve">in </w:t>
      </w:r>
      <w:r w:rsidR="00C37FC2">
        <w:rPr>
          <w:sz w:val="20"/>
          <w:szCs w:val="20"/>
          <w:lang w:val="en-US"/>
        </w:rPr>
        <w:t xml:space="preserve">09 series of amendments to </w:t>
      </w:r>
      <w:r w:rsidR="00DC169D" w:rsidRPr="00DC169D">
        <w:rPr>
          <w:sz w:val="20"/>
          <w:szCs w:val="20"/>
          <w:lang w:val="en-US"/>
        </w:rPr>
        <w:t>01 series of amendments to UN Regulations Nos.148 and 149</w:t>
      </w:r>
      <w:r w:rsidR="009C0824" w:rsidRPr="00486323">
        <w:rPr>
          <w:sz w:val="20"/>
          <w:szCs w:val="20"/>
          <w:lang w:val="en-US"/>
        </w:rPr>
        <w:t>.</w:t>
      </w:r>
    </w:p>
    <w:p w14:paraId="543DCE97" w14:textId="77777777" w:rsidR="009C0824" w:rsidRPr="00486323" w:rsidRDefault="009C0824" w:rsidP="009C0824">
      <w:pPr>
        <w:pStyle w:val="ListParagraph"/>
        <w:ind w:left="1134" w:right="1134"/>
        <w:rPr>
          <w:sz w:val="20"/>
          <w:szCs w:val="20"/>
          <w:lang w:val="en-US"/>
        </w:rPr>
      </w:pPr>
    </w:p>
    <w:p w14:paraId="452C8627" w14:textId="77777777" w:rsidR="00486323" w:rsidRPr="00486323" w:rsidRDefault="00486323" w:rsidP="00486323">
      <w:pPr>
        <w:pStyle w:val="ListParagraph"/>
        <w:rPr>
          <w:sz w:val="20"/>
          <w:szCs w:val="20"/>
          <w:lang w:val="en-US"/>
        </w:rPr>
      </w:pPr>
    </w:p>
    <w:p w14:paraId="622B4A8C" w14:textId="2ABED008" w:rsidR="009C0824" w:rsidRPr="00486323" w:rsidRDefault="009C0824" w:rsidP="00486323">
      <w:pPr>
        <w:ind w:left="1134" w:right="1134"/>
        <w:rPr>
          <w:lang w:val="en-US"/>
        </w:rPr>
      </w:pPr>
    </w:p>
    <w:p w14:paraId="4C802E19" w14:textId="77777777" w:rsidR="009C0824" w:rsidRPr="0034498A" w:rsidRDefault="009C0824" w:rsidP="009C0824">
      <w:pPr>
        <w:ind w:left="1418" w:right="1134"/>
        <w:jc w:val="both"/>
      </w:pPr>
    </w:p>
    <w:p w14:paraId="6C754208" w14:textId="77777777" w:rsidR="009C0824" w:rsidRPr="0034498A" w:rsidRDefault="009C0824" w:rsidP="009C0824">
      <w:pPr>
        <w:spacing w:before="120"/>
        <w:jc w:val="center"/>
        <w:rPr>
          <w:u w:val="single"/>
        </w:rPr>
      </w:pPr>
      <w:r w:rsidRPr="0034498A">
        <w:rPr>
          <w:u w:val="single"/>
        </w:rPr>
        <w:tab/>
      </w:r>
      <w:r w:rsidRPr="0034498A">
        <w:rPr>
          <w:u w:val="single"/>
        </w:rPr>
        <w:tab/>
      </w:r>
      <w:r w:rsidRPr="0034498A">
        <w:rPr>
          <w:u w:val="single"/>
        </w:rPr>
        <w:tab/>
      </w:r>
    </w:p>
    <w:p w14:paraId="4BCE1EFE" w14:textId="77777777" w:rsidR="009C0824" w:rsidRPr="00C60FC5" w:rsidRDefault="009C0824" w:rsidP="009C0824">
      <w:pPr>
        <w:pStyle w:val="SingleTxtG"/>
      </w:pPr>
    </w:p>
    <w:sectPr w:rsidR="009C0824" w:rsidRPr="00C60FC5" w:rsidSect="006524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5535" w14:textId="77777777" w:rsidR="00D261B2" w:rsidRDefault="00D261B2"/>
  </w:endnote>
  <w:endnote w:type="continuationSeparator" w:id="0">
    <w:p w14:paraId="47D06C4A" w14:textId="77777777" w:rsidR="00D261B2" w:rsidRDefault="00D261B2"/>
  </w:endnote>
  <w:endnote w:type="continuationNotice" w:id="1">
    <w:p w14:paraId="543DC503" w14:textId="77777777" w:rsidR="00D261B2" w:rsidRDefault="00D26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Yu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4BD8" w14:textId="6DE3B6F3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FE37" w14:textId="1A0C88AB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BCC2" w14:textId="4F429E6E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AA68" w14:textId="77777777" w:rsidR="00D261B2" w:rsidRPr="000B175B" w:rsidRDefault="00D261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D3E469" w14:textId="77777777" w:rsidR="00D261B2" w:rsidRPr="00FC68B7" w:rsidRDefault="00D261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EEDF85" w14:textId="77777777" w:rsidR="00D261B2" w:rsidRDefault="00D26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944" w14:textId="3D905B12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</w:t>
    </w:r>
    <w:r w:rsidR="009C0824">
      <w:rPr>
        <w:lang w:val="fr-CH"/>
      </w:rPr>
      <w:t>7</w:t>
    </w:r>
    <w:r>
      <w:rPr>
        <w:lang w:val="fr-CH"/>
      </w:rPr>
      <w:t>-</w:t>
    </w:r>
    <w:r w:rsidR="00D96B85">
      <w:rPr>
        <w:lang w:val="fr-CH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AA" w14:textId="4095FC96" w:rsidR="00484DBC" w:rsidRPr="004C4175" w:rsidRDefault="004D4626" w:rsidP="004C4175">
    <w:pPr>
      <w:pStyle w:val="Header"/>
      <w:jc w:val="right"/>
    </w:pPr>
    <w:r>
      <w:rPr>
        <w:lang w:val="en-US"/>
      </w:rPr>
      <w:t>GRE-8</w:t>
    </w:r>
    <w:r w:rsidR="009C0824">
      <w:rPr>
        <w:lang w:val="en-US"/>
      </w:rPr>
      <w:t>7</w:t>
    </w:r>
    <w:r>
      <w:rPr>
        <w:lang w:val="en-US"/>
      </w:rPr>
      <w:t>-</w:t>
    </w:r>
    <w:r w:rsidR="00D96B85">
      <w:rPr>
        <w:lang w:val="en-US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07E567B3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470F3A" w:rsidRPr="004171B7">
            <w:rPr>
              <w:rFonts w:eastAsia="HGSGothicM"/>
              <w:kern w:val="2"/>
              <w:lang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14:paraId="737AB64C" w14:textId="7E8A2DC8" w:rsidR="00EE2605" w:rsidRPr="0072180F" w:rsidRDefault="00EE2605" w:rsidP="00EE2605">
          <w:pPr>
            <w:jc w:val="right"/>
            <w:rPr>
              <w:lang w:val="en-US"/>
            </w:rPr>
          </w:pPr>
          <w:r w:rsidRPr="0072180F">
            <w:rPr>
              <w:lang w:val="en-US"/>
            </w:rPr>
            <w:t xml:space="preserve">Informal document </w:t>
          </w:r>
          <w:r w:rsidRPr="0072180F">
            <w:rPr>
              <w:b/>
              <w:lang w:val="en-US"/>
            </w:rPr>
            <w:t>GRE-</w:t>
          </w:r>
          <w:r w:rsidR="00971AC3" w:rsidRPr="0072180F">
            <w:rPr>
              <w:b/>
              <w:lang w:val="en-US"/>
            </w:rPr>
            <w:t>8</w:t>
          </w:r>
          <w:r w:rsidR="003701C1">
            <w:rPr>
              <w:b/>
              <w:lang w:val="en-US"/>
            </w:rPr>
            <w:t>8</w:t>
          </w:r>
          <w:r w:rsidRPr="0072180F">
            <w:rPr>
              <w:b/>
              <w:lang w:val="en-US"/>
            </w:rPr>
            <w:t>-</w:t>
          </w:r>
          <w:r w:rsidR="005071EB">
            <w:rPr>
              <w:b/>
              <w:lang w:val="en-US"/>
            </w:rPr>
            <w:t>18</w:t>
          </w:r>
        </w:p>
        <w:p w14:paraId="45B082B6" w14:textId="22AC44F0" w:rsidR="00EE2605" w:rsidRPr="00FD526E" w:rsidRDefault="00971AC3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FD526E">
            <w:rPr>
              <w:rFonts w:eastAsia="HGSGothicM"/>
              <w:kern w:val="2"/>
              <w:lang w:val="en-US" w:eastAsia="ar-SA"/>
            </w:rPr>
            <w:t>8</w:t>
          </w:r>
          <w:r w:rsidR="003701C1">
            <w:rPr>
              <w:rFonts w:eastAsia="HGSGothicM"/>
              <w:kern w:val="2"/>
              <w:lang w:val="en-US" w:eastAsia="ar-SA"/>
            </w:rPr>
            <w:t>8</w:t>
          </w:r>
          <w:r w:rsidR="0072180F" w:rsidRPr="0072180F">
            <w:rPr>
              <w:rFonts w:eastAsia="HGSGothicM"/>
              <w:kern w:val="2"/>
              <w:vertAlign w:val="superscript"/>
              <w:lang w:val="en-US" w:eastAsia="ar-SA"/>
            </w:rPr>
            <w:t>th</w:t>
          </w:r>
          <w:r w:rsidR="0072180F">
            <w:rPr>
              <w:rFonts w:eastAsia="HGSGothicM"/>
              <w:kern w:val="2"/>
              <w:lang w:val="en-US" w:eastAsia="ar-SA"/>
            </w:rPr>
            <w:t xml:space="preserve"> 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GRE, </w:t>
          </w:r>
          <w:r w:rsidR="0072180F">
            <w:rPr>
              <w:rFonts w:eastAsia="HGSGothicM"/>
              <w:kern w:val="2"/>
              <w:lang w:val="en-US" w:eastAsia="ja-JP"/>
            </w:rPr>
            <w:t>2</w:t>
          </w:r>
          <w:r w:rsidR="00B9469B">
            <w:rPr>
              <w:rFonts w:eastAsia="HGSGothicM"/>
              <w:kern w:val="2"/>
              <w:lang w:val="en-US" w:eastAsia="ja-JP"/>
            </w:rPr>
            <w:t>5</w:t>
          </w:r>
          <w:r w:rsidR="0072180F">
            <w:rPr>
              <w:rFonts w:eastAsia="HGSGothicM"/>
              <w:kern w:val="2"/>
              <w:lang w:val="en-US" w:eastAsia="ja-JP"/>
            </w:rPr>
            <w:t>-</w:t>
          </w:r>
          <w:r w:rsidR="00297E85">
            <w:rPr>
              <w:rFonts w:eastAsia="HGSGothicM"/>
              <w:kern w:val="2"/>
              <w:lang w:val="en-US" w:eastAsia="ja-JP"/>
            </w:rPr>
            <w:t>2</w:t>
          </w:r>
          <w:r w:rsidR="009C0824">
            <w:rPr>
              <w:rFonts w:eastAsia="HGSGothicM"/>
              <w:kern w:val="2"/>
              <w:lang w:val="en-US" w:eastAsia="ja-JP"/>
            </w:rPr>
            <w:t xml:space="preserve">8 </w:t>
          </w:r>
          <w:r w:rsidR="003701C1">
            <w:rPr>
              <w:rFonts w:eastAsia="HGSGothicM"/>
              <w:kern w:val="2"/>
              <w:lang w:val="en-US" w:eastAsia="ja-JP"/>
            </w:rPr>
            <w:t>April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 20</w:t>
          </w:r>
          <w:r w:rsidR="00FD526E" w:rsidRPr="00FD526E">
            <w:rPr>
              <w:rFonts w:eastAsia="HGSGothicM"/>
              <w:kern w:val="2"/>
              <w:lang w:val="en-US" w:eastAsia="ar-SA"/>
            </w:rPr>
            <w:t>2</w:t>
          </w:r>
          <w:r w:rsidR="003701C1">
            <w:rPr>
              <w:rFonts w:eastAsia="HGSGothicM"/>
              <w:kern w:val="2"/>
              <w:lang w:val="en-US" w:eastAsia="ar-SA"/>
            </w:rPr>
            <w:t>3</w:t>
          </w:r>
          <w:r w:rsidR="00EE2605" w:rsidRPr="00FD526E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1F9358C2" w14:textId="48F771C6" w:rsidR="00EE2605" w:rsidRPr="004171B7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  <w:r w:rsidRPr="00FD526E">
            <w:rPr>
              <w:rFonts w:eastAsia="HGSGothicM"/>
              <w:kern w:val="2"/>
              <w:lang w:val="en-US" w:eastAsia="ko-KR"/>
            </w:rPr>
            <w:t xml:space="preserve"> </w:t>
          </w:r>
          <w:r w:rsidRPr="004171B7">
            <w:rPr>
              <w:rFonts w:eastAsia="HGSGothicM"/>
              <w:kern w:val="2"/>
              <w:lang w:eastAsia="ar-SA"/>
            </w:rPr>
            <w:t xml:space="preserve">agenda item </w:t>
          </w:r>
          <w:r w:rsidR="00D96B85">
            <w:rPr>
              <w:rFonts w:eastAsia="HGSGothicM"/>
              <w:kern w:val="2"/>
              <w:lang w:eastAsia="ar-SA"/>
            </w:rPr>
            <w:t>6</w:t>
          </w:r>
          <w:r w:rsidR="005071EB">
            <w:rPr>
              <w:rFonts w:eastAsia="HGSGothicM"/>
              <w:kern w:val="2"/>
              <w:lang w:eastAsia="ar-SA"/>
            </w:rPr>
            <w:t xml:space="preserve"> </w:t>
          </w:r>
          <w:r w:rsidR="00D96B85">
            <w:rPr>
              <w:rFonts w:eastAsia="HGSGothicM"/>
              <w:kern w:val="2"/>
              <w:lang w:eastAsia="ar-SA"/>
            </w:rPr>
            <w:t>(a)</w:t>
          </w: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AD86146"/>
    <w:multiLevelType w:val="hybridMultilevel"/>
    <w:tmpl w:val="7840BEB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39939E9"/>
    <w:multiLevelType w:val="hybridMultilevel"/>
    <w:tmpl w:val="D9E23586"/>
    <w:lvl w:ilvl="0" w:tplc="40F4541A">
      <w:start w:val="48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435609">
    <w:abstractNumId w:val="1"/>
  </w:num>
  <w:num w:numId="2" w16cid:durableId="421222157">
    <w:abstractNumId w:val="0"/>
  </w:num>
  <w:num w:numId="3" w16cid:durableId="1122000520">
    <w:abstractNumId w:val="2"/>
  </w:num>
  <w:num w:numId="4" w16cid:durableId="741609322">
    <w:abstractNumId w:val="3"/>
  </w:num>
  <w:num w:numId="5" w16cid:durableId="1829050524">
    <w:abstractNumId w:val="8"/>
  </w:num>
  <w:num w:numId="6" w16cid:durableId="1386875692">
    <w:abstractNumId w:val="9"/>
  </w:num>
  <w:num w:numId="7" w16cid:durableId="2098669443">
    <w:abstractNumId w:val="7"/>
  </w:num>
  <w:num w:numId="8" w16cid:durableId="95173212">
    <w:abstractNumId w:val="6"/>
  </w:num>
  <w:num w:numId="9" w16cid:durableId="721753899">
    <w:abstractNumId w:val="5"/>
  </w:num>
  <w:num w:numId="10" w16cid:durableId="1934167901">
    <w:abstractNumId w:val="4"/>
  </w:num>
  <w:num w:numId="11" w16cid:durableId="1866867430">
    <w:abstractNumId w:val="19"/>
  </w:num>
  <w:num w:numId="12" w16cid:durableId="1994720352">
    <w:abstractNumId w:val="12"/>
  </w:num>
  <w:num w:numId="13" w16cid:durableId="988555090">
    <w:abstractNumId w:val="10"/>
  </w:num>
  <w:num w:numId="14" w16cid:durableId="280917054">
    <w:abstractNumId w:val="22"/>
  </w:num>
  <w:num w:numId="15" w16cid:durableId="428039354">
    <w:abstractNumId w:val="23"/>
  </w:num>
  <w:num w:numId="16" w16cid:durableId="103235943">
    <w:abstractNumId w:val="14"/>
  </w:num>
  <w:num w:numId="17" w16cid:durableId="810250803">
    <w:abstractNumId w:val="15"/>
  </w:num>
  <w:num w:numId="18" w16cid:durableId="1271470532">
    <w:abstractNumId w:val="16"/>
  </w:num>
  <w:num w:numId="19" w16cid:durableId="1996563551">
    <w:abstractNumId w:val="18"/>
  </w:num>
  <w:num w:numId="20" w16cid:durableId="613248713">
    <w:abstractNumId w:val="21"/>
  </w:num>
  <w:num w:numId="21" w16cid:durableId="684938783">
    <w:abstractNumId w:val="17"/>
  </w:num>
  <w:num w:numId="22" w16cid:durableId="1662343938">
    <w:abstractNumId w:val="11"/>
  </w:num>
  <w:num w:numId="23" w16cid:durableId="289671439">
    <w:abstractNumId w:val="13"/>
  </w:num>
  <w:num w:numId="24" w16cid:durableId="1282028577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015D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6104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D10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75F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E7E35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20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533"/>
    <w:rsid w:val="00167C57"/>
    <w:rsid w:val="0017009D"/>
    <w:rsid w:val="00171426"/>
    <w:rsid w:val="0017214B"/>
    <w:rsid w:val="001726D8"/>
    <w:rsid w:val="00172D72"/>
    <w:rsid w:val="00174F20"/>
    <w:rsid w:val="001754B0"/>
    <w:rsid w:val="001760B5"/>
    <w:rsid w:val="00176F23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7E2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C7C3C"/>
    <w:rsid w:val="001D06AD"/>
    <w:rsid w:val="001D0C8C"/>
    <w:rsid w:val="001D1419"/>
    <w:rsid w:val="001D2486"/>
    <w:rsid w:val="001D26DF"/>
    <w:rsid w:val="001D286D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2A1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57F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97E85"/>
    <w:rsid w:val="002A0FFD"/>
    <w:rsid w:val="002A18A5"/>
    <w:rsid w:val="002A1CB8"/>
    <w:rsid w:val="002A3019"/>
    <w:rsid w:val="002A4724"/>
    <w:rsid w:val="002A4914"/>
    <w:rsid w:val="002A4CDC"/>
    <w:rsid w:val="002A548E"/>
    <w:rsid w:val="002A61A4"/>
    <w:rsid w:val="002A6964"/>
    <w:rsid w:val="002A77EE"/>
    <w:rsid w:val="002B181C"/>
    <w:rsid w:val="002B2A95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4B7F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606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1D8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6D1C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01C1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529C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3EF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185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31EA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BCE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323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4626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1EB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2564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4C8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6EB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4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3F26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1EA4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180F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56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1FA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64BA"/>
    <w:rsid w:val="00847172"/>
    <w:rsid w:val="008479F9"/>
    <w:rsid w:val="008518E0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30F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7F8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3F60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1AE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212"/>
    <w:rsid w:val="009B7CE9"/>
    <w:rsid w:val="009C0258"/>
    <w:rsid w:val="009C0824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6DB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3C4E"/>
    <w:rsid w:val="00A25A60"/>
    <w:rsid w:val="00A25B52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BE0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370A"/>
    <w:rsid w:val="00AC5259"/>
    <w:rsid w:val="00AC5823"/>
    <w:rsid w:val="00AC5B09"/>
    <w:rsid w:val="00AC6E56"/>
    <w:rsid w:val="00AD1236"/>
    <w:rsid w:val="00AD1854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549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6A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469B"/>
    <w:rsid w:val="00B94D32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E7BB2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6B79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37FC2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1B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4FF0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B85"/>
    <w:rsid w:val="00D96CE0"/>
    <w:rsid w:val="00D978C6"/>
    <w:rsid w:val="00D97A50"/>
    <w:rsid w:val="00DA143C"/>
    <w:rsid w:val="00DA2403"/>
    <w:rsid w:val="00DA2804"/>
    <w:rsid w:val="00DA3C1C"/>
    <w:rsid w:val="00DA4569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169D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D705D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BC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5FF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06A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0E4"/>
    <w:rsid w:val="00FE416C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qFormat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80F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6A7B1F9-5827-445D-9A1E-BA2ACD748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431B3-53D5-46BE-B960-62423E2A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DC07B-FE02-41BE-9094-30954C51E9A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1</Pages>
  <Words>173</Words>
  <Characters>840</Characters>
  <Application>Microsoft Office Word</Application>
  <DocSecurity>0</DocSecurity>
  <Lines>22</Lines>
  <Paragraphs>6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secretariat</cp:lastModifiedBy>
  <cp:revision>5</cp:revision>
  <cp:lastPrinted>2018-08-29T09:38:00Z</cp:lastPrinted>
  <dcterms:created xsi:type="dcterms:W3CDTF">2023-04-13T09:44:00Z</dcterms:created>
  <dcterms:modified xsi:type="dcterms:W3CDTF">2023-04-21T07:01:00Z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2021-10-15T16:03:59Z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da1a4643-5eb6-467e-a8ec-ee2422f106b0</vt:lpwstr>
  </property>
  <property fmtid="{D5CDD505-2E9C-101B-9397-08002B2CF9AE}" pid="10" name="MSIP_Label_fd1c0902-ed92-4fed-896d-2e7725de02d4_ContentBits">
    <vt:lpwstr>2</vt:lpwstr>
  </property>
  <property fmtid="{D5CDD505-2E9C-101B-9397-08002B2CF9AE}" pid="11" name="Office_x0020_of_x0020_Origin">
    <vt:lpwstr/>
  </property>
  <property fmtid="{D5CDD505-2E9C-101B-9397-08002B2CF9AE}" pid="12" name="MediaServiceImageTags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