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3256"/>
        <w:gridCol w:w="2410"/>
        <w:gridCol w:w="2551"/>
        <w:gridCol w:w="142"/>
      </w:tblGrid>
      <w:tr w:rsidR="00A52B64" w14:paraId="51CA24EC" w14:textId="77777777" w:rsidTr="00387CD4">
        <w:trPr>
          <w:gridAfter w:val="1"/>
          <w:wAfter w:w="142" w:type="dxa"/>
          <w:trHeight w:hRule="exact" w:val="851"/>
        </w:trPr>
        <w:tc>
          <w:tcPr>
            <w:tcW w:w="4536" w:type="dxa"/>
            <w:gridSpan w:val="2"/>
            <w:tcBorders>
              <w:bottom w:val="single" w:sz="4" w:space="0" w:color="auto"/>
            </w:tcBorders>
            <w:vAlign w:val="bottom"/>
          </w:tcPr>
          <w:p w14:paraId="38B0A9B0" w14:textId="77777777" w:rsidR="00A52B64" w:rsidRPr="00BD33EE" w:rsidRDefault="00A52B64"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C6AA1B2" w14:textId="486CEA11" w:rsidR="00A52B64" w:rsidRDefault="00A52B64" w:rsidP="00CD07FD">
            <w:pPr>
              <w:jc w:val="right"/>
            </w:pPr>
            <w:r w:rsidRPr="00CD07FD">
              <w:rPr>
                <w:sz w:val="40"/>
              </w:rPr>
              <w:t>ECE</w:t>
            </w:r>
            <w:r>
              <w:t>/MP.EIA/WG.2/2023/8</w:t>
            </w:r>
          </w:p>
        </w:tc>
      </w:tr>
      <w:tr w:rsidR="002D5AAC" w14:paraId="05CD98DE" w14:textId="77777777" w:rsidTr="00387CD4">
        <w:trPr>
          <w:trHeight w:hRule="exact" w:val="2835"/>
        </w:trPr>
        <w:tc>
          <w:tcPr>
            <w:tcW w:w="1280" w:type="dxa"/>
            <w:tcBorders>
              <w:top w:val="single" w:sz="4" w:space="0" w:color="auto"/>
              <w:bottom w:val="single" w:sz="12" w:space="0" w:color="auto"/>
            </w:tcBorders>
          </w:tcPr>
          <w:p w14:paraId="52F743EE" w14:textId="77777777" w:rsidR="002D5AAC" w:rsidRDefault="002E5067" w:rsidP="00387CD4">
            <w:pPr>
              <w:spacing w:before="120"/>
              <w:jc w:val="center"/>
            </w:pPr>
            <w:r>
              <w:rPr>
                <w:noProof/>
                <w:lang w:val="fr-CH" w:eastAsia="fr-CH"/>
              </w:rPr>
              <w:drawing>
                <wp:inline distT="0" distB="0" distL="0" distR="0" wp14:anchorId="13C79A0D" wp14:editId="6B6DAEA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2F5E54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gridSpan w:val="2"/>
            <w:tcBorders>
              <w:top w:val="single" w:sz="4" w:space="0" w:color="auto"/>
              <w:bottom w:val="single" w:sz="12" w:space="0" w:color="auto"/>
            </w:tcBorders>
          </w:tcPr>
          <w:p w14:paraId="5C8AA5B4" w14:textId="77777777" w:rsidR="002D5AAC" w:rsidRDefault="00CD07FD" w:rsidP="00387CD4">
            <w:pPr>
              <w:spacing w:before="240"/>
              <w:rPr>
                <w:lang w:val="en-US"/>
              </w:rPr>
            </w:pPr>
            <w:r>
              <w:rPr>
                <w:lang w:val="en-US"/>
              </w:rPr>
              <w:t>Distr.: General</w:t>
            </w:r>
          </w:p>
          <w:p w14:paraId="78D94C5D" w14:textId="77777777" w:rsidR="00CD07FD" w:rsidRDefault="00CD07FD" w:rsidP="00CD07FD">
            <w:pPr>
              <w:spacing w:line="240" w:lineRule="exact"/>
              <w:rPr>
                <w:lang w:val="en-US"/>
              </w:rPr>
            </w:pPr>
            <w:r>
              <w:rPr>
                <w:lang w:val="en-US"/>
              </w:rPr>
              <w:t>28 March 2023</w:t>
            </w:r>
          </w:p>
          <w:p w14:paraId="104A2100" w14:textId="77777777" w:rsidR="00CD07FD" w:rsidRDefault="00CD07FD" w:rsidP="00CD07FD">
            <w:pPr>
              <w:spacing w:line="240" w:lineRule="exact"/>
              <w:rPr>
                <w:lang w:val="en-US"/>
              </w:rPr>
            </w:pPr>
            <w:r>
              <w:rPr>
                <w:lang w:val="en-US"/>
              </w:rPr>
              <w:t>Russian</w:t>
            </w:r>
          </w:p>
          <w:p w14:paraId="5E693971" w14:textId="741B92C9" w:rsidR="00CD07FD" w:rsidRPr="008D53B6" w:rsidRDefault="00CD07FD" w:rsidP="00CD07FD">
            <w:pPr>
              <w:spacing w:line="240" w:lineRule="exact"/>
              <w:rPr>
                <w:lang w:val="en-US"/>
              </w:rPr>
            </w:pPr>
            <w:r>
              <w:rPr>
                <w:lang w:val="en-US"/>
              </w:rPr>
              <w:t>Original: English</w:t>
            </w:r>
          </w:p>
        </w:tc>
      </w:tr>
    </w:tbl>
    <w:p w14:paraId="3B6E36F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F23B5DA" w14:textId="30105105" w:rsidR="00160A17" w:rsidRPr="00160A17" w:rsidRDefault="00160A17" w:rsidP="00160A17">
      <w:pPr>
        <w:spacing w:before="120"/>
        <w:rPr>
          <w:bCs/>
          <w:sz w:val="28"/>
          <w:szCs w:val="28"/>
        </w:rPr>
      </w:pPr>
      <w:r w:rsidRPr="00160A17">
        <w:rPr>
          <w:sz w:val="28"/>
          <w:szCs w:val="28"/>
        </w:rPr>
        <w:t>Совещание сторон Конвенции об оценке</w:t>
      </w:r>
      <w:r>
        <w:rPr>
          <w:sz w:val="28"/>
          <w:szCs w:val="28"/>
        </w:rPr>
        <w:br/>
      </w:r>
      <w:r w:rsidRPr="00160A17">
        <w:rPr>
          <w:sz w:val="28"/>
          <w:szCs w:val="28"/>
        </w:rPr>
        <w:t>воздействия на окружающую среду</w:t>
      </w:r>
      <w:r>
        <w:rPr>
          <w:sz w:val="28"/>
          <w:szCs w:val="28"/>
        </w:rPr>
        <w:br/>
      </w:r>
      <w:r w:rsidRPr="00160A17">
        <w:rPr>
          <w:sz w:val="28"/>
          <w:szCs w:val="28"/>
        </w:rPr>
        <w:t>в трансграничном контексте</w:t>
      </w:r>
    </w:p>
    <w:p w14:paraId="58044249" w14:textId="11C168A2" w:rsidR="00160A17" w:rsidRPr="00160A17" w:rsidRDefault="00160A17" w:rsidP="00160A17">
      <w:pPr>
        <w:autoSpaceDE w:val="0"/>
        <w:autoSpaceDN w:val="0"/>
        <w:adjustRightInd w:val="0"/>
        <w:spacing w:before="120"/>
        <w:rPr>
          <w:sz w:val="28"/>
          <w:szCs w:val="28"/>
        </w:rPr>
      </w:pPr>
      <w:r w:rsidRPr="00160A17">
        <w:rPr>
          <w:sz w:val="28"/>
          <w:szCs w:val="28"/>
        </w:rPr>
        <w:t>Совещание Сторон Конвенции об оценке</w:t>
      </w:r>
      <w:r>
        <w:rPr>
          <w:sz w:val="28"/>
          <w:szCs w:val="28"/>
        </w:rPr>
        <w:br/>
      </w:r>
      <w:r w:rsidRPr="00160A17">
        <w:rPr>
          <w:sz w:val="28"/>
          <w:szCs w:val="28"/>
        </w:rPr>
        <w:t>воздействия на окружающую среду</w:t>
      </w:r>
      <w:r>
        <w:rPr>
          <w:sz w:val="28"/>
          <w:szCs w:val="28"/>
        </w:rPr>
        <w:br/>
      </w:r>
      <w:r w:rsidRPr="00160A17">
        <w:rPr>
          <w:sz w:val="28"/>
          <w:szCs w:val="28"/>
        </w:rPr>
        <w:t>в трансграничном контексте, действующее</w:t>
      </w:r>
      <w:r>
        <w:rPr>
          <w:sz w:val="28"/>
          <w:szCs w:val="28"/>
        </w:rPr>
        <w:br/>
      </w:r>
      <w:r w:rsidRPr="00160A17">
        <w:rPr>
          <w:sz w:val="28"/>
          <w:szCs w:val="28"/>
        </w:rPr>
        <w:t>в качестве Совещания Сторон Протокола</w:t>
      </w:r>
      <w:r>
        <w:rPr>
          <w:sz w:val="28"/>
          <w:szCs w:val="28"/>
        </w:rPr>
        <w:br/>
      </w:r>
      <w:r w:rsidRPr="00160A17">
        <w:rPr>
          <w:sz w:val="28"/>
          <w:szCs w:val="28"/>
        </w:rPr>
        <w:t>по стратегической экологической оценке</w:t>
      </w:r>
    </w:p>
    <w:p w14:paraId="366FDF69" w14:textId="5A844C09" w:rsidR="00160A17" w:rsidRPr="00160A17" w:rsidRDefault="00160A17" w:rsidP="00160A17">
      <w:pPr>
        <w:spacing w:before="120"/>
        <w:rPr>
          <w:b/>
          <w:sz w:val="24"/>
          <w:szCs w:val="24"/>
        </w:rPr>
      </w:pPr>
      <w:r w:rsidRPr="00160A17">
        <w:rPr>
          <w:b/>
          <w:bCs/>
          <w:sz w:val="24"/>
          <w:szCs w:val="24"/>
        </w:rPr>
        <w:t>Рабочая группа по оценке воздействия</w:t>
      </w:r>
      <w:r>
        <w:rPr>
          <w:b/>
          <w:bCs/>
          <w:sz w:val="24"/>
          <w:szCs w:val="24"/>
        </w:rPr>
        <w:br/>
      </w:r>
      <w:r w:rsidRPr="00160A17">
        <w:rPr>
          <w:b/>
          <w:bCs/>
          <w:sz w:val="24"/>
          <w:szCs w:val="24"/>
        </w:rPr>
        <w:t>на окружающую среду и стратегической</w:t>
      </w:r>
      <w:r>
        <w:rPr>
          <w:b/>
          <w:bCs/>
          <w:sz w:val="24"/>
          <w:szCs w:val="24"/>
        </w:rPr>
        <w:br/>
      </w:r>
      <w:r w:rsidRPr="00160A17">
        <w:rPr>
          <w:b/>
          <w:bCs/>
          <w:sz w:val="24"/>
          <w:szCs w:val="24"/>
        </w:rPr>
        <w:t>экологической оценке</w:t>
      </w:r>
    </w:p>
    <w:p w14:paraId="7CDA8067" w14:textId="77777777" w:rsidR="00160A17" w:rsidRPr="001D4D80" w:rsidRDefault="00160A17" w:rsidP="00160A17">
      <w:pPr>
        <w:spacing w:before="120"/>
        <w:rPr>
          <w:b/>
        </w:rPr>
      </w:pPr>
      <w:r>
        <w:rPr>
          <w:b/>
          <w:bCs/>
        </w:rPr>
        <w:t>Двенадцатое совещание</w:t>
      </w:r>
    </w:p>
    <w:p w14:paraId="657CF7A3" w14:textId="77777777" w:rsidR="00160A17" w:rsidRPr="001D4D80" w:rsidRDefault="00160A17" w:rsidP="00160A17">
      <w:r>
        <w:t>Женева, 13</w:t>
      </w:r>
      <w:r w:rsidRPr="008F17A2">
        <w:t>–</w:t>
      </w:r>
      <w:r>
        <w:t>15 июня 2023 года</w:t>
      </w:r>
    </w:p>
    <w:p w14:paraId="06350AC0" w14:textId="77777777" w:rsidR="00160A17" w:rsidRPr="008F17A2" w:rsidRDefault="00160A17" w:rsidP="00160A17">
      <w:r>
        <w:t>Пункт 6 а) предварительной повестки дня</w:t>
      </w:r>
    </w:p>
    <w:p w14:paraId="3BEA15C2" w14:textId="0D8CAE95" w:rsidR="00160A17" w:rsidRPr="008F17A2" w:rsidRDefault="00160A17" w:rsidP="00160A17">
      <w:pPr>
        <w:rPr>
          <w:b/>
          <w:bCs/>
        </w:rPr>
      </w:pPr>
      <w:r>
        <w:rPr>
          <w:b/>
          <w:bCs/>
        </w:rPr>
        <w:t>Содействие практическому применению Конвенции</w:t>
      </w:r>
      <w:r w:rsidRPr="00160A17">
        <w:rPr>
          <w:b/>
          <w:bCs/>
        </w:rPr>
        <w:t xml:space="preserve"> </w:t>
      </w:r>
      <w:r>
        <w:rPr>
          <w:b/>
          <w:bCs/>
        </w:rPr>
        <w:t>и Протокола:</w:t>
      </w:r>
      <w:r>
        <w:rPr>
          <w:b/>
          <w:bCs/>
        </w:rPr>
        <w:br/>
      </w:r>
      <w:r>
        <w:rPr>
          <w:b/>
          <w:bCs/>
        </w:rPr>
        <w:t>проект руководства по оценке воздействий</w:t>
      </w:r>
      <w:r w:rsidRPr="00160A17">
        <w:rPr>
          <w:b/>
          <w:bCs/>
        </w:rPr>
        <w:t xml:space="preserve"> </w:t>
      </w:r>
      <w:r>
        <w:rPr>
          <w:b/>
          <w:bCs/>
        </w:rPr>
        <w:t>на здоровье человека</w:t>
      </w:r>
      <w:r>
        <w:rPr>
          <w:b/>
          <w:bCs/>
        </w:rPr>
        <w:br/>
      </w:r>
      <w:r>
        <w:rPr>
          <w:b/>
          <w:bCs/>
        </w:rPr>
        <w:t>при проведении стратегической экологической оценки</w:t>
      </w:r>
      <w:r>
        <w:t xml:space="preserve"> </w:t>
      </w:r>
    </w:p>
    <w:p w14:paraId="1E517B2F" w14:textId="77777777" w:rsidR="00160A17" w:rsidRPr="008F17A2" w:rsidRDefault="00160A17" w:rsidP="00160A17">
      <w:pPr>
        <w:pStyle w:val="HChG"/>
      </w:pPr>
      <w:r>
        <w:tab/>
      </w:r>
      <w:r>
        <w:tab/>
      </w:r>
      <w:r>
        <w:rPr>
          <w:bCs/>
        </w:rPr>
        <w:t>Проект руководства по оценке воздействий на здоровье человека при проведении стратегической экологической оценки</w:t>
      </w:r>
    </w:p>
    <w:p w14:paraId="36EF8D65" w14:textId="6912337D" w:rsidR="00160A17" w:rsidRDefault="00160A17" w:rsidP="00160A17">
      <w:pPr>
        <w:pStyle w:val="H1G"/>
        <w:rPr>
          <w:bCs/>
        </w:rPr>
      </w:pPr>
      <w:r>
        <w:tab/>
      </w:r>
      <w:r>
        <w:tab/>
      </w:r>
      <w:r>
        <w:rPr>
          <w:bCs/>
        </w:rPr>
        <w:t>Записка Президиума</w:t>
      </w:r>
    </w:p>
    <w:tbl>
      <w:tblPr>
        <w:tblStyle w:val="ac"/>
        <w:tblW w:w="0" w:type="auto"/>
        <w:jc w:val="center"/>
        <w:tblLook w:val="05E0" w:firstRow="1" w:lastRow="1" w:firstColumn="1" w:lastColumn="1" w:noHBand="0" w:noVBand="1"/>
      </w:tblPr>
      <w:tblGrid>
        <w:gridCol w:w="9628"/>
      </w:tblGrid>
      <w:tr w:rsidR="00160A17" w:rsidRPr="00160A17" w14:paraId="38E9E491" w14:textId="77777777" w:rsidTr="00850215">
        <w:trPr>
          <w:jc w:val="center"/>
        </w:trPr>
        <w:tc>
          <w:tcPr>
            <w:tcW w:w="9637" w:type="dxa"/>
            <w:tcBorders>
              <w:bottom w:val="nil"/>
            </w:tcBorders>
          </w:tcPr>
          <w:p w14:paraId="281140A6" w14:textId="77777777" w:rsidR="00160A17" w:rsidRPr="00160A17" w:rsidRDefault="00160A17" w:rsidP="00850215">
            <w:pPr>
              <w:tabs>
                <w:tab w:val="left" w:pos="255"/>
              </w:tabs>
              <w:spacing w:before="240" w:after="120"/>
              <w:rPr>
                <w:rFonts w:cs="Times New Roman"/>
                <w:sz w:val="24"/>
              </w:rPr>
            </w:pPr>
            <w:r w:rsidRPr="00160A17">
              <w:rPr>
                <w:rFonts w:cs="Times New Roman"/>
              </w:rPr>
              <w:tab/>
            </w:r>
            <w:r w:rsidRPr="00160A17">
              <w:rPr>
                <w:rFonts w:cs="Times New Roman"/>
                <w:i/>
                <w:sz w:val="24"/>
              </w:rPr>
              <w:t>Резюме</w:t>
            </w:r>
          </w:p>
        </w:tc>
      </w:tr>
      <w:tr w:rsidR="00160A17" w:rsidRPr="00160A17" w14:paraId="0E9B246B" w14:textId="77777777" w:rsidTr="00850215">
        <w:trPr>
          <w:jc w:val="center"/>
        </w:trPr>
        <w:tc>
          <w:tcPr>
            <w:tcW w:w="9637" w:type="dxa"/>
            <w:tcBorders>
              <w:top w:val="nil"/>
              <w:bottom w:val="nil"/>
            </w:tcBorders>
            <w:shd w:val="clear" w:color="auto" w:fill="auto"/>
          </w:tcPr>
          <w:p w14:paraId="7FF2545B" w14:textId="414FCBD1" w:rsidR="00160A17" w:rsidRPr="00160A17" w:rsidRDefault="00160A17" w:rsidP="00D6488B">
            <w:pPr>
              <w:pStyle w:val="SingleTxtG"/>
            </w:pPr>
            <w:r w:rsidRPr="00160A17">
              <w:tab/>
              <w:t xml:space="preserve">В настоящей записке содержится проект руководства по оценке воздействий на здоровье человека при проведении стратегической экологической оценки, который первоначально был предусмотрен планом работы по осуществлению Конвенции об оценке воздействия на окружающую среду в трансграничном контексте и Протокола по стратегической экологической оценке к ней на период 2017–2020 годов и который в 2020 году </w:t>
            </w:r>
            <w:r w:rsidR="00146E87">
              <w:rPr>
                <w:lang w:val="en-US"/>
              </w:rPr>
              <w:t>C</w:t>
            </w:r>
            <w:r w:rsidRPr="00160A17">
              <w:t>овещания Сторон обязались доработать для принятия на следующей сессии Совещания Сторон Протокола (Женева, 12–15 декабря 2023 года) при условии наличия ресурсов.</w:t>
            </w:r>
          </w:p>
        </w:tc>
      </w:tr>
      <w:tr w:rsidR="00160A17" w:rsidRPr="00160A17" w14:paraId="3C8F4F15" w14:textId="77777777" w:rsidTr="00850215">
        <w:trPr>
          <w:jc w:val="center"/>
        </w:trPr>
        <w:tc>
          <w:tcPr>
            <w:tcW w:w="9637" w:type="dxa"/>
            <w:tcBorders>
              <w:top w:val="nil"/>
              <w:bottom w:val="nil"/>
            </w:tcBorders>
            <w:shd w:val="clear" w:color="auto" w:fill="auto"/>
          </w:tcPr>
          <w:p w14:paraId="2D8403B7" w14:textId="4A0D2A42" w:rsidR="00160A17" w:rsidRPr="00160A17" w:rsidRDefault="00160A17" w:rsidP="00CD5030">
            <w:pPr>
              <w:pStyle w:val="SingleTxtG"/>
              <w:pageBreakBefore/>
            </w:pPr>
            <w:r w:rsidRPr="00160A17">
              <w:tab/>
              <w:t xml:space="preserve">В последний раз настоящий проект был подробно пересмотрен Европейским союзом и его государствами-членами в ответ на просьбу Рабочей группы на ее одиннадцатом совещании (Женева, 19–21 декабря 2022 года) о том, чтобы делегации представили комментарии по проекту руководства для рассмотрения Президиумом на </w:t>
            </w:r>
            <w:r w:rsidRPr="00160A17">
              <w:lastRenderedPageBreak/>
              <w:t>его последнем совещании (Женева, 22–23 февраля 2023 года)</w:t>
            </w:r>
            <w:r w:rsidRPr="00160A17">
              <w:rPr>
                <w:i/>
                <w:iCs/>
                <w:sz w:val="18"/>
                <w:szCs w:val="18"/>
                <w:vertAlign w:val="superscript"/>
              </w:rPr>
              <w:t>a</w:t>
            </w:r>
            <w:r w:rsidRPr="00160A17">
              <w:t>. На этом совещании Президиум рассмотрел и согласовал все предложения Европейского союза и его государств-членов по пересмотру. Он также рассмотрел комментарии Всемирной организации здравоохранения, добавив ссылку на дополнительный исходный материал Всемирной организации здравоохранения (см. пункт 11 проекта руководства ниже).</w:t>
            </w:r>
          </w:p>
        </w:tc>
      </w:tr>
      <w:tr w:rsidR="00160A17" w:rsidRPr="00160A17" w14:paraId="53FFA113" w14:textId="77777777" w:rsidTr="00850215">
        <w:trPr>
          <w:jc w:val="center"/>
        </w:trPr>
        <w:tc>
          <w:tcPr>
            <w:tcW w:w="9637" w:type="dxa"/>
            <w:tcBorders>
              <w:top w:val="nil"/>
              <w:bottom w:val="nil"/>
            </w:tcBorders>
            <w:shd w:val="clear" w:color="auto" w:fill="auto"/>
          </w:tcPr>
          <w:p w14:paraId="36B4DFEF" w14:textId="1508AB1C" w:rsidR="00160A17" w:rsidRPr="00160A17" w:rsidRDefault="00160A17" w:rsidP="00D6488B">
            <w:pPr>
              <w:pStyle w:val="SingleTxtG"/>
            </w:pPr>
            <w:r w:rsidRPr="00160A17">
              <w:lastRenderedPageBreak/>
              <w:tab/>
              <w:t>Ожидается, что Рабочая группа согласует текст проекта руководства, который будет представлен Совещанию Сторон Протокола на его следующей сессии.</w:t>
            </w:r>
          </w:p>
        </w:tc>
      </w:tr>
      <w:tr w:rsidR="00160A17" w:rsidRPr="00160A17" w14:paraId="75819E4D" w14:textId="77777777" w:rsidTr="00850215">
        <w:trPr>
          <w:jc w:val="center"/>
        </w:trPr>
        <w:tc>
          <w:tcPr>
            <w:tcW w:w="9637" w:type="dxa"/>
            <w:tcBorders>
              <w:top w:val="nil"/>
              <w:bottom w:val="nil"/>
            </w:tcBorders>
            <w:shd w:val="clear" w:color="auto" w:fill="auto"/>
          </w:tcPr>
          <w:p w14:paraId="71376744" w14:textId="1E2BF1AD" w:rsidR="00160A17" w:rsidRPr="00160A17" w:rsidRDefault="00160A17" w:rsidP="00D6488B">
            <w:pPr>
              <w:pStyle w:val="SingleTxtG"/>
            </w:pPr>
            <w:r w:rsidRPr="00160A17">
              <w:tab/>
              <w:t>Проект решения V/6 Совещания Сторон Протокола по оценке воздействий на здоровье человека при проведении стратегической экологической оценки представлен Рабочей группе в документе ECE/MP.EIA/WG.2/2023/6.</w:t>
            </w:r>
          </w:p>
        </w:tc>
      </w:tr>
      <w:tr w:rsidR="00160A17" w:rsidRPr="00160A17" w14:paraId="43EBBE95" w14:textId="77777777" w:rsidTr="00850215">
        <w:trPr>
          <w:jc w:val="center"/>
        </w:trPr>
        <w:tc>
          <w:tcPr>
            <w:tcW w:w="9637" w:type="dxa"/>
            <w:tcBorders>
              <w:top w:val="nil"/>
              <w:bottom w:val="nil"/>
            </w:tcBorders>
            <w:shd w:val="clear" w:color="auto" w:fill="auto"/>
          </w:tcPr>
          <w:p w14:paraId="07C5D146" w14:textId="77777777" w:rsidR="00160A17" w:rsidRPr="00160A17" w:rsidRDefault="00160A17" w:rsidP="00160A17">
            <w:pPr>
              <w:pStyle w:val="SingleTxtG"/>
            </w:pPr>
            <w:r w:rsidRPr="00160A17">
              <w:rPr>
                <w:lang w:val="en-US"/>
              </w:rPr>
              <w:t>_______________</w:t>
            </w:r>
          </w:p>
          <w:p w14:paraId="631BFDFD" w14:textId="360C7A63" w:rsidR="00160A17" w:rsidRPr="00160A17" w:rsidRDefault="00160A17" w:rsidP="00160A17">
            <w:pPr>
              <w:pStyle w:val="SingleTxtG"/>
              <w:spacing w:after="0" w:line="220" w:lineRule="exact"/>
              <w:ind w:firstLine="170"/>
              <w:jc w:val="left"/>
            </w:pPr>
            <w:r w:rsidRPr="00160A17">
              <w:rPr>
                <w:i/>
                <w:iCs/>
                <w:sz w:val="18"/>
                <w:szCs w:val="18"/>
                <w:vertAlign w:val="superscript"/>
                <w:lang w:val="en-US"/>
              </w:rPr>
              <w:t>a</w:t>
            </w:r>
            <w:r w:rsidRPr="00160A17">
              <w:rPr>
                <w:lang w:val="en-US"/>
              </w:rPr>
              <w:t xml:space="preserve"> </w:t>
            </w:r>
            <w:r>
              <w:rPr>
                <w:lang w:val="en-US"/>
              </w:rPr>
              <w:t xml:space="preserve"> </w:t>
            </w:r>
            <w:r w:rsidRPr="00160A17">
              <w:rPr>
                <w:sz w:val="18"/>
                <w:szCs w:val="18"/>
                <w:lang w:val="en-US"/>
              </w:rPr>
              <w:t xml:space="preserve">ECE/MP.EIA/WG.2/2022/2, </w:t>
            </w:r>
            <w:r w:rsidRPr="00160A17">
              <w:rPr>
                <w:sz w:val="18"/>
                <w:szCs w:val="18"/>
              </w:rPr>
              <w:t>п</w:t>
            </w:r>
            <w:r w:rsidR="00502A0B">
              <w:rPr>
                <w:sz w:val="18"/>
                <w:szCs w:val="18"/>
              </w:rPr>
              <w:t>п.</w:t>
            </w:r>
            <w:r w:rsidRPr="00160A17">
              <w:rPr>
                <w:sz w:val="18"/>
                <w:szCs w:val="18"/>
                <w:lang w:val="en-US"/>
              </w:rPr>
              <w:t xml:space="preserve"> 74‒75.</w:t>
            </w:r>
          </w:p>
        </w:tc>
      </w:tr>
      <w:tr w:rsidR="00160A17" w:rsidRPr="00160A17" w14:paraId="152EFF82" w14:textId="77777777" w:rsidTr="00850215">
        <w:trPr>
          <w:jc w:val="center"/>
        </w:trPr>
        <w:tc>
          <w:tcPr>
            <w:tcW w:w="9637" w:type="dxa"/>
            <w:tcBorders>
              <w:top w:val="nil"/>
            </w:tcBorders>
          </w:tcPr>
          <w:p w14:paraId="70D0CC00" w14:textId="77777777" w:rsidR="00160A17" w:rsidRPr="00160A17" w:rsidRDefault="00160A17" w:rsidP="00850215">
            <w:pPr>
              <w:rPr>
                <w:rFonts w:cs="Times New Roman"/>
              </w:rPr>
            </w:pPr>
          </w:p>
        </w:tc>
      </w:tr>
    </w:tbl>
    <w:p w14:paraId="5E9744D6" w14:textId="77777777" w:rsidR="00160A17" w:rsidRDefault="00160A17">
      <w:pPr>
        <w:suppressAutoHyphens w:val="0"/>
        <w:spacing w:line="240" w:lineRule="auto"/>
        <w:rPr>
          <w:lang w:val="fr-CH"/>
        </w:rPr>
      </w:pPr>
      <w:r>
        <w:rPr>
          <w:lang w:val="fr-CH"/>
        </w:rPr>
        <w:br w:type="page"/>
      </w:r>
    </w:p>
    <w:p w14:paraId="6D50961B" w14:textId="77777777" w:rsidR="000D7BA4" w:rsidRDefault="000D7BA4" w:rsidP="00F1583A">
      <w:pPr>
        <w:spacing w:after="120"/>
        <w:rPr>
          <w:sz w:val="28"/>
        </w:rPr>
      </w:pPr>
      <w:r>
        <w:rPr>
          <w:sz w:val="28"/>
        </w:rPr>
        <w:lastRenderedPageBreak/>
        <w:t>Содержание</w:t>
      </w:r>
    </w:p>
    <w:p w14:paraId="479B8D75" w14:textId="77777777" w:rsidR="000D7BA4" w:rsidRDefault="000D7BA4" w:rsidP="00F1583A">
      <w:pPr>
        <w:tabs>
          <w:tab w:val="right" w:pos="9638"/>
        </w:tabs>
        <w:spacing w:after="120"/>
        <w:ind w:left="283"/>
        <w:rPr>
          <w:sz w:val="18"/>
        </w:rPr>
      </w:pPr>
      <w:r>
        <w:rPr>
          <w:i/>
          <w:sz w:val="18"/>
        </w:rPr>
        <w:tab/>
        <w:t>Стр.</w:t>
      </w:r>
    </w:p>
    <w:p w14:paraId="358EA0E3" w14:textId="46494415" w:rsidR="000D7BA4" w:rsidRPr="008C3DC7" w:rsidRDefault="000D7BA4" w:rsidP="000D7BA4">
      <w:pPr>
        <w:tabs>
          <w:tab w:val="right" w:pos="850"/>
          <w:tab w:val="left" w:pos="1134"/>
          <w:tab w:val="left" w:pos="1559"/>
          <w:tab w:val="left" w:pos="1984"/>
          <w:tab w:val="left" w:leader="dot" w:pos="8787"/>
          <w:tab w:val="right" w:pos="9638"/>
        </w:tabs>
        <w:spacing w:after="120"/>
      </w:pPr>
      <w:r w:rsidRPr="000D7BA4">
        <w:rPr>
          <w:lang w:val="en-US"/>
        </w:rPr>
        <w:tab/>
        <w:t>I</w:t>
      </w:r>
      <w:r w:rsidRPr="008C3DC7">
        <w:t>.</w:t>
      </w:r>
      <w:r w:rsidRPr="008C3DC7">
        <w:tab/>
      </w:r>
      <w:r w:rsidRPr="000D7BA4">
        <w:t>Введение</w:t>
      </w:r>
      <w:r w:rsidRPr="008C3DC7">
        <w:t xml:space="preserve"> </w:t>
      </w:r>
      <w:r w:rsidRPr="008C3DC7">
        <w:tab/>
      </w:r>
      <w:r w:rsidRPr="008C3DC7">
        <w:tab/>
      </w:r>
      <w:r w:rsidR="008C3DC7">
        <w:t>4</w:t>
      </w:r>
    </w:p>
    <w:p w14:paraId="25E1A373" w14:textId="03C5C36F" w:rsidR="000D7BA4" w:rsidRDefault="000D7BA4" w:rsidP="000D7BA4">
      <w:pPr>
        <w:tabs>
          <w:tab w:val="right" w:pos="850"/>
          <w:tab w:val="left" w:pos="1134"/>
          <w:tab w:val="left" w:pos="1559"/>
          <w:tab w:val="left" w:pos="1984"/>
          <w:tab w:val="left" w:leader="dot" w:pos="8787"/>
          <w:tab w:val="right" w:pos="9638"/>
        </w:tabs>
        <w:spacing w:after="120"/>
        <w:ind w:left="1134" w:hanging="1134"/>
      </w:pPr>
      <w:r w:rsidRPr="008C3DC7">
        <w:tab/>
      </w:r>
      <w:r>
        <w:rPr>
          <w:lang w:val="en-US"/>
        </w:rPr>
        <w:t>II</w:t>
      </w:r>
      <w:r w:rsidRPr="000D7BA4">
        <w:t>.</w:t>
      </w:r>
      <w:r w:rsidRPr="000D7BA4">
        <w:tab/>
      </w:r>
      <w:r w:rsidRPr="000D7BA4">
        <w:t>Принципы рассмотрения аспектов здоровья человека при проведении стратегической экологической оценки</w:t>
      </w:r>
      <w:r w:rsidRPr="000D7BA4">
        <w:t xml:space="preserve"> </w:t>
      </w:r>
      <w:r>
        <w:tab/>
      </w:r>
      <w:r>
        <w:tab/>
      </w:r>
      <w:r w:rsidR="008C3DC7">
        <w:t>6</w:t>
      </w:r>
    </w:p>
    <w:p w14:paraId="6965F2EC" w14:textId="54E718B8" w:rsidR="000D7BA4" w:rsidRDefault="000D7BA4" w:rsidP="000D7BA4">
      <w:pPr>
        <w:tabs>
          <w:tab w:val="right" w:pos="850"/>
          <w:tab w:val="left" w:pos="1134"/>
          <w:tab w:val="left" w:pos="1559"/>
          <w:tab w:val="left" w:pos="1984"/>
          <w:tab w:val="left" w:leader="dot" w:pos="8787"/>
          <w:tab w:val="right" w:pos="9638"/>
        </w:tabs>
        <w:spacing w:after="120"/>
        <w:ind w:left="1559" w:hanging="1559"/>
      </w:pPr>
      <w:r>
        <w:tab/>
      </w:r>
      <w:r>
        <w:tab/>
      </w:r>
      <w:r>
        <w:rPr>
          <w:lang w:val="en-US"/>
        </w:rPr>
        <w:t>A</w:t>
      </w:r>
      <w:r w:rsidRPr="000D7BA4">
        <w:t>.</w:t>
      </w:r>
      <w:r w:rsidRPr="000D7BA4">
        <w:tab/>
      </w:r>
      <w:r w:rsidRPr="000D7BA4">
        <w:t>Определение понятия «здоровье» при проведении стратегической экологической</w:t>
      </w:r>
      <w:r>
        <w:br/>
      </w:r>
      <w:r w:rsidRPr="000D7BA4">
        <w:t>оценки</w:t>
      </w:r>
      <w:r w:rsidRPr="000D7BA4">
        <w:t xml:space="preserve"> </w:t>
      </w:r>
      <w:r>
        <w:tab/>
      </w:r>
      <w:r>
        <w:tab/>
      </w:r>
      <w:r w:rsidR="008C3DC7">
        <w:t>6</w:t>
      </w:r>
    </w:p>
    <w:p w14:paraId="2472ECFA" w14:textId="40AC28CE" w:rsidR="000D7BA4" w:rsidRDefault="000D7BA4" w:rsidP="000D7BA4">
      <w:pPr>
        <w:tabs>
          <w:tab w:val="right" w:pos="850"/>
          <w:tab w:val="left" w:pos="1134"/>
          <w:tab w:val="left" w:pos="1559"/>
          <w:tab w:val="left" w:pos="1984"/>
          <w:tab w:val="left" w:leader="dot" w:pos="8787"/>
          <w:tab w:val="right" w:pos="9638"/>
        </w:tabs>
        <w:spacing w:after="120"/>
        <w:ind w:left="1559" w:hanging="1559"/>
      </w:pPr>
      <w:r>
        <w:tab/>
      </w:r>
      <w:r>
        <w:tab/>
      </w:r>
      <w:r>
        <w:rPr>
          <w:lang w:val="en-US"/>
        </w:rPr>
        <w:t>B</w:t>
      </w:r>
      <w:r w:rsidRPr="008C3DC7">
        <w:t>.</w:t>
      </w:r>
      <w:r w:rsidRPr="008C3DC7">
        <w:tab/>
      </w:r>
      <w:r w:rsidRPr="000D7BA4">
        <w:t>Место аспектов здоровья человека в рамках различных вариантов применения стратегической экологической оценки</w:t>
      </w:r>
      <w:r w:rsidRPr="000D7BA4">
        <w:t xml:space="preserve"> </w:t>
      </w:r>
      <w:r>
        <w:tab/>
      </w:r>
      <w:r>
        <w:tab/>
      </w:r>
      <w:r w:rsidR="008C3DC7">
        <w:t>7</w:t>
      </w:r>
    </w:p>
    <w:p w14:paraId="2D7D4C3B" w14:textId="2EC44D44" w:rsidR="000D7BA4" w:rsidRDefault="000D7BA4" w:rsidP="000D7BA4">
      <w:pPr>
        <w:tabs>
          <w:tab w:val="right" w:pos="850"/>
          <w:tab w:val="left" w:pos="1134"/>
          <w:tab w:val="left" w:pos="1559"/>
          <w:tab w:val="left" w:pos="1984"/>
          <w:tab w:val="left" w:leader="dot" w:pos="8787"/>
          <w:tab w:val="right" w:pos="9638"/>
        </w:tabs>
        <w:spacing w:after="120"/>
        <w:ind w:left="1559" w:hanging="1559"/>
      </w:pPr>
      <w:r>
        <w:tab/>
      </w:r>
      <w:r>
        <w:rPr>
          <w:lang w:val="en-US"/>
        </w:rPr>
        <w:t>III</w:t>
      </w:r>
      <w:r w:rsidRPr="000D7BA4">
        <w:t>.</w:t>
      </w:r>
      <w:r w:rsidRPr="000D7BA4">
        <w:tab/>
      </w:r>
      <w:r w:rsidRPr="000D7BA4">
        <w:t>Стратегическая экологическая оценка и здоровье населения на практике</w:t>
      </w:r>
      <w:r w:rsidRPr="000D7BA4">
        <w:t xml:space="preserve"> </w:t>
      </w:r>
      <w:r>
        <w:tab/>
      </w:r>
      <w:r>
        <w:tab/>
      </w:r>
      <w:r w:rsidR="008C3DC7">
        <w:t>10</w:t>
      </w:r>
    </w:p>
    <w:p w14:paraId="3B61F708" w14:textId="718EEFDC" w:rsidR="000D7BA4" w:rsidRDefault="000D7BA4" w:rsidP="000D7BA4">
      <w:pPr>
        <w:tabs>
          <w:tab w:val="right" w:pos="850"/>
          <w:tab w:val="left" w:pos="1134"/>
          <w:tab w:val="left" w:pos="1559"/>
          <w:tab w:val="left" w:pos="1984"/>
          <w:tab w:val="left" w:leader="dot" w:pos="8787"/>
          <w:tab w:val="right" w:pos="9638"/>
        </w:tabs>
        <w:spacing w:after="120"/>
        <w:ind w:left="1559" w:hanging="1559"/>
      </w:pPr>
      <w:r>
        <w:tab/>
      </w:r>
      <w:r>
        <w:tab/>
      </w:r>
      <w:r>
        <w:rPr>
          <w:lang w:val="en-US"/>
        </w:rPr>
        <w:t>A</w:t>
      </w:r>
      <w:r w:rsidRPr="000D7BA4">
        <w:t>.</w:t>
      </w:r>
      <w:r w:rsidRPr="000D7BA4">
        <w:tab/>
      </w:r>
      <w:r w:rsidRPr="000D7BA4">
        <w:t>Этап 1: понимание цели плана или программы</w:t>
      </w:r>
      <w:r w:rsidRPr="000D7BA4">
        <w:t xml:space="preserve"> </w:t>
      </w:r>
      <w:r>
        <w:tab/>
      </w:r>
      <w:r>
        <w:tab/>
      </w:r>
      <w:r w:rsidR="008C3DC7">
        <w:t>10</w:t>
      </w:r>
    </w:p>
    <w:p w14:paraId="0330D8F0" w14:textId="1DA16A79" w:rsidR="000D7BA4" w:rsidRDefault="000D7BA4" w:rsidP="000D7BA4">
      <w:pPr>
        <w:tabs>
          <w:tab w:val="right" w:pos="850"/>
          <w:tab w:val="left" w:pos="1134"/>
          <w:tab w:val="left" w:pos="1559"/>
          <w:tab w:val="left" w:pos="1984"/>
          <w:tab w:val="left" w:leader="dot" w:pos="8787"/>
          <w:tab w:val="right" w:pos="9638"/>
        </w:tabs>
        <w:spacing w:after="120"/>
        <w:ind w:left="1559" w:hanging="1559"/>
      </w:pPr>
      <w:r>
        <w:tab/>
      </w:r>
      <w:r>
        <w:tab/>
      </w:r>
      <w:r>
        <w:rPr>
          <w:lang w:val="en-US"/>
        </w:rPr>
        <w:t>B</w:t>
      </w:r>
      <w:r w:rsidRPr="000D7BA4">
        <w:t>.</w:t>
      </w:r>
      <w:r>
        <w:tab/>
      </w:r>
      <w:r w:rsidRPr="000D7BA4">
        <w:t>Этап 2: проведение стратегической экологической оценки с учетом аспектов</w:t>
      </w:r>
      <w:r w:rsidR="008C3DC7">
        <w:br/>
      </w:r>
      <w:r w:rsidRPr="000D7BA4">
        <w:t>здоровья</w:t>
      </w:r>
      <w:r w:rsidR="008C3DC7">
        <w:t xml:space="preserve"> </w:t>
      </w:r>
      <w:r w:rsidRPr="000D7BA4">
        <w:t>человека</w:t>
      </w:r>
      <w:r w:rsidRPr="000D7BA4">
        <w:t xml:space="preserve"> </w:t>
      </w:r>
      <w:r>
        <w:tab/>
      </w:r>
      <w:r>
        <w:tab/>
      </w:r>
      <w:r w:rsidR="008C3DC7">
        <w:t>12</w:t>
      </w:r>
    </w:p>
    <w:p w14:paraId="53F38EE3" w14:textId="64FE872F" w:rsidR="000D7BA4" w:rsidRDefault="000D7BA4" w:rsidP="000D7BA4">
      <w:pPr>
        <w:tabs>
          <w:tab w:val="right" w:pos="850"/>
          <w:tab w:val="left" w:pos="1134"/>
          <w:tab w:val="left" w:pos="1559"/>
          <w:tab w:val="left" w:pos="1984"/>
          <w:tab w:val="left" w:leader="dot" w:pos="8787"/>
          <w:tab w:val="right" w:pos="9638"/>
        </w:tabs>
        <w:spacing w:after="120"/>
        <w:ind w:left="1559" w:hanging="1559"/>
      </w:pPr>
      <w:r>
        <w:t>Приложения</w:t>
      </w:r>
    </w:p>
    <w:p w14:paraId="1394F250" w14:textId="10851120" w:rsidR="000D7BA4" w:rsidRDefault="000D7BA4" w:rsidP="000D7BA4">
      <w:pPr>
        <w:tabs>
          <w:tab w:val="right" w:pos="850"/>
          <w:tab w:val="left" w:pos="1134"/>
          <w:tab w:val="left" w:pos="1559"/>
          <w:tab w:val="left" w:pos="1984"/>
          <w:tab w:val="left" w:leader="dot" w:pos="8787"/>
          <w:tab w:val="right" w:pos="9638"/>
        </w:tabs>
        <w:spacing w:after="120"/>
        <w:ind w:left="1559" w:hanging="1559"/>
      </w:pPr>
      <w:r>
        <w:tab/>
      </w:r>
      <w:r>
        <w:tab/>
      </w:r>
      <w:r w:rsidRPr="000D7BA4">
        <w:t>Тематические исследования</w:t>
      </w:r>
      <w:r>
        <w:t xml:space="preserve"> </w:t>
      </w:r>
      <w:r>
        <w:tab/>
      </w:r>
      <w:r>
        <w:tab/>
      </w:r>
      <w:r w:rsidR="008C3DC7">
        <w:t>23</w:t>
      </w:r>
    </w:p>
    <w:p w14:paraId="57AA1A15" w14:textId="6F4D079B" w:rsidR="000D7BA4" w:rsidRDefault="000D7BA4" w:rsidP="000D7BA4">
      <w:pPr>
        <w:tabs>
          <w:tab w:val="right" w:pos="850"/>
          <w:tab w:val="left" w:pos="1134"/>
          <w:tab w:val="left" w:pos="1559"/>
          <w:tab w:val="left" w:pos="1984"/>
          <w:tab w:val="left" w:leader="dot" w:pos="8787"/>
          <w:tab w:val="right" w:pos="9638"/>
        </w:tabs>
        <w:spacing w:after="120"/>
        <w:ind w:left="1134" w:hanging="1134"/>
      </w:pPr>
      <w:r>
        <w:tab/>
      </w:r>
      <w:r>
        <w:rPr>
          <w:lang w:val="en-US"/>
        </w:rPr>
        <w:t>A</w:t>
      </w:r>
      <w:r w:rsidRPr="000D7BA4">
        <w:t>.</w:t>
      </w:r>
      <w:r w:rsidRPr="000D7BA4">
        <w:tab/>
      </w:r>
      <w:r w:rsidRPr="000D7BA4">
        <w:t>Проект национальной стратегии в области территориально-пространственного</w:t>
      </w:r>
      <w:r>
        <w:br/>
      </w:r>
      <w:r w:rsidRPr="000D7BA4">
        <w:t>планирования и окружающей среды, Нидерланды</w:t>
      </w:r>
      <w:r w:rsidRPr="000D7BA4">
        <w:t xml:space="preserve"> </w:t>
      </w:r>
      <w:r>
        <w:tab/>
      </w:r>
      <w:r>
        <w:tab/>
      </w:r>
      <w:r w:rsidR="008C3DC7">
        <w:t>23</w:t>
      </w:r>
    </w:p>
    <w:p w14:paraId="4FB29392" w14:textId="4F40CA4E" w:rsidR="000D7BA4" w:rsidRPr="008C3DC7" w:rsidRDefault="000D7BA4" w:rsidP="000D7BA4">
      <w:pPr>
        <w:tabs>
          <w:tab w:val="right" w:pos="850"/>
          <w:tab w:val="left" w:pos="1134"/>
          <w:tab w:val="left" w:pos="1559"/>
          <w:tab w:val="left" w:pos="1984"/>
          <w:tab w:val="left" w:leader="dot" w:pos="8787"/>
          <w:tab w:val="right" w:pos="9638"/>
        </w:tabs>
        <w:spacing w:after="120"/>
        <w:ind w:left="1134" w:hanging="1134"/>
      </w:pPr>
      <w:r>
        <w:tab/>
      </w:r>
      <w:r>
        <w:rPr>
          <w:lang w:val="en-US"/>
        </w:rPr>
        <w:t>B</w:t>
      </w:r>
      <w:r w:rsidRPr="008C3DC7">
        <w:t>.</w:t>
      </w:r>
      <w:r w:rsidRPr="008C3DC7">
        <w:tab/>
      </w:r>
      <w:r w:rsidRPr="000D7BA4">
        <w:t>«Рейл Балтика», Эстония</w:t>
      </w:r>
      <w:r w:rsidRPr="008C3DC7">
        <w:t xml:space="preserve"> </w:t>
      </w:r>
      <w:r w:rsidRPr="008C3DC7">
        <w:tab/>
      </w:r>
      <w:r w:rsidRPr="008C3DC7">
        <w:tab/>
      </w:r>
      <w:r w:rsidR="008C3DC7">
        <w:t>25</w:t>
      </w:r>
    </w:p>
    <w:p w14:paraId="735D296A" w14:textId="5B7D5766" w:rsidR="000D7BA4" w:rsidRDefault="000D7BA4" w:rsidP="000D7BA4">
      <w:pPr>
        <w:tabs>
          <w:tab w:val="right" w:pos="850"/>
          <w:tab w:val="left" w:pos="1134"/>
          <w:tab w:val="left" w:pos="1559"/>
          <w:tab w:val="left" w:pos="1984"/>
          <w:tab w:val="left" w:leader="dot" w:pos="8787"/>
          <w:tab w:val="right" w:pos="9638"/>
        </w:tabs>
        <w:spacing w:after="120"/>
        <w:ind w:left="1134" w:hanging="1134"/>
      </w:pPr>
      <w:r w:rsidRPr="008C3DC7">
        <w:tab/>
      </w:r>
      <w:r>
        <w:rPr>
          <w:lang w:val="en-US"/>
        </w:rPr>
        <w:t>C</w:t>
      </w:r>
      <w:r w:rsidRPr="000D7BA4">
        <w:t>.</w:t>
      </w:r>
      <w:r w:rsidRPr="000D7BA4">
        <w:tab/>
      </w:r>
      <w:r w:rsidRPr="000D7BA4">
        <w:t>Обновление Региональной энергетической концепции Высочинского края</w:t>
      </w:r>
      <w:r>
        <w:br/>
      </w:r>
      <w:r w:rsidRPr="000D7BA4">
        <w:t>на 2017‒2042 годы, Чехия</w:t>
      </w:r>
      <w:r w:rsidRPr="000D7BA4">
        <w:t xml:space="preserve"> </w:t>
      </w:r>
      <w:r>
        <w:tab/>
      </w:r>
      <w:r>
        <w:tab/>
      </w:r>
      <w:r w:rsidR="008C3DC7">
        <w:t>28</w:t>
      </w:r>
    </w:p>
    <w:p w14:paraId="48DA328B" w14:textId="6BA16EA2" w:rsidR="000D7BA4" w:rsidRPr="000D7BA4" w:rsidRDefault="000D7BA4" w:rsidP="000D7BA4">
      <w:pPr>
        <w:tabs>
          <w:tab w:val="right" w:pos="850"/>
          <w:tab w:val="left" w:pos="1134"/>
          <w:tab w:val="left" w:pos="1559"/>
          <w:tab w:val="left" w:pos="1984"/>
          <w:tab w:val="left" w:leader="dot" w:pos="8787"/>
          <w:tab w:val="right" w:pos="9638"/>
        </w:tabs>
        <w:spacing w:after="120"/>
        <w:ind w:left="1134" w:hanging="1134"/>
      </w:pPr>
      <w:r>
        <w:tab/>
      </w:r>
      <w:r>
        <w:rPr>
          <w:lang w:val="en-US"/>
        </w:rPr>
        <w:t>D</w:t>
      </w:r>
      <w:r w:rsidRPr="000D7BA4">
        <w:t>.</w:t>
      </w:r>
      <w:r w:rsidRPr="000D7BA4">
        <w:tab/>
      </w:r>
      <w:r w:rsidRPr="000D7BA4">
        <w:t>Уроки из практики: тематические исследования по оценке воздействия на здоровье</w:t>
      </w:r>
      <w:r>
        <w:br/>
      </w:r>
      <w:r w:rsidRPr="000D7BA4">
        <w:t>человека при проведении стратегической экологической оценки и оценки воздействия на</w:t>
      </w:r>
      <w:r>
        <w:rPr>
          <w:lang w:val="en-US"/>
        </w:rPr>
        <w:t> </w:t>
      </w:r>
      <w:r w:rsidRPr="000D7BA4">
        <w:t>окружающую среду в Европейском регионе Всемирной организации</w:t>
      </w:r>
      <w:r>
        <w:br/>
      </w:r>
      <w:r w:rsidRPr="000D7BA4">
        <w:t>здравоохранения</w:t>
      </w:r>
      <w:r w:rsidRPr="000D7BA4">
        <w:t xml:space="preserve"> </w:t>
      </w:r>
      <w:r>
        <w:tab/>
      </w:r>
      <w:r>
        <w:tab/>
      </w:r>
      <w:r w:rsidR="008C3DC7">
        <w:t>29</w:t>
      </w:r>
    </w:p>
    <w:p w14:paraId="0BB6F9DE" w14:textId="1842E7AE" w:rsidR="00160A17" w:rsidRDefault="00160A17">
      <w:pPr>
        <w:suppressAutoHyphens w:val="0"/>
        <w:spacing w:line="240" w:lineRule="auto"/>
      </w:pPr>
      <w:r>
        <w:br w:type="page"/>
      </w:r>
    </w:p>
    <w:p w14:paraId="5331DD65" w14:textId="5C5A49EB" w:rsidR="00160A17" w:rsidRPr="00160A17" w:rsidRDefault="00FE5133" w:rsidP="00FE5133">
      <w:pPr>
        <w:pStyle w:val="HChG"/>
      </w:pPr>
      <w:r>
        <w:lastRenderedPageBreak/>
        <w:tab/>
      </w:r>
      <w:r w:rsidR="00160A17" w:rsidRPr="00160A17">
        <w:t>I.</w:t>
      </w:r>
      <w:r w:rsidR="00160A17" w:rsidRPr="00160A17">
        <w:tab/>
        <w:t>Введение</w:t>
      </w:r>
    </w:p>
    <w:p w14:paraId="3B075557" w14:textId="77777777" w:rsidR="00160A17" w:rsidRPr="00160A17" w:rsidRDefault="00160A17" w:rsidP="00160A17">
      <w:pPr>
        <w:pStyle w:val="SingleTxtG"/>
      </w:pPr>
      <w:r w:rsidRPr="00160A17">
        <w:t>1.</w:t>
      </w:r>
      <w:r w:rsidRPr="00160A17">
        <w:tab/>
        <w:t>Подготовка настоящего руководства была поручена Сторонами Протокола по стратегической экологической оценке к Конвенции об оценке воздействия на окружающую среду в трансграничном контексте (Конвенция Эспо) под эгидой Европейской экономической комиссии (ЕЭК) Организации Объединенных Наций. Первоначально оно было разработано консультантами в сотрудничестве с ЕЭК, Всемирной организацией здравоохранения (ВОЗ) и Европейским инвестиционным банком при финансировании последнего, а затем пересмотрено Сторонами Протокола. Оно публикуется в качестве практического руководства по применению Протокола. Мандат в отношении руководства предусмотрен планом работы по осуществлению Конвенции и Протокола к ней на период 2017–2020 годов</w:t>
      </w:r>
      <w:r w:rsidRPr="00160A17">
        <w:rPr>
          <w:sz w:val="18"/>
          <w:szCs w:val="18"/>
          <w:vertAlign w:val="superscript"/>
        </w:rPr>
        <w:footnoteReference w:id="1"/>
      </w:r>
      <w:r w:rsidRPr="00160A17">
        <w:t>, утвержденным Сторонами Протокола на их третьей сессии (Минск, 13–16 июня 2017 года).</w:t>
      </w:r>
    </w:p>
    <w:p w14:paraId="2361C8CB" w14:textId="77777777" w:rsidR="00160A17" w:rsidRPr="00160A17" w:rsidRDefault="00160A17" w:rsidP="00160A17">
      <w:pPr>
        <w:pStyle w:val="SingleTxtG"/>
      </w:pPr>
      <w:r w:rsidRPr="00160A17">
        <w:t>2.</w:t>
      </w:r>
      <w:r w:rsidRPr="00160A17">
        <w:tab/>
        <w:t xml:space="preserve">Цель настоящего руководства — оказывать Сторонам и будущим Сторонам Протокола содействие в эффективном и последовательном анализе соответствующих последствий для здоровья человека в ходе практического проведения стратегической экологической оценки. Оно основывается на рекомендациях, представленных в информационно-справочном </w:t>
      </w:r>
      <w:r w:rsidRPr="00160A17">
        <w:rPr>
          <w:i/>
          <w:iCs/>
        </w:rPr>
        <w:t>руководстве по применению Протокола ЕЭК ООН по стратегической экологической оценке</w:t>
      </w:r>
      <w:r w:rsidRPr="00160A17">
        <w:t xml:space="preserve"> (информационно-справочное руководство)</w:t>
      </w:r>
      <w:r w:rsidRPr="00160A17">
        <w:rPr>
          <w:sz w:val="18"/>
          <w:szCs w:val="18"/>
          <w:vertAlign w:val="superscript"/>
        </w:rPr>
        <w:footnoteReference w:id="2"/>
      </w:r>
      <w:r w:rsidRPr="00160A17">
        <w:t>, в частности в приложениях A1.1 и A5.1 к нему, подготовленных в сотрудничестве с ВОЗ</w:t>
      </w:r>
      <w:r w:rsidRPr="00160A17">
        <w:rPr>
          <w:sz w:val="18"/>
          <w:szCs w:val="18"/>
          <w:vertAlign w:val="superscript"/>
        </w:rPr>
        <w:footnoteReference w:id="3"/>
      </w:r>
      <w:r w:rsidRPr="00160A17">
        <w:t>.</w:t>
      </w:r>
      <w:bookmarkStart w:id="2" w:name="_Ref16765398"/>
      <w:bookmarkEnd w:id="2"/>
    </w:p>
    <w:p w14:paraId="7960D395" w14:textId="77777777" w:rsidR="00160A17" w:rsidRPr="00160A17" w:rsidRDefault="00160A17" w:rsidP="00160A17">
      <w:pPr>
        <w:pStyle w:val="SingleTxtG"/>
      </w:pPr>
      <w:r w:rsidRPr="00160A17">
        <w:t>3.</w:t>
      </w:r>
      <w:r w:rsidRPr="00160A17">
        <w:tab/>
        <w:t>Согласно его статье 1, целью Протокола является обеспечение высокого уровня защиты окружающей среды, включая здоровье населения, путем, среди прочего:</w:t>
      </w:r>
    </w:p>
    <w:p w14:paraId="12A1F20B" w14:textId="093786A1" w:rsidR="00160A17" w:rsidRPr="00160A17" w:rsidRDefault="00FE5133" w:rsidP="00160A17">
      <w:pPr>
        <w:pStyle w:val="SingleTxtG"/>
      </w:pPr>
      <w:r>
        <w:tab/>
      </w:r>
      <w:r w:rsidR="00160A17" w:rsidRPr="00160A17">
        <w:t>a)</w:t>
      </w:r>
      <w:r w:rsidR="00160A17" w:rsidRPr="00160A17">
        <w:tab/>
        <w:t xml:space="preserve">обеспечения того, чтобы экологические, в том числе связанные со здоровьем населения, соображения тщательно учитывались при разработке планов и программ; </w:t>
      </w:r>
    </w:p>
    <w:p w14:paraId="69CF4DA9" w14:textId="3234809E" w:rsidR="00160A17" w:rsidRPr="00160A17" w:rsidRDefault="00FE5133" w:rsidP="00160A17">
      <w:pPr>
        <w:pStyle w:val="SingleTxtG"/>
      </w:pPr>
      <w:r>
        <w:tab/>
      </w:r>
      <w:r w:rsidR="00160A17" w:rsidRPr="00160A17">
        <w:t>b)</w:t>
      </w:r>
      <w:r w:rsidR="00160A17" w:rsidRPr="00160A17">
        <w:tab/>
        <w:t>содействия рассмотрению экологических, в том числе связанных со здоровьем населения, озабоченностей при разработке политики и законодательства;</w:t>
      </w:r>
    </w:p>
    <w:p w14:paraId="50E3390A" w14:textId="2336F4BB" w:rsidR="00160A17" w:rsidRPr="00160A17" w:rsidRDefault="00FE5133" w:rsidP="00160A17">
      <w:pPr>
        <w:pStyle w:val="SingleTxtG"/>
      </w:pPr>
      <w:r>
        <w:tab/>
      </w:r>
      <w:r w:rsidR="00160A17" w:rsidRPr="00160A17">
        <w:t>c)</w:t>
      </w:r>
      <w:r w:rsidR="00160A17" w:rsidRPr="00160A17">
        <w:tab/>
        <w:t>установления четких, открытых и эффективных процедур стратегической экологической оценки;</w:t>
      </w:r>
    </w:p>
    <w:p w14:paraId="38101D02" w14:textId="0E5780C7" w:rsidR="00160A17" w:rsidRPr="00160A17" w:rsidRDefault="00FE5133" w:rsidP="00160A17">
      <w:pPr>
        <w:pStyle w:val="SingleTxtG"/>
      </w:pPr>
      <w:r>
        <w:tab/>
      </w:r>
      <w:r w:rsidR="00160A17" w:rsidRPr="00160A17">
        <w:t>d)</w:t>
      </w:r>
      <w:r w:rsidR="00160A17" w:rsidRPr="00160A17">
        <w:tab/>
        <w:t>обеспечения участия общественности в стратегической экологической оценке;</w:t>
      </w:r>
    </w:p>
    <w:p w14:paraId="5D35B08A" w14:textId="4DF419C6" w:rsidR="00160A17" w:rsidRPr="00160A17" w:rsidRDefault="00FE5133" w:rsidP="00160A17">
      <w:pPr>
        <w:pStyle w:val="SingleTxtG"/>
      </w:pPr>
      <w:r>
        <w:tab/>
      </w:r>
      <w:r w:rsidR="00160A17" w:rsidRPr="00160A17">
        <w:t>e)</w:t>
      </w:r>
      <w:r w:rsidR="00160A17" w:rsidRPr="00160A17">
        <w:tab/>
        <w:t xml:space="preserve">интеграции благодаря этим мерам экологических, в том числе связанных со здоровьем населения, озабоченностей в меры и документы, разрабатываемые в целях обеспечения устойчивого развития. </w:t>
      </w:r>
    </w:p>
    <w:p w14:paraId="6FC27DAA" w14:textId="5D1AF65B" w:rsidR="00160A17" w:rsidRPr="00160A17" w:rsidRDefault="00160A17" w:rsidP="00160A17">
      <w:pPr>
        <w:pStyle w:val="SingleTxtG"/>
      </w:pPr>
      <w:r w:rsidRPr="00160A17">
        <w:t>4.</w:t>
      </w:r>
      <w:r w:rsidRPr="00160A17">
        <w:tab/>
        <w:t>Согласно статье 4 Протокола стратегическая экологическая оценка должна проводиться в отношении определенных планов и программ, которые могут вызвать существенные экологические, в том числе связанные со здоровьем населения, последствия. В отношении некоторых планов и программ стратегическая экологическая оценка потребуется только в том случае, если это будет определено в результате предварительной оценки в соответствии со статьей 5 Протокола. В пункте</w:t>
      </w:r>
      <w:r w:rsidR="00FE5133">
        <w:rPr>
          <w:lang w:val="en-US"/>
        </w:rPr>
        <w:t> </w:t>
      </w:r>
      <w:r w:rsidRPr="00160A17">
        <w:t xml:space="preserve">6 статьи 2 Протокола «стратегическая экологическая оценка» определяется как «оценка вероятных экологических, в том числе связанных со здоровьем населения, </w:t>
      </w:r>
      <w:r w:rsidRPr="00160A17">
        <w:lastRenderedPageBreak/>
        <w:t xml:space="preserve">последствий и включает в себя определение сферы охвата экологического доклада и его подготовки, обеспечение участия общественности и получения ее мнения, а также учет в плане или программе положений экологического доклада и результатов участия общественности и высказанного ею мнения». В соответствии со статьей 12 Протокола каждая Сторона проводит мониторинг существенных экологических, в том числе связанных со здоровьем населения, последствий осуществления планов и программ, принятых в соответствии со статьей 11 Протокола. </w:t>
      </w:r>
    </w:p>
    <w:p w14:paraId="135BD34E" w14:textId="77777777" w:rsidR="00160A17" w:rsidRPr="00160A17" w:rsidRDefault="00160A17" w:rsidP="00160A17">
      <w:pPr>
        <w:pStyle w:val="SingleTxtG"/>
      </w:pPr>
      <w:r w:rsidRPr="00160A17">
        <w:t>5.</w:t>
      </w:r>
      <w:r w:rsidRPr="00160A17">
        <w:tab/>
        <w:t>В настоящем руководстве признается, что стратегическая экологическая оценка проводится различными способами и в различных контекстах с учетом особенностей каждого плана и контекста, в котором она разрабатывается, и таким образом, который является разумным и соразмерным с учетом уровня охвата услугами здравоохранения.</w:t>
      </w:r>
      <w:bookmarkStart w:id="3" w:name="_Hlk30534638"/>
      <w:bookmarkEnd w:id="3"/>
      <w:r w:rsidRPr="00160A17">
        <w:t xml:space="preserve"> </w:t>
      </w:r>
    </w:p>
    <w:p w14:paraId="44C60438" w14:textId="77777777" w:rsidR="00160A17" w:rsidRPr="00160A17" w:rsidRDefault="00160A17" w:rsidP="00160A17">
      <w:pPr>
        <w:pStyle w:val="SingleTxtG"/>
      </w:pPr>
      <w:r w:rsidRPr="00160A17">
        <w:t>6.</w:t>
      </w:r>
      <w:r w:rsidRPr="00160A17">
        <w:tab/>
        <w:t>В настоящем руководстве основное внимание уделяется контексту, в котором проводится стратегическая экологическая оценка и с помощью которого определяются ключевые экологические, в том числе связанные со здоровьем населения, проблемы и разумные альтернативы. Кроме того, внедряются процедура стратегической экологической оценки и подходящие методы и инструменты, а также определяются подробные сведения о конкретных проблемах, связанных со здоровьем населения, и подходы к их рассмотрению. Руководство состоит из следующих четырех основных частей:</w:t>
      </w:r>
    </w:p>
    <w:p w14:paraId="7B9CAA9D" w14:textId="7CB03FAA" w:rsidR="00160A17" w:rsidRPr="00160A17" w:rsidRDefault="00FE5133" w:rsidP="00160A17">
      <w:pPr>
        <w:pStyle w:val="SingleTxtG"/>
      </w:pPr>
      <w:r>
        <w:tab/>
      </w:r>
      <w:r w:rsidR="00160A17" w:rsidRPr="00160A17">
        <w:t>a)</w:t>
      </w:r>
      <w:r w:rsidR="00160A17" w:rsidRPr="00160A17">
        <w:tab/>
        <w:t>данное введение, в котором разъясняется подход, принятый в соответствии с Протоколом;</w:t>
      </w:r>
    </w:p>
    <w:p w14:paraId="444A33CF" w14:textId="108759F7" w:rsidR="00160A17" w:rsidRPr="00160A17" w:rsidRDefault="00FE5133" w:rsidP="00160A17">
      <w:pPr>
        <w:pStyle w:val="SingleTxtG"/>
      </w:pPr>
      <w:r>
        <w:tab/>
      </w:r>
      <w:r w:rsidR="00160A17" w:rsidRPr="00160A17">
        <w:t>b)</w:t>
      </w:r>
      <w:r w:rsidR="00160A17" w:rsidRPr="00160A17">
        <w:tab/>
        <w:t>принципы учета аспектов здоровья в рамках стратегической экологической оценки (вытекающие из принципов, представленных в информационно-справочном руководстве);</w:t>
      </w:r>
    </w:p>
    <w:p w14:paraId="6DB25FE4" w14:textId="3393204A" w:rsidR="00160A17" w:rsidRPr="00160A17" w:rsidRDefault="00FE5133" w:rsidP="00160A17">
      <w:pPr>
        <w:pStyle w:val="SingleTxtG"/>
      </w:pPr>
      <w:r>
        <w:tab/>
      </w:r>
      <w:r w:rsidR="00160A17" w:rsidRPr="00160A17">
        <w:t>c)</w:t>
      </w:r>
      <w:r w:rsidR="00160A17" w:rsidRPr="00160A17">
        <w:tab/>
        <w:t>учет аспектов здоровья человека при проведении стратегической экологической оценки на практике;</w:t>
      </w:r>
    </w:p>
    <w:p w14:paraId="6F15A9E8" w14:textId="2E4A7C45" w:rsidR="00160A17" w:rsidRPr="00160A17" w:rsidRDefault="00FE5133" w:rsidP="00160A17">
      <w:pPr>
        <w:pStyle w:val="SingleTxtG"/>
      </w:pPr>
      <w:r>
        <w:tab/>
      </w:r>
      <w:r w:rsidR="00160A17" w:rsidRPr="00160A17">
        <w:t>d)</w:t>
      </w:r>
      <w:r w:rsidR="00160A17" w:rsidRPr="00160A17">
        <w:tab/>
        <w:t>тематические исследования по учету аспектов здоровья человека в рамках стратегической экологической оценки.</w:t>
      </w:r>
    </w:p>
    <w:p w14:paraId="2D2421B1" w14:textId="77777777" w:rsidR="00160A17" w:rsidRPr="00160A17" w:rsidRDefault="00160A17" w:rsidP="00160A17">
      <w:pPr>
        <w:pStyle w:val="SingleTxtG"/>
      </w:pPr>
      <w:r w:rsidRPr="00160A17">
        <w:t>7.</w:t>
      </w:r>
      <w:r w:rsidRPr="00160A17">
        <w:tab/>
        <w:t>Руководство содержит необязательные рекомендации в отношении передовой практики и не создает новых обязательств в отношении Протокола. Следовательно, стратегическая экологическая оценка, включающая здоровье в качестве одного из нескольких охраняемых благ, остается экологической оценкой, которую не следует расширять до более широкой оценки устойчивости.</w:t>
      </w:r>
    </w:p>
    <w:p w14:paraId="5E2D593E" w14:textId="77777777" w:rsidR="00160A17" w:rsidRPr="00160A17" w:rsidRDefault="00160A17" w:rsidP="00160A17">
      <w:pPr>
        <w:pStyle w:val="SingleTxtG"/>
      </w:pPr>
      <w:r w:rsidRPr="00160A17">
        <w:t>8.</w:t>
      </w:r>
      <w:r w:rsidRPr="00160A17">
        <w:tab/>
        <w:t>Протокол открыт для присоединения всех государств — членов Организации Объединенных Наций.</w:t>
      </w:r>
    </w:p>
    <w:p w14:paraId="0CC5867A" w14:textId="3928D6FA" w:rsidR="00160A17" w:rsidRPr="00160A17" w:rsidRDefault="00160A17" w:rsidP="00160A17">
      <w:pPr>
        <w:pStyle w:val="SingleTxtG"/>
      </w:pPr>
      <w:r w:rsidRPr="00160A17">
        <w:t>9.</w:t>
      </w:r>
      <w:r w:rsidRPr="00160A17">
        <w:tab/>
        <w:t>По состоянию на март 2023 года насчитывалось 33 Стороны Протокола, включая Европейский союз</w:t>
      </w:r>
      <w:r w:rsidRPr="00160A17">
        <w:rPr>
          <w:sz w:val="18"/>
          <w:szCs w:val="18"/>
          <w:vertAlign w:val="superscript"/>
        </w:rPr>
        <w:footnoteReference w:id="4"/>
      </w:r>
      <w:r w:rsidRPr="00160A17">
        <w:t>. В настоящее время процедура стратегической экологической оценки введена в качестве официального требования более чем в 50</w:t>
      </w:r>
      <w:r w:rsidR="00FE5133">
        <w:rPr>
          <w:lang w:val="en-US"/>
        </w:rPr>
        <w:t> </w:t>
      </w:r>
      <w:r w:rsidRPr="00160A17">
        <w:t>странах (как в странах, являющихся Сторонами Протокола, так и в странах, ими не являющихся) и используется банками развития и другими организациями в рамках процедур должной осмотрительности.</w:t>
      </w:r>
    </w:p>
    <w:p w14:paraId="10C4BFD4" w14:textId="3BA1A8F0" w:rsidR="00160A17" w:rsidRPr="00160A17" w:rsidRDefault="00FE5133" w:rsidP="00FE5133">
      <w:pPr>
        <w:pStyle w:val="HChG"/>
      </w:pPr>
      <w:r>
        <w:lastRenderedPageBreak/>
        <w:tab/>
      </w:r>
      <w:r w:rsidR="00160A17" w:rsidRPr="00160A17">
        <w:t>II.</w:t>
      </w:r>
      <w:r w:rsidR="00160A17" w:rsidRPr="00160A17">
        <w:tab/>
        <w:t>Принципы рассмотрения аспектов здоровья человека при проведении стратегической экологической оценки</w:t>
      </w:r>
    </w:p>
    <w:p w14:paraId="66FFE2C2" w14:textId="14F9F52E" w:rsidR="00160A17" w:rsidRPr="00160A17" w:rsidRDefault="00FE5133" w:rsidP="00FE5133">
      <w:pPr>
        <w:pStyle w:val="H1G"/>
      </w:pPr>
      <w:bookmarkStart w:id="4" w:name="IIIA_defining_health"/>
      <w:r>
        <w:tab/>
      </w:r>
      <w:r w:rsidR="00160A17" w:rsidRPr="00160A17">
        <w:t>A.</w:t>
      </w:r>
      <w:r w:rsidR="00160A17" w:rsidRPr="00160A17">
        <w:tab/>
        <w:t>Определение понятия «здоровье» при проведении стратегической экологической оценки</w:t>
      </w:r>
    </w:p>
    <w:bookmarkEnd w:id="4"/>
    <w:p w14:paraId="01AB15E8" w14:textId="77777777" w:rsidR="00160A17" w:rsidRPr="00160A17" w:rsidRDefault="00160A17" w:rsidP="00160A17">
      <w:pPr>
        <w:pStyle w:val="SingleTxtG"/>
      </w:pPr>
      <w:r w:rsidRPr="00160A17">
        <w:t>10.</w:t>
      </w:r>
      <w:r w:rsidRPr="00160A17">
        <w:tab/>
        <w:t>При рассмотрении аспектов здоровья населения в рамках стратегической экологической оценки важно отметить, что причиной большой доли бремени болезней в Европе является относительно небольшая группа состояний здоровья</w:t>
      </w:r>
      <w:r w:rsidRPr="00160A17">
        <w:rPr>
          <w:sz w:val="18"/>
          <w:szCs w:val="18"/>
          <w:vertAlign w:val="superscript"/>
        </w:rPr>
        <w:footnoteReference w:id="5"/>
      </w:r>
      <w:r w:rsidRPr="00160A17">
        <w:t>. Состояние окружающей среды, включая здоровье населения, связано с различными экологическими воздействиями, обусловленными (или вызванными) движением транспорта, промышленностью, энергетикой, сельским хозяйством, отходами и другими секторами. Последствия этих воздействий могут вызывать инфекционные или неинфекционные заболевания.</w:t>
      </w:r>
    </w:p>
    <w:p w14:paraId="1B740833" w14:textId="77777777" w:rsidR="00160A17" w:rsidRPr="00160A17" w:rsidRDefault="00160A17" w:rsidP="00160A17">
      <w:pPr>
        <w:pStyle w:val="SingleTxtG"/>
      </w:pPr>
      <w:r w:rsidRPr="00160A17">
        <w:t>11.</w:t>
      </w:r>
      <w:r w:rsidRPr="00160A17">
        <w:tab/>
        <w:t>В число неинфекционных заболеваний входят диабет, сердечно-сосудистые заболевания, рак, хронические респираторные заболевания и психические расстройства. Многие из движущих сил, влияющих на такие неинфекционные заболевания, могут быть связаны с планами и программами, которые подпадают под действие Протокола. Эта ситуация свидетельствует о важности межотраслевого сотрудничества при осуществлении мероприятий, направленных на снижение уровня воздействия окружающей среды на здоровье населения</w:t>
      </w:r>
      <w:r w:rsidRPr="00160A17">
        <w:rPr>
          <w:sz w:val="18"/>
          <w:szCs w:val="18"/>
          <w:vertAlign w:val="superscript"/>
        </w:rPr>
        <w:footnoteReference w:id="6"/>
      </w:r>
      <w:r w:rsidRPr="00160A17">
        <w:t>.</w:t>
      </w:r>
    </w:p>
    <w:p w14:paraId="4D6B58BB" w14:textId="73230083" w:rsidR="00160A17" w:rsidRPr="00160A17" w:rsidRDefault="00160A17" w:rsidP="00160A17">
      <w:pPr>
        <w:pStyle w:val="SingleTxtG"/>
      </w:pPr>
      <w:r w:rsidRPr="00160A17">
        <w:t>12.</w:t>
      </w:r>
      <w:r w:rsidRPr="00160A17">
        <w:tab/>
        <w:t>Бремя болезней, вызываемых экологическим риском, связано с окружающей средой и обычно связано с качеством воздуха, шумом, состоянием водоемов, количеством и качеством питьевой воды, твердыми и жидкими отходами, изменением климата и биоразнообразием. По этим вопросам следует проводить консультации с органами здравоохранения, касающиеся здоровья конкретных людей, и включать их в экологический доклад в соответствии с конкретными требованиями</w:t>
      </w:r>
      <w:r w:rsidR="00FE5133">
        <w:br/>
      </w:r>
      <w:r w:rsidRPr="00160A17">
        <w:t>Протокола (статьи 7 и 9). Кроме того, в экологическом докладе должны быть определены и описаны меры по предотвращению, уменьшению или смягчению любых существенных вредных последствий планируемой деятельности для здоровья населения (пункт 7 приложения IV). В отношении экологического доклада необходимо проводить согласование с соответствующими органами (статья 9), организациями и общественностью (статья 8). Результаты стратегической экологической оценки должны быть приняты во внимание (статьи 1 и 11). Резюмирующее заявление должно содержать информацию о том, в какой степени экологические, в том числе связанные со здоровьем населения, соображения были учтены в плане и программе (статья 11). В случае трансграничных консультаций в соответствии со статьей 10 любые вопросы здоровья населения, связанные с окружающей средой, должны обсуждаться, если это целесообразно, с соседними странами, а полученные замечания должны быть приняты во внимание Стороной, готовящей доклад.</w:t>
      </w:r>
    </w:p>
    <w:p w14:paraId="2A37E45D" w14:textId="77777777" w:rsidR="00160A17" w:rsidRPr="00160A17" w:rsidRDefault="00160A17" w:rsidP="00160A17">
      <w:pPr>
        <w:pStyle w:val="SingleTxtG"/>
      </w:pPr>
      <w:r w:rsidRPr="00160A17">
        <w:t>13.</w:t>
      </w:r>
      <w:r w:rsidRPr="00160A17">
        <w:tab/>
        <w:t>Каждое упоминание в Протоколе понятия «экологические последствия» сопровождается прямой ссылкой на здоровье населения. Пункт 7 статьи 2 Протокола гласит: «“Экологические, в том числе связанные со здоровьем населения, последствия” означают любые последствия для окружающей среды, в том числе для здоровья человека, флоры, фауны, биоразнообразия, почвы, климата, воздуха, воды, ландшафта, природных объектов, материальных активов, культурного наследия и взаимодействия этих факторов». Согласно Протоколу здоровье человека связано с факторами окружающей среды.</w:t>
      </w:r>
    </w:p>
    <w:p w14:paraId="3D4082E0" w14:textId="219AA7A2" w:rsidR="00160A17" w:rsidRPr="00160A17" w:rsidRDefault="00160A17" w:rsidP="00160A17">
      <w:pPr>
        <w:pStyle w:val="SingleTxtG"/>
      </w:pPr>
      <w:r w:rsidRPr="00160A17">
        <w:lastRenderedPageBreak/>
        <w:t>14.</w:t>
      </w:r>
      <w:r w:rsidRPr="00160A17">
        <w:tab/>
        <w:t>ВОЗ придерживается более широкого толкования понятия «здоровье». В</w:t>
      </w:r>
      <w:r w:rsidR="00FE5133">
        <w:t> </w:t>
      </w:r>
      <w:r w:rsidRPr="00160A17">
        <w:t>преамбуле Устава ВОЗ говорится: «Здоровье является состоянием полного физического, душевного и социального благополучия, а не только отсутствием болезней и физических дефектов»</w:t>
      </w:r>
      <w:r w:rsidRPr="00160A17">
        <w:rPr>
          <w:sz w:val="18"/>
          <w:szCs w:val="18"/>
          <w:vertAlign w:val="superscript"/>
        </w:rPr>
        <w:footnoteReference w:id="7"/>
      </w:r>
      <w:r w:rsidRPr="00160A17">
        <w:t>. Стороны могут принять решение на добровольной основе выйти за рамки требований Протокола и использовать более широкий подход к здоровью, насколько это целесообразно и при условии, что связь с экологическими факторами не будет утрачена или ослаблена.</w:t>
      </w:r>
    </w:p>
    <w:p w14:paraId="6EE9A2F7" w14:textId="77777777" w:rsidR="00160A17" w:rsidRPr="00160A17" w:rsidRDefault="00160A17" w:rsidP="00160A17">
      <w:pPr>
        <w:pStyle w:val="SingleTxtG"/>
      </w:pPr>
      <w:r w:rsidRPr="00160A17">
        <w:t>15.</w:t>
      </w:r>
      <w:r w:rsidRPr="00160A17">
        <w:tab/>
        <w:t>Определение ВОЗ понятия «здоровье» состоит из двух частей:</w:t>
      </w:r>
    </w:p>
    <w:p w14:paraId="141DC489" w14:textId="00B7BAFF" w:rsidR="00160A17" w:rsidRPr="00160A17" w:rsidRDefault="00FE5133" w:rsidP="00160A17">
      <w:pPr>
        <w:pStyle w:val="SingleTxtG"/>
      </w:pPr>
      <w:r>
        <w:tab/>
      </w:r>
      <w:r w:rsidR="00160A17" w:rsidRPr="00160A17">
        <w:t>a)</w:t>
      </w:r>
      <w:r w:rsidR="00160A17" w:rsidRPr="00160A17">
        <w:tab/>
        <w:t>в первой части особо подчеркивается, что здоровье человека охватывает душевное и психическое здоровье и социальное благополучие. На здоровье могут влиять экологические, социальные и экономические факторы, поэтому при подготовке планов и программ следует заранее оценивать возможное воздействие на здоровье;</w:t>
      </w:r>
    </w:p>
    <w:p w14:paraId="55097756" w14:textId="238D75F8" w:rsidR="00160A17" w:rsidRPr="00160A17" w:rsidRDefault="00FE5133" w:rsidP="00160A17">
      <w:pPr>
        <w:pStyle w:val="SingleTxtG"/>
      </w:pPr>
      <w:r>
        <w:tab/>
      </w:r>
      <w:r w:rsidR="00160A17" w:rsidRPr="00160A17">
        <w:t>b)</w:t>
      </w:r>
      <w:r w:rsidR="00160A17" w:rsidRPr="00160A17">
        <w:tab/>
        <w:t>во второй части подчеркивается важность рассмотрения и лечения болезней и физических дефектов; однако это является задачей сектора здравоохранения.</w:t>
      </w:r>
    </w:p>
    <w:p w14:paraId="67340797" w14:textId="77777777" w:rsidR="00160A17" w:rsidRPr="00160A17" w:rsidRDefault="00160A17" w:rsidP="00160A17">
      <w:pPr>
        <w:pStyle w:val="SingleTxtG"/>
      </w:pPr>
      <w:r w:rsidRPr="00160A17">
        <w:t>16.</w:t>
      </w:r>
      <w:r w:rsidRPr="00160A17">
        <w:tab/>
        <w:t>При проведении стратегической экологической оценки экологические, в том числе связанные со здоровьем населения, последствия оцениваются с учетом как негативного, так и позитивного воздействия окружающей среды на здоровье.</w:t>
      </w:r>
    </w:p>
    <w:p w14:paraId="52141488" w14:textId="71B34319" w:rsidR="00160A17" w:rsidRPr="00160A17" w:rsidRDefault="00160A17" w:rsidP="00160A17">
      <w:pPr>
        <w:pStyle w:val="SingleTxtG"/>
      </w:pPr>
      <w:r w:rsidRPr="00160A17">
        <w:t>17.</w:t>
      </w:r>
      <w:r w:rsidRPr="00160A17">
        <w:tab/>
        <w:t>При рассмотрении вопросов, касающихся здоровья, при проведении стратегической экологической оценки основное внимание может, в зависимости от типа плана или программы, уделяться здоровью населения. Цель и масштаб плана или программы определяют типы уязвимостей, связанные со здоровьем населения, которые могут быть рассмотрены в рамках стратегической экологической оценки, включая возраст, состояние здоровья, доступ к чистой питьевой воде и санитарии, а также подверженность загрязнению воздуха.</w:t>
      </w:r>
    </w:p>
    <w:p w14:paraId="676475BA" w14:textId="005BFD68" w:rsidR="00160A17" w:rsidRPr="00160A17" w:rsidRDefault="00FE5133" w:rsidP="00FE5133">
      <w:pPr>
        <w:pStyle w:val="H1G"/>
      </w:pPr>
      <w:r>
        <w:tab/>
      </w:r>
      <w:r w:rsidR="00160A17" w:rsidRPr="00160A17">
        <w:t>B.</w:t>
      </w:r>
      <w:r w:rsidR="00160A17" w:rsidRPr="00160A17">
        <w:tab/>
        <w:t>Место аспектов здоровья человека в рамках различных вариантов применения стратегической экологической оценки</w:t>
      </w:r>
      <w:bookmarkStart w:id="5" w:name="_Hlk130893183"/>
      <w:bookmarkEnd w:id="5"/>
    </w:p>
    <w:p w14:paraId="140555FC" w14:textId="77777777" w:rsidR="00160A17" w:rsidRPr="00160A17" w:rsidRDefault="00160A17" w:rsidP="00160A17">
      <w:pPr>
        <w:pStyle w:val="SingleTxtG"/>
      </w:pPr>
      <w:r w:rsidRPr="00160A17">
        <w:t>18.</w:t>
      </w:r>
      <w:r w:rsidRPr="00160A17">
        <w:tab/>
        <w:t>Для определения сферы охвата стратегической экологической оценки в консультации с органами здравоохранения и принятия решения относительно методики учета аспектов здоровья требуется понимание контекста каждой такой оценки. В приведенной ниже диаграмме перечислены типичные аспекты, которые следует принимать во внимание. Далее более подробно описываются контекстуальные аспекты. Затем в разделе III ниже детально рассматривается формат стратегической экологической оценки.</w:t>
      </w:r>
    </w:p>
    <w:p w14:paraId="2BC0703A" w14:textId="77777777" w:rsidR="00160A17" w:rsidRPr="00160A17" w:rsidRDefault="00160A17" w:rsidP="00160A17">
      <w:pPr>
        <w:pStyle w:val="SingleTxtG"/>
      </w:pPr>
      <w:r w:rsidRPr="00160A17">
        <w:t>19.</w:t>
      </w:r>
      <w:r w:rsidRPr="00160A17">
        <w:tab/>
        <w:t>Степень детализации оценки определяется характером и содержанием лежащего в ее основе плана или программы. В многоуровневых системах программирования и планирования, от политики и законодательства до программ и планов, более подробная географическая, технологическая и демографическая информация, как правило, предоставляется позже, например на уровне местных планов землепользования</w:t>
      </w:r>
      <w:r w:rsidRPr="00160A17">
        <w:rPr>
          <w:vertAlign w:val="superscript"/>
        </w:rPr>
        <w:footnoteReference w:id="8"/>
      </w:r>
      <w:r w:rsidRPr="00160A17">
        <w:t>. Это имеет очень важное значение при принятии решений о разумных альтернативах и вопросах, подлежащих рассмотрению, и, в конечном счете, о возможных способах включения аспектов здоровья в стратегическую экологическую оценку.</w:t>
      </w:r>
    </w:p>
    <w:p w14:paraId="109E2615" w14:textId="4237A73E" w:rsidR="00160A17" w:rsidRPr="00160A17" w:rsidRDefault="00FE5133" w:rsidP="00FE5133">
      <w:pPr>
        <w:pStyle w:val="H23G"/>
      </w:pPr>
      <w:r>
        <w:lastRenderedPageBreak/>
        <w:tab/>
      </w:r>
      <w:r>
        <w:tab/>
      </w:r>
      <w:r w:rsidR="00160A17" w:rsidRPr="00160A17">
        <w:t>Стратегическая экологическая оценка: контекст и формат — аспекты, которые нужно учитывать</w:t>
      </w:r>
      <w:r w:rsidR="00160A17" w:rsidRPr="00FE5133">
        <w:rPr>
          <w:b w:val="0"/>
          <w:bCs/>
          <w:sz w:val="18"/>
          <w:szCs w:val="18"/>
          <w:vertAlign w:val="superscript"/>
        </w:rPr>
        <w:footnoteReference w:id="9"/>
      </w:r>
    </w:p>
    <w:p w14:paraId="1E27B245" w14:textId="77777777" w:rsidR="00160A17" w:rsidRPr="00160A17" w:rsidRDefault="00160A17" w:rsidP="001D49E2">
      <w:pPr>
        <w:pStyle w:val="SingleTxtG"/>
        <w:jc w:val="center"/>
        <w:rPr>
          <w:lang w:val="en-GB"/>
        </w:rPr>
      </w:pPr>
      <w:r w:rsidRPr="00160A17">
        <w:rPr>
          <w:lang w:val="de-DE"/>
        </w:rPr>
        <w:drawing>
          <wp:inline distT="0" distB="0" distL="0" distR="0" wp14:anchorId="66E2F3BE" wp14:editId="2BAD9D29">
            <wp:extent cx="2914015" cy="2322830"/>
            <wp:effectExtent l="0" t="0" r="63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015" cy="2322830"/>
                    </a:xfrm>
                    <a:prstGeom prst="rect">
                      <a:avLst/>
                    </a:prstGeom>
                    <a:noFill/>
                  </pic:spPr>
                </pic:pic>
              </a:graphicData>
            </a:graphic>
          </wp:inline>
        </w:drawing>
      </w:r>
    </w:p>
    <w:p w14:paraId="05EB6946" w14:textId="77777777" w:rsidR="001D49E2" w:rsidRDefault="00160A17" w:rsidP="001D49E2">
      <w:pPr>
        <w:pStyle w:val="SingleTxtG"/>
        <w:spacing w:after="0" w:line="220" w:lineRule="exact"/>
        <w:ind w:firstLine="170"/>
        <w:jc w:val="left"/>
        <w:rPr>
          <w:sz w:val="18"/>
          <w:szCs w:val="18"/>
        </w:rPr>
      </w:pPr>
      <w:r w:rsidRPr="00160A17">
        <w:rPr>
          <w:i/>
          <w:iCs/>
          <w:sz w:val="18"/>
          <w:szCs w:val="18"/>
        </w:rPr>
        <w:t>Сокращения:</w:t>
      </w:r>
      <w:r w:rsidRPr="00160A17">
        <w:rPr>
          <w:sz w:val="18"/>
          <w:szCs w:val="18"/>
        </w:rPr>
        <w:t xml:space="preserve"> СЭО — стратегическая экологическая оценка.</w:t>
      </w:r>
    </w:p>
    <w:p w14:paraId="73EED535" w14:textId="37AD4748" w:rsidR="00160A17" w:rsidRPr="00160A17" w:rsidRDefault="00160A17" w:rsidP="00FE5133">
      <w:pPr>
        <w:pStyle w:val="SingleTxtG"/>
        <w:spacing w:line="220" w:lineRule="exact"/>
        <w:ind w:firstLine="170"/>
        <w:jc w:val="left"/>
        <w:rPr>
          <w:sz w:val="18"/>
          <w:szCs w:val="18"/>
          <w:lang w:val="en-US"/>
        </w:rPr>
      </w:pPr>
      <w:r w:rsidRPr="00160A17">
        <w:rPr>
          <w:i/>
          <w:iCs/>
          <w:sz w:val="18"/>
          <w:szCs w:val="18"/>
        </w:rPr>
        <w:t>Источник</w:t>
      </w:r>
      <w:r w:rsidRPr="00160A17">
        <w:rPr>
          <w:i/>
          <w:iCs/>
          <w:sz w:val="18"/>
          <w:szCs w:val="18"/>
          <w:lang w:val="en-US"/>
        </w:rPr>
        <w:t>:</w:t>
      </w:r>
      <w:r w:rsidRPr="00160A17">
        <w:rPr>
          <w:sz w:val="18"/>
          <w:szCs w:val="18"/>
          <w:lang w:val="en-US"/>
        </w:rPr>
        <w:t xml:space="preserve"> </w:t>
      </w:r>
      <w:r w:rsidR="001D49E2">
        <w:rPr>
          <w:sz w:val="18"/>
          <w:szCs w:val="18"/>
        </w:rPr>
        <w:t>П</w:t>
      </w:r>
      <w:r w:rsidRPr="00160A17">
        <w:rPr>
          <w:sz w:val="18"/>
          <w:szCs w:val="18"/>
        </w:rPr>
        <w:t>о</w:t>
      </w:r>
      <w:r w:rsidRPr="00160A17">
        <w:rPr>
          <w:sz w:val="18"/>
          <w:szCs w:val="18"/>
          <w:lang w:val="en-US"/>
        </w:rPr>
        <w:t xml:space="preserve"> </w:t>
      </w:r>
      <w:r w:rsidRPr="00160A17">
        <w:rPr>
          <w:sz w:val="18"/>
          <w:szCs w:val="18"/>
        </w:rPr>
        <w:t>материалам</w:t>
      </w:r>
      <w:r w:rsidRPr="00160A17">
        <w:rPr>
          <w:sz w:val="18"/>
          <w:szCs w:val="18"/>
          <w:lang w:val="en-US"/>
        </w:rPr>
        <w:t xml:space="preserve"> Thomas B. Fischer, “Health in SEA”, in </w:t>
      </w:r>
      <w:r w:rsidRPr="00160A17">
        <w:rPr>
          <w:i/>
          <w:iCs/>
          <w:sz w:val="18"/>
          <w:szCs w:val="18"/>
          <w:lang w:val="en-US"/>
        </w:rPr>
        <w:t>Health in Impact Assessments: Opportunities Not to be Missed</w:t>
      </w:r>
      <w:r w:rsidRPr="00160A17">
        <w:rPr>
          <w:sz w:val="18"/>
          <w:szCs w:val="18"/>
          <w:lang w:val="en-US"/>
        </w:rPr>
        <w:t>, Rainer Fehr and others, eds. (Copenhagen, WHO Regional Office for Europe, 2014),</w:t>
      </w:r>
      <w:r w:rsidR="00CD28F9">
        <w:rPr>
          <w:sz w:val="18"/>
          <w:szCs w:val="18"/>
        </w:rPr>
        <w:t xml:space="preserve"> </w:t>
      </w:r>
      <w:r w:rsidRPr="00160A17">
        <w:rPr>
          <w:sz w:val="18"/>
          <w:szCs w:val="18"/>
          <w:lang w:val="en-US"/>
        </w:rPr>
        <w:t xml:space="preserve">pp. 23–46. </w:t>
      </w:r>
    </w:p>
    <w:p w14:paraId="2C7651C9" w14:textId="77777777" w:rsidR="00160A17" w:rsidRPr="00160A17" w:rsidRDefault="00160A17" w:rsidP="00160A17">
      <w:pPr>
        <w:pStyle w:val="SingleTxtG"/>
      </w:pPr>
      <w:r w:rsidRPr="00160A17">
        <w:t>20.</w:t>
      </w:r>
      <w:r w:rsidRPr="00160A17">
        <w:tab/>
        <w:t>Важным соображением является масштаб оцениваемого плана и то, насколько конкретной должна быть оценка вероятного воздействия на здоровье. Например, в национальном плане основное внимание может уделяться охране здоровья населения страны с определенными возможностями для проведения различий между группами населения в различных географических районах. Кроме того, часто необходимо учитывать возможность трансграничных последствий. В рамках планов на местном уровне основное внимание, скорее всего, будет уделяться местному населению и его различным группам. Возможность трансграничных последствий будет зависеть от местоположения относительно других стран и типа рассматриваемых событий.</w:t>
      </w:r>
    </w:p>
    <w:p w14:paraId="522C457D" w14:textId="77777777" w:rsidR="00160A17" w:rsidRPr="00160A17" w:rsidRDefault="00160A17" w:rsidP="00160A17">
      <w:pPr>
        <w:pStyle w:val="SingleTxtG"/>
      </w:pPr>
      <w:r w:rsidRPr="00160A17">
        <w:t>21.</w:t>
      </w:r>
      <w:r w:rsidRPr="00160A17">
        <w:tab/>
        <w:t>Во всех случаях степень детализации вероятных существенных последствий для здоровья должна быть разумной и соразмерной плану или программе (а также, в соответствии со статьей 13 и насколько это целесообразно, политике или законодательству) и их разумным альтернативам (пункт 2 статьи 7). Стратегическая экологическая оценка обычно основывается на использовании существующих данных, качество которых необходимо определить.</w:t>
      </w:r>
    </w:p>
    <w:p w14:paraId="0772B277" w14:textId="77777777" w:rsidR="00160A17" w:rsidRPr="00160A17" w:rsidRDefault="00160A17" w:rsidP="00160A17">
      <w:pPr>
        <w:pStyle w:val="SingleTxtG"/>
      </w:pPr>
      <w:r w:rsidRPr="00160A17">
        <w:t>22.</w:t>
      </w:r>
      <w:r w:rsidRPr="00160A17">
        <w:tab/>
        <w:t>Учитывая стратегический долгосрочный характер планов и программ в отличие от проектов, подробная информация о возникающих проблемах и приоритетах в области здравоохранения часто бывает неопределенной, но ее все равно необходимо фиксировать и оценивать, если она является релевантной.</w:t>
      </w:r>
    </w:p>
    <w:p w14:paraId="563541D7" w14:textId="77777777" w:rsidR="00160A17" w:rsidRPr="00160A17" w:rsidRDefault="00160A17" w:rsidP="00160A17">
      <w:pPr>
        <w:pStyle w:val="SingleTxtG"/>
      </w:pPr>
      <w:r w:rsidRPr="00160A17">
        <w:t>23.</w:t>
      </w:r>
      <w:r w:rsidRPr="00160A17">
        <w:tab/>
        <w:t>В информационно-справочном руководстве указано, что ключевое значение для эффективного осуществления Протокола имеет создание соответствующего институционального потенциала</w:t>
      </w:r>
      <w:r w:rsidRPr="00160A17">
        <w:rPr>
          <w:sz w:val="18"/>
          <w:szCs w:val="18"/>
          <w:vertAlign w:val="superscript"/>
        </w:rPr>
        <w:footnoteReference w:id="10"/>
      </w:r>
      <w:r w:rsidRPr="00160A17">
        <w:t>. Это включает опыт тех, кто проводит оценку и руководит ее проведением (квалифицированных и компетентных экспертов), а также ресурсы, имеющиеся для адекватного решения вопросов, охватываемых стратегической экологической оценкой. Институциональный потенциал для эффективного проведения стратегической экологической оценки зависит от различных политических, социальных, культурных и других аспектов, а также от уровня и характера экономического развития, процессов и традиций в сфере принятия решений.</w:t>
      </w:r>
    </w:p>
    <w:p w14:paraId="542BC14D" w14:textId="77777777" w:rsidR="00160A17" w:rsidRPr="00160A17" w:rsidRDefault="00160A17" w:rsidP="00160A17">
      <w:pPr>
        <w:pStyle w:val="SingleTxtG"/>
      </w:pPr>
      <w:r w:rsidRPr="00160A17">
        <w:lastRenderedPageBreak/>
        <w:t>24.</w:t>
      </w:r>
      <w:r w:rsidRPr="00160A17">
        <w:tab/>
        <w:t>Доклады об осуществлении Протокола</w:t>
      </w:r>
      <w:r w:rsidRPr="00160A17">
        <w:rPr>
          <w:sz w:val="18"/>
          <w:szCs w:val="18"/>
          <w:vertAlign w:val="superscript"/>
        </w:rPr>
        <w:footnoteReference w:id="11"/>
      </w:r>
      <w:r w:rsidRPr="00160A17">
        <w:t xml:space="preserve"> являются важными инструментами для понимания конкретных потребностей в потенциале и должны быть доступны для тех, кто проводит стратегическую экологическую оценку на практике. B контексте развития соответствующего институционального потенциала для проведения стратегической экологической оценки в пункте 3 статьи 3 Протокола содержится следующее требование: «каждая Сторона обеспечивает надлежащее признание и поддержку ассоциаций, организаций или групп, способствующих охране окружающей среды, в том числе охране здоровья населения, в контексте настоящего Протокола».</w:t>
      </w:r>
    </w:p>
    <w:p w14:paraId="2DA38BE7" w14:textId="77777777" w:rsidR="00160A17" w:rsidRPr="00160A17" w:rsidRDefault="00160A17" w:rsidP="00160A17">
      <w:pPr>
        <w:pStyle w:val="SingleTxtG"/>
      </w:pPr>
      <w:r w:rsidRPr="00160A17">
        <w:t>25.</w:t>
      </w:r>
      <w:r w:rsidRPr="00160A17">
        <w:tab/>
        <w:t>Систематическое проведение стратегической экологической оценки возможно только при наличии официальных (например, юридических) требований. Оценка воздействия требует наличия целей и критериев, касающихся окружающей среды, в том числе здоровья населения. Зачастую конкретные цели устанавливаются и определяются в национальном законодательстве и вспомогательных руководствах. Хотя такие цели и критерии часто являются релевантными, они могут отражать состояние здоровья населения лишь в ограниченной степени.</w:t>
      </w:r>
    </w:p>
    <w:p w14:paraId="763AEA17" w14:textId="77777777" w:rsidR="00160A17" w:rsidRPr="00160A17" w:rsidRDefault="00160A17" w:rsidP="00160A17">
      <w:pPr>
        <w:pStyle w:val="SingleTxtG"/>
      </w:pPr>
      <w:r w:rsidRPr="00160A17">
        <w:t>26.</w:t>
      </w:r>
      <w:r w:rsidRPr="00160A17">
        <w:tab/>
        <w:t>Процесс стратегической экологической оценки применяется и адаптируется с учетом географических (страна, регион) и отраслевых требований и традиций. Например, подход к территориальным планам обычно отличается от подхода к программам развития транспорта, и эти различия служат отправной точкой для разработки стратегических экологических оценок, адаптированных к конкретным ситуациям. Аналогичным образом, при оценке воздействия на здоровье необходимо будет учитывать различные отраслевые практики и возникающие в связи с ними основные вопросы, касающиеся здоровья. Например, транспорт влияет на здоровье человека как источник выбросов вредных веществ в атмосферу. Поэтому в число соответствующих основных связанных со здоровьем проблем, подлежащих учету при разработке программ развития транспорта, будет, по всей вероятности, входить проблема воздействия выбросов на дыхательную и сердечно-сосудистую системы. Кроме того, выбор местоположения в ходе разработки региональных планов (территориальных планов/планов землепользования) может влиять на расстояние перевозки и выбор вида транспорта. При определении и оценке альтернатив следует учитывать соответствующие основные вопросы, касающиеся здоровья, в территориальных планах.</w:t>
      </w:r>
    </w:p>
    <w:p w14:paraId="4D337801" w14:textId="77777777" w:rsidR="00160A17" w:rsidRPr="00160A17" w:rsidRDefault="00160A17" w:rsidP="00160A17">
      <w:pPr>
        <w:pStyle w:val="SingleTxtG"/>
      </w:pPr>
      <w:r w:rsidRPr="00160A17">
        <w:t>27.</w:t>
      </w:r>
      <w:r w:rsidRPr="00160A17">
        <w:tab/>
        <w:t>Как указано в информационно-справочном руководстве, процесс качественной стратегической экологической оценки «проводится с честностью, беспристрастностью и взвешенно»</w:t>
      </w:r>
      <w:r w:rsidRPr="00160A17">
        <w:rPr>
          <w:sz w:val="18"/>
          <w:szCs w:val="18"/>
          <w:vertAlign w:val="superscript"/>
        </w:rPr>
        <w:footnoteReference w:id="12"/>
      </w:r>
      <w:r w:rsidRPr="00160A17">
        <w:t>. Однако в ситуациях, когда при разработке плана или программы и сопутствующей стратегической экологической оценки ведущую роль играет одна или несколько заинтересованных сторон, вряд ли удастся добиться честности, беспристрастности и взвешенности. Это означает, что к учету существенных вопросов следует подходить с осторожностью. Интересы групп влияния могут превалировать над вопросами охраны окружающей среды, в том числе вопросами здравоохранения, на защиту которых направлена стратегическая экологическая оценка.</w:t>
      </w:r>
    </w:p>
    <w:p w14:paraId="4A8F9DBF" w14:textId="360D1939" w:rsidR="00160A17" w:rsidRPr="00160A17" w:rsidRDefault="00160A17" w:rsidP="00160A17">
      <w:pPr>
        <w:pStyle w:val="SingleTxtG"/>
      </w:pPr>
      <w:r w:rsidRPr="00160A17">
        <w:t>28.</w:t>
      </w:r>
      <w:r w:rsidRPr="00160A17">
        <w:tab/>
        <w:t>Во многих странах органы власти на разных административных уровнях (национальном, региональном и местном) отвечают за выполнение конкретных задач по принятию решений</w:t>
      </w:r>
      <w:r w:rsidRPr="00160A17">
        <w:rPr>
          <w:sz w:val="18"/>
          <w:szCs w:val="18"/>
          <w:vertAlign w:val="superscript"/>
        </w:rPr>
        <w:footnoteReference w:id="13"/>
      </w:r>
      <w:r w:rsidRPr="00160A17">
        <w:t>, и это может приводить к оценке альтернатив для конкретных планов и программ на разных административных уровнях, в зависимости от масштаба и сектора планов и программ. Обычно обязанности по планированию/проведению стратегической экологической оценки прописаны в законодательстве, чаще всего на национальном, федеральном или региональном уровн</w:t>
      </w:r>
      <w:r w:rsidR="00537E56">
        <w:t>е</w:t>
      </w:r>
      <w:r w:rsidRPr="00160A17">
        <w:t>.</w:t>
      </w:r>
    </w:p>
    <w:p w14:paraId="02A38AFF" w14:textId="3B8936C3" w:rsidR="00160A17" w:rsidRPr="00160A17" w:rsidRDefault="001D49E2" w:rsidP="001D49E2">
      <w:pPr>
        <w:pStyle w:val="HChG"/>
      </w:pPr>
      <w:r>
        <w:lastRenderedPageBreak/>
        <w:tab/>
      </w:r>
      <w:r w:rsidR="00160A17" w:rsidRPr="00160A17">
        <w:t>III.</w:t>
      </w:r>
      <w:r w:rsidR="00160A17" w:rsidRPr="00160A17">
        <w:tab/>
        <w:t>Стратегическая экологическая оценка и здоровье населения на практике</w:t>
      </w:r>
    </w:p>
    <w:p w14:paraId="57180D9C" w14:textId="77777777" w:rsidR="00160A17" w:rsidRPr="00160A17" w:rsidRDefault="00160A17" w:rsidP="00160A17">
      <w:pPr>
        <w:pStyle w:val="SingleTxtG"/>
      </w:pPr>
      <w:r w:rsidRPr="00160A17">
        <w:t>29.</w:t>
      </w:r>
      <w:r w:rsidRPr="00160A17">
        <w:tab/>
        <w:t>Стратегическая экологическая оценка может быть инструментом для достижения улучшения результатов в области здравоохранения на практике.</w:t>
      </w:r>
    </w:p>
    <w:p w14:paraId="50CF039F" w14:textId="77777777" w:rsidR="00160A17" w:rsidRPr="00160A17" w:rsidRDefault="00160A17" w:rsidP="00160A17">
      <w:pPr>
        <w:pStyle w:val="SingleTxtG"/>
      </w:pPr>
      <w:r w:rsidRPr="00160A17">
        <w:t>30.</w:t>
      </w:r>
      <w:r w:rsidRPr="00160A17">
        <w:tab/>
        <w:t>Процедуре стратегической экологической оценки посвящены статьи 6–11 Протокола. Процедурные этапы и задачи более подробно рассматриваются в подразделе «В. Этап 2» ниже.</w:t>
      </w:r>
    </w:p>
    <w:p w14:paraId="30CAD576" w14:textId="77777777" w:rsidR="00160A17" w:rsidRPr="00160A17" w:rsidRDefault="00160A17" w:rsidP="00160A17">
      <w:pPr>
        <w:pStyle w:val="SingleTxtG"/>
      </w:pPr>
      <w:r w:rsidRPr="00160A17">
        <w:t>31.</w:t>
      </w:r>
      <w:r w:rsidRPr="00160A17">
        <w:tab/>
        <w:t>Согласно статье 2 Протокола, к существенным детерминантам здоровья, подлежащим рассмотрению при проведении стратегической экологической оценки, относятся биофизические аспекты (флора, фауна, биоразнообразие, почва, климат, воздух, вода), а также ландшафтные аспекты и природные объекты. Необходимо также учитывать материальные ценности и культурное наследие. Необходимо проанализировать взаимодействие между этими различными детерминантами здоровья.</w:t>
      </w:r>
    </w:p>
    <w:p w14:paraId="706BDC84" w14:textId="67BD2488" w:rsidR="00160A17" w:rsidRPr="00160A17" w:rsidRDefault="00160A17" w:rsidP="00160A17">
      <w:pPr>
        <w:pStyle w:val="SingleTxtG"/>
      </w:pPr>
      <w:r w:rsidRPr="00160A17">
        <w:t>32.</w:t>
      </w:r>
      <w:r w:rsidRPr="00160A17">
        <w:tab/>
        <w:t>Кроме того, в соответствии с информационно-справочным руководством</w:t>
      </w:r>
      <w:r w:rsidRPr="00160A17">
        <w:rPr>
          <w:sz w:val="18"/>
          <w:szCs w:val="18"/>
          <w:vertAlign w:val="superscript"/>
        </w:rPr>
        <w:footnoteReference w:id="14"/>
      </w:r>
      <w:r w:rsidRPr="00160A17">
        <w:t xml:space="preserve"> может быть полезным рассмотрение социальных и экономических детерминантов здоровья, а также поведенческих аспектов, связанных со здоровьем и социальным благополучием.</w:t>
      </w:r>
    </w:p>
    <w:p w14:paraId="74F7AD2F" w14:textId="77777777" w:rsidR="00160A17" w:rsidRPr="00160A17" w:rsidRDefault="00160A17" w:rsidP="00160A17">
      <w:pPr>
        <w:pStyle w:val="SingleTxtG"/>
      </w:pPr>
      <w:r w:rsidRPr="00160A17">
        <w:t>33.</w:t>
      </w:r>
      <w:r w:rsidRPr="00160A17">
        <w:tab/>
        <w:t>Анализ аспектов здоровья при проведении стратегической экологической оценки связан с проблемами интерпретации и практической реализации. Они могут включать относительные властные полномочия учреждений/групп, связанных с системой здравоохранения, и уровень осмысления концепции здоровья среди тех, кто участвует в стратегической экологической оценке, причем здесь могут существовать пробелы в знаниях, например в отношении небиофизических детерминантов здоровья</w:t>
      </w:r>
      <w:r w:rsidRPr="00160A17">
        <w:rPr>
          <w:sz w:val="18"/>
          <w:szCs w:val="18"/>
          <w:vertAlign w:val="superscript"/>
        </w:rPr>
        <w:footnoteReference w:id="15"/>
      </w:r>
      <w:r w:rsidRPr="00160A17">
        <w:t>. Кроме того, выявление и последующая интеграция соответствующих детерминантов здоровья могут быть сопряжены с трудностями концептуального и практического характера. Пункт 2 статьи 5, пункт 2 статьи 6 и пункт 3 статьи 9 Протокола требуют проведения консультаций с органами по охране окружающей среды и здоровья. Однако, в связи с иным уровнем понимания органами здравоохранения стратегической экологической оценки и их связанного с ней опыта, а также понятия «здоровье» в рамках стратегической экологической оценки органами охраны окружающей среды и планирования более широкие инициативы по наращиванию потенциала могут быть особенно полезными.</w:t>
      </w:r>
    </w:p>
    <w:p w14:paraId="5CBBE061" w14:textId="5892FB32" w:rsidR="00160A17" w:rsidRPr="00160A17" w:rsidRDefault="001D49E2" w:rsidP="001D49E2">
      <w:pPr>
        <w:pStyle w:val="H1G"/>
      </w:pPr>
      <w:r>
        <w:tab/>
      </w:r>
      <w:r w:rsidR="00160A17" w:rsidRPr="00160A17">
        <w:t>A</w:t>
      </w:r>
      <w:r>
        <w:t>.</w:t>
      </w:r>
      <w:r w:rsidR="00160A17" w:rsidRPr="00160A17">
        <w:tab/>
        <w:t>Этап 1: понимание цели плана или программы</w:t>
      </w:r>
    </w:p>
    <w:p w14:paraId="2E9BD044" w14:textId="77777777" w:rsidR="00160A17" w:rsidRPr="00160A17" w:rsidRDefault="00160A17" w:rsidP="00160A17">
      <w:pPr>
        <w:pStyle w:val="SingleTxtG"/>
      </w:pPr>
      <w:r w:rsidRPr="00160A17">
        <w:t>34.</w:t>
      </w:r>
      <w:r w:rsidRPr="00160A17">
        <w:tab/>
        <w:t>Для эффективной интеграции аспектов здоровья в стратегическую экологическую оценку необходимо четкое понимание цели конкретного плана или программы, поскольку от этого зависит то, какие вопросы, включая аспекты здоровья, должны быть охвачены</w:t>
      </w:r>
      <w:r w:rsidRPr="00160A17">
        <w:rPr>
          <w:sz w:val="18"/>
          <w:szCs w:val="18"/>
          <w:vertAlign w:val="superscript"/>
        </w:rPr>
        <w:footnoteReference w:id="16"/>
      </w:r>
      <w:r w:rsidRPr="00160A17">
        <w:t>.</w:t>
      </w:r>
    </w:p>
    <w:p w14:paraId="2A91912E" w14:textId="77777777" w:rsidR="00160A17" w:rsidRPr="00160A17" w:rsidRDefault="00160A17" w:rsidP="00160A17">
      <w:pPr>
        <w:pStyle w:val="SingleTxtG"/>
      </w:pPr>
      <w:r w:rsidRPr="00160A17">
        <w:t>35.</w:t>
      </w:r>
      <w:r w:rsidRPr="00160A17">
        <w:tab/>
        <w:t>В таблице 1 ниже приводится пример того, какие вопросы могут быть рассмотрены на различных уровнях принятия системных решений на примере транспортного и энергетического секторов. Помочь в решении проблем могут вопросы, которые следует задавать при проведении соответствующих стратегических экологических оценок. Все вопросы, приведенные здесь, важны в рамках многоуровневой системы принятия решений.</w:t>
      </w:r>
    </w:p>
    <w:p w14:paraId="6D92CEAD" w14:textId="5CAD4F90" w:rsidR="00160A17" w:rsidRPr="00160A17" w:rsidRDefault="001D49E2" w:rsidP="001D49E2">
      <w:pPr>
        <w:pStyle w:val="H23G"/>
      </w:pPr>
      <w:bookmarkStart w:id="6" w:name="_Toc16761671"/>
      <w:bookmarkStart w:id="7" w:name="_Toc17216027"/>
      <w:r w:rsidRPr="001D49E2">
        <w:rPr>
          <w:b w:val="0"/>
          <w:bCs/>
        </w:rPr>
        <w:lastRenderedPageBreak/>
        <w:tab/>
      </w:r>
      <w:r w:rsidRPr="001D49E2">
        <w:rPr>
          <w:b w:val="0"/>
          <w:bCs/>
        </w:rPr>
        <w:tab/>
      </w:r>
      <w:r w:rsidR="00160A17" w:rsidRPr="001D49E2">
        <w:rPr>
          <w:b w:val="0"/>
          <w:bCs/>
        </w:rPr>
        <w:t>Taблица 1</w:t>
      </w:r>
      <w:r w:rsidRPr="001D49E2">
        <w:rPr>
          <w:b w:val="0"/>
          <w:bCs/>
        </w:rPr>
        <w:br/>
      </w:r>
      <w:r w:rsidR="00160A17" w:rsidRPr="00160A17">
        <w:t>Вопросы, которые должны рассматриваться в стратегических экологических оценках на различных уровнях</w:t>
      </w:r>
      <w:r w:rsidR="00160A17" w:rsidRPr="001D49E2">
        <w:rPr>
          <w:b w:val="0"/>
          <w:bCs/>
          <w:sz w:val="18"/>
          <w:szCs w:val="18"/>
          <w:vertAlign w:val="superscript"/>
        </w:rPr>
        <w:footnoteReference w:id="17"/>
      </w:r>
      <w:bookmarkEnd w:id="6"/>
      <w:bookmarkEnd w:id="7"/>
    </w:p>
    <w:tbl>
      <w:tblPr>
        <w:tblW w:w="7370" w:type="dxa"/>
        <w:tblInd w:w="1134" w:type="dxa"/>
        <w:tblLayout w:type="fixed"/>
        <w:tblCellMar>
          <w:left w:w="0" w:type="dxa"/>
          <w:right w:w="0" w:type="dxa"/>
        </w:tblCellMar>
        <w:tblLook w:val="04A0" w:firstRow="1" w:lastRow="0" w:firstColumn="1" w:lastColumn="0" w:noHBand="0" w:noVBand="1"/>
      </w:tblPr>
      <w:tblGrid>
        <w:gridCol w:w="2127"/>
        <w:gridCol w:w="5243"/>
      </w:tblGrid>
      <w:tr w:rsidR="00160A17" w:rsidRPr="00160A17" w14:paraId="2F345041" w14:textId="77777777" w:rsidTr="00BB0EDD">
        <w:trPr>
          <w:tblHeader/>
        </w:trPr>
        <w:tc>
          <w:tcPr>
            <w:tcW w:w="2127" w:type="dxa"/>
            <w:tcBorders>
              <w:top w:val="single" w:sz="4" w:space="0" w:color="auto"/>
              <w:bottom w:val="single" w:sz="12" w:space="0" w:color="auto"/>
            </w:tcBorders>
            <w:shd w:val="clear" w:color="auto" w:fill="auto"/>
            <w:vAlign w:val="bottom"/>
          </w:tcPr>
          <w:p w14:paraId="340FAEF8" w14:textId="3C814CF4" w:rsidR="00160A17" w:rsidRPr="00160A17" w:rsidRDefault="00160A17" w:rsidP="001D49E2">
            <w:pPr>
              <w:pStyle w:val="SingleTxtG"/>
              <w:spacing w:before="80" w:after="80" w:line="200" w:lineRule="exact"/>
              <w:ind w:left="0" w:right="0"/>
              <w:rPr>
                <w:i/>
                <w:sz w:val="16"/>
                <w:szCs w:val="16"/>
                <w:lang w:val="en-GB"/>
              </w:rPr>
            </w:pPr>
            <w:r w:rsidRPr="00160A17">
              <w:rPr>
                <w:i/>
                <w:iCs/>
                <w:sz w:val="16"/>
                <w:szCs w:val="16"/>
              </w:rPr>
              <w:t>Уровень</w:t>
            </w:r>
          </w:p>
        </w:tc>
        <w:tc>
          <w:tcPr>
            <w:tcW w:w="5243" w:type="dxa"/>
            <w:tcBorders>
              <w:top w:val="single" w:sz="4" w:space="0" w:color="auto"/>
              <w:bottom w:val="single" w:sz="12" w:space="0" w:color="auto"/>
            </w:tcBorders>
            <w:shd w:val="clear" w:color="auto" w:fill="auto"/>
            <w:vAlign w:val="bottom"/>
          </w:tcPr>
          <w:p w14:paraId="58B83E21" w14:textId="53929D28" w:rsidR="00160A17" w:rsidRPr="00160A17" w:rsidRDefault="00160A17" w:rsidP="001D49E2">
            <w:pPr>
              <w:pStyle w:val="SingleTxtG"/>
              <w:spacing w:before="80" w:after="80" w:line="200" w:lineRule="exact"/>
              <w:ind w:left="284" w:right="0"/>
              <w:jc w:val="left"/>
              <w:rPr>
                <w:i/>
                <w:sz w:val="16"/>
                <w:szCs w:val="16"/>
              </w:rPr>
            </w:pPr>
            <w:r w:rsidRPr="00160A17">
              <w:rPr>
                <w:i/>
                <w:iCs/>
                <w:sz w:val="16"/>
                <w:szCs w:val="16"/>
              </w:rPr>
              <w:t>Вопросы, рассматриваемые в стратегических экологических оценках</w:t>
            </w:r>
          </w:p>
        </w:tc>
      </w:tr>
      <w:tr w:rsidR="00160A17" w:rsidRPr="00160A17" w14:paraId="3E99E07C" w14:textId="77777777" w:rsidTr="00BB0EDD">
        <w:trPr>
          <w:trHeight w:hRule="exact" w:val="113"/>
          <w:tblHeader/>
        </w:trPr>
        <w:tc>
          <w:tcPr>
            <w:tcW w:w="2127" w:type="dxa"/>
            <w:tcBorders>
              <w:top w:val="single" w:sz="12" w:space="0" w:color="auto"/>
            </w:tcBorders>
            <w:shd w:val="clear" w:color="auto" w:fill="auto"/>
          </w:tcPr>
          <w:p w14:paraId="04F7A668" w14:textId="77777777" w:rsidR="00160A17" w:rsidRPr="00160A17" w:rsidRDefault="00160A17" w:rsidP="001D49E2">
            <w:pPr>
              <w:pStyle w:val="SingleTxtG"/>
              <w:ind w:left="0" w:right="0"/>
              <w:rPr>
                <w:b/>
                <w:bCs/>
              </w:rPr>
            </w:pPr>
          </w:p>
        </w:tc>
        <w:tc>
          <w:tcPr>
            <w:tcW w:w="5243" w:type="dxa"/>
            <w:tcBorders>
              <w:top w:val="single" w:sz="12" w:space="0" w:color="auto"/>
            </w:tcBorders>
            <w:shd w:val="clear" w:color="auto" w:fill="auto"/>
          </w:tcPr>
          <w:p w14:paraId="2BB7A0A0" w14:textId="77777777" w:rsidR="00160A17" w:rsidRPr="00160A17" w:rsidRDefault="00160A17" w:rsidP="001D49E2">
            <w:pPr>
              <w:pStyle w:val="SingleTxtG"/>
              <w:ind w:left="284" w:right="0"/>
              <w:rPr>
                <w:b/>
                <w:bCs/>
              </w:rPr>
            </w:pPr>
          </w:p>
        </w:tc>
      </w:tr>
      <w:tr w:rsidR="00160A17" w:rsidRPr="00160A17" w14:paraId="2E3B3755" w14:textId="77777777" w:rsidTr="00BB0EDD">
        <w:tc>
          <w:tcPr>
            <w:tcW w:w="2127" w:type="dxa"/>
            <w:shd w:val="clear" w:color="auto" w:fill="auto"/>
          </w:tcPr>
          <w:p w14:paraId="3045BE07" w14:textId="77777777" w:rsidR="00160A17" w:rsidRPr="00160A17" w:rsidRDefault="00160A17" w:rsidP="001D49E2">
            <w:pPr>
              <w:pStyle w:val="SingleTxtG"/>
              <w:ind w:left="0" w:right="0"/>
              <w:jc w:val="left"/>
              <w:rPr>
                <w:b/>
                <w:bCs/>
              </w:rPr>
            </w:pPr>
            <w:r w:rsidRPr="00160A17">
              <w:rPr>
                <w:b/>
                <w:bCs/>
              </w:rPr>
              <w:t xml:space="preserve">Политика или законодательство в секторах энергетики/транспорта </w:t>
            </w:r>
          </w:p>
          <w:p w14:paraId="7E97E93B" w14:textId="7A1D38D2" w:rsidR="00160A17" w:rsidRPr="00160A17" w:rsidRDefault="00160A17" w:rsidP="001D49E2">
            <w:pPr>
              <w:pStyle w:val="SingleTxtG"/>
              <w:ind w:left="0" w:right="0"/>
              <w:jc w:val="left"/>
              <w:rPr>
                <w:b/>
                <w:bCs/>
              </w:rPr>
            </w:pPr>
            <w:r w:rsidRPr="00160A17">
              <w:rPr>
                <w:b/>
                <w:bCs/>
              </w:rPr>
              <w:t>(подлежат оценке</w:t>
            </w:r>
            <w:r w:rsidR="001D49E2">
              <w:rPr>
                <w:b/>
                <w:bCs/>
              </w:rPr>
              <w:br/>
            </w:r>
            <w:r w:rsidRPr="00160A17">
              <w:rPr>
                <w:b/>
                <w:bCs/>
              </w:rPr>
              <w:t>в той мере, в какой</w:t>
            </w:r>
            <w:r w:rsidR="001D49E2">
              <w:rPr>
                <w:b/>
                <w:bCs/>
              </w:rPr>
              <w:br/>
            </w:r>
            <w:r w:rsidRPr="00160A17">
              <w:rPr>
                <w:b/>
                <w:bCs/>
              </w:rPr>
              <w:t>это возможно, в</w:t>
            </w:r>
            <w:r w:rsidR="001D49E2">
              <w:rPr>
                <w:b/>
                <w:bCs/>
              </w:rPr>
              <w:t> </w:t>
            </w:r>
            <w:r w:rsidRPr="00160A17">
              <w:rPr>
                <w:b/>
                <w:bCs/>
              </w:rPr>
              <w:t>соответствии со</w:t>
            </w:r>
            <w:r w:rsidR="001D49E2">
              <w:rPr>
                <w:b/>
                <w:bCs/>
              </w:rPr>
              <w:t> </w:t>
            </w:r>
            <w:r w:rsidRPr="00160A17">
              <w:rPr>
                <w:b/>
                <w:bCs/>
              </w:rPr>
              <w:t>статьей 13)</w:t>
            </w:r>
          </w:p>
        </w:tc>
        <w:tc>
          <w:tcPr>
            <w:tcW w:w="5243" w:type="dxa"/>
            <w:shd w:val="clear" w:color="auto" w:fill="auto"/>
          </w:tcPr>
          <w:p w14:paraId="24DB82B5" w14:textId="761D03B4" w:rsidR="00160A17" w:rsidRPr="00160A17" w:rsidRDefault="00160A17" w:rsidP="001D49E2">
            <w:pPr>
              <w:pStyle w:val="SingleTxtG"/>
              <w:ind w:left="284" w:right="0"/>
              <w:jc w:val="left"/>
            </w:pPr>
            <w:r w:rsidRPr="00160A17">
              <w:t>Каковы последствия транспортного/энергетического плана для здоровья человека с точки зрения загрязнения воздуха и шума? В какой степени соображения, касающиеся циркулярности/«умного» города, были учтены в плане его озеленения? Предусмотрены ли электромобильность, зоны, свободные от автомобилей, велосипедные зоны и ограничения движения в определенных районах в зависимости от их населения? Проведена ли оценка состояния окружающей среды и имеются ли данные перед разработкой нового плана? Что</w:t>
            </w:r>
            <w:r w:rsidR="001D49E2">
              <w:t> </w:t>
            </w:r>
            <w:r w:rsidRPr="00160A17">
              <w:t xml:space="preserve">касается энергетических планов, в частности, то были ли тщательно изучены последствия с точки зрения выбросов и твердых и жидких отходов? </w:t>
            </w:r>
          </w:p>
          <w:p w14:paraId="1432206A" w14:textId="77777777" w:rsidR="00160A17" w:rsidRPr="00160A17" w:rsidRDefault="00160A17" w:rsidP="001D49E2">
            <w:pPr>
              <w:pStyle w:val="SingleTxtG"/>
              <w:ind w:left="284" w:right="0"/>
              <w:jc w:val="left"/>
            </w:pPr>
            <w:r w:rsidRPr="00160A17">
              <w:t xml:space="preserve">[Как существующая энергетическая/транспортная инфраструктура/ее использование способствуют поддержанию здоровья населения? </w:t>
            </w:r>
          </w:p>
          <w:p w14:paraId="621240FF" w14:textId="77777777" w:rsidR="00160A17" w:rsidRPr="00160A17" w:rsidRDefault="00160A17" w:rsidP="001D49E2">
            <w:pPr>
              <w:pStyle w:val="SingleTxtG"/>
              <w:ind w:left="284" w:right="0"/>
              <w:jc w:val="left"/>
            </w:pPr>
            <w:r w:rsidRPr="00160A17">
              <w:t xml:space="preserve">Какие основные проблемы возникают в рамках нынешнего подхода, используемого для поддержания/улучшения уровня здоровья? </w:t>
            </w:r>
          </w:p>
          <w:p w14:paraId="71546335" w14:textId="77777777" w:rsidR="00160A17" w:rsidRPr="00160A17" w:rsidRDefault="00160A17" w:rsidP="001D49E2">
            <w:pPr>
              <w:pStyle w:val="SingleTxtG"/>
              <w:ind w:left="284" w:right="0"/>
              <w:jc w:val="left"/>
            </w:pPr>
            <w:r w:rsidRPr="00160A17">
              <w:t>Какие выгоды (или риски) для здоровья возрастут/возникнут в результате изменения энергетической/транспортной инфраструктуры или использования?</w:t>
            </w:r>
          </w:p>
          <w:p w14:paraId="4D6EC9A9" w14:textId="77777777" w:rsidR="00160A17" w:rsidRPr="00160A17" w:rsidRDefault="00160A17" w:rsidP="001D49E2">
            <w:pPr>
              <w:pStyle w:val="SingleTxtG"/>
              <w:ind w:left="284" w:right="0"/>
              <w:jc w:val="left"/>
            </w:pPr>
            <w:r w:rsidRPr="00160A17">
              <w:t xml:space="preserve">Какие варианты более выгодны для здравоохранения и каким будет реалистичный способ сочетания/перехода? </w:t>
            </w:r>
          </w:p>
        </w:tc>
      </w:tr>
      <w:tr w:rsidR="00160A17" w:rsidRPr="00160A17" w14:paraId="7817AAC5" w14:textId="77777777" w:rsidTr="00BB0EDD">
        <w:tc>
          <w:tcPr>
            <w:tcW w:w="2127" w:type="dxa"/>
            <w:shd w:val="clear" w:color="auto" w:fill="auto"/>
          </w:tcPr>
          <w:p w14:paraId="30C670AD" w14:textId="77777777" w:rsidR="00160A17" w:rsidRPr="00160A17" w:rsidRDefault="00160A17" w:rsidP="001D49E2">
            <w:pPr>
              <w:pStyle w:val="SingleTxtG"/>
              <w:ind w:left="0" w:right="0"/>
              <w:jc w:val="left"/>
              <w:rPr>
                <w:b/>
                <w:bCs/>
              </w:rPr>
            </w:pPr>
            <w:r w:rsidRPr="00160A17">
              <w:rPr>
                <w:b/>
                <w:bCs/>
              </w:rPr>
              <w:t>Планы в секторах энергетики/транспорта</w:t>
            </w:r>
          </w:p>
        </w:tc>
        <w:tc>
          <w:tcPr>
            <w:tcW w:w="5243" w:type="dxa"/>
            <w:shd w:val="clear" w:color="auto" w:fill="auto"/>
          </w:tcPr>
          <w:p w14:paraId="47DD6A8C" w14:textId="77777777" w:rsidR="00160A17" w:rsidRPr="00160A17" w:rsidRDefault="00160A17" w:rsidP="001D49E2">
            <w:pPr>
              <w:pStyle w:val="SingleTxtG"/>
              <w:ind w:left="284" w:right="0"/>
              <w:jc w:val="left"/>
            </w:pPr>
            <w:r w:rsidRPr="00160A17">
              <w:t>Какая энергетическая/транспортная инфраструктура/ее использование максимально усиливает положительные и сводит к минимуму негативные последствия для здоровья населения?</w:t>
            </w:r>
          </w:p>
          <w:p w14:paraId="144D6490" w14:textId="77777777" w:rsidR="00160A17" w:rsidRPr="00160A17" w:rsidRDefault="00160A17" w:rsidP="001D49E2">
            <w:pPr>
              <w:pStyle w:val="SingleTxtG"/>
              <w:ind w:left="284" w:right="0"/>
              <w:jc w:val="left"/>
            </w:pPr>
            <w:r w:rsidRPr="00160A17">
              <w:t>Каковы используемые компромиссные варианты, влияющие на здоровье (например, изъятие земель)?</w:t>
            </w:r>
          </w:p>
        </w:tc>
      </w:tr>
      <w:tr w:rsidR="00160A17" w:rsidRPr="00160A17" w14:paraId="137B7ED8" w14:textId="77777777" w:rsidTr="00BB0EDD">
        <w:tc>
          <w:tcPr>
            <w:tcW w:w="2127" w:type="dxa"/>
            <w:shd w:val="clear" w:color="auto" w:fill="auto"/>
          </w:tcPr>
          <w:p w14:paraId="3EFF4C31" w14:textId="77777777" w:rsidR="00160A17" w:rsidRPr="00160A17" w:rsidRDefault="00160A17" w:rsidP="001D49E2">
            <w:pPr>
              <w:pStyle w:val="SingleTxtG"/>
              <w:ind w:left="0" w:right="0"/>
              <w:rPr>
                <w:b/>
                <w:bCs/>
              </w:rPr>
            </w:pPr>
            <w:r w:rsidRPr="00160A17">
              <w:rPr>
                <w:b/>
                <w:bCs/>
              </w:rPr>
              <w:t>Программы в секторах энергетики/транспорта</w:t>
            </w:r>
          </w:p>
        </w:tc>
        <w:tc>
          <w:tcPr>
            <w:tcW w:w="5243" w:type="dxa"/>
            <w:shd w:val="clear" w:color="auto" w:fill="auto"/>
          </w:tcPr>
          <w:p w14:paraId="631ABAC2" w14:textId="77777777" w:rsidR="00160A17" w:rsidRPr="00160A17" w:rsidRDefault="00160A17" w:rsidP="001D49E2">
            <w:pPr>
              <w:pStyle w:val="SingleTxtG"/>
              <w:ind w:left="284" w:right="0"/>
              <w:jc w:val="left"/>
            </w:pPr>
            <w:r w:rsidRPr="00160A17">
              <w:t>Каким аспектам развития инфраструктуры следует уделять приоритетное внимание, учитывая не только затраты и выгоды (например, альтернативные способы расходования средств на улучшение здоровья), но и как положительные, так и отрицательные последствия для здоровья?</w:t>
            </w:r>
          </w:p>
        </w:tc>
      </w:tr>
      <w:tr w:rsidR="00160A17" w:rsidRPr="00160A17" w14:paraId="321F2C9A" w14:textId="77777777" w:rsidTr="00BB0EDD">
        <w:tc>
          <w:tcPr>
            <w:tcW w:w="2127" w:type="dxa"/>
            <w:tcBorders>
              <w:bottom w:val="single" w:sz="12" w:space="0" w:color="auto"/>
            </w:tcBorders>
            <w:shd w:val="clear" w:color="auto" w:fill="auto"/>
          </w:tcPr>
          <w:p w14:paraId="03BDDA32" w14:textId="77777777" w:rsidR="00160A17" w:rsidRPr="00160A17" w:rsidRDefault="00160A17" w:rsidP="001D49E2">
            <w:pPr>
              <w:pStyle w:val="SingleTxtG"/>
              <w:ind w:left="0" w:right="0"/>
              <w:rPr>
                <w:b/>
                <w:bCs/>
              </w:rPr>
            </w:pPr>
            <w:r w:rsidRPr="00160A17">
              <w:rPr>
                <w:b/>
                <w:bCs/>
              </w:rPr>
              <w:t>Проекты (охватываемые стратегической экологической оценкой)</w:t>
            </w:r>
            <w:r w:rsidRPr="00160A17">
              <w:rPr>
                <w:sz w:val="18"/>
                <w:szCs w:val="18"/>
                <w:vertAlign w:val="superscript"/>
              </w:rPr>
              <w:footnoteReference w:id="18"/>
            </w:r>
          </w:p>
        </w:tc>
        <w:tc>
          <w:tcPr>
            <w:tcW w:w="5243" w:type="dxa"/>
            <w:tcBorders>
              <w:bottom w:val="single" w:sz="12" w:space="0" w:color="auto"/>
            </w:tcBorders>
            <w:shd w:val="clear" w:color="auto" w:fill="auto"/>
          </w:tcPr>
          <w:p w14:paraId="25686CB5" w14:textId="77777777" w:rsidR="00160A17" w:rsidRPr="00160A17" w:rsidRDefault="00160A17" w:rsidP="001D49E2">
            <w:pPr>
              <w:pStyle w:val="SingleTxtG"/>
              <w:ind w:left="284" w:right="0"/>
              <w:jc w:val="left"/>
            </w:pPr>
            <w:r w:rsidRPr="00160A17">
              <w:t>Каковы экологические, социальные и экономические последствия конкретных проектов для здоровья населения и как их можно избежать, смягчить или усилить?]</w:t>
            </w:r>
          </w:p>
        </w:tc>
      </w:tr>
    </w:tbl>
    <w:p w14:paraId="70FEE968" w14:textId="643CC8B6" w:rsidR="00160A17" w:rsidRPr="00160A17" w:rsidRDefault="00160A17" w:rsidP="001D49E2">
      <w:pPr>
        <w:pStyle w:val="SingleTxtG"/>
        <w:spacing w:before="120" w:after="0" w:line="220" w:lineRule="exact"/>
        <w:ind w:firstLine="170"/>
        <w:jc w:val="left"/>
        <w:rPr>
          <w:sz w:val="18"/>
          <w:szCs w:val="18"/>
          <w:lang w:val="en-GB"/>
        </w:rPr>
      </w:pPr>
      <w:r w:rsidRPr="00160A17">
        <w:rPr>
          <w:i/>
          <w:iCs/>
          <w:sz w:val="18"/>
          <w:szCs w:val="18"/>
        </w:rPr>
        <w:t>Источник</w:t>
      </w:r>
      <w:r w:rsidRPr="00160A17">
        <w:rPr>
          <w:i/>
          <w:iCs/>
          <w:sz w:val="18"/>
          <w:szCs w:val="18"/>
          <w:lang w:val="en-US"/>
        </w:rPr>
        <w:t>:</w:t>
      </w:r>
      <w:r w:rsidRPr="00160A17">
        <w:rPr>
          <w:sz w:val="18"/>
          <w:szCs w:val="18"/>
          <w:lang w:val="en-US"/>
        </w:rPr>
        <w:t xml:space="preserve"> </w:t>
      </w:r>
      <w:r w:rsidR="001D49E2" w:rsidRPr="001D49E2">
        <w:rPr>
          <w:sz w:val="18"/>
          <w:szCs w:val="18"/>
        </w:rPr>
        <w:t>П</w:t>
      </w:r>
      <w:r w:rsidRPr="00160A17">
        <w:rPr>
          <w:sz w:val="18"/>
          <w:szCs w:val="18"/>
        </w:rPr>
        <w:t>о</w:t>
      </w:r>
      <w:r w:rsidRPr="00160A17">
        <w:rPr>
          <w:sz w:val="18"/>
          <w:szCs w:val="18"/>
          <w:lang w:val="en-US"/>
        </w:rPr>
        <w:t xml:space="preserve"> </w:t>
      </w:r>
      <w:r w:rsidRPr="00160A17">
        <w:rPr>
          <w:sz w:val="18"/>
          <w:szCs w:val="18"/>
        </w:rPr>
        <w:t>материалам</w:t>
      </w:r>
      <w:r w:rsidRPr="00160A17">
        <w:rPr>
          <w:sz w:val="18"/>
          <w:szCs w:val="18"/>
          <w:lang w:val="en-US"/>
        </w:rPr>
        <w:t xml:space="preserve"> Thomas B. Fischer, </w:t>
      </w:r>
      <w:r w:rsidRPr="00160A17">
        <w:rPr>
          <w:i/>
          <w:iCs/>
          <w:sz w:val="18"/>
          <w:szCs w:val="18"/>
          <w:lang w:val="en-US"/>
        </w:rPr>
        <w:t>The Theory and Practice of Strategic Environmental Assessment: Towards a More Systematic Approach</w:t>
      </w:r>
      <w:r w:rsidRPr="00160A17">
        <w:rPr>
          <w:sz w:val="18"/>
          <w:szCs w:val="18"/>
          <w:lang w:val="en-US"/>
        </w:rPr>
        <w:t xml:space="preserve"> (London, Routledge, 2007).</w:t>
      </w:r>
      <w:bookmarkStart w:id="8" w:name="IVB_health_inclusive_SEA"/>
    </w:p>
    <w:p w14:paraId="7E4D3656" w14:textId="5206590C" w:rsidR="00160A17" w:rsidRPr="00160A17" w:rsidRDefault="001D49E2" w:rsidP="001D49E2">
      <w:pPr>
        <w:pStyle w:val="H1G"/>
      </w:pPr>
      <w:r>
        <w:lastRenderedPageBreak/>
        <w:tab/>
      </w:r>
      <w:r w:rsidR="00160A17" w:rsidRPr="00160A17">
        <w:t>B.</w:t>
      </w:r>
      <w:r w:rsidR="00160A17" w:rsidRPr="00160A17">
        <w:tab/>
        <w:t>Этап 2: проведение стратегической экологической оценки с учетом аспектов здоровья человека</w:t>
      </w:r>
    </w:p>
    <w:p w14:paraId="732A6F4F" w14:textId="4F461C13" w:rsidR="00160A17" w:rsidRPr="00160A17" w:rsidRDefault="009063C5" w:rsidP="009063C5">
      <w:pPr>
        <w:pStyle w:val="H23G"/>
      </w:pPr>
      <w:r>
        <w:tab/>
      </w:r>
      <w:r w:rsidR="00160A17" w:rsidRPr="00160A17">
        <w:t>1.</w:t>
      </w:r>
      <w:r w:rsidR="00160A17" w:rsidRPr="00160A17">
        <w:tab/>
        <w:t>Увязка оценки с процессом разработки планов и программ</w:t>
      </w:r>
    </w:p>
    <w:bookmarkEnd w:id="8"/>
    <w:p w14:paraId="3DFD2375" w14:textId="7B7A1C5D" w:rsidR="00160A17" w:rsidRPr="00160A17" w:rsidRDefault="00160A17" w:rsidP="00160A17">
      <w:pPr>
        <w:pStyle w:val="SingleTxtG"/>
      </w:pPr>
      <w:r w:rsidRPr="00160A17">
        <w:t>36.</w:t>
      </w:r>
      <w:r w:rsidRPr="00160A17">
        <w:tab/>
        <w:t>При подготовке плана или программы следует использовать процесс стратегической экологической оценки. В зависимости от конкретных требований и контекста возможно полное объединение обоих процессов. Стратегическая экологическая оценка, как правило, проводится под руководством государственного органа</w:t>
      </w:r>
      <w:r w:rsidR="00AD3030" w:rsidRPr="00160A17">
        <w:rPr>
          <w:sz w:val="18"/>
          <w:szCs w:val="18"/>
          <w:vertAlign w:val="superscript"/>
        </w:rPr>
        <w:footnoteReference w:id="19"/>
      </w:r>
      <w:r w:rsidRPr="00160A17">
        <w:t>, который может привлекать внешних экспертов для подготовки соответствующих докладов. Роль органов здравоохранения в стратегических экологических оценках, скорее всего, будет в основном связана с рассмотрением и оценкой возможных видов воздействия на здоровье, выявленных в ходе самой оценки, и, насколько это возможно, с их смягчением и мониторингом.</w:t>
      </w:r>
      <w:bookmarkStart w:id="9" w:name="_Hlk30530374"/>
      <w:bookmarkEnd w:id="9"/>
    </w:p>
    <w:p w14:paraId="33461FCA" w14:textId="41CCAD80" w:rsidR="00160A17" w:rsidRPr="00160A17" w:rsidRDefault="00160A17" w:rsidP="00160A17">
      <w:pPr>
        <w:pStyle w:val="SingleTxtG"/>
      </w:pPr>
      <w:r w:rsidRPr="00160A17">
        <w:t>37.</w:t>
      </w:r>
      <w:r w:rsidRPr="00160A17">
        <w:tab/>
        <w:t>В соответствии с пунктом 2 статьи 7 Протокола пункт 1 приложения IV к Протоколу требует, чтобы в экологическом докладе (насколько это может быть обоснованно необходимо) были указаны основные цели плана или программы. Это</w:t>
      </w:r>
      <w:r w:rsidR="009063C5">
        <w:t> </w:t>
      </w:r>
      <w:r w:rsidRPr="00160A17">
        <w:t>отличается от требования, содержащегося в пункте 5 приложения IV, относительно необходимости определения соответствующих целей, установленных на международном, национальном и других уровнях.</w:t>
      </w:r>
    </w:p>
    <w:p w14:paraId="243E4B85" w14:textId="77777777" w:rsidR="00160A17" w:rsidRPr="00160A17" w:rsidRDefault="00160A17" w:rsidP="00160A17">
      <w:pPr>
        <w:pStyle w:val="SingleTxtG"/>
      </w:pPr>
      <w:r w:rsidRPr="00160A17">
        <w:t>38.</w:t>
      </w:r>
      <w:r w:rsidRPr="00160A17">
        <w:tab/>
        <w:t>В информационно-справочном руководстве представлены некоторые аналитические инструменты и методы</w:t>
      </w:r>
      <w:r w:rsidRPr="00160A17">
        <w:rPr>
          <w:sz w:val="18"/>
          <w:szCs w:val="18"/>
          <w:vertAlign w:val="superscript"/>
        </w:rPr>
        <w:footnoteReference w:id="20"/>
      </w:r>
      <w:r w:rsidRPr="00160A17">
        <w:t>, предусматривающие участие общественности, которые обычно используются для проведения стратегической экологической оценки, включая:</w:t>
      </w:r>
    </w:p>
    <w:p w14:paraId="04E3FD92" w14:textId="509C269F" w:rsidR="00160A17" w:rsidRPr="00160A17" w:rsidRDefault="009063C5" w:rsidP="00160A17">
      <w:pPr>
        <w:pStyle w:val="SingleTxtG"/>
      </w:pPr>
      <w:r>
        <w:tab/>
      </w:r>
      <w:r w:rsidR="00160A17" w:rsidRPr="00160A17">
        <w:t>a)</w:t>
      </w:r>
      <w:r w:rsidR="00160A17" w:rsidRPr="00160A17">
        <w:tab/>
        <w:t>для тех планов и программ, в рамках которых инициируются определенные виды землепользования, или проектов, в которых можно легко выявить причинно-следственные связи:</w:t>
      </w:r>
    </w:p>
    <w:p w14:paraId="39836BC2" w14:textId="118270BD" w:rsidR="00160A17" w:rsidRPr="00160A17" w:rsidRDefault="009063C5" w:rsidP="009063C5">
      <w:pPr>
        <w:pStyle w:val="SingleTxtG"/>
        <w:ind w:left="1701" w:hanging="567"/>
      </w:pPr>
      <w:r>
        <w:tab/>
      </w:r>
      <w:r w:rsidR="00160A17" w:rsidRPr="00160A17">
        <w:t>i)</w:t>
      </w:r>
      <w:r w:rsidR="00160A17" w:rsidRPr="00160A17">
        <w:tab/>
        <w:t>общая применимость: контрольные списки, матрицы воздействия, схемы воздействия, прогнозное моделирование, сопоставления конкретных случаев и коллективные экспертные заключения;</w:t>
      </w:r>
    </w:p>
    <w:p w14:paraId="01C9C148" w14:textId="542BC75E" w:rsidR="00160A17" w:rsidRPr="00160A17" w:rsidRDefault="009063C5" w:rsidP="009063C5">
      <w:pPr>
        <w:pStyle w:val="SingleTxtG"/>
        <w:ind w:left="1701" w:hanging="567"/>
      </w:pPr>
      <w:r>
        <w:tab/>
      </w:r>
      <w:r w:rsidR="00160A17" w:rsidRPr="00160A17">
        <w:t>ii)</w:t>
      </w:r>
      <w:r w:rsidR="00160A17" w:rsidRPr="00160A17">
        <w:tab/>
        <w:t>территориальные планы, планы землепользования, развития транспорта и энергетики в конкретной местности: совмещение карт и геоинформационные системы;</w:t>
      </w:r>
    </w:p>
    <w:p w14:paraId="3408856E" w14:textId="00E7E532" w:rsidR="00160A17" w:rsidRPr="00160A17" w:rsidRDefault="009063C5" w:rsidP="009063C5">
      <w:pPr>
        <w:pStyle w:val="SingleTxtG"/>
        <w:ind w:left="1701" w:hanging="567"/>
      </w:pPr>
      <w:r>
        <w:tab/>
      </w:r>
      <w:r w:rsidR="00160A17" w:rsidRPr="00160A17">
        <w:t>iii)</w:t>
      </w:r>
      <w:r w:rsidR="00160A17" w:rsidRPr="00160A17">
        <w:tab/>
        <w:t>программы в транспортном и энергетическом секторах: оценка жизненного цикла и мультикритериальный анализ;</w:t>
      </w:r>
    </w:p>
    <w:p w14:paraId="45F38F20" w14:textId="2E8C50A5" w:rsidR="00160A17" w:rsidRPr="00160A17" w:rsidRDefault="009063C5" w:rsidP="00160A17">
      <w:pPr>
        <w:pStyle w:val="SingleTxtG"/>
      </w:pPr>
      <w:r>
        <w:tab/>
      </w:r>
      <w:r w:rsidR="00160A17" w:rsidRPr="00160A17">
        <w:t>b)</w:t>
      </w:r>
      <w:r w:rsidR="00160A17" w:rsidRPr="00160A17">
        <w:tab/>
        <w:t>для планов и программ, воздействие которых носит более косвенный и обобщенный характер, включая, например, политические или ориентированные на будущее части территориальных планов, планов землепользования, развития транспорта и энергетики:</w:t>
      </w:r>
    </w:p>
    <w:p w14:paraId="2BC69804" w14:textId="57FE8835" w:rsidR="00160A17" w:rsidRPr="00160A17" w:rsidRDefault="009063C5" w:rsidP="00160A17">
      <w:pPr>
        <w:pStyle w:val="SingleTxtG"/>
      </w:pPr>
      <w:r>
        <w:tab/>
      </w:r>
      <w:r w:rsidR="00160A17" w:rsidRPr="00160A17">
        <w:t>i)</w:t>
      </w:r>
      <w:r w:rsidR="00160A17" w:rsidRPr="00160A17">
        <w:tab/>
        <w:t>анализ сильных и слабых сторон, возможностей и угроз;</w:t>
      </w:r>
    </w:p>
    <w:p w14:paraId="7CC29FAD" w14:textId="5ABC30EB" w:rsidR="00160A17" w:rsidRPr="00160A17" w:rsidRDefault="009063C5" w:rsidP="00160A17">
      <w:pPr>
        <w:pStyle w:val="SingleTxtG"/>
      </w:pPr>
      <w:r>
        <w:tab/>
      </w:r>
      <w:r w:rsidR="00160A17" w:rsidRPr="00160A17">
        <w:t>ii)</w:t>
      </w:r>
      <w:r w:rsidR="00160A17" w:rsidRPr="00160A17">
        <w:tab/>
        <w:t>создание сценария</w:t>
      </w:r>
      <w:r w:rsidR="00160A17" w:rsidRPr="00160A17">
        <w:rPr>
          <w:vertAlign w:val="superscript"/>
        </w:rPr>
        <w:footnoteReference w:id="21"/>
      </w:r>
      <w:r w:rsidR="00160A17" w:rsidRPr="00160A17">
        <w:t>;</w:t>
      </w:r>
    </w:p>
    <w:p w14:paraId="5174A1F6" w14:textId="00AD9525" w:rsidR="00160A17" w:rsidRPr="00160A17" w:rsidRDefault="009063C5" w:rsidP="00160A17">
      <w:pPr>
        <w:pStyle w:val="SingleTxtG"/>
      </w:pPr>
      <w:r>
        <w:tab/>
      </w:r>
      <w:r w:rsidR="00160A17" w:rsidRPr="00160A17">
        <w:t>iii)</w:t>
      </w:r>
      <w:r w:rsidR="00160A17" w:rsidRPr="00160A17">
        <w:tab/>
        <w:t>матрицы конфликтов и синергетических связей;</w:t>
      </w:r>
    </w:p>
    <w:p w14:paraId="02764CC9" w14:textId="1E3F63E4" w:rsidR="00160A17" w:rsidRPr="00160A17" w:rsidRDefault="009063C5" w:rsidP="00160A17">
      <w:pPr>
        <w:pStyle w:val="SingleTxtG"/>
      </w:pPr>
      <w:r>
        <w:tab/>
      </w:r>
      <w:r w:rsidR="00160A17" w:rsidRPr="00160A17">
        <w:t>iv)</w:t>
      </w:r>
      <w:r w:rsidR="00160A17" w:rsidRPr="00160A17">
        <w:tab/>
        <w:t>дерево решений;</w:t>
      </w:r>
    </w:p>
    <w:p w14:paraId="0F6C7C83" w14:textId="1D9726A9" w:rsidR="00160A17" w:rsidRPr="00160A17" w:rsidRDefault="009063C5" w:rsidP="00160A17">
      <w:pPr>
        <w:pStyle w:val="SingleTxtG"/>
      </w:pPr>
      <w:r>
        <w:tab/>
      </w:r>
      <w:r w:rsidR="00160A17" w:rsidRPr="00160A17">
        <w:t>v)</w:t>
      </w:r>
      <w:r w:rsidR="00160A17" w:rsidRPr="00160A17">
        <w:tab/>
        <w:t>анализ тенденций и экстраполяция;</w:t>
      </w:r>
    </w:p>
    <w:p w14:paraId="4FF157A0" w14:textId="4AB2E02F" w:rsidR="00160A17" w:rsidRPr="00160A17" w:rsidRDefault="009063C5" w:rsidP="00160A17">
      <w:pPr>
        <w:pStyle w:val="SingleTxtG"/>
      </w:pPr>
      <w:r>
        <w:tab/>
      </w:r>
      <w:r w:rsidR="00160A17" w:rsidRPr="00160A17">
        <w:t>vi)</w:t>
      </w:r>
      <w:r w:rsidR="00160A17" w:rsidRPr="00160A17">
        <w:tab/>
        <w:t>имитационное моделирование;</w:t>
      </w:r>
    </w:p>
    <w:p w14:paraId="78BB8224" w14:textId="4B4F4D28" w:rsidR="00160A17" w:rsidRPr="00160A17" w:rsidRDefault="009063C5" w:rsidP="00160A17">
      <w:pPr>
        <w:pStyle w:val="SingleTxtG"/>
      </w:pPr>
      <w:r>
        <w:tab/>
      </w:r>
      <w:r w:rsidR="00160A17" w:rsidRPr="00160A17">
        <w:t>vii)</w:t>
      </w:r>
      <w:r w:rsidR="00160A17" w:rsidRPr="00160A17">
        <w:tab/>
        <w:t>сравнительная оценка рисков.</w:t>
      </w:r>
    </w:p>
    <w:p w14:paraId="4C7CAA4B" w14:textId="77777777" w:rsidR="00160A17" w:rsidRPr="00160A17" w:rsidRDefault="00160A17" w:rsidP="00160A17">
      <w:pPr>
        <w:pStyle w:val="SingleTxtG"/>
      </w:pPr>
      <w:r w:rsidRPr="00160A17">
        <w:lastRenderedPageBreak/>
        <w:t>39.</w:t>
      </w:r>
      <w:r w:rsidRPr="00160A17">
        <w:tab/>
        <w:t>Существуют и другие инструменты, которые регулярно используются именно для оценки воздействия на здоровье. Они являются общеприменимыми и включают, например, контрольные перечни факторов риска для здоровья, качественную и количественную оценку риска, обследования восприятия риска для здоровья и методологии быстрой оценки риска для здоровья и воздействия на здоровье</w:t>
      </w:r>
      <w:r w:rsidRPr="00160A17">
        <w:rPr>
          <w:sz w:val="18"/>
          <w:szCs w:val="18"/>
          <w:vertAlign w:val="superscript"/>
        </w:rPr>
        <w:footnoteReference w:id="22"/>
      </w:r>
      <w:r w:rsidRPr="00160A17">
        <w:t>. Разработка оценки здоровья человека и других аспектов в рамках стратегической экологической оценки зависит от: типа плана или программы; степени их детализации; стадии принятия решений и наличия данных.</w:t>
      </w:r>
    </w:p>
    <w:p w14:paraId="659DEBF7" w14:textId="541E0671" w:rsidR="00160A17" w:rsidRPr="00160A17" w:rsidRDefault="00160A17" w:rsidP="00160A17">
      <w:pPr>
        <w:pStyle w:val="SingleTxtG"/>
      </w:pPr>
      <w:r w:rsidRPr="00160A17">
        <w:t>40.</w:t>
      </w:r>
      <w:r w:rsidRPr="00160A17">
        <w:tab/>
        <w:t xml:space="preserve">Согласно статье 4 Протокола стратегическая экологическая оценка должна проводиться в отношении определенных планов и программ, которые могут вызвать существенные экологические, в том числе связанные со здоровьем населения, последствия. Для определенных планов и программ (которые определены в пунктах 3 и 4 статьи 4) стратегическая экологическая оценка должна проводиться только в том случае, если это определено в результате предварительной оценки (см. также пункт 4 выше). Под заголовком «предварительная оценка» (в пункте 1 статьи 5) указано, что каждая Сторона определяет, могут ли планы и программы, упомянутые в пунктах 3 и 4 статьи 4, вызвать существенные экологические, в том числе связанные со здоровьем населения, последствия. Этого можно добиться «путем их индивидуального изучения или определения типов планов и программ либо посредством сочетания обоих подходов». Результатом будет определение того, будет ли впоследствии проводиться дальнейшая процедура стратегической экологической оценки. В этой связи пункт 2 статьи 5 требует запрашивать мнение природоохранных органов и органов здравоохранения (см. пункт 1 статьи 9). Приложение III к Протоколу содержит руководство по критериям, которые следует использовать для оценки значимости возможных последствий. Они включают, например, определение: [связанных со здоровьем населения факторов, содействующих устойчивому развитию;] рисков для здоровья; и вероятности, продолжительности, частоты, обратимости, величины и масштаба последствий для здоровья. Сквозной характер понятия </w:t>
      </w:r>
      <w:r w:rsidR="009063C5">
        <w:t>«</w:t>
      </w:r>
      <w:r w:rsidRPr="00160A17">
        <w:t>здоровье</w:t>
      </w:r>
      <w:r w:rsidR="009063C5">
        <w:t>»</w:t>
      </w:r>
      <w:r w:rsidRPr="00160A17">
        <w:t xml:space="preserve"> означает, что, являясь отдельной темой, здоровье связано с множеством других тем, рассматриваемых в рамках стратегической экологической оценки. Тем не менее, с практической точки зрения последствия для здоровья редко могут быть единственной причиной для определения того, целесообразно ли проводить стратегическую экологическую оценку какого-либо плана или программы.</w:t>
      </w:r>
    </w:p>
    <w:p w14:paraId="76725212" w14:textId="21D64FC8" w:rsidR="00160A17" w:rsidRPr="00160A17" w:rsidRDefault="00160A17" w:rsidP="00160A17">
      <w:pPr>
        <w:pStyle w:val="SingleTxtG"/>
      </w:pPr>
      <w:r w:rsidRPr="00160A17">
        <w:t>41.</w:t>
      </w:r>
      <w:r w:rsidRPr="00160A17">
        <w:tab/>
        <w:t>Предварительная оценка для целей стратегической экологической</w:t>
      </w:r>
      <w:r w:rsidR="009063C5">
        <w:br/>
      </w:r>
      <w:r w:rsidRPr="00160A17">
        <w:t>оценки (см. пункт 40 выше) может использоваться для содействия появлению соразмерного понимания взаимосвязи между планом или программой и соответствующими экологическими детерминантами здоровья. Критерии, принимаемые во внимание при принятии решения о необходимости последующего проведения стратегической экологической оценки, должны включать соответствующие соображения, касающиеся здоровья, а также используемые экологические критерии (включая критерии, связанные со здоровьем), как определено в приложении III к Протоколу.</w:t>
      </w:r>
    </w:p>
    <w:p w14:paraId="1AC37999" w14:textId="77777777" w:rsidR="00160A17" w:rsidRPr="00160A17" w:rsidRDefault="00160A17" w:rsidP="00160A17">
      <w:pPr>
        <w:pStyle w:val="SingleTxtG"/>
      </w:pPr>
      <w:r w:rsidRPr="00160A17">
        <w:t>42.</w:t>
      </w:r>
      <w:r w:rsidRPr="00160A17">
        <w:tab/>
        <w:t xml:space="preserve">В пункте 1 статьи 12 говорится, что следует проводить мониторинг существенных экологических, в том числе связанных со здоровьем, последствий осуществления планов или программ. Пункт 2 статьи 12 требует, чтобы результаты мониторинга также доводились в соответствии с национальным законодательством до сведения органов здравоохранения. Надлежащая практика мониторинга может включать следующие компоненты: </w:t>
      </w:r>
    </w:p>
    <w:p w14:paraId="581C9C33" w14:textId="35BF613B" w:rsidR="00160A17" w:rsidRPr="00160A17" w:rsidRDefault="009063C5" w:rsidP="00160A17">
      <w:pPr>
        <w:pStyle w:val="SingleTxtG"/>
      </w:pPr>
      <w:r>
        <w:tab/>
      </w:r>
      <w:r w:rsidR="00160A17" w:rsidRPr="00160A17">
        <w:t>a)</w:t>
      </w:r>
      <w:r w:rsidR="00160A17" w:rsidRPr="00160A17">
        <w:tab/>
        <w:t xml:space="preserve">обеспечение соблюдения положений, указанных в стратегической экологической оценке и соответствующем плане или соответствующей программе; </w:t>
      </w:r>
    </w:p>
    <w:p w14:paraId="5CA14484" w14:textId="0A01E968" w:rsidR="00160A17" w:rsidRPr="00160A17" w:rsidRDefault="009063C5" w:rsidP="00160A17">
      <w:pPr>
        <w:pStyle w:val="SingleTxtG"/>
      </w:pPr>
      <w:r>
        <w:tab/>
      </w:r>
      <w:r w:rsidR="00160A17" w:rsidRPr="00160A17">
        <w:t>b)</w:t>
      </w:r>
      <w:r w:rsidR="00160A17" w:rsidRPr="00160A17">
        <w:tab/>
        <w:t>оценку соответствия реальных последствий ожидавшимся;</w:t>
      </w:r>
    </w:p>
    <w:p w14:paraId="31CE5CB0" w14:textId="4E3FF58D" w:rsidR="00160A17" w:rsidRPr="00160A17" w:rsidRDefault="009063C5" w:rsidP="00160A17">
      <w:pPr>
        <w:pStyle w:val="SingleTxtG"/>
      </w:pPr>
      <w:r>
        <w:lastRenderedPageBreak/>
        <w:tab/>
      </w:r>
      <w:r w:rsidR="00160A17" w:rsidRPr="00160A17">
        <w:t>c)</w:t>
      </w:r>
      <w:r w:rsidR="00160A17" w:rsidRPr="00160A17">
        <w:tab/>
        <w:t xml:space="preserve">принятие мер по исправлению положения в случае возникновения непредусмотренных неблагоприятных последствий; </w:t>
      </w:r>
    </w:p>
    <w:p w14:paraId="54C69285" w14:textId="06BBFE9D" w:rsidR="00160A17" w:rsidRPr="00160A17" w:rsidRDefault="009063C5" w:rsidP="00160A17">
      <w:pPr>
        <w:pStyle w:val="SingleTxtG"/>
      </w:pPr>
      <w:r>
        <w:tab/>
      </w:r>
      <w:r w:rsidR="00160A17" w:rsidRPr="00160A17">
        <w:t>d)</w:t>
      </w:r>
      <w:r w:rsidR="00160A17" w:rsidRPr="00160A17">
        <w:tab/>
        <w:t>распространение документации о мониторинге.</w:t>
      </w:r>
    </w:p>
    <w:p w14:paraId="60EFD633" w14:textId="77777777" w:rsidR="00160A17" w:rsidRPr="00160A17" w:rsidRDefault="00160A17" w:rsidP="00160A17">
      <w:pPr>
        <w:pStyle w:val="SingleTxtG"/>
      </w:pPr>
      <w:r w:rsidRPr="00160A17">
        <w:t>43.</w:t>
      </w:r>
      <w:r w:rsidRPr="00160A17">
        <w:tab/>
        <w:t>В соответствующих случаях полезно создать определенные механизмы мониторинга, в которых четко определены действия, обязанности, сроки и требования к отчетности. Существуют технические и институциональные аспекты мониторинга, связанные с институциональными механизмами стратегической экологической оценки в целом (см. пункт 28 выше).</w:t>
      </w:r>
    </w:p>
    <w:p w14:paraId="6BF95338" w14:textId="2D970241" w:rsidR="00160A17" w:rsidRPr="00160A17" w:rsidRDefault="00160A17" w:rsidP="00160A17">
      <w:pPr>
        <w:pStyle w:val="SingleTxtG"/>
      </w:pPr>
      <w:r w:rsidRPr="00160A17">
        <w:t>44.</w:t>
      </w:r>
      <w:r w:rsidRPr="00160A17">
        <w:tab/>
      </w:r>
      <w:r w:rsidR="009063C5" w:rsidRPr="00160A17">
        <w:t>Технические</w:t>
      </w:r>
      <w:r w:rsidRPr="00160A17">
        <w:t xml:space="preserve"> аспекты разработки механизмов мониторинга связаны с возможными способами отслеживания изменений в состоянии здоровья населения. В</w:t>
      </w:r>
      <w:r w:rsidR="009063C5">
        <w:t> </w:t>
      </w:r>
      <w:r w:rsidRPr="00160A17">
        <w:t>число соответствующих мер могут входить выявление охватываемой мониторингом группы (групп) населения и определение целей мониторинга</w:t>
      </w:r>
      <w:r w:rsidRPr="00160A17">
        <w:rPr>
          <w:sz w:val="18"/>
          <w:szCs w:val="18"/>
          <w:vertAlign w:val="superscript"/>
        </w:rPr>
        <w:footnoteReference w:id="23"/>
      </w:r>
      <w:r w:rsidRPr="00160A17">
        <w:t>. В тех случаях, когда это возможно и целесообразно, могут использоваться обычные показатели здоровья населения. Не рекомендуется разрабатывать индивидуальные механизмы мониторинга здоровья, за исключением случаев, когда осуществление самого плана или программы влечет за собой конкретные и существенные экологические, в том числе связанные со здоровьем населения, последствия, которые не рассматриваются в других контекстах. В целом, большое значение имеет интеграция с другими существующими или планируемыми инициативами в области мониторинга (и аудита). В соответствии с пунктом 1 статьи 12 рекомендуется определять корректирующие меры в области управления, например процедуры пересмотра плана/программы в ситуациях, когда в ходе мониторинга были выявлены непредусмотренные серьезные и устойчивые неблагоприятные последствия для здоровья населения, например в рамках нескольких проектов, предложенных в соответствии с планом или программой.</w:t>
      </w:r>
    </w:p>
    <w:p w14:paraId="56FA6C60" w14:textId="77777777" w:rsidR="00160A17" w:rsidRPr="00160A17" w:rsidRDefault="00160A17" w:rsidP="00160A17">
      <w:pPr>
        <w:pStyle w:val="SingleTxtG"/>
      </w:pPr>
      <w:r w:rsidRPr="00160A17">
        <w:t>45.</w:t>
      </w:r>
      <w:r w:rsidRPr="00160A17">
        <w:tab/>
        <w:t>Институциональные аспекты разработки механизмов мониторинга могут включать определение того, кто будет отвечать за осуществление соответствующей деятельности, включая межсекторальную работу в правительстве и связи за пределами правительства</w:t>
      </w:r>
      <w:r w:rsidRPr="00160A17">
        <w:rPr>
          <w:sz w:val="18"/>
          <w:szCs w:val="18"/>
          <w:vertAlign w:val="superscript"/>
        </w:rPr>
        <w:footnoteReference w:id="24"/>
      </w:r>
      <w:r w:rsidRPr="00160A17">
        <w:t>. Ниже рассматриваются некоторые шаги, имеющие значение в контексте стратегической экологической оценки.</w:t>
      </w:r>
    </w:p>
    <w:p w14:paraId="601C8167" w14:textId="7A335C3E" w:rsidR="00160A17" w:rsidRPr="00160A17" w:rsidRDefault="009063C5" w:rsidP="009063C5">
      <w:pPr>
        <w:pStyle w:val="H23G"/>
      </w:pPr>
      <w:r>
        <w:tab/>
      </w:r>
      <w:r w:rsidR="00160A17" w:rsidRPr="00160A17">
        <w:t>2.</w:t>
      </w:r>
      <w:r w:rsidR="00160A17" w:rsidRPr="00160A17">
        <w:tab/>
        <w:t>Определение сферы охвата</w:t>
      </w:r>
    </w:p>
    <w:p w14:paraId="409D4727" w14:textId="77777777" w:rsidR="00160A17" w:rsidRPr="00160A17" w:rsidRDefault="00160A17" w:rsidP="00160A17">
      <w:pPr>
        <w:pStyle w:val="SingleTxtG"/>
      </w:pPr>
      <w:r w:rsidRPr="00160A17">
        <w:t>46.</w:t>
      </w:r>
      <w:r w:rsidRPr="00160A17">
        <w:tab/>
        <w:t>Статья 6 Протокола описывает этап определения сферы охвата, на котором определяется соответствующая информация, подлежащая включению в экологический доклад (в соответствии с пунктом 2 статьи 7). Этот этап направлен на выявление возможных существенных экологических, в том числе связанных со здоровьем населения, последствий, подлежащих оценке, и определение возможных разумных альтернатив плана или программы, если это целесообразно. В этой связи пункт 2 статьи 6 требует запрашивать мнение органов здравоохранения (см. пункт 1 статьи 9). На практике информация, касающаяся определения сферы охвата, может быть впоследствии пересмотрена в свете появившихся новых данных. Поэтому этот этап носит итеративный характер.</w:t>
      </w:r>
    </w:p>
    <w:p w14:paraId="6CBF6ADF" w14:textId="77777777" w:rsidR="00160A17" w:rsidRPr="00160A17" w:rsidRDefault="00160A17" w:rsidP="00160A17">
      <w:pPr>
        <w:pStyle w:val="SingleTxtG"/>
      </w:pPr>
      <w:r w:rsidRPr="00160A17">
        <w:t>47.</w:t>
      </w:r>
      <w:r w:rsidRPr="00160A17">
        <w:tab/>
        <w:t xml:space="preserve">Методология определения значимости потенциального воздействия могла бы быть определена уже при определении сферы охвата, если это возможно, и затем последовательно использоваться во всех разделах экологического доклада, чтобы сделать результаты прозрачными, воспроизводимыми и сопоставимыми. Типичным и простым методом, который можно использовать, является матрица чувствительности к воздействию, в которой чувствительность окружающей среды сравнивается с ожидаемой величиной воздействия. Одним из вариантов определения значимости последствий является экспертное заключение о вероятной значимости последствий для здоровья. </w:t>
      </w:r>
    </w:p>
    <w:p w14:paraId="0673E6B3" w14:textId="77777777" w:rsidR="00160A17" w:rsidRPr="00160A17" w:rsidRDefault="00160A17" w:rsidP="00160A17">
      <w:pPr>
        <w:pStyle w:val="SingleTxtG"/>
      </w:pPr>
      <w:r w:rsidRPr="00160A17">
        <w:lastRenderedPageBreak/>
        <w:t>48.</w:t>
      </w:r>
      <w:r w:rsidRPr="00160A17">
        <w:tab/>
        <w:t>Органы здравоохранения могут оказать поддержку в определении основных последствий для здоровья. В этом контексте могут быть даны рекомендации относительно уровня детализации информации, которая должна быть включена в экологический доклад. Для этого в соответствии со статьей 6 должно быть запрошено мнение природоохранных органов и органов здравоохранения.</w:t>
      </w:r>
    </w:p>
    <w:p w14:paraId="276613E8" w14:textId="77777777" w:rsidR="00160A17" w:rsidRPr="00160A17" w:rsidRDefault="00160A17" w:rsidP="00160A17">
      <w:pPr>
        <w:pStyle w:val="SingleTxtG"/>
      </w:pPr>
      <w:r w:rsidRPr="00160A17">
        <w:t>49.</w:t>
      </w:r>
      <w:r w:rsidRPr="00160A17">
        <w:tab/>
        <w:t>При проведении стратегических экологических оценок может быть полезно провести простой тест на совместимость целей и критериев, используемых для оценки значимости воздействия, основанный на мнении экспертов. При наличии несоответствий включение в оценку вопросов, представляющих различные аспекты здоровья (например, биофизические, социальные и поведенческие), может оказаться проблематичным. В результате проведения проверки совместимости могут быть сделаны следующие выводы:</w:t>
      </w:r>
    </w:p>
    <w:p w14:paraId="12166B93" w14:textId="1F66BE5F" w:rsidR="00160A17" w:rsidRPr="00160A17" w:rsidRDefault="009063C5" w:rsidP="00160A17">
      <w:pPr>
        <w:pStyle w:val="SingleTxtG"/>
      </w:pPr>
      <w:r>
        <w:tab/>
      </w:r>
      <w:r w:rsidR="00160A17" w:rsidRPr="00160A17">
        <w:t>a)</w:t>
      </w:r>
      <w:r w:rsidR="00160A17" w:rsidRPr="00160A17">
        <w:tab/>
        <w:t>включение соответствующих вопросов может усиливать благотворное влияние на показатели здоровья. Например, общепризнанными преимуществами для общественного здравоохранения являются меры политики, направленные на сокращение выбросов парниковых газов: снижение объемов сжигаемого ископаемого топлива и улучшение качества воздуха приводят к сокращению хронических заболеваний и связанных с ними расходов на здравоохранение, что, в свою очередь, приносит экономические выгоды</w:t>
      </w:r>
      <w:r w:rsidR="00160A17" w:rsidRPr="00160A17">
        <w:rPr>
          <w:sz w:val="18"/>
          <w:szCs w:val="18"/>
          <w:vertAlign w:val="superscript"/>
        </w:rPr>
        <w:footnoteReference w:id="25"/>
      </w:r>
      <w:r w:rsidR="00160A17" w:rsidRPr="00160A17">
        <w:t xml:space="preserve">; </w:t>
      </w:r>
    </w:p>
    <w:p w14:paraId="0129940A" w14:textId="089036CC" w:rsidR="00160A17" w:rsidRPr="00160A17" w:rsidRDefault="009063C5" w:rsidP="00160A17">
      <w:pPr>
        <w:pStyle w:val="SingleTxtG"/>
      </w:pPr>
      <w:r>
        <w:tab/>
      </w:r>
      <w:r w:rsidR="00160A17" w:rsidRPr="00160A17">
        <w:t>b)</w:t>
      </w:r>
      <w:r w:rsidR="00160A17" w:rsidRPr="00160A17">
        <w:tab/>
        <w:t xml:space="preserve">вместе с тем включение вопросов, представляющих различные аспекты здоровья, представляется труднодостижимым из-за противоречащих друг другу целей политики. Например, цель охраны биоразнообразия или культурного наследия может быть направлена на ограничение использования зеленого или голубого пространства для занятий физической активностью и доступа к природе, тогда как именно они положительно влияют на физическое и психическое здоровье людей; </w:t>
      </w:r>
    </w:p>
    <w:p w14:paraId="3320E880" w14:textId="0E1199FB" w:rsidR="00160A17" w:rsidRPr="00160A17" w:rsidRDefault="009063C5" w:rsidP="00160A17">
      <w:pPr>
        <w:pStyle w:val="SingleTxtG"/>
      </w:pPr>
      <w:r>
        <w:tab/>
      </w:r>
      <w:r w:rsidR="00160A17" w:rsidRPr="00160A17">
        <w:t>c)</w:t>
      </w:r>
      <w:r w:rsidR="00160A17" w:rsidRPr="00160A17">
        <w:tab/>
        <w:t xml:space="preserve">к соответствующим компромиссам также могут быть склонны те или иные группы населения. Например, экономическая политика может быть направлена на уменьшение рисков для здоровья лиц трудоспособного возраста благодаря улучшению условий занятости, но это может привести к росту объема выбросов и тем самым увеличить риски для здоровья молодых, немощных и пожилых лиц. </w:t>
      </w:r>
    </w:p>
    <w:p w14:paraId="10843811" w14:textId="77777777" w:rsidR="00160A17" w:rsidRPr="00160A17" w:rsidRDefault="00160A17" w:rsidP="00160A17">
      <w:pPr>
        <w:pStyle w:val="SingleTxtG"/>
      </w:pPr>
      <w:r w:rsidRPr="00160A17">
        <w:t>50.</w:t>
      </w:r>
      <w:r w:rsidRPr="00160A17">
        <w:tab/>
        <w:t xml:space="preserve">Что касается обязательства консультироваться с органами здравоохранения, то национальные/региональные/местные органы власти или организации, отвечающие за общественное здравоохранение, могут информировать группу или экспертов, проводящих стратегическую экологическую оценку, и структуру, которая занимается продвижением плана или программы, о возможных предполагаемых или непреднамеренных последствиях для здоровья. </w:t>
      </w:r>
    </w:p>
    <w:p w14:paraId="3B67A0AE" w14:textId="726F1274" w:rsidR="00160A17" w:rsidRPr="00160A17" w:rsidRDefault="00160A17" w:rsidP="00160A17">
      <w:pPr>
        <w:pStyle w:val="SingleTxtG"/>
      </w:pPr>
      <w:r w:rsidRPr="00160A17">
        <w:t>51.</w:t>
      </w:r>
      <w:r w:rsidRPr="00160A17">
        <w:tab/>
        <w:t xml:space="preserve">В целом, целесообразно как можно раньше определить роли и обязанности тех, к кому следует обращаться в различных секторах и административных органах, например в областях здравоохранения, транспорта, энергетики или территориального планирования/землепользования. </w:t>
      </w:r>
    </w:p>
    <w:p w14:paraId="118C13C2" w14:textId="77777777" w:rsidR="00160A17" w:rsidRPr="00160A17" w:rsidRDefault="00160A17" w:rsidP="00160A17">
      <w:pPr>
        <w:pStyle w:val="SingleTxtG"/>
      </w:pPr>
      <w:r w:rsidRPr="00160A17">
        <w:t>52.</w:t>
      </w:r>
      <w:r w:rsidRPr="00160A17">
        <w:tab/>
        <w:t xml:space="preserve">В таблице 2 ниже представлен ориентировочный контрольный перечень детерминантов здоровья, связанных с воздействием на окружающую среду, которые могут быть приняты во внимание на этапе определения сферы охвата, если это применимо. </w:t>
      </w:r>
    </w:p>
    <w:p w14:paraId="0DBFDA3C" w14:textId="10B550FE" w:rsidR="00160A17" w:rsidRDefault="009063C5" w:rsidP="009063C5">
      <w:pPr>
        <w:pStyle w:val="H23G"/>
      </w:pPr>
      <w:r w:rsidRPr="009063C5">
        <w:rPr>
          <w:b w:val="0"/>
          <w:bCs/>
        </w:rPr>
        <w:lastRenderedPageBreak/>
        <w:tab/>
      </w:r>
      <w:r w:rsidRPr="009063C5">
        <w:rPr>
          <w:b w:val="0"/>
          <w:bCs/>
        </w:rPr>
        <w:tab/>
      </w:r>
      <w:r w:rsidR="00160A17" w:rsidRPr="009063C5">
        <w:rPr>
          <w:b w:val="0"/>
          <w:bCs/>
        </w:rPr>
        <w:t>Таблица 2</w:t>
      </w:r>
      <w:r w:rsidRPr="009063C5">
        <w:rPr>
          <w:b w:val="0"/>
          <w:bCs/>
          <w:lang w:val="en-GB"/>
        </w:rPr>
        <w:br/>
      </w:r>
      <w:r w:rsidR="00160A17" w:rsidRPr="00160A17">
        <w:t>Примеры детерминантов здоровья</w:t>
      </w:r>
    </w:p>
    <w:tbl>
      <w:tblPr>
        <w:tblW w:w="7371" w:type="dxa"/>
        <w:tblInd w:w="1134" w:type="dxa"/>
        <w:tblLayout w:type="fixed"/>
        <w:tblCellMar>
          <w:left w:w="0" w:type="dxa"/>
          <w:right w:w="0" w:type="dxa"/>
        </w:tblCellMar>
        <w:tblLook w:val="04A0" w:firstRow="1" w:lastRow="0" w:firstColumn="1" w:lastColumn="0" w:noHBand="0" w:noVBand="1"/>
      </w:tblPr>
      <w:tblGrid>
        <w:gridCol w:w="5245"/>
        <w:gridCol w:w="709"/>
        <w:gridCol w:w="1417"/>
      </w:tblGrid>
      <w:tr w:rsidR="009063C5" w:rsidRPr="00A117E2" w14:paraId="1AACE0C7" w14:textId="77777777" w:rsidTr="00BB0EDD">
        <w:trPr>
          <w:tblHeader/>
        </w:trPr>
        <w:tc>
          <w:tcPr>
            <w:tcW w:w="5245" w:type="dxa"/>
            <w:tcBorders>
              <w:top w:val="single" w:sz="4" w:space="0" w:color="auto"/>
              <w:bottom w:val="single" w:sz="12" w:space="0" w:color="auto"/>
            </w:tcBorders>
            <w:shd w:val="clear" w:color="auto" w:fill="auto"/>
            <w:vAlign w:val="bottom"/>
          </w:tcPr>
          <w:p w14:paraId="01654F86" w14:textId="3CF87745" w:rsidR="009063C5" w:rsidRPr="009063C5" w:rsidRDefault="009063C5" w:rsidP="00BB0EDD">
            <w:pPr>
              <w:spacing w:before="80" w:after="80" w:line="200" w:lineRule="exact"/>
              <w:ind w:right="113"/>
              <w:rPr>
                <w:b/>
                <w:bCs/>
                <w:i/>
                <w:iCs/>
                <w:sz w:val="16"/>
                <w:szCs w:val="16"/>
              </w:rPr>
            </w:pPr>
            <w:r w:rsidRPr="00160A17">
              <w:rPr>
                <w:i/>
                <w:iCs/>
                <w:color w:val="000000"/>
                <w:sz w:val="16"/>
                <w:szCs w:val="16"/>
              </w:rPr>
              <w:t>Просьба указать, приведет ли воздействие плана/программы</w:t>
            </w:r>
            <w:r w:rsidR="00FA5253">
              <w:rPr>
                <w:i/>
                <w:iCs/>
                <w:color w:val="000000"/>
                <w:sz w:val="16"/>
                <w:szCs w:val="16"/>
              </w:rPr>
              <w:br/>
            </w:r>
            <w:r w:rsidRPr="00160A17">
              <w:rPr>
                <w:i/>
                <w:iCs/>
                <w:color w:val="000000"/>
                <w:sz w:val="16"/>
                <w:szCs w:val="16"/>
              </w:rPr>
              <w:t>на окружающую среду к изменениям по следующим аспектам:</w:t>
            </w:r>
          </w:p>
        </w:tc>
        <w:tc>
          <w:tcPr>
            <w:tcW w:w="709" w:type="dxa"/>
            <w:tcBorders>
              <w:top w:val="single" w:sz="4" w:space="0" w:color="auto"/>
              <w:bottom w:val="single" w:sz="12" w:space="0" w:color="auto"/>
            </w:tcBorders>
            <w:shd w:val="clear" w:color="auto" w:fill="auto"/>
            <w:vAlign w:val="bottom"/>
          </w:tcPr>
          <w:p w14:paraId="26A87191" w14:textId="5CE22DE1" w:rsidR="009063C5" w:rsidRPr="00A117E2" w:rsidRDefault="009063C5" w:rsidP="009063C5">
            <w:pPr>
              <w:spacing w:before="80" w:after="80" w:line="200" w:lineRule="exact"/>
              <w:ind w:left="11" w:right="113"/>
              <w:rPr>
                <w:b/>
                <w:i/>
                <w:sz w:val="16"/>
                <w:szCs w:val="16"/>
                <w:lang w:val="fr-FR"/>
              </w:rPr>
            </w:pPr>
            <w:r w:rsidRPr="00160A17">
              <w:rPr>
                <w:i/>
                <w:iCs/>
                <w:sz w:val="16"/>
                <w:szCs w:val="16"/>
              </w:rPr>
              <w:t>Да/Нет</w:t>
            </w:r>
          </w:p>
        </w:tc>
        <w:tc>
          <w:tcPr>
            <w:tcW w:w="1417" w:type="dxa"/>
            <w:tcBorders>
              <w:top w:val="single" w:sz="4" w:space="0" w:color="auto"/>
              <w:bottom w:val="single" w:sz="12" w:space="0" w:color="auto"/>
            </w:tcBorders>
            <w:shd w:val="clear" w:color="auto" w:fill="auto"/>
            <w:vAlign w:val="bottom"/>
          </w:tcPr>
          <w:p w14:paraId="27198FC3" w14:textId="320B2714" w:rsidR="009063C5" w:rsidRPr="00A117E2" w:rsidRDefault="009063C5" w:rsidP="00BB0EDD">
            <w:pPr>
              <w:spacing w:before="80" w:after="80" w:line="200" w:lineRule="exact"/>
              <w:ind w:right="113"/>
              <w:rPr>
                <w:b/>
                <w:i/>
                <w:sz w:val="16"/>
                <w:szCs w:val="16"/>
                <w:lang w:val="fr-FR"/>
              </w:rPr>
            </w:pPr>
            <w:r w:rsidRPr="00160A17">
              <w:rPr>
                <w:i/>
                <w:iCs/>
                <w:sz w:val="16"/>
                <w:szCs w:val="16"/>
              </w:rPr>
              <w:t>Связи/меры</w:t>
            </w:r>
          </w:p>
        </w:tc>
      </w:tr>
      <w:tr w:rsidR="009063C5" w:rsidRPr="002C783D" w14:paraId="2134EE55" w14:textId="77777777" w:rsidTr="00BB0EDD">
        <w:trPr>
          <w:trHeight w:hRule="exact" w:val="113"/>
          <w:tblHeader/>
        </w:trPr>
        <w:tc>
          <w:tcPr>
            <w:tcW w:w="5245" w:type="dxa"/>
            <w:tcBorders>
              <w:top w:val="single" w:sz="12" w:space="0" w:color="auto"/>
            </w:tcBorders>
            <w:shd w:val="clear" w:color="auto" w:fill="auto"/>
          </w:tcPr>
          <w:p w14:paraId="75380593" w14:textId="77777777" w:rsidR="009063C5" w:rsidRPr="002C783D" w:rsidRDefault="009063C5" w:rsidP="00BB0EDD">
            <w:pPr>
              <w:spacing w:before="40" w:after="120"/>
              <w:ind w:right="113"/>
              <w:rPr>
                <w:lang w:eastAsia="en-GB"/>
              </w:rPr>
            </w:pPr>
          </w:p>
        </w:tc>
        <w:tc>
          <w:tcPr>
            <w:tcW w:w="709" w:type="dxa"/>
            <w:tcBorders>
              <w:top w:val="single" w:sz="12" w:space="0" w:color="auto"/>
            </w:tcBorders>
            <w:shd w:val="clear" w:color="auto" w:fill="auto"/>
          </w:tcPr>
          <w:p w14:paraId="013AC158" w14:textId="77777777" w:rsidR="009063C5" w:rsidRPr="002C783D" w:rsidRDefault="009063C5" w:rsidP="00BB0EDD">
            <w:pPr>
              <w:spacing w:before="40" w:after="120"/>
              <w:ind w:right="113"/>
              <w:rPr>
                <w:lang w:eastAsia="en-GB"/>
              </w:rPr>
            </w:pPr>
          </w:p>
        </w:tc>
        <w:tc>
          <w:tcPr>
            <w:tcW w:w="1417" w:type="dxa"/>
            <w:tcBorders>
              <w:top w:val="single" w:sz="12" w:space="0" w:color="auto"/>
            </w:tcBorders>
            <w:shd w:val="clear" w:color="auto" w:fill="auto"/>
          </w:tcPr>
          <w:p w14:paraId="4617FC40" w14:textId="77777777" w:rsidR="009063C5" w:rsidRPr="002C783D" w:rsidRDefault="009063C5" w:rsidP="00BB0EDD">
            <w:pPr>
              <w:spacing w:before="40" w:after="120"/>
              <w:ind w:right="113"/>
              <w:rPr>
                <w:lang w:eastAsia="en-GB"/>
              </w:rPr>
            </w:pPr>
          </w:p>
        </w:tc>
      </w:tr>
      <w:tr w:rsidR="009063C5" w:rsidRPr="009063C5" w14:paraId="43A162CE" w14:textId="77777777" w:rsidTr="00BB0EDD">
        <w:tc>
          <w:tcPr>
            <w:tcW w:w="5245" w:type="dxa"/>
            <w:shd w:val="clear" w:color="auto" w:fill="auto"/>
          </w:tcPr>
          <w:p w14:paraId="06A7F1F9" w14:textId="687E376A" w:rsidR="009063C5" w:rsidRPr="00F50875" w:rsidRDefault="009063C5" w:rsidP="00BB0EDD">
            <w:pPr>
              <w:spacing w:before="40" w:after="120"/>
              <w:ind w:right="113"/>
              <w:rPr>
                <w:b/>
                <w:bCs/>
                <w:lang w:val="fr-FR"/>
              </w:rPr>
            </w:pPr>
            <w:r w:rsidRPr="00160A17">
              <w:rPr>
                <w:b/>
                <w:bCs/>
              </w:rPr>
              <w:t>[Неравенства в отношении здоровья</w:t>
            </w:r>
          </w:p>
        </w:tc>
        <w:tc>
          <w:tcPr>
            <w:tcW w:w="709" w:type="dxa"/>
            <w:shd w:val="clear" w:color="auto" w:fill="auto"/>
          </w:tcPr>
          <w:p w14:paraId="73FA8EAF" w14:textId="77777777" w:rsidR="009063C5" w:rsidRPr="00826B11" w:rsidRDefault="009063C5" w:rsidP="00BB0EDD">
            <w:pPr>
              <w:spacing w:before="40" w:after="120"/>
              <w:ind w:right="113"/>
              <w:rPr>
                <w:lang w:val="fr-FR" w:eastAsia="en-GB"/>
              </w:rPr>
            </w:pPr>
          </w:p>
        </w:tc>
        <w:tc>
          <w:tcPr>
            <w:tcW w:w="1417" w:type="dxa"/>
            <w:shd w:val="clear" w:color="auto" w:fill="auto"/>
          </w:tcPr>
          <w:p w14:paraId="6E40B660" w14:textId="77777777" w:rsidR="009063C5" w:rsidRPr="00826B11" w:rsidRDefault="009063C5" w:rsidP="00BB0EDD">
            <w:pPr>
              <w:spacing w:before="40" w:after="120"/>
              <w:ind w:right="113"/>
              <w:rPr>
                <w:lang w:val="fr-FR" w:eastAsia="en-GB"/>
              </w:rPr>
            </w:pPr>
          </w:p>
        </w:tc>
      </w:tr>
      <w:tr w:rsidR="009063C5" w:rsidRPr="009063C5" w14:paraId="6C162B27" w14:textId="77777777" w:rsidTr="00BB0EDD">
        <w:tc>
          <w:tcPr>
            <w:tcW w:w="5245" w:type="dxa"/>
            <w:shd w:val="clear" w:color="auto" w:fill="auto"/>
          </w:tcPr>
          <w:p w14:paraId="21586243" w14:textId="6DB9E791" w:rsidR="009063C5" w:rsidRPr="009063C5" w:rsidRDefault="009063C5" w:rsidP="00BB0EDD">
            <w:pPr>
              <w:spacing w:before="40" w:after="120"/>
              <w:ind w:right="113"/>
              <w:rPr>
                <w:b/>
                <w:bCs/>
              </w:rPr>
            </w:pPr>
            <w:r w:rsidRPr="00160A17">
              <w:rPr>
                <w:b/>
                <w:bCs/>
              </w:rPr>
              <w:t>Неравенства в отношении здоровья между</w:t>
            </w:r>
            <w:r w:rsidR="00FE1F38">
              <w:rPr>
                <w:b/>
                <w:bCs/>
              </w:rPr>
              <w:br/>
            </w:r>
            <w:r w:rsidRPr="00160A17">
              <w:rPr>
                <w:b/>
                <w:bCs/>
              </w:rPr>
              <w:t>группами населения</w:t>
            </w:r>
          </w:p>
        </w:tc>
        <w:tc>
          <w:tcPr>
            <w:tcW w:w="709" w:type="dxa"/>
            <w:shd w:val="clear" w:color="auto" w:fill="auto"/>
          </w:tcPr>
          <w:p w14:paraId="56BE6D9E" w14:textId="77777777" w:rsidR="009063C5" w:rsidRPr="009063C5" w:rsidRDefault="009063C5" w:rsidP="00BB0EDD">
            <w:pPr>
              <w:spacing w:before="40" w:after="120"/>
              <w:ind w:right="113"/>
              <w:rPr>
                <w:lang w:eastAsia="en-GB"/>
              </w:rPr>
            </w:pPr>
          </w:p>
        </w:tc>
        <w:tc>
          <w:tcPr>
            <w:tcW w:w="1417" w:type="dxa"/>
            <w:shd w:val="clear" w:color="auto" w:fill="auto"/>
          </w:tcPr>
          <w:p w14:paraId="628038F6" w14:textId="77777777" w:rsidR="009063C5" w:rsidRPr="009063C5" w:rsidRDefault="009063C5" w:rsidP="00BB0EDD">
            <w:pPr>
              <w:spacing w:before="40" w:after="120"/>
              <w:ind w:right="113"/>
              <w:rPr>
                <w:lang w:eastAsia="en-GB"/>
              </w:rPr>
            </w:pPr>
          </w:p>
        </w:tc>
      </w:tr>
      <w:tr w:rsidR="009063C5" w:rsidRPr="009063C5" w14:paraId="4E35427E" w14:textId="77777777" w:rsidTr="00BB0EDD">
        <w:tc>
          <w:tcPr>
            <w:tcW w:w="5245" w:type="dxa"/>
            <w:shd w:val="clear" w:color="auto" w:fill="auto"/>
          </w:tcPr>
          <w:p w14:paraId="298265B0" w14:textId="6A259FE9" w:rsidR="009063C5" w:rsidRPr="009063C5" w:rsidRDefault="009063C5" w:rsidP="00BB0EDD">
            <w:pPr>
              <w:spacing w:before="40" w:after="120"/>
              <w:ind w:right="113"/>
              <w:rPr>
                <w:b/>
                <w:bCs/>
              </w:rPr>
            </w:pPr>
            <w:r w:rsidRPr="00160A17">
              <w:rPr>
                <w:b/>
                <w:bCs/>
              </w:rPr>
              <w:t>Неравенства в отношении здоровья между географическими районами</w:t>
            </w:r>
          </w:p>
        </w:tc>
        <w:tc>
          <w:tcPr>
            <w:tcW w:w="709" w:type="dxa"/>
            <w:shd w:val="clear" w:color="auto" w:fill="auto"/>
          </w:tcPr>
          <w:p w14:paraId="0A83E7C8" w14:textId="77777777" w:rsidR="009063C5" w:rsidRPr="009063C5" w:rsidRDefault="009063C5" w:rsidP="00BB0EDD">
            <w:pPr>
              <w:spacing w:before="40" w:after="120"/>
              <w:ind w:right="113"/>
              <w:rPr>
                <w:lang w:eastAsia="en-GB"/>
              </w:rPr>
            </w:pPr>
          </w:p>
        </w:tc>
        <w:tc>
          <w:tcPr>
            <w:tcW w:w="1417" w:type="dxa"/>
            <w:shd w:val="clear" w:color="auto" w:fill="auto"/>
          </w:tcPr>
          <w:p w14:paraId="015FAB24" w14:textId="77777777" w:rsidR="009063C5" w:rsidRPr="009063C5" w:rsidRDefault="009063C5" w:rsidP="00BB0EDD">
            <w:pPr>
              <w:spacing w:before="40" w:after="120"/>
              <w:ind w:right="113"/>
              <w:rPr>
                <w:lang w:eastAsia="en-GB"/>
              </w:rPr>
            </w:pPr>
          </w:p>
        </w:tc>
      </w:tr>
      <w:tr w:rsidR="009063C5" w:rsidRPr="002C783D" w14:paraId="1BB0E8C6" w14:textId="77777777" w:rsidTr="00BB0EDD">
        <w:tc>
          <w:tcPr>
            <w:tcW w:w="5245" w:type="dxa"/>
            <w:shd w:val="clear" w:color="auto" w:fill="auto"/>
          </w:tcPr>
          <w:p w14:paraId="6C44C160" w14:textId="18E1EC6C" w:rsidR="009063C5" w:rsidRPr="00F50875" w:rsidRDefault="00FE1F38" w:rsidP="00BB0EDD">
            <w:pPr>
              <w:spacing w:before="40" w:after="120"/>
              <w:ind w:right="113"/>
              <w:rPr>
                <w:b/>
                <w:bCs/>
              </w:rPr>
            </w:pPr>
            <w:r w:rsidRPr="00160A17">
              <w:rPr>
                <w:b/>
                <w:bCs/>
              </w:rPr>
              <w:t>Здоровый образ жизни</w:t>
            </w:r>
          </w:p>
        </w:tc>
        <w:tc>
          <w:tcPr>
            <w:tcW w:w="709" w:type="dxa"/>
            <w:shd w:val="clear" w:color="auto" w:fill="auto"/>
          </w:tcPr>
          <w:p w14:paraId="24BB70DE" w14:textId="77777777" w:rsidR="009063C5" w:rsidRPr="002C783D" w:rsidRDefault="009063C5" w:rsidP="00BB0EDD">
            <w:pPr>
              <w:spacing w:before="40" w:after="120"/>
              <w:ind w:right="113"/>
              <w:rPr>
                <w:lang w:eastAsia="en-GB"/>
              </w:rPr>
            </w:pPr>
          </w:p>
        </w:tc>
        <w:tc>
          <w:tcPr>
            <w:tcW w:w="1417" w:type="dxa"/>
            <w:shd w:val="clear" w:color="auto" w:fill="auto"/>
          </w:tcPr>
          <w:p w14:paraId="45E5CB31" w14:textId="77777777" w:rsidR="009063C5" w:rsidRPr="002C783D" w:rsidRDefault="009063C5" w:rsidP="00BB0EDD">
            <w:pPr>
              <w:spacing w:before="40" w:after="120"/>
              <w:ind w:right="113"/>
              <w:rPr>
                <w:lang w:eastAsia="en-GB"/>
              </w:rPr>
            </w:pPr>
          </w:p>
        </w:tc>
      </w:tr>
      <w:tr w:rsidR="009063C5" w:rsidRPr="00FE1F38" w14:paraId="7B226AD7" w14:textId="77777777" w:rsidTr="00BB0EDD">
        <w:tc>
          <w:tcPr>
            <w:tcW w:w="5245" w:type="dxa"/>
            <w:shd w:val="clear" w:color="auto" w:fill="auto"/>
          </w:tcPr>
          <w:p w14:paraId="6CDEC2D4" w14:textId="5E485624" w:rsidR="009063C5" w:rsidRPr="00FE1F38" w:rsidRDefault="00FE1F38" w:rsidP="00BB0EDD">
            <w:pPr>
              <w:spacing w:before="40" w:after="120"/>
              <w:ind w:right="113"/>
              <w:rPr>
                <w:b/>
                <w:bCs/>
              </w:rPr>
            </w:pPr>
            <w:r w:rsidRPr="00160A17">
              <w:rPr>
                <w:b/>
                <w:bCs/>
              </w:rPr>
              <w:t>Здоровый образ жизни и возможности</w:t>
            </w:r>
            <w:r>
              <w:rPr>
                <w:b/>
                <w:bCs/>
              </w:rPr>
              <w:br/>
            </w:r>
            <w:r w:rsidRPr="00160A17">
              <w:rPr>
                <w:b/>
                <w:bCs/>
              </w:rPr>
              <w:t>для активного отдыха</w:t>
            </w:r>
          </w:p>
        </w:tc>
        <w:tc>
          <w:tcPr>
            <w:tcW w:w="709" w:type="dxa"/>
            <w:shd w:val="clear" w:color="auto" w:fill="auto"/>
          </w:tcPr>
          <w:p w14:paraId="38E5231F" w14:textId="77777777" w:rsidR="009063C5" w:rsidRPr="00FE1F38" w:rsidRDefault="009063C5" w:rsidP="00BB0EDD">
            <w:pPr>
              <w:spacing w:before="40" w:after="120"/>
              <w:ind w:right="113"/>
              <w:rPr>
                <w:lang w:eastAsia="en-GB"/>
              </w:rPr>
            </w:pPr>
          </w:p>
        </w:tc>
        <w:tc>
          <w:tcPr>
            <w:tcW w:w="1417" w:type="dxa"/>
            <w:shd w:val="clear" w:color="auto" w:fill="auto"/>
          </w:tcPr>
          <w:p w14:paraId="49812983" w14:textId="77777777" w:rsidR="009063C5" w:rsidRPr="00FE1F38" w:rsidRDefault="009063C5" w:rsidP="00BB0EDD">
            <w:pPr>
              <w:spacing w:before="40" w:after="120"/>
              <w:ind w:right="113"/>
              <w:rPr>
                <w:lang w:eastAsia="en-GB"/>
              </w:rPr>
            </w:pPr>
          </w:p>
        </w:tc>
      </w:tr>
      <w:tr w:rsidR="009063C5" w:rsidRPr="002C783D" w14:paraId="188F848F" w14:textId="77777777" w:rsidTr="00BB0EDD">
        <w:tc>
          <w:tcPr>
            <w:tcW w:w="5245" w:type="dxa"/>
            <w:shd w:val="clear" w:color="auto" w:fill="auto"/>
          </w:tcPr>
          <w:p w14:paraId="7269BBA7" w14:textId="4D59B258" w:rsidR="009063C5" w:rsidRPr="00F50875" w:rsidRDefault="00FE1F38" w:rsidP="00BB0EDD">
            <w:pPr>
              <w:spacing w:before="40" w:after="120"/>
              <w:ind w:right="113"/>
              <w:rPr>
                <w:b/>
                <w:bCs/>
              </w:rPr>
            </w:pPr>
            <w:r w:rsidRPr="00160A17">
              <w:rPr>
                <w:b/>
                <w:bCs/>
              </w:rPr>
              <w:t>Питание</w:t>
            </w:r>
          </w:p>
        </w:tc>
        <w:tc>
          <w:tcPr>
            <w:tcW w:w="709" w:type="dxa"/>
            <w:shd w:val="clear" w:color="auto" w:fill="auto"/>
          </w:tcPr>
          <w:p w14:paraId="5D50F81E" w14:textId="77777777" w:rsidR="009063C5" w:rsidRPr="002C783D" w:rsidRDefault="009063C5" w:rsidP="00BB0EDD">
            <w:pPr>
              <w:spacing w:before="40" w:after="120"/>
              <w:ind w:right="113"/>
              <w:rPr>
                <w:lang w:eastAsia="en-GB"/>
              </w:rPr>
            </w:pPr>
          </w:p>
        </w:tc>
        <w:tc>
          <w:tcPr>
            <w:tcW w:w="1417" w:type="dxa"/>
            <w:shd w:val="clear" w:color="auto" w:fill="auto"/>
          </w:tcPr>
          <w:p w14:paraId="064B79E2" w14:textId="77777777" w:rsidR="009063C5" w:rsidRPr="002C783D" w:rsidRDefault="009063C5" w:rsidP="00BB0EDD">
            <w:pPr>
              <w:spacing w:before="40" w:after="120"/>
              <w:ind w:right="113"/>
              <w:rPr>
                <w:lang w:eastAsia="en-GB"/>
              </w:rPr>
            </w:pPr>
          </w:p>
        </w:tc>
      </w:tr>
      <w:tr w:rsidR="009063C5" w:rsidRPr="002C783D" w14:paraId="36300290" w14:textId="77777777" w:rsidTr="00BB0EDD">
        <w:tc>
          <w:tcPr>
            <w:tcW w:w="5245" w:type="dxa"/>
            <w:shd w:val="clear" w:color="auto" w:fill="auto"/>
          </w:tcPr>
          <w:p w14:paraId="54DD10EE" w14:textId="32DCC451" w:rsidR="009063C5" w:rsidRPr="00F50875" w:rsidRDefault="00FE1F38" w:rsidP="00BB0EDD">
            <w:pPr>
              <w:spacing w:before="40" w:after="120"/>
              <w:ind w:right="113"/>
              <w:rPr>
                <w:b/>
                <w:bCs/>
              </w:rPr>
            </w:pPr>
            <w:r w:rsidRPr="00160A17">
              <w:rPr>
                <w:b/>
                <w:bCs/>
              </w:rPr>
              <w:t>Безопасность и сплоченность общин</w:t>
            </w:r>
          </w:p>
        </w:tc>
        <w:tc>
          <w:tcPr>
            <w:tcW w:w="709" w:type="dxa"/>
            <w:shd w:val="clear" w:color="auto" w:fill="auto"/>
          </w:tcPr>
          <w:p w14:paraId="3FDF5008" w14:textId="77777777" w:rsidR="009063C5" w:rsidRPr="002C783D" w:rsidRDefault="009063C5" w:rsidP="00BB0EDD">
            <w:pPr>
              <w:spacing w:before="40" w:after="120"/>
              <w:ind w:right="113"/>
              <w:rPr>
                <w:lang w:eastAsia="en-GB"/>
              </w:rPr>
            </w:pPr>
          </w:p>
        </w:tc>
        <w:tc>
          <w:tcPr>
            <w:tcW w:w="1417" w:type="dxa"/>
            <w:shd w:val="clear" w:color="auto" w:fill="auto"/>
          </w:tcPr>
          <w:p w14:paraId="750E0703" w14:textId="77777777" w:rsidR="009063C5" w:rsidRPr="002C783D" w:rsidRDefault="009063C5" w:rsidP="00BB0EDD">
            <w:pPr>
              <w:spacing w:before="40" w:after="120"/>
              <w:ind w:right="113"/>
              <w:rPr>
                <w:lang w:eastAsia="en-GB"/>
              </w:rPr>
            </w:pPr>
          </w:p>
        </w:tc>
      </w:tr>
      <w:tr w:rsidR="009063C5" w:rsidRPr="00FE1F38" w14:paraId="1D88CAB4" w14:textId="77777777" w:rsidTr="00BB0EDD">
        <w:tc>
          <w:tcPr>
            <w:tcW w:w="5245" w:type="dxa"/>
            <w:shd w:val="clear" w:color="auto" w:fill="auto"/>
          </w:tcPr>
          <w:p w14:paraId="6ADF2D8B" w14:textId="26732465" w:rsidR="009063C5" w:rsidRPr="00FE1F38" w:rsidRDefault="00FE1F38" w:rsidP="00BB0EDD">
            <w:pPr>
              <w:spacing w:before="40" w:after="120"/>
              <w:ind w:right="113"/>
              <w:rPr>
                <w:b/>
                <w:bCs/>
              </w:rPr>
            </w:pPr>
            <w:r w:rsidRPr="00160A17">
              <w:rPr>
                <w:b/>
                <w:bCs/>
              </w:rPr>
              <w:t>Жилье, здания и дорожная сеть</w:t>
            </w:r>
          </w:p>
        </w:tc>
        <w:tc>
          <w:tcPr>
            <w:tcW w:w="709" w:type="dxa"/>
            <w:shd w:val="clear" w:color="auto" w:fill="auto"/>
          </w:tcPr>
          <w:p w14:paraId="0EE32888" w14:textId="77777777" w:rsidR="009063C5" w:rsidRPr="00FE1F38" w:rsidRDefault="009063C5" w:rsidP="00BB0EDD">
            <w:pPr>
              <w:spacing w:before="40" w:after="120"/>
              <w:ind w:right="113"/>
              <w:rPr>
                <w:lang w:eastAsia="en-GB"/>
              </w:rPr>
            </w:pPr>
          </w:p>
        </w:tc>
        <w:tc>
          <w:tcPr>
            <w:tcW w:w="1417" w:type="dxa"/>
            <w:shd w:val="clear" w:color="auto" w:fill="auto"/>
          </w:tcPr>
          <w:p w14:paraId="3B96A6C6" w14:textId="77777777" w:rsidR="009063C5" w:rsidRPr="00FE1F38" w:rsidRDefault="009063C5" w:rsidP="00BB0EDD">
            <w:pPr>
              <w:spacing w:before="40" w:after="120"/>
              <w:ind w:right="113"/>
              <w:rPr>
                <w:lang w:eastAsia="en-GB"/>
              </w:rPr>
            </w:pPr>
          </w:p>
        </w:tc>
      </w:tr>
      <w:tr w:rsidR="009063C5" w:rsidRPr="00FE1F38" w14:paraId="7B57A9E1" w14:textId="77777777" w:rsidTr="00BB0EDD">
        <w:tc>
          <w:tcPr>
            <w:tcW w:w="5245" w:type="dxa"/>
            <w:shd w:val="clear" w:color="auto" w:fill="auto"/>
          </w:tcPr>
          <w:p w14:paraId="23D52DE4" w14:textId="40DA97B0" w:rsidR="009063C5" w:rsidRPr="00FE1F38" w:rsidRDefault="00FE1F38" w:rsidP="00BB0EDD">
            <w:pPr>
              <w:spacing w:before="40" w:after="120"/>
              <w:ind w:right="113"/>
              <w:rPr>
                <w:b/>
                <w:bCs/>
              </w:rPr>
            </w:pPr>
            <w:r w:rsidRPr="00160A17">
              <w:rPr>
                <w:b/>
                <w:bCs/>
              </w:rPr>
              <w:t>Показатели бедности, социального</w:t>
            </w:r>
            <w:r>
              <w:rPr>
                <w:b/>
                <w:bCs/>
              </w:rPr>
              <w:br/>
            </w:r>
            <w:r w:rsidRPr="00160A17">
              <w:rPr>
                <w:b/>
                <w:bCs/>
              </w:rPr>
              <w:t>отчуждения и</w:t>
            </w:r>
            <w:r>
              <w:rPr>
                <w:b/>
                <w:bCs/>
              </w:rPr>
              <w:t> </w:t>
            </w:r>
            <w:r w:rsidRPr="00160A17">
              <w:rPr>
                <w:b/>
                <w:bCs/>
              </w:rPr>
              <w:t>преступности</w:t>
            </w:r>
          </w:p>
        </w:tc>
        <w:tc>
          <w:tcPr>
            <w:tcW w:w="709" w:type="dxa"/>
            <w:shd w:val="clear" w:color="auto" w:fill="auto"/>
          </w:tcPr>
          <w:p w14:paraId="444E36C8" w14:textId="77777777" w:rsidR="009063C5" w:rsidRPr="00FE1F38" w:rsidRDefault="009063C5" w:rsidP="00BB0EDD">
            <w:pPr>
              <w:spacing w:before="40" w:after="120"/>
              <w:ind w:right="113"/>
              <w:rPr>
                <w:lang w:eastAsia="en-GB"/>
              </w:rPr>
            </w:pPr>
          </w:p>
        </w:tc>
        <w:tc>
          <w:tcPr>
            <w:tcW w:w="1417" w:type="dxa"/>
            <w:shd w:val="clear" w:color="auto" w:fill="auto"/>
          </w:tcPr>
          <w:p w14:paraId="07985DEB" w14:textId="77777777" w:rsidR="009063C5" w:rsidRPr="00FE1F38" w:rsidRDefault="009063C5" w:rsidP="00BB0EDD">
            <w:pPr>
              <w:spacing w:before="40" w:after="120"/>
              <w:ind w:right="113"/>
              <w:rPr>
                <w:lang w:eastAsia="en-GB"/>
              </w:rPr>
            </w:pPr>
          </w:p>
        </w:tc>
      </w:tr>
      <w:tr w:rsidR="009063C5" w:rsidRPr="002C783D" w14:paraId="58A3D78B" w14:textId="77777777" w:rsidTr="00BB0EDD">
        <w:tc>
          <w:tcPr>
            <w:tcW w:w="5245" w:type="dxa"/>
            <w:shd w:val="clear" w:color="auto" w:fill="auto"/>
          </w:tcPr>
          <w:p w14:paraId="6D1D0EB4" w14:textId="4658AC88" w:rsidR="009063C5" w:rsidRPr="00F50875" w:rsidRDefault="00FE1F38" w:rsidP="00BB0EDD">
            <w:pPr>
              <w:spacing w:before="40" w:after="120"/>
              <w:ind w:right="113"/>
              <w:rPr>
                <w:b/>
                <w:bCs/>
              </w:rPr>
            </w:pPr>
            <w:r w:rsidRPr="00160A17">
              <w:rPr>
                <w:b/>
                <w:bCs/>
              </w:rPr>
              <w:t>Социально-экономические условия</w:t>
            </w:r>
          </w:p>
        </w:tc>
        <w:tc>
          <w:tcPr>
            <w:tcW w:w="709" w:type="dxa"/>
            <w:shd w:val="clear" w:color="auto" w:fill="auto"/>
          </w:tcPr>
          <w:p w14:paraId="0EC9F3DF" w14:textId="77777777" w:rsidR="009063C5" w:rsidRPr="002C783D" w:rsidRDefault="009063C5" w:rsidP="00BB0EDD">
            <w:pPr>
              <w:spacing w:before="40" w:after="120"/>
              <w:ind w:right="113"/>
              <w:rPr>
                <w:lang w:eastAsia="en-GB"/>
              </w:rPr>
            </w:pPr>
          </w:p>
        </w:tc>
        <w:tc>
          <w:tcPr>
            <w:tcW w:w="1417" w:type="dxa"/>
            <w:shd w:val="clear" w:color="auto" w:fill="auto"/>
          </w:tcPr>
          <w:p w14:paraId="749D7BD0" w14:textId="77777777" w:rsidR="009063C5" w:rsidRPr="002C783D" w:rsidRDefault="009063C5" w:rsidP="00BB0EDD">
            <w:pPr>
              <w:spacing w:before="40" w:after="120"/>
              <w:ind w:right="113"/>
              <w:rPr>
                <w:lang w:eastAsia="en-GB"/>
              </w:rPr>
            </w:pPr>
          </w:p>
        </w:tc>
      </w:tr>
      <w:tr w:rsidR="009063C5" w:rsidRPr="002C783D" w14:paraId="689A97EB" w14:textId="77777777" w:rsidTr="00BB0EDD">
        <w:tc>
          <w:tcPr>
            <w:tcW w:w="5245" w:type="dxa"/>
            <w:shd w:val="clear" w:color="auto" w:fill="auto"/>
          </w:tcPr>
          <w:p w14:paraId="2090C870" w14:textId="32139F8E" w:rsidR="009063C5" w:rsidRPr="00F50875" w:rsidRDefault="00FE1F38" w:rsidP="00BB0EDD">
            <w:pPr>
              <w:spacing w:before="40" w:after="120"/>
              <w:ind w:right="113"/>
              <w:rPr>
                <w:b/>
                <w:bCs/>
              </w:rPr>
            </w:pPr>
            <w:r w:rsidRPr="00160A17">
              <w:rPr>
                <w:b/>
                <w:bCs/>
              </w:rPr>
              <w:t>Образование</w:t>
            </w:r>
          </w:p>
        </w:tc>
        <w:tc>
          <w:tcPr>
            <w:tcW w:w="709" w:type="dxa"/>
            <w:shd w:val="clear" w:color="auto" w:fill="auto"/>
          </w:tcPr>
          <w:p w14:paraId="6D663B77" w14:textId="77777777" w:rsidR="009063C5" w:rsidRPr="002C783D" w:rsidRDefault="009063C5" w:rsidP="00BB0EDD">
            <w:pPr>
              <w:spacing w:before="40" w:after="120"/>
              <w:ind w:right="113"/>
              <w:rPr>
                <w:lang w:eastAsia="en-GB"/>
              </w:rPr>
            </w:pPr>
          </w:p>
        </w:tc>
        <w:tc>
          <w:tcPr>
            <w:tcW w:w="1417" w:type="dxa"/>
            <w:shd w:val="clear" w:color="auto" w:fill="auto"/>
          </w:tcPr>
          <w:p w14:paraId="060428B7" w14:textId="77777777" w:rsidR="009063C5" w:rsidRPr="002C783D" w:rsidRDefault="009063C5" w:rsidP="00BB0EDD">
            <w:pPr>
              <w:spacing w:before="40" w:after="120"/>
              <w:ind w:right="113"/>
              <w:rPr>
                <w:lang w:eastAsia="en-GB"/>
              </w:rPr>
            </w:pPr>
          </w:p>
        </w:tc>
      </w:tr>
      <w:tr w:rsidR="009063C5" w:rsidRPr="009063C5" w14:paraId="26D6F7C1" w14:textId="77777777" w:rsidTr="00BB0EDD">
        <w:tc>
          <w:tcPr>
            <w:tcW w:w="5245" w:type="dxa"/>
            <w:shd w:val="clear" w:color="auto" w:fill="auto"/>
          </w:tcPr>
          <w:p w14:paraId="0DC30F5B" w14:textId="1C080560" w:rsidR="009063C5" w:rsidRPr="00F50875" w:rsidRDefault="00FE1F38" w:rsidP="00BB0EDD">
            <w:pPr>
              <w:spacing w:before="40" w:after="120"/>
              <w:ind w:right="113"/>
              <w:rPr>
                <w:b/>
                <w:bCs/>
                <w:lang w:val="fr-FR"/>
              </w:rPr>
            </w:pPr>
            <w:r w:rsidRPr="00160A17">
              <w:rPr>
                <w:b/>
                <w:bCs/>
              </w:rPr>
              <w:t>Занятость (включая качество)]</w:t>
            </w:r>
          </w:p>
        </w:tc>
        <w:tc>
          <w:tcPr>
            <w:tcW w:w="709" w:type="dxa"/>
            <w:shd w:val="clear" w:color="auto" w:fill="auto"/>
          </w:tcPr>
          <w:p w14:paraId="0F30C8A3" w14:textId="77777777" w:rsidR="009063C5" w:rsidRPr="00826B11" w:rsidRDefault="009063C5" w:rsidP="00BB0EDD">
            <w:pPr>
              <w:spacing w:before="40" w:after="120"/>
              <w:ind w:right="113"/>
              <w:rPr>
                <w:lang w:val="fr-FR" w:eastAsia="en-GB"/>
              </w:rPr>
            </w:pPr>
          </w:p>
        </w:tc>
        <w:tc>
          <w:tcPr>
            <w:tcW w:w="1417" w:type="dxa"/>
            <w:shd w:val="clear" w:color="auto" w:fill="auto"/>
          </w:tcPr>
          <w:p w14:paraId="5D8DDFFE" w14:textId="77777777" w:rsidR="009063C5" w:rsidRPr="00826B11" w:rsidRDefault="009063C5" w:rsidP="00BB0EDD">
            <w:pPr>
              <w:spacing w:before="40" w:after="120"/>
              <w:ind w:right="113"/>
              <w:rPr>
                <w:lang w:val="fr-FR" w:eastAsia="en-GB"/>
              </w:rPr>
            </w:pPr>
          </w:p>
        </w:tc>
      </w:tr>
      <w:tr w:rsidR="009063C5" w:rsidRPr="002C783D" w14:paraId="668A04C5" w14:textId="77777777" w:rsidTr="00BB0EDD">
        <w:tc>
          <w:tcPr>
            <w:tcW w:w="5245" w:type="dxa"/>
            <w:shd w:val="clear" w:color="auto" w:fill="auto"/>
          </w:tcPr>
          <w:p w14:paraId="1FEB70D8" w14:textId="4BD98866" w:rsidR="009063C5" w:rsidRPr="00F50875" w:rsidRDefault="00FE1F38" w:rsidP="00BB0EDD">
            <w:pPr>
              <w:spacing w:before="40" w:after="120"/>
              <w:ind w:right="113"/>
              <w:rPr>
                <w:b/>
                <w:bCs/>
              </w:rPr>
            </w:pPr>
            <w:r w:rsidRPr="00160A17">
              <w:rPr>
                <w:b/>
                <w:bCs/>
              </w:rPr>
              <w:t>Состояние окружающей среды</w:t>
            </w:r>
          </w:p>
        </w:tc>
        <w:tc>
          <w:tcPr>
            <w:tcW w:w="709" w:type="dxa"/>
            <w:shd w:val="clear" w:color="auto" w:fill="auto"/>
          </w:tcPr>
          <w:p w14:paraId="2654DE1F" w14:textId="77777777" w:rsidR="009063C5" w:rsidRPr="002C783D" w:rsidRDefault="009063C5" w:rsidP="00BB0EDD">
            <w:pPr>
              <w:spacing w:before="40" w:after="120"/>
              <w:ind w:right="113"/>
              <w:rPr>
                <w:lang w:eastAsia="en-GB"/>
              </w:rPr>
            </w:pPr>
          </w:p>
        </w:tc>
        <w:tc>
          <w:tcPr>
            <w:tcW w:w="1417" w:type="dxa"/>
            <w:shd w:val="clear" w:color="auto" w:fill="auto"/>
          </w:tcPr>
          <w:p w14:paraId="20DA01F6" w14:textId="77777777" w:rsidR="009063C5" w:rsidRPr="002C783D" w:rsidRDefault="009063C5" w:rsidP="00BB0EDD">
            <w:pPr>
              <w:spacing w:before="40" w:after="120"/>
              <w:ind w:right="113"/>
              <w:rPr>
                <w:lang w:eastAsia="en-GB"/>
              </w:rPr>
            </w:pPr>
          </w:p>
        </w:tc>
      </w:tr>
      <w:tr w:rsidR="009063C5" w:rsidRPr="002C783D" w14:paraId="28E2D2F5" w14:textId="77777777" w:rsidTr="00BB0EDD">
        <w:tc>
          <w:tcPr>
            <w:tcW w:w="5245" w:type="dxa"/>
            <w:shd w:val="clear" w:color="auto" w:fill="auto"/>
          </w:tcPr>
          <w:p w14:paraId="57E5E191" w14:textId="2B341627" w:rsidR="009063C5" w:rsidRPr="00F50875" w:rsidRDefault="00FE1F38" w:rsidP="00BB0EDD">
            <w:pPr>
              <w:spacing w:before="40" w:after="120"/>
              <w:ind w:right="113"/>
              <w:rPr>
                <w:b/>
                <w:bCs/>
              </w:rPr>
            </w:pPr>
            <w:r w:rsidRPr="00160A17">
              <w:rPr>
                <w:b/>
                <w:bCs/>
              </w:rPr>
              <w:t>Качество воздуха</w:t>
            </w:r>
          </w:p>
        </w:tc>
        <w:tc>
          <w:tcPr>
            <w:tcW w:w="709" w:type="dxa"/>
            <w:shd w:val="clear" w:color="auto" w:fill="auto"/>
          </w:tcPr>
          <w:p w14:paraId="290B5603" w14:textId="77777777" w:rsidR="009063C5" w:rsidRPr="002C783D" w:rsidRDefault="009063C5" w:rsidP="00BB0EDD">
            <w:pPr>
              <w:spacing w:before="40" w:after="120"/>
              <w:ind w:right="113"/>
              <w:rPr>
                <w:lang w:eastAsia="en-GB"/>
              </w:rPr>
            </w:pPr>
          </w:p>
        </w:tc>
        <w:tc>
          <w:tcPr>
            <w:tcW w:w="1417" w:type="dxa"/>
            <w:shd w:val="clear" w:color="auto" w:fill="auto"/>
          </w:tcPr>
          <w:p w14:paraId="32EF7EDE" w14:textId="77777777" w:rsidR="009063C5" w:rsidRPr="002C783D" w:rsidRDefault="009063C5" w:rsidP="00BB0EDD">
            <w:pPr>
              <w:spacing w:before="40" w:after="120"/>
              <w:ind w:right="113"/>
              <w:rPr>
                <w:lang w:eastAsia="en-GB"/>
              </w:rPr>
            </w:pPr>
          </w:p>
        </w:tc>
      </w:tr>
      <w:tr w:rsidR="009063C5" w:rsidRPr="00FE1F38" w14:paraId="33B2209F" w14:textId="77777777" w:rsidTr="00BB0EDD">
        <w:tc>
          <w:tcPr>
            <w:tcW w:w="5245" w:type="dxa"/>
            <w:shd w:val="clear" w:color="auto" w:fill="auto"/>
          </w:tcPr>
          <w:p w14:paraId="20C3BF59" w14:textId="0C51B4D3" w:rsidR="009063C5" w:rsidRPr="00FE1F38" w:rsidRDefault="00FE1F38" w:rsidP="00BB0EDD">
            <w:pPr>
              <w:spacing w:before="40" w:after="120"/>
              <w:ind w:right="113"/>
              <w:rPr>
                <w:b/>
                <w:bCs/>
              </w:rPr>
            </w:pPr>
            <w:r w:rsidRPr="00160A17">
              <w:rPr>
                <w:b/>
                <w:bCs/>
              </w:rPr>
              <w:t>Вода</w:t>
            </w:r>
          </w:p>
          <w:p w14:paraId="1090719B" w14:textId="58F89F20" w:rsidR="009063C5" w:rsidRPr="00FE1F38" w:rsidRDefault="00FE1F38" w:rsidP="00BB0EDD">
            <w:pPr>
              <w:spacing w:before="40" w:after="120"/>
              <w:ind w:right="113"/>
              <w:rPr>
                <w:b/>
                <w:bCs/>
              </w:rPr>
            </w:pPr>
            <w:r w:rsidRPr="00160A17">
              <w:rPr>
                <w:b/>
                <w:bCs/>
              </w:rPr>
              <w:t>Твердые и жидкие отходы</w:t>
            </w:r>
          </w:p>
        </w:tc>
        <w:tc>
          <w:tcPr>
            <w:tcW w:w="709" w:type="dxa"/>
            <w:shd w:val="clear" w:color="auto" w:fill="auto"/>
          </w:tcPr>
          <w:p w14:paraId="10630A99" w14:textId="77777777" w:rsidR="009063C5" w:rsidRPr="00FE1F38" w:rsidRDefault="009063C5" w:rsidP="00BB0EDD">
            <w:pPr>
              <w:spacing w:before="40" w:after="120"/>
              <w:ind w:right="113"/>
              <w:rPr>
                <w:lang w:eastAsia="en-GB"/>
              </w:rPr>
            </w:pPr>
          </w:p>
        </w:tc>
        <w:tc>
          <w:tcPr>
            <w:tcW w:w="1417" w:type="dxa"/>
            <w:shd w:val="clear" w:color="auto" w:fill="auto"/>
          </w:tcPr>
          <w:p w14:paraId="429A4767" w14:textId="77777777" w:rsidR="009063C5" w:rsidRPr="00FE1F38" w:rsidRDefault="009063C5" w:rsidP="00BB0EDD">
            <w:pPr>
              <w:spacing w:before="40" w:after="120"/>
              <w:ind w:right="113"/>
              <w:rPr>
                <w:lang w:eastAsia="en-GB"/>
              </w:rPr>
            </w:pPr>
          </w:p>
        </w:tc>
      </w:tr>
      <w:tr w:rsidR="009063C5" w:rsidRPr="002C783D" w14:paraId="19C83678" w14:textId="77777777" w:rsidTr="00BB0EDD">
        <w:tc>
          <w:tcPr>
            <w:tcW w:w="5245" w:type="dxa"/>
            <w:shd w:val="clear" w:color="auto" w:fill="auto"/>
          </w:tcPr>
          <w:p w14:paraId="539A444F" w14:textId="6BFF3432" w:rsidR="009063C5" w:rsidRPr="00F50875" w:rsidRDefault="00FE1F38" w:rsidP="00BB0EDD">
            <w:pPr>
              <w:spacing w:before="40" w:after="120"/>
              <w:ind w:right="113"/>
              <w:rPr>
                <w:b/>
                <w:bCs/>
              </w:rPr>
            </w:pPr>
            <w:r w:rsidRPr="00160A17">
              <w:rPr>
                <w:b/>
                <w:bCs/>
              </w:rPr>
              <w:t>Почва</w:t>
            </w:r>
          </w:p>
        </w:tc>
        <w:tc>
          <w:tcPr>
            <w:tcW w:w="709" w:type="dxa"/>
            <w:shd w:val="clear" w:color="auto" w:fill="auto"/>
          </w:tcPr>
          <w:p w14:paraId="603B6EA7" w14:textId="77777777" w:rsidR="009063C5" w:rsidRPr="002C783D" w:rsidRDefault="009063C5" w:rsidP="00BB0EDD">
            <w:pPr>
              <w:spacing w:before="40" w:after="120"/>
              <w:ind w:right="113"/>
              <w:rPr>
                <w:lang w:eastAsia="en-GB"/>
              </w:rPr>
            </w:pPr>
          </w:p>
        </w:tc>
        <w:tc>
          <w:tcPr>
            <w:tcW w:w="1417" w:type="dxa"/>
            <w:shd w:val="clear" w:color="auto" w:fill="auto"/>
          </w:tcPr>
          <w:p w14:paraId="6310E258" w14:textId="77777777" w:rsidR="009063C5" w:rsidRPr="002C783D" w:rsidRDefault="009063C5" w:rsidP="00BB0EDD">
            <w:pPr>
              <w:spacing w:before="40" w:after="120"/>
              <w:ind w:right="113"/>
              <w:rPr>
                <w:lang w:eastAsia="en-GB"/>
              </w:rPr>
            </w:pPr>
          </w:p>
        </w:tc>
      </w:tr>
      <w:tr w:rsidR="009063C5" w:rsidRPr="002C783D" w14:paraId="6EF34E92" w14:textId="77777777" w:rsidTr="00BB0EDD">
        <w:tc>
          <w:tcPr>
            <w:tcW w:w="5245" w:type="dxa"/>
            <w:shd w:val="clear" w:color="auto" w:fill="auto"/>
          </w:tcPr>
          <w:p w14:paraId="30DE4DAC" w14:textId="239E21D6" w:rsidR="009063C5" w:rsidRPr="00F50875" w:rsidRDefault="00FE1F38" w:rsidP="00BB0EDD">
            <w:pPr>
              <w:spacing w:before="40" w:after="120"/>
              <w:ind w:right="113"/>
              <w:rPr>
                <w:b/>
                <w:bCs/>
              </w:rPr>
            </w:pPr>
            <w:r w:rsidRPr="00160A17">
              <w:rPr>
                <w:b/>
                <w:bCs/>
              </w:rPr>
              <w:t>Шум и вибрация</w:t>
            </w:r>
          </w:p>
        </w:tc>
        <w:tc>
          <w:tcPr>
            <w:tcW w:w="709" w:type="dxa"/>
            <w:shd w:val="clear" w:color="auto" w:fill="auto"/>
          </w:tcPr>
          <w:p w14:paraId="5B567C2D" w14:textId="77777777" w:rsidR="009063C5" w:rsidRPr="002C783D" w:rsidRDefault="009063C5" w:rsidP="00BB0EDD">
            <w:pPr>
              <w:spacing w:before="40" w:after="120"/>
              <w:ind w:right="113"/>
              <w:rPr>
                <w:lang w:eastAsia="en-GB"/>
              </w:rPr>
            </w:pPr>
          </w:p>
        </w:tc>
        <w:tc>
          <w:tcPr>
            <w:tcW w:w="1417" w:type="dxa"/>
            <w:shd w:val="clear" w:color="auto" w:fill="auto"/>
          </w:tcPr>
          <w:p w14:paraId="1FE6A922" w14:textId="77777777" w:rsidR="009063C5" w:rsidRPr="002C783D" w:rsidRDefault="009063C5" w:rsidP="00BB0EDD">
            <w:pPr>
              <w:spacing w:before="40" w:after="120"/>
              <w:ind w:right="113"/>
              <w:rPr>
                <w:lang w:eastAsia="en-GB"/>
              </w:rPr>
            </w:pPr>
          </w:p>
        </w:tc>
      </w:tr>
      <w:tr w:rsidR="009063C5" w:rsidRPr="009063C5" w14:paraId="27B8DF29" w14:textId="77777777" w:rsidTr="00BB0EDD">
        <w:tc>
          <w:tcPr>
            <w:tcW w:w="5245" w:type="dxa"/>
            <w:shd w:val="clear" w:color="auto" w:fill="auto"/>
          </w:tcPr>
          <w:p w14:paraId="071A3359" w14:textId="71D8649D" w:rsidR="009063C5" w:rsidRPr="00F50875" w:rsidRDefault="00FE1F38" w:rsidP="00BB0EDD">
            <w:pPr>
              <w:spacing w:before="40" w:after="120"/>
              <w:ind w:right="113"/>
              <w:rPr>
                <w:b/>
                <w:bCs/>
                <w:lang w:val="fr-FR"/>
              </w:rPr>
            </w:pPr>
            <w:r w:rsidRPr="00160A17">
              <w:rPr>
                <w:b/>
                <w:bCs/>
              </w:rPr>
              <w:t>[Медицинское и социальное обслуживание</w:t>
            </w:r>
          </w:p>
        </w:tc>
        <w:tc>
          <w:tcPr>
            <w:tcW w:w="709" w:type="dxa"/>
            <w:shd w:val="clear" w:color="auto" w:fill="auto"/>
          </w:tcPr>
          <w:p w14:paraId="13309E00" w14:textId="77777777" w:rsidR="009063C5" w:rsidRPr="00826B11" w:rsidRDefault="009063C5" w:rsidP="00BB0EDD">
            <w:pPr>
              <w:spacing w:before="40" w:after="120"/>
              <w:ind w:right="113"/>
              <w:rPr>
                <w:lang w:val="fr-FR" w:eastAsia="en-GB"/>
              </w:rPr>
            </w:pPr>
          </w:p>
        </w:tc>
        <w:tc>
          <w:tcPr>
            <w:tcW w:w="1417" w:type="dxa"/>
            <w:shd w:val="clear" w:color="auto" w:fill="auto"/>
          </w:tcPr>
          <w:p w14:paraId="4B2A101C" w14:textId="77777777" w:rsidR="009063C5" w:rsidRPr="00826B11" w:rsidRDefault="009063C5" w:rsidP="00BB0EDD">
            <w:pPr>
              <w:spacing w:before="40" w:after="120"/>
              <w:ind w:right="113"/>
              <w:rPr>
                <w:lang w:val="fr-FR" w:eastAsia="en-GB"/>
              </w:rPr>
            </w:pPr>
          </w:p>
        </w:tc>
      </w:tr>
      <w:tr w:rsidR="009063C5" w:rsidRPr="00FE1F38" w14:paraId="4F0B5784" w14:textId="77777777" w:rsidTr="00BB0EDD">
        <w:tc>
          <w:tcPr>
            <w:tcW w:w="5245" w:type="dxa"/>
            <w:shd w:val="clear" w:color="auto" w:fill="auto"/>
          </w:tcPr>
          <w:p w14:paraId="7A55EB54" w14:textId="3EB46238" w:rsidR="009063C5" w:rsidRPr="00FE1F38" w:rsidRDefault="00FE1F38" w:rsidP="00BB0EDD">
            <w:pPr>
              <w:spacing w:before="40" w:after="120"/>
              <w:ind w:right="113"/>
              <w:rPr>
                <w:b/>
                <w:bCs/>
              </w:rPr>
            </w:pPr>
            <w:r w:rsidRPr="00160A17">
              <w:rPr>
                <w:b/>
                <w:bCs/>
              </w:rPr>
              <w:t>Доступ к медицинским и социальным</w:t>
            </w:r>
            <w:r>
              <w:rPr>
                <w:b/>
                <w:bCs/>
              </w:rPr>
              <w:br/>
            </w:r>
            <w:r w:rsidRPr="00160A17">
              <w:rPr>
                <w:b/>
                <w:bCs/>
              </w:rPr>
              <w:t>мероприятиям и</w:t>
            </w:r>
            <w:r>
              <w:rPr>
                <w:b/>
                <w:bCs/>
              </w:rPr>
              <w:t> </w:t>
            </w:r>
            <w:r w:rsidRPr="00160A17">
              <w:rPr>
                <w:b/>
                <w:bCs/>
              </w:rPr>
              <w:t>услугам</w:t>
            </w:r>
          </w:p>
        </w:tc>
        <w:tc>
          <w:tcPr>
            <w:tcW w:w="709" w:type="dxa"/>
            <w:shd w:val="clear" w:color="auto" w:fill="auto"/>
          </w:tcPr>
          <w:p w14:paraId="4D31E1A3" w14:textId="77777777" w:rsidR="009063C5" w:rsidRPr="00FE1F38" w:rsidRDefault="009063C5" w:rsidP="00BB0EDD">
            <w:pPr>
              <w:spacing w:before="40" w:after="120"/>
              <w:ind w:right="113"/>
              <w:rPr>
                <w:lang w:eastAsia="en-GB"/>
              </w:rPr>
            </w:pPr>
          </w:p>
        </w:tc>
        <w:tc>
          <w:tcPr>
            <w:tcW w:w="1417" w:type="dxa"/>
            <w:shd w:val="clear" w:color="auto" w:fill="auto"/>
          </w:tcPr>
          <w:p w14:paraId="0DAA0841" w14:textId="77777777" w:rsidR="009063C5" w:rsidRPr="00FE1F38" w:rsidRDefault="009063C5" w:rsidP="00BB0EDD">
            <w:pPr>
              <w:spacing w:before="40" w:after="120"/>
              <w:ind w:right="113"/>
              <w:rPr>
                <w:lang w:eastAsia="en-GB"/>
              </w:rPr>
            </w:pPr>
          </w:p>
        </w:tc>
      </w:tr>
      <w:tr w:rsidR="009063C5" w:rsidRPr="009063C5" w14:paraId="049EAC3B" w14:textId="77777777" w:rsidTr="00BB0EDD">
        <w:tc>
          <w:tcPr>
            <w:tcW w:w="5245" w:type="dxa"/>
            <w:tcBorders>
              <w:bottom w:val="single" w:sz="12" w:space="0" w:color="auto"/>
            </w:tcBorders>
            <w:shd w:val="clear" w:color="auto" w:fill="auto"/>
          </w:tcPr>
          <w:p w14:paraId="01293BBF" w14:textId="04DC3B42" w:rsidR="009063C5" w:rsidRPr="00F50875" w:rsidRDefault="00FE1F38" w:rsidP="00BB0EDD">
            <w:pPr>
              <w:spacing w:before="40" w:after="120"/>
              <w:ind w:right="113"/>
              <w:rPr>
                <w:b/>
                <w:bCs/>
                <w:lang w:val="fr-FR"/>
              </w:rPr>
            </w:pPr>
            <w:r w:rsidRPr="00160A17">
              <w:rPr>
                <w:b/>
                <w:bCs/>
              </w:rPr>
              <w:t>Безопасность и гигиена труда]</w:t>
            </w:r>
          </w:p>
        </w:tc>
        <w:tc>
          <w:tcPr>
            <w:tcW w:w="709" w:type="dxa"/>
            <w:tcBorders>
              <w:bottom w:val="single" w:sz="12" w:space="0" w:color="auto"/>
            </w:tcBorders>
            <w:shd w:val="clear" w:color="auto" w:fill="auto"/>
          </w:tcPr>
          <w:p w14:paraId="25E5CB3B" w14:textId="77777777" w:rsidR="009063C5" w:rsidRPr="00826B11" w:rsidRDefault="009063C5" w:rsidP="00BB0EDD">
            <w:pPr>
              <w:spacing w:before="40" w:after="120"/>
              <w:ind w:right="113"/>
              <w:rPr>
                <w:lang w:val="fr-FR" w:eastAsia="en-GB"/>
              </w:rPr>
            </w:pPr>
          </w:p>
        </w:tc>
        <w:tc>
          <w:tcPr>
            <w:tcW w:w="1417" w:type="dxa"/>
            <w:tcBorders>
              <w:bottom w:val="single" w:sz="12" w:space="0" w:color="auto"/>
            </w:tcBorders>
            <w:shd w:val="clear" w:color="auto" w:fill="auto"/>
          </w:tcPr>
          <w:p w14:paraId="7BB25CCA" w14:textId="77777777" w:rsidR="009063C5" w:rsidRPr="00826B11" w:rsidRDefault="009063C5" w:rsidP="00BB0EDD">
            <w:pPr>
              <w:spacing w:before="40" w:after="120"/>
              <w:ind w:right="113"/>
              <w:rPr>
                <w:lang w:val="fr-FR" w:eastAsia="en-GB"/>
              </w:rPr>
            </w:pPr>
          </w:p>
        </w:tc>
      </w:tr>
    </w:tbl>
    <w:p w14:paraId="66C45052" w14:textId="123B92C9" w:rsidR="00160A17" w:rsidRPr="00160A17" w:rsidRDefault="00160A17" w:rsidP="00FE1F38">
      <w:pPr>
        <w:pStyle w:val="SingleTxtG"/>
        <w:spacing w:before="120" w:line="220" w:lineRule="exact"/>
        <w:ind w:firstLine="170"/>
        <w:jc w:val="left"/>
        <w:rPr>
          <w:sz w:val="18"/>
          <w:szCs w:val="18"/>
          <w:lang w:val="en-GB"/>
        </w:rPr>
      </w:pPr>
      <w:r w:rsidRPr="00160A17">
        <w:rPr>
          <w:i/>
          <w:iCs/>
          <w:sz w:val="18"/>
          <w:szCs w:val="18"/>
        </w:rPr>
        <w:t>Источник</w:t>
      </w:r>
      <w:r w:rsidRPr="00160A17">
        <w:rPr>
          <w:i/>
          <w:iCs/>
          <w:sz w:val="18"/>
          <w:szCs w:val="18"/>
          <w:lang w:val="en-US"/>
        </w:rPr>
        <w:t>:</w:t>
      </w:r>
      <w:r w:rsidRPr="00160A17">
        <w:rPr>
          <w:sz w:val="18"/>
          <w:szCs w:val="18"/>
          <w:lang w:val="en-US"/>
        </w:rPr>
        <w:t xml:space="preserve"> </w:t>
      </w:r>
      <w:r w:rsidR="00FE1F38" w:rsidRPr="00FE1F38">
        <w:rPr>
          <w:sz w:val="18"/>
          <w:szCs w:val="18"/>
        </w:rPr>
        <w:t>П</w:t>
      </w:r>
      <w:r w:rsidRPr="00160A17">
        <w:rPr>
          <w:sz w:val="18"/>
          <w:szCs w:val="18"/>
        </w:rPr>
        <w:t>о</w:t>
      </w:r>
      <w:r w:rsidRPr="00160A17">
        <w:rPr>
          <w:sz w:val="18"/>
          <w:szCs w:val="18"/>
          <w:lang w:val="en-US"/>
        </w:rPr>
        <w:t xml:space="preserve"> </w:t>
      </w:r>
      <w:r w:rsidRPr="00160A17">
        <w:rPr>
          <w:sz w:val="18"/>
          <w:szCs w:val="18"/>
        </w:rPr>
        <w:t>материалам</w:t>
      </w:r>
      <w:r w:rsidRPr="00160A17">
        <w:rPr>
          <w:sz w:val="18"/>
          <w:szCs w:val="18"/>
          <w:lang w:val="en-US"/>
        </w:rPr>
        <w:t xml:space="preserve"> J. Nowacki, </w:t>
      </w:r>
      <w:r w:rsidRPr="00160A17">
        <w:rPr>
          <w:i/>
          <w:iCs/>
          <w:sz w:val="18"/>
          <w:szCs w:val="18"/>
          <w:lang w:val="en-US"/>
        </w:rPr>
        <w:t>The Integration of health into environmental assessment – with a special focus on strategic environmental assessment</w:t>
      </w:r>
      <w:r w:rsidRPr="00160A17">
        <w:rPr>
          <w:sz w:val="18"/>
          <w:szCs w:val="18"/>
          <w:lang w:val="en-US"/>
        </w:rPr>
        <w:t xml:space="preserve">, PhD dissertation, Bielefeld University, Germany, (Copenhagen, WHO Regional Office for Europe, 2018). </w:t>
      </w:r>
    </w:p>
    <w:p w14:paraId="144A5A98" w14:textId="77777777" w:rsidR="00160A17" w:rsidRPr="00160A17" w:rsidRDefault="00160A17" w:rsidP="00160A17">
      <w:pPr>
        <w:pStyle w:val="SingleTxtG"/>
      </w:pPr>
      <w:r w:rsidRPr="00160A17">
        <w:t>53.</w:t>
      </w:r>
      <w:r w:rsidRPr="00160A17">
        <w:tab/>
        <w:t>Процедуру и обоснование определения основных детерминантов здоровья, имеющих отношение к предполагаемым (и потенциально непредвиденным) последствиям того или иного плана или программы, можно получить путем рассмотрения простой модели, основанной на взаимосвязи между источником, путем и объектом воздействия</w:t>
      </w:r>
      <w:r w:rsidRPr="00160A17">
        <w:rPr>
          <w:sz w:val="18"/>
          <w:szCs w:val="18"/>
          <w:vertAlign w:val="superscript"/>
        </w:rPr>
        <w:footnoteReference w:id="26"/>
      </w:r>
      <w:r w:rsidRPr="00160A17">
        <w:t>. Такой подход применим в ситуациях, когда существует ясность в отношении предполагаемого изменения (источника), путей воздействия и затрагиваемой группы населения (объекта воздействия).</w:t>
      </w:r>
      <w:bookmarkStart w:id="10" w:name="_Hlk31893732"/>
      <w:bookmarkEnd w:id="10"/>
    </w:p>
    <w:p w14:paraId="038235EA" w14:textId="77777777" w:rsidR="00160A17" w:rsidRPr="00160A17" w:rsidRDefault="00160A17" w:rsidP="00160A17">
      <w:pPr>
        <w:pStyle w:val="SingleTxtG"/>
      </w:pPr>
      <w:r w:rsidRPr="00160A17">
        <w:t>54.</w:t>
      </w:r>
      <w:r w:rsidRPr="00160A17">
        <w:tab/>
        <w:t xml:space="preserve">Однако могут возникать ситуации, когда применение простого подхода (источник–путь–объект воздействия) невозможно, особенно при наличии более высоких уровней сложности и неопределенности. В таких ситуациях более подходящим может быть изложенный ниже рамочный подход, основанный на следующей последовательности: «движущая сила, давление, состояние, воздействие, последствия, меры». </w:t>
      </w:r>
    </w:p>
    <w:p w14:paraId="355B0A6E" w14:textId="77777777" w:rsidR="00160A17" w:rsidRPr="00160A17" w:rsidRDefault="00160A17" w:rsidP="00FE1F38">
      <w:pPr>
        <w:pStyle w:val="H4G"/>
      </w:pPr>
      <w:r w:rsidRPr="00160A17">
        <w:tab/>
      </w:r>
      <w:r w:rsidRPr="00160A17">
        <w:tab/>
        <w:t>Рамочный подход «движущая сила, давление, состояние, воздействие, последствия, меры»</w:t>
      </w:r>
    </w:p>
    <w:p w14:paraId="00ABEF30" w14:textId="1381E75A" w:rsidR="00160A17" w:rsidRPr="00160A17" w:rsidRDefault="00160A17" w:rsidP="00160A17">
      <w:pPr>
        <w:pStyle w:val="SingleTxtG"/>
      </w:pPr>
      <w:r w:rsidRPr="00160A17">
        <w:lastRenderedPageBreak/>
        <w:t>55.</w:t>
      </w:r>
      <w:r w:rsidRPr="00160A17">
        <w:tab/>
        <w:t>Рамочный подход «движущая сила, давление, состояние, воздействие, последствия, меры»</w:t>
      </w:r>
      <w:r w:rsidRPr="00160A17">
        <w:rPr>
          <w:sz w:val="18"/>
          <w:szCs w:val="18"/>
          <w:vertAlign w:val="superscript"/>
        </w:rPr>
        <w:footnoteReference w:id="27"/>
      </w:r>
      <w:r w:rsidRPr="00160A17">
        <w:t xml:space="preserve"> позволяет проследить взаимосвязь между последствиями для здоровья и другими факторами в обществе. Этот рамочный подход может: показать, как планы и программы (и, при необходимости, политика и законодательство в соответствии со статьей 13 Протокола) отражаются на здоровье общины и всего населения; служить в качестве простого инструмента для использования специалистами по оценке или в ходе рабочих совещаний для определения путей или концептуальной карты, показывающих, как изменения в детерминантах</w:t>
      </w:r>
      <w:r w:rsidR="00FE1F38">
        <w:br/>
      </w:r>
      <w:r w:rsidRPr="00160A17">
        <w:t>здоровья (см. таблицу 2 выше) могут приводить к изменениям в последствиях для здоровья; и использоваться для картирования потенциальных изменений в области здоровья и определения мер по смягчению последствий.</w:t>
      </w:r>
    </w:p>
    <w:p w14:paraId="5F03B404" w14:textId="77777777" w:rsidR="00160A17" w:rsidRPr="00160A17" w:rsidRDefault="00160A17" w:rsidP="00160A17">
      <w:pPr>
        <w:pStyle w:val="SingleTxtG"/>
      </w:pPr>
      <w:r w:rsidRPr="00160A17">
        <w:t>56.</w:t>
      </w:r>
      <w:r w:rsidRPr="00160A17">
        <w:tab/>
        <w:t xml:space="preserve">Движущими силами в контексте планов и программ могут, в зависимости от плана или программы, быть рост численности населения, экономическое развитие и технический прогресс в стране, регионе или населенном пункте. Далее может возникать давление (основная причина воздействия), обусловленное моделями производства и потребления и связанное с отходами и выбросами. Для понимания его последствий важно знать, например, о состоянии здоровья населения и существующих природных ресурсах и опасностях, а также о существующих уровнях загрязнения. Затем необходимо учитывать подверженность рискам для здоровья (например, потенциал абсорбции и приемлемые дозы/нагрузки). Эти показатели могут позволить оценить последствия для здоровья (в отношении благополучия, заболеваемости и смертности). </w:t>
      </w:r>
    </w:p>
    <w:p w14:paraId="2C1DE468" w14:textId="77777777" w:rsidR="00160A17" w:rsidRPr="00160A17" w:rsidRDefault="00160A17" w:rsidP="00160A17">
      <w:pPr>
        <w:pStyle w:val="SingleTxtG"/>
      </w:pPr>
      <w:r w:rsidRPr="00160A17">
        <w:t>57.</w:t>
      </w:r>
      <w:r w:rsidRPr="00160A17">
        <w:tab/>
        <w:t>В таблице 3 ниже определены возможные пути применения данного подхода. Определение в рамках каждого этапа этого подхода информации, относящейся к тому или иному плану или программе, позволяет получить наглядное представление о потенциальных последствиях и возможностях, а также о способах смягчения негативных последствий.</w:t>
      </w:r>
    </w:p>
    <w:p w14:paraId="7D0424D6" w14:textId="5A9572F1" w:rsidR="00160A17" w:rsidRPr="00160A17" w:rsidRDefault="00FE1F38" w:rsidP="00FE1F38">
      <w:pPr>
        <w:pStyle w:val="H23G"/>
      </w:pPr>
      <w:r w:rsidRPr="00FE1F38">
        <w:rPr>
          <w:b w:val="0"/>
          <w:bCs/>
        </w:rPr>
        <w:tab/>
      </w:r>
      <w:r w:rsidRPr="00FE1F38">
        <w:rPr>
          <w:b w:val="0"/>
          <w:bCs/>
        </w:rPr>
        <w:tab/>
      </w:r>
      <w:r w:rsidR="00160A17" w:rsidRPr="00FE1F38">
        <w:rPr>
          <w:b w:val="0"/>
          <w:bCs/>
        </w:rPr>
        <w:t>Таблица 3</w:t>
      </w:r>
      <w:r w:rsidRPr="00FE1F38">
        <w:rPr>
          <w:b w:val="0"/>
          <w:bCs/>
        </w:rPr>
        <w:br/>
      </w:r>
      <w:r w:rsidR="00160A17" w:rsidRPr="00160A17">
        <w:t>Использование рамочного подхода «движущая сила, давление, состояние, воздействие, последствия, меры»</w:t>
      </w:r>
    </w:p>
    <w:tbl>
      <w:tblPr>
        <w:tblW w:w="8504" w:type="dxa"/>
        <w:tblInd w:w="1134" w:type="dxa"/>
        <w:tblLayout w:type="fixed"/>
        <w:tblCellMar>
          <w:left w:w="0" w:type="dxa"/>
          <w:right w:w="0" w:type="dxa"/>
        </w:tblCellMar>
        <w:tblLook w:val="04A0" w:firstRow="1" w:lastRow="0" w:firstColumn="1" w:lastColumn="0" w:noHBand="0" w:noVBand="1"/>
      </w:tblPr>
      <w:tblGrid>
        <w:gridCol w:w="1188"/>
        <w:gridCol w:w="7316"/>
      </w:tblGrid>
      <w:tr w:rsidR="00160A17" w:rsidRPr="00160A17" w14:paraId="7319CD85" w14:textId="77777777" w:rsidTr="00BB0EDD">
        <w:trPr>
          <w:tblHeader/>
        </w:trPr>
        <w:tc>
          <w:tcPr>
            <w:tcW w:w="1188" w:type="dxa"/>
            <w:tcBorders>
              <w:top w:val="single" w:sz="4" w:space="0" w:color="auto"/>
              <w:bottom w:val="single" w:sz="12" w:space="0" w:color="auto"/>
            </w:tcBorders>
            <w:shd w:val="clear" w:color="auto" w:fill="auto"/>
            <w:vAlign w:val="bottom"/>
            <w:hideMark/>
          </w:tcPr>
          <w:p w14:paraId="230624D3" w14:textId="53F3EE2A" w:rsidR="00160A17" w:rsidRPr="00160A17" w:rsidRDefault="00160A17" w:rsidP="00FE1F38">
            <w:pPr>
              <w:pStyle w:val="SingleTxtG"/>
              <w:spacing w:before="80" w:after="80" w:line="200" w:lineRule="exact"/>
              <w:ind w:left="0" w:right="0"/>
              <w:rPr>
                <w:i/>
                <w:sz w:val="16"/>
                <w:szCs w:val="16"/>
                <w:lang w:val="en-GB"/>
              </w:rPr>
            </w:pPr>
            <w:r w:rsidRPr="00160A17">
              <w:rPr>
                <w:i/>
                <w:iCs/>
                <w:sz w:val="16"/>
                <w:szCs w:val="16"/>
              </w:rPr>
              <w:t>Этап</w:t>
            </w:r>
          </w:p>
        </w:tc>
        <w:tc>
          <w:tcPr>
            <w:tcW w:w="7316" w:type="dxa"/>
            <w:tcBorders>
              <w:top w:val="single" w:sz="4" w:space="0" w:color="auto"/>
              <w:bottom w:val="single" w:sz="12" w:space="0" w:color="auto"/>
            </w:tcBorders>
            <w:shd w:val="clear" w:color="auto" w:fill="auto"/>
            <w:vAlign w:val="bottom"/>
            <w:hideMark/>
          </w:tcPr>
          <w:p w14:paraId="3DBF6887" w14:textId="2AF834FC" w:rsidR="00160A17" w:rsidRPr="00160A17" w:rsidRDefault="00160A17" w:rsidP="00FE1F38">
            <w:pPr>
              <w:pStyle w:val="SingleTxtG"/>
              <w:spacing w:before="80" w:after="80" w:line="200" w:lineRule="exact"/>
              <w:ind w:left="231" w:right="0"/>
              <w:rPr>
                <w:i/>
                <w:sz w:val="16"/>
                <w:szCs w:val="16"/>
              </w:rPr>
            </w:pPr>
            <w:r w:rsidRPr="00160A17">
              <w:rPr>
                <w:i/>
                <w:iCs/>
                <w:sz w:val="16"/>
                <w:szCs w:val="16"/>
                <w:lang w:val="en-GB"/>
              </w:rPr>
              <w:t>Описани</w:t>
            </w:r>
            <w:r w:rsidR="00FE1F38" w:rsidRPr="00FE1F38">
              <w:rPr>
                <w:i/>
                <w:iCs/>
                <w:sz w:val="16"/>
                <w:szCs w:val="16"/>
              </w:rPr>
              <w:t>е</w:t>
            </w:r>
          </w:p>
        </w:tc>
      </w:tr>
      <w:tr w:rsidR="00160A17" w:rsidRPr="00160A17" w14:paraId="4C6BC251" w14:textId="77777777" w:rsidTr="00BB0EDD">
        <w:trPr>
          <w:trHeight w:hRule="exact" w:val="113"/>
          <w:tblHeader/>
        </w:trPr>
        <w:tc>
          <w:tcPr>
            <w:tcW w:w="1188" w:type="dxa"/>
            <w:tcBorders>
              <w:top w:val="single" w:sz="12" w:space="0" w:color="auto"/>
            </w:tcBorders>
            <w:shd w:val="clear" w:color="auto" w:fill="auto"/>
          </w:tcPr>
          <w:p w14:paraId="3FEE5649" w14:textId="77777777" w:rsidR="00160A17" w:rsidRPr="00160A17" w:rsidRDefault="00160A17" w:rsidP="00FE1F38">
            <w:pPr>
              <w:pStyle w:val="SingleTxtG"/>
              <w:ind w:left="0" w:right="0"/>
              <w:rPr>
                <w:b/>
                <w:bCs/>
                <w:lang w:val="en-GB"/>
              </w:rPr>
            </w:pPr>
          </w:p>
        </w:tc>
        <w:tc>
          <w:tcPr>
            <w:tcW w:w="7316" w:type="dxa"/>
            <w:tcBorders>
              <w:top w:val="single" w:sz="12" w:space="0" w:color="auto"/>
            </w:tcBorders>
            <w:shd w:val="clear" w:color="auto" w:fill="auto"/>
          </w:tcPr>
          <w:p w14:paraId="357108CF" w14:textId="77777777" w:rsidR="00160A17" w:rsidRPr="00160A17" w:rsidRDefault="00160A17" w:rsidP="00FE1F38">
            <w:pPr>
              <w:pStyle w:val="SingleTxtG"/>
              <w:ind w:left="231" w:right="0"/>
              <w:rPr>
                <w:b/>
                <w:bCs/>
                <w:lang w:val="en-GB"/>
              </w:rPr>
            </w:pPr>
          </w:p>
        </w:tc>
      </w:tr>
      <w:tr w:rsidR="00160A17" w:rsidRPr="00160A17" w14:paraId="386EB862" w14:textId="77777777" w:rsidTr="00BB0EDD">
        <w:tc>
          <w:tcPr>
            <w:tcW w:w="1188" w:type="dxa"/>
            <w:shd w:val="clear" w:color="auto" w:fill="auto"/>
            <w:hideMark/>
          </w:tcPr>
          <w:p w14:paraId="5D0A8473" w14:textId="77777777" w:rsidR="00160A17" w:rsidRPr="00160A17" w:rsidRDefault="00160A17" w:rsidP="00D97BC5">
            <w:pPr>
              <w:pStyle w:val="SingleTxtG"/>
              <w:spacing w:after="100" w:line="234" w:lineRule="atLeast"/>
              <w:ind w:left="0" w:right="0"/>
              <w:rPr>
                <w:b/>
                <w:bCs/>
                <w:lang w:val="en-GB"/>
              </w:rPr>
            </w:pPr>
            <w:r w:rsidRPr="00160A17">
              <w:rPr>
                <w:b/>
                <w:bCs/>
              </w:rPr>
              <w:t>Движущая сила</w:t>
            </w:r>
          </w:p>
        </w:tc>
        <w:tc>
          <w:tcPr>
            <w:tcW w:w="7316" w:type="dxa"/>
            <w:shd w:val="clear" w:color="auto" w:fill="auto"/>
            <w:hideMark/>
          </w:tcPr>
          <w:p w14:paraId="7788269C" w14:textId="77777777" w:rsidR="00160A17" w:rsidRPr="00160A17" w:rsidRDefault="00160A17" w:rsidP="00D97BC5">
            <w:pPr>
              <w:pStyle w:val="SingleTxtG"/>
              <w:spacing w:after="100" w:line="234" w:lineRule="atLeast"/>
              <w:ind w:left="231" w:right="0"/>
              <w:jc w:val="left"/>
            </w:pPr>
            <w:r w:rsidRPr="00160A17">
              <w:t xml:space="preserve">Ряд факторов на макроуровне в конечном счете влияет на здоровье человека, например: </w:t>
            </w:r>
          </w:p>
          <w:p w14:paraId="3D3E3206" w14:textId="77777777" w:rsidR="00160A17" w:rsidRPr="00160A17" w:rsidRDefault="00160A17" w:rsidP="00D97BC5">
            <w:pPr>
              <w:pStyle w:val="SingleTxtG"/>
              <w:spacing w:after="100" w:line="234" w:lineRule="atLeast"/>
              <w:ind w:left="231" w:right="0"/>
              <w:jc w:val="left"/>
            </w:pPr>
            <w:r w:rsidRPr="00160A17">
              <w:t xml:space="preserve">[Глобальная, национальная, региональная и местная экономика будет косвенно воздействовать на здоровье человека через влияние на уровень дохода и его распределение.] </w:t>
            </w:r>
          </w:p>
          <w:p w14:paraId="1611D3B1" w14:textId="77777777" w:rsidR="00160A17" w:rsidRPr="00160A17" w:rsidRDefault="00160A17" w:rsidP="00D97BC5">
            <w:pPr>
              <w:pStyle w:val="SingleTxtG"/>
              <w:spacing w:after="100" w:line="234" w:lineRule="atLeast"/>
              <w:ind w:left="231" w:right="0"/>
              <w:jc w:val="left"/>
            </w:pPr>
            <w:r w:rsidRPr="00160A17">
              <w:t xml:space="preserve">Изменение климата будет означать возрастание риска суровых погодных явлений, оказывающих кратко-, средне- и долгосрочное воздействие на физическое и психическое здоровье. </w:t>
            </w:r>
          </w:p>
          <w:p w14:paraId="44F2FA07" w14:textId="77777777" w:rsidR="00160A17" w:rsidRPr="00160A17" w:rsidRDefault="00160A17" w:rsidP="00D97BC5">
            <w:pPr>
              <w:pStyle w:val="SingleTxtG"/>
              <w:spacing w:after="100" w:line="234" w:lineRule="atLeast"/>
              <w:ind w:left="231" w:right="0"/>
              <w:jc w:val="left"/>
            </w:pPr>
            <w:r w:rsidRPr="00160A17">
              <w:t>[Демографические изменения будут прямо и косвенно влиять на здоровье и благополучие через изменения в возрастной структуре и структуре занятости рабочей силы, что означает, что людям придется работать до более старшего возраста, а меньшее по численности занятое население должно будет обеспечивать большее число неработающих.]</w:t>
            </w:r>
          </w:p>
        </w:tc>
      </w:tr>
      <w:tr w:rsidR="00160A17" w:rsidRPr="00160A17" w14:paraId="01296585" w14:textId="77777777" w:rsidTr="00BB0EDD">
        <w:tc>
          <w:tcPr>
            <w:tcW w:w="1188" w:type="dxa"/>
            <w:shd w:val="clear" w:color="auto" w:fill="auto"/>
            <w:hideMark/>
          </w:tcPr>
          <w:p w14:paraId="0AA45947" w14:textId="77777777" w:rsidR="00160A17" w:rsidRPr="00160A17" w:rsidRDefault="00160A17" w:rsidP="00D97BC5">
            <w:pPr>
              <w:pStyle w:val="SingleTxtG"/>
              <w:spacing w:after="100" w:line="234" w:lineRule="atLeast"/>
              <w:ind w:left="0" w:right="0"/>
              <w:rPr>
                <w:b/>
                <w:bCs/>
                <w:lang w:val="en-GB"/>
              </w:rPr>
            </w:pPr>
            <w:r w:rsidRPr="00160A17">
              <w:rPr>
                <w:b/>
                <w:bCs/>
              </w:rPr>
              <w:t>Давление</w:t>
            </w:r>
          </w:p>
        </w:tc>
        <w:tc>
          <w:tcPr>
            <w:tcW w:w="7316" w:type="dxa"/>
            <w:shd w:val="clear" w:color="auto" w:fill="auto"/>
            <w:hideMark/>
          </w:tcPr>
          <w:p w14:paraId="5E01ABD1" w14:textId="77777777" w:rsidR="00160A17" w:rsidRPr="00160A17" w:rsidRDefault="00160A17" w:rsidP="00D97BC5">
            <w:pPr>
              <w:pStyle w:val="SingleTxtG"/>
              <w:spacing w:after="100" w:line="234" w:lineRule="atLeast"/>
              <w:ind w:left="231" w:right="0"/>
              <w:jc w:val="left"/>
            </w:pPr>
            <w:r w:rsidRPr="00160A17">
              <w:t xml:space="preserve">Вышеупомянутые движущие силы будут оказывать давление на социальную, экономическую и физическую среду. Давление оказывается на все секторы экономической деятельности, такие как транспорт, энергетика, жилищное хозяйство, промышленность и туризм. Это давление проявляется, среди прочего, в изменениях условий жизни, качества инфраструктуры и показателей бедности по уровню дохода. </w:t>
            </w:r>
          </w:p>
        </w:tc>
      </w:tr>
      <w:tr w:rsidR="00160A17" w:rsidRPr="00160A17" w14:paraId="075CB552" w14:textId="77777777" w:rsidTr="00BB0EDD">
        <w:tc>
          <w:tcPr>
            <w:tcW w:w="1188" w:type="dxa"/>
            <w:shd w:val="clear" w:color="auto" w:fill="auto"/>
          </w:tcPr>
          <w:p w14:paraId="2C2844B5" w14:textId="77777777" w:rsidR="00160A17" w:rsidRPr="00160A17" w:rsidRDefault="00160A17" w:rsidP="00D97BC5">
            <w:pPr>
              <w:pStyle w:val="SingleTxtG"/>
              <w:spacing w:after="100" w:line="234" w:lineRule="atLeast"/>
              <w:ind w:left="0" w:right="0"/>
              <w:rPr>
                <w:b/>
                <w:bCs/>
                <w:lang w:val="en-GB"/>
              </w:rPr>
            </w:pPr>
            <w:r w:rsidRPr="00160A17">
              <w:rPr>
                <w:b/>
                <w:bCs/>
              </w:rPr>
              <w:t>Состояние</w:t>
            </w:r>
          </w:p>
        </w:tc>
        <w:tc>
          <w:tcPr>
            <w:tcW w:w="7316" w:type="dxa"/>
            <w:shd w:val="clear" w:color="auto" w:fill="auto"/>
          </w:tcPr>
          <w:p w14:paraId="1FE09FBC" w14:textId="77777777" w:rsidR="00160A17" w:rsidRPr="00160A17" w:rsidRDefault="00160A17" w:rsidP="00D97BC5">
            <w:pPr>
              <w:pStyle w:val="SingleTxtG"/>
              <w:spacing w:after="100" w:line="234" w:lineRule="atLeast"/>
              <w:ind w:left="231" w:right="0"/>
              <w:jc w:val="left"/>
            </w:pPr>
            <w:r w:rsidRPr="00160A17">
              <w:t>Состояние (качество) социальной, экономической и физической среды зависит от этих различных видов давления, которые могут быть неблагоприятными или благоприятными. Некоторые изменения могут носить комплексный и масштабный характер (например, загрязнение всей морской среды или укрепление региональной экономики), в то время как другие могут быть более локализованными (например, загрязнение местного источника водоснабжения или воздействие, ограничивающееся только местной экономикой).</w:t>
            </w:r>
          </w:p>
        </w:tc>
      </w:tr>
      <w:tr w:rsidR="00160A17" w:rsidRPr="00160A17" w14:paraId="3BA0A3A7" w14:textId="77777777" w:rsidTr="00BB0EDD">
        <w:tc>
          <w:tcPr>
            <w:tcW w:w="1188" w:type="dxa"/>
            <w:shd w:val="clear" w:color="auto" w:fill="auto"/>
          </w:tcPr>
          <w:p w14:paraId="0AA4C799" w14:textId="77777777" w:rsidR="00160A17" w:rsidRPr="00160A17" w:rsidRDefault="00160A17" w:rsidP="00D97BC5">
            <w:pPr>
              <w:pStyle w:val="SingleTxtG"/>
              <w:spacing w:after="100" w:line="234" w:lineRule="atLeast"/>
              <w:ind w:left="0" w:right="0"/>
              <w:rPr>
                <w:b/>
                <w:bCs/>
                <w:lang w:val="en-GB"/>
              </w:rPr>
            </w:pPr>
            <w:r w:rsidRPr="00160A17">
              <w:rPr>
                <w:b/>
                <w:bCs/>
              </w:rPr>
              <w:t>Воздействие</w:t>
            </w:r>
          </w:p>
        </w:tc>
        <w:tc>
          <w:tcPr>
            <w:tcW w:w="7316" w:type="dxa"/>
            <w:shd w:val="clear" w:color="auto" w:fill="auto"/>
          </w:tcPr>
          <w:p w14:paraId="6E89E845" w14:textId="77777777" w:rsidR="00160A17" w:rsidRPr="00160A17" w:rsidRDefault="00160A17" w:rsidP="00D97BC5">
            <w:pPr>
              <w:pStyle w:val="SingleTxtG"/>
              <w:spacing w:after="100" w:line="234" w:lineRule="atLeast"/>
              <w:ind w:left="231" w:right="0"/>
              <w:jc w:val="left"/>
            </w:pPr>
            <w:r w:rsidRPr="00160A17">
              <w:t xml:space="preserve">Даже при масштабном воздействии на состояние окружающей среды здоровье и благополучие людей будут затронуты лишь в том случае, если они действительно подвергнутся воздействию какого-либо определенного состояния, полезного или вредного для них. Многие факторы определяют, будет ли человек подвергаться воздействию, например загрязнения окружающей среды. Уровни загрязнения варьируются в зависимости от места и с течением времени, а виды деятельности людей и их поведение могут влиять на степень их контакта с окружающей средой. Аналогичным образом при экономическом спаде затронутыми оказываются не все слои общества. </w:t>
            </w:r>
          </w:p>
        </w:tc>
      </w:tr>
      <w:tr w:rsidR="00160A17" w:rsidRPr="00160A17" w14:paraId="36B0C8C1" w14:textId="77777777" w:rsidTr="00BB0EDD">
        <w:tc>
          <w:tcPr>
            <w:tcW w:w="1188" w:type="dxa"/>
            <w:shd w:val="clear" w:color="auto" w:fill="auto"/>
          </w:tcPr>
          <w:p w14:paraId="1CB31436" w14:textId="77777777" w:rsidR="00160A17" w:rsidRPr="00160A17" w:rsidRDefault="00160A17" w:rsidP="00D97BC5">
            <w:pPr>
              <w:pStyle w:val="SingleTxtG"/>
              <w:spacing w:after="100" w:line="234" w:lineRule="atLeast"/>
              <w:ind w:left="0" w:right="0"/>
              <w:rPr>
                <w:b/>
                <w:bCs/>
                <w:lang w:val="en-GB"/>
              </w:rPr>
            </w:pPr>
            <w:r w:rsidRPr="00160A17">
              <w:rPr>
                <w:b/>
                <w:bCs/>
              </w:rPr>
              <w:t>Последствия</w:t>
            </w:r>
          </w:p>
        </w:tc>
        <w:tc>
          <w:tcPr>
            <w:tcW w:w="7316" w:type="dxa"/>
            <w:shd w:val="clear" w:color="auto" w:fill="auto"/>
          </w:tcPr>
          <w:p w14:paraId="1D1B2D97" w14:textId="00478059" w:rsidR="00160A17" w:rsidRPr="00160A17" w:rsidRDefault="00160A17" w:rsidP="00D97BC5">
            <w:pPr>
              <w:pStyle w:val="SingleTxtG"/>
              <w:spacing w:after="100" w:line="234" w:lineRule="atLeast"/>
              <w:ind w:left="231" w:right="0"/>
              <w:jc w:val="left"/>
            </w:pPr>
            <w:r w:rsidRPr="00160A17">
              <w:t>После того как человек подвергся воздействию опасности, последствия для его здоровья могут различаться по типу, интенсивности и величине в зависимости от вида опасности, уровня подверженности и других факторов. Вредные для здоровья последствия от воздействия окружающей среды могут быть острыми, проявляясь довольно скоро после воздействия (например</w:t>
            </w:r>
            <w:r w:rsidR="00D97BC5">
              <w:t>,</w:t>
            </w:r>
            <w:r w:rsidRPr="00160A17">
              <w:t xml:space="preserve"> от разовой большой дозы в результате аварии или разлива), или хроническими, возникающими в результате кумулятивного воздействия с течением времени. Между первоначальным воздействием и проявлением вредных для здоровья последствий может пройти значительное время, например между воздействием асбеста и мезотелиомой или между воздействием радиации и лейкемией. Из-за постепенного рассеивания членов группы риска и длительного инкубационного периода восстановление картины воздействия становится проблематичным, в результате чего острые последствия для здоровья зачастую выявляются легче, чем хронические, которые бывает трудно соотнести с конкретными опасностями или источниками. </w:t>
            </w:r>
          </w:p>
        </w:tc>
      </w:tr>
      <w:tr w:rsidR="00160A17" w:rsidRPr="00160A17" w14:paraId="7F34B078" w14:textId="77777777" w:rsidTr="00BB0EDD">
        <w:tc>
          <w:tcPr>
            <w:tcW w:w="1188" w:type="dxa"/>
            <w:tcBorders>
              <w:bottom w:val="single" w:sz="12" w:space="0" w:color="auto"/>
            </w:tcBorders>
            <w:shd w:val="clear" w:color="auto" w:fill="auto"/>
          </w:tcPr>
          <w:p w14:paraId="37127838" w14:textId="77777777" w:rsidR="00160A17" w:rsidRPr="00160A17" w:rsidRDefault="00160A17" w:rsidP="00D97BC5">
            <w:pPr>
              <w:pStyle w:val="SingleTxtG"/>
              <w:spacing w:after="100" w:line="234" w:lineRule="atLeast"/>
              <w:ind w:left="0" w:right="0"/>
              <w:rPr>
                <w:b/>
                <w:bCs/>
                <w:lang w:val="en-GB"/>
              </w:rPr>
            </w:pPr>
            <w:r w:rsidRPr="00160A17">
              <w:rPr>
                <w:b/>
                <w:bCs/>
              </w:rPr>
              <w:t>Меры</w:t>
            </w:r>
          </w:p>
        </w:tc>
        <w:tc>
          <w:tcPr>
            <w:tcW w:w="7316" w:type="dxa"/>
            <w:tcBorders>
              <w:bottom w:val="single" w:sz="12" w:space="0" w:color="auto"/>
            </w:tcBorders>
            <w:shd w:val="clear" w:color="auto" w:fill="auto"/>
          </w:tcPr>
          <w:p w14:paraId="5A9AC998" w14:textId="77777777" w:rsidR="00160A17" w:rsidRPr="00160A17" w:rsidRDefault="00160A17" w:rsidP="00D97BC5">
            <w:pPr>
              <w:pStyle w:val="SingleTxtG"/>
              <w:spacing w:after="100" w:line="234" w:lineRule="atLeast"/>
              <w:ind w:left="231" w:right="0"/>
              <w:jc w:val="left"/>
            </w:pPr>
            <w:r w:rsidRPr="00160A17">
              <w:t>Подход к контролю и предотвращению опасностей для здоровья, который сосредоточен на антропогенных опасностях, является полезным, поскольку он направлен на решение потенциально устраняемых проблем при уделении должного внимания неопределенности, которая существует в отношении степени рисков для здоровья человека, связанных с конкретными агентами в окружающей среде или с более широким процессом развития. Поэтому могут приниматься различные меры, основанные на учете характера рисков, возможности их контроля, а также степени понимания населением этих рисков и его отношения к ним.</w:t>
            </w:r>
          </w:p>
        </w:tc>
      </w:tr>
    </w:tbl>
    <w:p w14:paraId="2362ED26" w14:textId="707B3CCA" w:rsidR="00160A17" w:rsidRPr="00160A17" w:rsidRDefault="00160A17" w:rsidP="00D97BC5">
      <w:pPr>
        <w:pStyle w:val="SingleTxtG"/>
        <w:spacing w:before="120" w:after="0" w:line="220" w:lineRule="exact"/>
        <w:ind w:firstLine="170"/>
        <w:jc w:val="left"/>
        <w:rPr>
          <w:sz w:val="18"/>
          <w:szCs w:val="18"/>
          <w:lang w:val="en-GB"/>
        </w:rPr>
      </w:pPr>
      <w:r w:rsidRPr="00160A17">
        <w:rPr>
          <w:i/>
          <w:iCs/>
          <w:sz w:val="18"/>
          <w:szCs w:val="18"/>
        </w:rPr>
        <w:t>Источник</w:t>
      </w:r>
      <w:r w:rsidRPr="00160A17">
        <w:rPr>
          <w:i/>
          <w:iCs/>
          <w:sz w:val="18"/>
          <w:szCs w:val="18"/>
          <w:lang w:val="en-US"/>
        </w:rPr>
        <w:t>:</w:t>
      </w:r>
      <w:r w:rsidRPr="00160A17">
        <w:rPr>
          <w:sz w:val="18"/>
          <w:szCs w:val="18"/>
          <w:lang w:val="en-US"/>
        </w:rPr>
        <w:t xml:space="preserve"> </w:t>
      </w:r>
      <w:r w:rsidR="00D97BC5" w:rsidRPr="00D97BC5">
        <w:rPr>
          <w:sz w:val="18"/>
          <w:szCs w:val="18"/>
          <w:lang w:val="en-US"/>
        </w:rPr>
        <w:t xml:space="preserve"> </w:t>
      </w:r>
      <w:r w:rsidRPr="00160A17">
        <w:rPr>
          <w:sz w:val="18"/>
          <w:szCs w:val="18"/>
        </w:rPr>
        <w:t>По</w:t>
      </w:r>
      <w:r w:rsidRPr="00160A17">
        <w:rPr>
          <w:sz w:val="18"/>
          <w:szCs w:val="18"/>
          <w:lang w:val="en-US"/>
        </w:rPr>
        <w:t xml:space="preserve"> </w:t>
      </w:r>
      <w:r w:rsidRPr="00160A17">
        <w:rPr>
          <w:sz w:val="18"/>
          <w:szCs w:val="18"/>
        </w:rPr>
        <w:t>материалам</w:t>
      </w:r>
      <w:r w:rsidRPr="00160A17">
        <w:rPr>
          <w:sz w:val="18"/>
          <w:szCs w:val="18"/>
          <w:lang w:val="en-US"/>
        </w:rPr>
        <w:t xml:space="preserve"> Schirnding, </w:t>
      </w:r>
      <w:r w:rsidRPr="00160A17">
        <w:rPr>
          <w:i/>
          <w:iCs/>
          <w:sz w:val="18"/>
          <w:szCs w:val="18"/>
          <w:lang w:val="en-US"/>
        </w:rPr>
        <w:t>Health in Sustainable Development Planning</w:t>
      </w:r>
      <w:r w:rsidRPr="00160A17">
        <w:rPr>
          <w:sz w:val="18"/>
          <w:szCs w:val="18"/>
          <w:lang w:val="en-US"/>
        </w:rPr>
        <w:t xml:space="preserve">, chap. 7. </w:t>
      </w:r>
    </w:p>
    <w:p w14:paraId="25308088" w14:textId="77777777" w:rsidR="00160A17" w:rsidRPr="00160A17" w:rsidRDefault="00160A17" w:rsidP="00160A17">
      <w:pPr>
        <w:pStyle w:val="SingleTxtG"/>
      </w:pPr>
      <w:r w:rsidRPr="00160A17">
        <w:t>58.</w:t>
      </w:r>
      <w:r w:rsidRPr="00160A17">
        <w:tab/>
        <w:t>Рамочный подход «движущая сила, давление, состояние, воздействие, последствия, меры» способствует использованию такого подхода к оценке, при котором здоровье рассматривается в широком смысле сквозь призму детерминантов здоровья и их распределения среди затрагиваемого населения.</w:t>
      </w:r>
    </w:p>
    <w:p w14:paraId="50BF9DF3" w14:textId="77777777" w:rsidR="00160A17" w:rsidRPr="00160A17" w:rsidRDefault="00160A17" w:rsidP="00160A17">
      <w:pPr>
        <w:pStyle w:val="SingleTxtG"/>
      </w:pPr>
      <w:r w:rsidRPr="00160A17">
        <w:t>59.</w:t>
      </w:r>
      <w:r w:rsidRPr="00160A17">
        <w:tab/>
        <w:t xml:space="preserve">Потенциальные последствия аналогичных событий для здоровья могут повлиять на решения в отношении планов и программ; например, строительство многочисленных морских платформ, снабжающих разнообразные и географически разобщенные береговые объекты (c последствиями для здоровой портовой среды). Соответствующий анализ также должен включать другие не связанные с проектом, но связанные с развитием мероприятия в регионе, например строительство транспортной </w:t>
      </w:r>
      <w:r w:rsidRPr="00160A17">
        <w:lastRenderedPageBreak/>
        <w:t>инфраструктуры, школ и рынков, поскольку они также будут иметь важное значение и могут повлиять на детерминанты здоровья (возможно, косвенным образом)</w:t>
      </w:r>
      <w:r w:rsidRPr="00160A17">
        <w:rPr>
          <w:sz w:val="18"/>
          <w:szCs w:val="18"/>
          <w:vertAlign w:val="superscript"/>
        </w:rPr>
        <w:footnoteReference w:id="28"/>
      </w:r>
      <w:r w:rsidRPr="00160A17">
        <w:t xml:space="preserve">. </w:t>
      </w:r>
    </w:p>
    <w:p w14:paraId="621B4420" w14:textId="77777777" w:rsidR="00160A17" w:rsidRPr="00160A17" w:rsidRDefault="00160A17" w:rsidP="00160A17">
      <w:pPr>
        <w:pStyle w:val="SingleTxtG"/>
      </w:pPr>
      <w:r w:rsidRPr="00160A17">
        <w:t>60.</w:t>
      </w:r>
      <w:r w:rsidRPr="00160A17">
        <w:tab/>
        <w:t>В Протоколе доклад об определении сферы охвата непосредственно не предусмотрен, однако на практике подготовка такого доклада является полезной.</w:t>
      </w:r>
    </w:p>
    <w:p w14:paraId="4B115917" w14:textId="77777777" w:rsidR="00160A17" w:rsidRPr="00160A17" w:rsidRDefault="00160A17" w:rsidP="00160A17">
      <w:pPr>
        <w:pStyle w:val="SingleTxtG"/>
      </w:pPr>
      <w:r w:rsidRPr="00160A17">
        <w:t>61.</w:t>
      </w:r>
      <w:r w:rsidRPr="00160A17">
        <w:tab/>
        <w:t xml:space="preserve">В случае неопределенности (и это должно быть четко указано) соответствующий аспект можно прояснить с помощью научной литературы или субъектов системы здравоохранения. </w:t>
      </w:r>
    </w:p>
    <w:p w14:paraId="73939C8C" w14:textId="5F286F69" w:rsidR="00160A17" w:rsidRPr="00160A17" w:rsidRDefault="00160A17" w:rsidP="00160A17">
      <w:pPr>
        <w:pStyle w:val="SingleTxtG"/>
      </w:pPr>
      <w:r w:rsidRPr="00160A17">
        <w:t>62.</w:t>
      </w:r>
      <w:r w:rsidRPr="00160A17">
        <w:tab/>
        <w:t>Важно найти сбалансированный подход и обеспечить разумную оценку. При</w:t>
      </w:r>
      <w:r w:rsidR="00D97BC5">
        <w:t> </w:t>
      </w:r>
      <w:r w:rsidRPr="00160A17">
        <w:t xml:space="preserve">определении сферы охвата следует сосредоточиться на релевантных вопросах, чтобы не сделать оценку здоровья чрезмерно сложной. С другой стороны, важно адекватно учитывать существенные виды воздействия. Таким образом, определение того, что, вероятно, является «существенным», имеет решающее значение для определения сферы охвата. </w:t>
      </w:r>
    </w:p>
    <w:p w14:paraId="00E994DC" w14:textId="7D56482B" w:rsidR="00160A17" w:rsidRPr="00160A17" w:rsidRDefault="00160A17" w:rsidP="00160A17">
      <w:pPr>
        <w:pStyle w:val="SingleTxtG"/>
      </w:pPr>
      <w:r w:rsidRPr="00160A17">
        <w:t>63.</w:t>
      </w:r>
      <w:r w:rsidRPr="00160A17">
        <w:tab/>
        <w:t>Оценка «существенности» будет проведена в ходе дальнейшей оценки видов воздействия и отчетности по ним. Общие критерии и способы их применения при оценке существенности должны быть единообразными в отношении всех видов воздействия, оцениваемых в рамках стратегической экологической оценки.</w:t>
      </w:r>
      <w:r w:rsidR="00D97BC5">
        <w:t xml:space="preserve"> </w:t>
      </w:r>
      <w:r w:rsidRPr="00160A17">
        <w:t>К</w:t>
      </w:r>
      <w:r w:rsidR="00D97BC5">
        <w:t> </w:t>
      </w:r>
      <w:r w:rsidRPr="00160A17">
        <w:t xml:space="preserve">различным видам воздействия, рассматриваемым в рамках стратегической экологической оценки, относятся прямые и косвенные, вторичные, совокупные, синергические, кратко-, средне- и долгосрочные, постоянные и временные, с позитивными и негативными последствиями (см. пункт 6 приложения IV к Протоколу). </w:t>
      </w:r>
    </w:p>
    <w:p w14:paraId="1C0061EA" w14:textId="77777777" w:rsidR="00160A17" w:rsidRPr="00160A17" w:rsidRDefault="00160A17" w:rsidP="00160A17">
      <w:pPr>
        <w:pStyle w:val="SingleTxtG"/>
      </w:pPr>
      <w:r w:rsidRPr="00160A17">
        <w:t>64.</w:t>
      </w:r>
      <w:r w:rsidRPr="00160A17">
        <w:tab/>
        <w:t xml:space="preserve">Оценка существенности воздействия, связанного с аспектами здоровья, будет основываться на целях в области здравоохранения и соответствующих стандартах. При этом отсутствие превышения какого-либо порогового уровня не обязательно означает отсутствие последствий для здоровья. </w:t>
      </w:r>
    </w:p>
    <w:p w14:paraId="55B90501" w14:textId="7D812887" w:rsidR="00160A17" w:rsidRPr="00160A17" w:rsidRDefault="00D97BC5" w:rsidP="00D97BC5">
      <w:pPr>
        <w:pStyle w:val="H23G"/>
      </w:pPr>
      <w:r>
        <w:tab/>
      </w:r>
      <w:r w:rsidR="00160A17" w:rsidRPr="00160A17">
        <w:t>3.</w:t>
      </w:r>
      <w:r w:rsidR="00160A17" w:rsidRPr="00160A17">
        <w:tab/>
        <w:t>Экологический доклад</w:t>
      </w:r>
    </w:p>
    <w:p w14:paraId="3601E925" w14:textId="20096E96" w:rsidR="00160A17" w:rsidRPr="00160A17" w:rsidRDefault="00160A17" w:rsidP="00160A17">
      <w:pPr>
        <w:pStyle w:val="SingleTxtG"/>
      </w:pPr>
      <w:r w:rsidRPr="00160A17">
        <w:t>65.</w:t>
      </w:r>
      <w:r w:rsidRPr="00160A17">
        <w:tab/>
        <w:t>Согласно пункту 1 статьи 7 Протокола для планов и программ, подлежащих стратегической экологической оценке, обеспечивается подготовка «экологического доклада». Пункт 2 статьи 7 гласит, что в этом докладе в соответствии с положениями статьи 6 определяются, описываются и материально оцениваются вероятные существенные экологические, в том числе связанные со здоровьем населения, последствия осуществления плана или программы и его/ее разумные альтернативы. В</w:t>
      </w:r>
      <w:r w:rsidR="00D97BC5">
        <w:t> </w:t>
      </w:r>
      <w:r w:rsidRPr="00160A17">
        <w:t xml:space="preserve">докладе содержится такая указанная в приложении IV к Протоколу информация, которая может в разумной степени потребоваться, с учетом: </w:t>
      </w:r>
    </w:p>
    <w:p w14:paraId="0259F049" w14:textId="24E439ED" w:rsidR="00160A17" w:rsidRPr="00160A17" w:rsidRDefault="00D97BC5" w:rsidP="00160A17">
      <w:pPr>
        <w:pStyle w:val="SingleTxtG"/>
      </w:pPr>
      <w:r>
        <w:tab/>
      </w:r>
      <w:r w:rsidR="00160A17" w:rsidRPr="00160A17">
        <w:t>a)</w:t>
      </w:r>
      <w:r w:rsidR="00160A17" w:rsidRPr="00160A17">
        <w:tab/>
        <w:t xml:space="preserve">современных знаний и методов оценки; </w:t>
      </w:r>
    </w:p>
    <w:p w14:paraId="4F63CAB4" w14:textId="628EECDF" w:rsidR="00160A17" w:rsidRPr="00160A17" w:rsidRDefault="00D97BC5" w:rsidP="00160A17">
      <w:pPr>
        <w:pStyle w:val="SingleTxtG"/>
      </w:pPr>
      <w:r>
        <w:tab/>
      </w:r>
      <w:r w:rsidR="00160A17" w:rsidRPr="00160A17">
        <w:t>b)</w:t>
      </w:r>
      <w:r w:rsidR="00160A17" w:rsidRPr="00160A17">
        <w:tab/>
        <w:t xml:space="preserve">содержания и уровня детализации плана или программы и стадии процесса принятия решения по плану или программе; </w:t>
      </w:r>
    </w:p>
    <w:p w14:paraId="42643F59" w14:textId="2022148F" w:rsidR="00160A17" w:rsidRPr="00160A17" w:rsidRDefault="00D97BC5" w:rsidP="00160A17">
      <w:pPr>
        <w:pStyle w:val="SingleTxtG"/>
      </w:pPr>
      <w:r>
        <w:tab/>
      </w:r>
      <w:r w:rsidR="00160A17" w:rsidRPr="00160A17">
        <w:t>c)</w:t>
      </w:r>
      <w:r w:rsidR="00160A17" w:rsidRPr="00160A17">
        <w:tab/>
        <w:t xml:space="preserve">интересов общественности; </w:t>
      </w:r>
    </w:p>
    <w:p w14:paraId="1ADF0FA7" w14:textId="567B7ADA" w:rsidR="00160A17" w:rsidRPr="00160A17" w:rsidRDefault="00D97BC5" w:rsidP="00160A17">
      <w:pPr>
        <w:pStyle w:val="SingleTxtG"/>
      </w:pPr>
      <w:r>
        <w:tab/>
      </w:r>
      <w:r w:rsidR="00160A17" w:rsidRPr="00160A17">
        <w:t>d)</w:t>
      </w:r>
      <w:r w:rsidR="00160A17" w:rsidRPr="00160A17">
        <w:tab/>
        <w:t xml:space="preserve">информационных потребностей органа, принимающего решение. </w:t>
      </w:r>
    </w:p>
    <w:p w14:paraId="7A6836BB" w14:textId="5213975F" w:rsidR="00160A17" w:rsidRPr="00160A17" w:rsidRDefault="00160A17" w:rsidP="00160A17">
      <w:pPr>
        <w:pStyle w:val="SingleTxtG"/>
      </w:pPr>
      <w:r w:rsidRPr="00160A17">
        <w:t>66.</w:t>
      </w:r>
      <w:r w:rsidRPr="00160A17">
        <w:tab/>
        <w:t xml:space="preserve">Приложение IV описывает информацию, которая должна быть представлена в экологическом докладе. Эта информация связана с экологическими вопросами, в том числе с вопросами, касающимися здоровья. В зависимости от сферы охвата аспекты здоровья могут быть релевантными с учетом конкретных требований к информации, например при описании текущего состояния или существующих проблем. Для оценки аспектов здоровья, включая их значимость, полезным инструментом является учитывающая конкретный контекст экспертная оценка того, что является важным, желательным или приемлемым в отношении тех изменений в состоянии здоровья населения, которые могут быть вызваны планом или программой. Важность может </w:t>
      </w:r>
      <w:r w:rsidRPr="00160A17">
        <w:lastRenderedPageBreak/>
        <w:t xml:space="preserve">быть обоснована научной литературой и национальными приоритетами в области здравоохранения. Приемлемость (или желательность) может определяться нормативными пороговыми значениями или национальной политикой их установления. Существенность для здоровья может быть также описана с точки зрения чувствительности и масштаба. </w:t>
      </w:r>
    </w:p>
    <w:p w14:paraId="0B08A590" w14:textId="090BD40F" w:rsidR="00160A17" w:rsidRPr="00160A17" w:rsidRDefault="00160A17" w:rsidP="00160A17">
      <w:pPr>
        <w:pStyle w:val="SingleTxtG"/>
      </w:pPr>
      <w:r w:rsidRPr="00160A17">
        <w:t>67.</w:t>
      </w:r>
      <w:r w:rsidRPr="00160A17">
        <w:tab/>
        <w:t>В экологическом докладе может быть полезно объяснить, почему некоторые вопросы были выявлены или описаны более полно, чем другие, например в отношении (международных, национальных или субнациональных) целей в области охраны окружающей среды, включая охрану здоровь</w:t>
      </w:r>
      <w:r w:rsidR="00A102C2">
        <w:t>я</w:t>
      </w:r>
      <w:r w:rsidRPr="00160A17">
        <w:t>, которые имеют отношение к плану или программе, базовой окружающей среды или причин описанных альтернатив. Согласно пункту 3 статьи 7 Стороны принимают меры для обеспечения того, чтобы качество экологических докладов соответствовало требованиям Протокола. В этом отношении один из аспектов может включать адекватность альтернатив и их оценку. Как правило, детализация оценки должна соответствовать уровню детализации плана или программы.</w:t>
      </w:r>
    </w:p>
    <w:p w14:paraId="65C44214" w14:textId="77777777" w:rsidR="00160A17" w:rsidRPr="00160A17" w:rsidRDefault="00160A17" w:rsidP="00160A17">
      <w:pPr>
        <w:pStyle w:val="SingleTxtG"/>
      </w:pPr>
      <w:r w:rsidRPr="00160A17">
        <w:t>68.</w:t>
      </w:r>
      <w:r w:rsidRPr="00160A17">
        <w:tab/>
        <w:t>В информационно-справочном руководстве</w:t>
      </w:r>
      <w:r w:rsidRPr="00160A17">
        <w:rPr>
          <w:sz w:val="18"/>
          <w:szCs w:val="18"/>
          <w:vertAlign w:val="superscript"/>
        </w:rPr>
        <w:footnoteReference w:id="29"/>
      </w:r>
      <w:r w:rsidRPr="00160A17">
        <w:t xml:space="preserve"> предлагается, чтобы при проведении стратегической экологической оценки, когда это возможно и целесообразно, рассматривался наилучший практически осуществимый экологический вариант. Кроме того, должна быть представлена эволюция окружающей среды, включая здоровье, без плана или программы (вариант 0). Важно отметить, что альтернативы не следует создавать исключительно для содействия разработке и выбору предопределенной предпочтительной альтернативы. В этом контексте консультации с органами здравоохранения и охраны окружающей среды, а также участие общественности также могут способствовать разумной оценке альтернатив. </w:t>
      </w:r>
    </w:p>
    <w:p w14:paraId="3527DF05" w14:textId="655664E0" w:rsidR="00160A17" w:rsidRPr="00160A17" w:rsidRDefault="00160A17" w:rsidP="00160A17">
      <w:pPr>
        <w:pStyle w:val="SingleTxtG"/>
      </w:pPr>
      <w:r w:rsidRPr="00160A17">
        <w:t>69.</w:t>
      </w:r>
      <w:r w:rsidRPr="00160A17">
        <w:tab/>
        <w:t>В экологическом докладе должны быть описаны меры по предотвращению, уменьшению и смягчению любых существенных негативных последствий. С точки зрения здравоохранения рекомендуется надлежащим образом предусмотреть меры по смягчению последствий для здоровья и возможные компенсационные меры. Что</w:t>
      </w:r>
      <w:r w:rsidR="00D97BC5">
        <w:t> </w:t>
      </w:r>
      <w:r w:rsidRPr="00160A17">
        <w:t>касается подхода, основанного на связи между «источником–путем–объектом воздействия», который был рассмотрен в процессе определения сферы</w:t>
      </w:r>
      <w:r w:rsidR="00D97BC5">
        <w:br/>
      </w:r>
      <w:r w:rsidRPr="00160A17">
        <w:t xml:space="preserve">охвата (см. пункты 53 и 54 выше), то целесообразно выявлять основные возможности для принятия мер в случаях, когда тот или иной путь приводит к неблагоприятным последствиям, и поддерживать те пути, которые ведут к благотворным последствиям. </w:t>
      </w:r>
    </w:p>
    <w:p w14:paraId="55A38FEB" w14:textId="4CC2A2A0" w:rsidR="00160A17" w:rsidRPr="00160A17" w:rsidRDefault="00160A17" w:rsidP="00160A17">
      <w:pPr>
        <w:pStyle w:val="SingleTxtG"/>
      </w:pPr>
      <w:r w:rsidRPr="00160A17">
        <w:t>70.</w:t>
      </w:r>
      <w:r w:rsidRPr="00160A17">
        <w:tab/>
        <w:t>Критерии (или наводящие вопросы) для оценки альтернатив могут быть различными, поэтому в данном документе они приведены в качестве примеров. В</w:t>
      </w:r>
      <w:r w:rsidR="00D97BC5">
        <w:t> </w:t>
      </w:r>
      <w:r w:rsidRPr="00160A17">
        <w:t>зависимости от результатов определения сферы охвата детерминанты, изложенные в таблице 2 выше, могут быть также учтены при оценке. При условии отсутствия серьезных компромиссов между окружающей средой и здоровьем может быть полезно рассмотреть положительное воздействие на здоровье альтернатив, подлежащих оценке [, например: уменьшение неравенства в области здравоохранения; пропаганда здорового образа жизни; улучшение социально-экономических условий для повышения уровня благосостояния людей; или расширение доступа к качественному медицинскому и социальному обслуживанию].</w:t>
      </w:r>
      <w:bookmarkStart w:id="11" w:name="_Ref16744858"/>
      <w:bookmarkStart w:id="12" w:name="_Toc16761665"/>
      <w:bookmarkStart w:id="13" w:name="_Toc17216039"/>
    </w:p>
    <w:bookmarkEnd w:id="11"/>
    <w:bookmarkEnd w:id="12"/>
    <w:bookmarkEnd w:id="13"/>
    <w:p w14:paraId="7ED500AF" w14:textId="6DBE5BD8" w:rsidR="00160A17" w:rsidRPr="00160A17" w:rsidRDefault="005C22EF" w:rsidP="005C22EF">
      <w:pPr>
        <w:pStyle w:val="H23G"/>
      </w:pPr>
      <w:r>
        <w:tab/>
      </w:r>
      <w:r w:rsidR="00160A17" w:rsidRPr="00160A17">
        <w:t>4.</w:t>
      </w:r>
      <w:r w:rsidR="00160A17" w:rsidRPr="00160A17">
        <w:tab/>
        <w:t xml:space="preserve">Участие общественности </w:t>
      </w:r>
    </w:p>
    <w:p w14:paraId="4C88435E" w14:textId="77777777" w:rsidR="00160A17" w:rsidRPr="00160A17" w:rsidRDefault="00160A17" w:rsidP="00160A17">
      <w:pPr>
        <w:pStyle w:val="SingleTxtG"/>
      </w:pPr>
      <w:r w:rsidRPr="00160A17">
        <w:t>71.</w:t>
      </w:r>
      <w:r w:rsidRPr="00160A17">
        <w:tab/>
        <w:t>В пункте 1 статьи 8 поясняется, что должно включать в себя понятие «участие общественности». Важно, что оно должно быть «заблаговременным, своевременным и эффективным», когда еще возможен выбор любых альтернативных вариантов плана и программы, подлежащих рассмотрению в рамках стратегической экологической оценки. Участие общественности на ранних этапах может предотвратить ситуацию, когда сторонники плана чрезмерно заинтересованы в каком-либо одном решении, и свести к минимуму необходимость внесения изменений в план.</w:t>
      </w:r>
    </w:p>
    <w:p w14:paraId="228D487D" w14:textId="77777777" w:rsidR="00160A17" w:rsidRPr="00160A17" w:rsidRDefault="00160A17" w:rsidP="00160A17">
      <w:pPr>
        <w:pStyle w:val="SingleTxtG"/>
      </w:pPr>
      <w:r w:rsidRPr="00160A17">
        <w:lastRenderedPageBreak/>
        <w:t>72.</w:t>
      </w:r>
      <w:r w:rsidRPr="00160A17">
        <w:tab/>
        <w:t>Открытое и справедливое участие общественности может содействовать урегулированию возможных конфликтов интересов, в частности путем установления общих общественных ценностей и учета их при рассмотрении альтернатив. Если решения по плану и программе будут приниматься на основе ожиданий и предпочтений, то может увеличиться их общественная поддержка. Приемлемые для общественности решения могут как снизить затраты на осуществление планов и программ, помогая избежать задержек, так и способствовать улучшению психического и социального благополучия.</w:t>
      </w:r>
    </w:p>
    <w:p w14:paraId="2122A6FF" w14:textId="77777777" w:rsidR="00160A17" w:rsidRPr="00160A17" w:rsidRDefault="00160A17" w:rsidP="00160A17">
      <w:pPr>
        <w:pStyle w:val="SingleTxtG"/>
      </w:pPr>
      <w:r w:rsidRPr="00160A17">
        <w:t>73.</w:t>
      </w:r>
      <w:r w:rsidRPr="00160A17">
        <w:tab/>
        <w:t xml:space="preserve">Эффективное участие общественности основано на принципах благого управления. Помимо общего права на участие, важное значение имеют открытость (пункт 1 статьи 3) и подотчетность в процессе разработки планов и программ. </w:t>
      </w:r>
    </w:p>
    <w:p w14:paraId="496D5855" w14:textId="12CEA6E9" w:rsidR="00160A17" w:rsidRPr="00160A17" w:rsidRDefault="005C22EF" w:rsidP="005C22EF">
      <w:pPr>
        <w:pStyle w:val="H23G"/>
      </w:pPr>
      <w:r>
        <w:tab/>
      </w:r>
      <w:r w:rsidR="00160A17" w:rsidRPr="00160A17">
        <w:t>5.</w:t>
      </w:r>
      <w:r w:rsidR="00160A17" w:rsidRPr="00160A17">
        <w:tab/>
        <w:t>Согласование с природоохранными органами и органами здравоохранения</w:t>
      </w:r>
    </w:p>
    <w:p w14:paraId="02E28A9A" w14:textId="3B2D381B" w:rsidR="00160A17" w:rsidRPr="00160A17" w:rsidRDefault="00160A17" w:rsidP="00160A17">
      <w:pPr>
        <w:pStyle w:val="SingleTxtG"/>
      </w:pPr>
      <w:r w:rsidRPr="00160A17">
        <w:t>74.</w:t>
      </w:r>
      <w:r w:rsidRPr="00160A17">
        <w:tab/>
        <w:t>В соответствии с пунктом 1 статьи 9 Протокола Стороны определяют, мнение каких природоохранных органов и органов здравоохранения должно быть запрошено в связи с проектами планов или программ и экологическими докладами. Ответственность за здоровье человека, согласно Протоколу, может возлагаться на различные органы. Необходимо запрашивать мнения органов, отвечающих за здравоохранение и заинтересованных в осуществлении плана или программы. Пункт</w:t>
      </w:r>
      <w:r w:rsidR="005C22EF">
        <w:t> </w:t>
      </w:r>
      <w:r w:rsidRPr="00160A17">
        <w:t xml:space="preserve">3 статьи 9 гласит, что природоохранным органам и органам здравоохранения должна предоставляться «заблаговременная, своевременная и эффективная возможность выразить свое мнение». В статье 10 описываются трансграничные консультации, проводимые в случаях, когда осуществление плана или программы может быть сопряжено с существенными трансграничными последствиями для здоровья населения. </w:t>
      </w:r>
      <w:bookmarkStart w:id="14" w:name="_Hlk18404274"/>
      <w:bookmarkEnd w:id="14"/>
    </w:p>
    <w:p w14:paraId="47EBE1A1" w14:textId="77777777" w:rsidR="00160A17" w:rsidRPr="00160A17" w:rsidRDefault="00160A17" w:rsidP="00160A17">
      <w:pPr>
        <w:pStyle w:val="SingleTxtG"/>
      </w:pPr>
      <w:r w:rsidRPr="00160A17">
        <w:t>75.</w:t>
      </w:r>
      <w:r w:rsidRPr="00160A17">
        <w:tab/>
        <w:t>Стратегическая экологическая оценка вряд ли позволит улучшить учет вопросов здоровья на этапе планирования, если сохранятся разделение функций между представителями различных профессий и отсутствие взаимопонимания между ними</w:t>
      </w:r>
      <w:r w:rsidRPr="00160A17">
        <w:rPr>
          <w:sz w:val="18"/>
          <w:szCs w:val="18"/>
          <w:vertAlign w:val="superscript"/>
        </w:rPr>
        <w:footnoteReference w:id="30"/>
      </w:r>
      <w:r w:rsidRPr="00160A17">
        <w:t xml:space="preserve">. Поэтому большое значение имеет межсекторальная работа. Однако это может оказаться непростой задачей. </w:t>
      </w:r>
    </w:p>
    <w:p w14:paraId="3F3BB35C" w14:textId="77777777" w:rsidR="00160A17" w:rsidRPr="00160A17" w:rsidRDefault="00160A17" w:rsidP="00160A17">
      <w:pPr>
        <w:pStyle w:val="SingleTxtG"/>
      </w:pPr>
      <w:r w:rsidRPr="00160A17">
        <w:t>76.</w:t>
      </w:r>
      <w:r w:rsidRPr="00160A17">
        <w:tab/>
        <w:t xml:space="preserve">Необходимо учитывать организации, которые располагают соответствующими данными в отношении аспектов окружающей среды и здоровья. Важнейшее значение имеет знание местности и установленных приоритетов в области охраны окружающей среды и здоровья. Доступ к заинтересованным сторонам будет иметь ключевое значение для проведения согласований по оценке, а также для более широкого распространения информации и знаний о соответствующем плане или программе. </w:t>
      </w:r>
    </w:p>
    <w:p w14:paraId="705CA10B" w14:textId="40E1D746" w:rsidR="00160A17" w:rsidRPr="00160A17" w:rsidRDefault="00160A17" w:rsidP="00160A17">
      <w:pPr>
        <w:pStyle w:val="SingleTxtG"/>
      </w:pPr>
      <w:r w:rsidRPr="00160A17">
        <w:t>77.</w:t>
      </w:r>
      <w:r w:rsidRPr="00160A17">
        <w:tab/>
      </w:r>
      <w:r w:rsidR="005C22EF" w:rsidRPr="00160A17">
        <w:t>Одна</w:t>
      </w:r>
      <w:r w:rsidRPr="00160A17">
        <w:t xml:space="preserve"> из проблем, которые необходимо будет решить, состоит в том, что органы здравоохранения могут не иметь практического опыта проведения стратегической экологической оценки или не быть осведомлены о ее процедуре. </w:t>
      </w:r>
    </w:p>
    <w:p w14:paraId="2C9B0DEC" w14:textId="6691EE4D" w:rsidR="00160A17" w:rsidRPr="00160A17" w:rsidRDefault="00160A17" w:rsidP="00160A17">
      <w:pPr>
        <w:pStyle w:val="SingleTxtG"/>
      </w:pPr>
      <w:r w:rsidRPr="00160A17">
        <w:t>78.</w:t>
      </w:r>
      <w:r w:rsidRPr="00160A17">
        <w:tab/>
        <w:t>Один из основных принципов настоящего руководства предусматривает, что органам, проводящим стратегическую экологическую оценку, следует запрашивать мнения органов здравоохранения в связи с конкретными требованиями о согласовании с органами здравоохранения, содержащимися в статьях 5 (предварительная оценка), 6</w:t>
      </w:r>
      <w:r w:rsidR="005C22EF">
        <w:t> </w:t>
      </w:r>
      <w:r w:rsidRPr="00160A17">
        <w:t xml:space="preserve">(определение сферы охвата), 9 (согласование) и 10 (трансграничные консультации). Создание совместных рабочих механизмов для взаимодействия между органами здравоохранения и другими соответствующими ключевыми секторальными органами (отвечающими, например, за региональное развитие и территориальное планирование/планирование землепользования) может обеспечить общее понимание стратегических экологических оценок и координацию учета в этих оценках исходных параметров, в том числе по аспектам здоровья. </w:t>
      </w:r>
      <w:bookmarkStart w:id="16" w:name="_Hlk17175061"/>
      <w:bookmarkEnd w:id="16"/>
    </w:p>
    <w:p w14:paraId="5371D200" w14:textId="4CE6B8D3" w:rsidR="00160A17" w:rsidRPr="00160A17" w:rsidRDefault="005C22EF" w:rsidP="005C22EF">
      <w:pPr>
        <w:pStyle w:val="H23G"/>
      </w:pPr>
      <w:r>
        <w:lastRenderedPageBreak/>
        <w:tab/>
      </w:r>
      <w:r w:rsidR="00160A17" w:rsidRPr="00160A17">
        <w:t>6.</w:t>
      </w:r>
      <w:r w:rsidR="00160A17" w:rsidRPr="00160A17">
        <w:tab/>
        <w:t>Принятие решений</w:t>
      </w:r>
    </w:p>
    <w:p w14:paraId="50923DD7" w14:textId="77777777" w:rsidR="00160A17" w:rsidRPr="00160A17" w:rsidRDefault="00160A17" w:rsidP="00160A17">
      <w:pPr>
        <w:pStyle w:val="SingleTxtG"/>
      </w:pPr>
      <w:r w:rsidRPr="00160A17">
        <w:t>79.</w:t>
      </w:r>
      <w:r w:rsidRPr="00160A17">
        <w:tab/>
        <w:t xml:space="preserve">Согласно пункту 2 статьи 11, после утверждения плана или программы Стороны делают заявление с изложением того, как в нем/в ней были учтены экологические, в том числе связанные со здоровьем населения, соображения. Это должно включать ответы, полученные в ходе консультаций с природоохранными органами и органами здравоохранения, а также с общественностью. Таким образом, оказание реального влияния на принятие решений является важным фактором учета проблематики здоровья при проведении любой стратегической экологической оценки. </w:t>
      </w:r>
    </w:p>
    <w:p w14:paraId="59BEB43C" w14:textId="414C1609" w:rsidR="00E12C5F" w:rsidRDefault="00160A17" w:rsidP="00160A17">
      <w:pPr>
        <w:pStyle w:val="SingleTxtG"/>
      </w:pPr>
      <w:r w:rsidRPr="00160A17">
        <w:t>80.</w:t>
      </w:r>
      <w:r w:rsidRPr="00160A17">
        <w:tab/>
        <w:t>Включение информации о состоянии здоровья населения в экологический доклад даст возможность органу, принимающему решение, иметь четкое представление о любых вероятных существенных последствиях для здоровья в связи с планом или программой и предусмотренными в них альтернативными вариантами. Рекомендуется, чтобы любые потенциальные последствия для здоровья были изложены четко и недвусмысленно и чтобы, по возможности, применялся «беспроигрышный» подход. Это может включать географическое неравенство и неравенство между населением в целом и более уязвимыми группами (например,</w:t>
      </w:r>
      <w:r w:rsidR="00395D4C">
        <w:br/>
      </w:r>
      <w:r w:rsidRPr="00160A17">
        <w:t>из-за возраста, пола, плохого состояния здоровья или социально-экономического положения).</w:t>
      </w:r>
    </w:p>
    <w:p w14:paraId="62AEB4E3" w14:textId="77777777" w:rsidR="00160A17" w:rsidRDefault="00160A17" w:rsidP="00160A17">
      <w:pPr>
        <w:pStyle w:val="SingleTxtG"/>
        <w:sectPr w:rsidR="00160A17" w:rsidSect="00CD07F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4611EA81" w14:textId="77777777" w:rsidR="00160A17" w:rsidRPr="008F17A2" w:rsidRDefault="00160A17" w:rsidP="00160A17">
      <w:pPr>
        <w:pStyle w:val="HChG"/>
      </w:pPr>
      <w:r>
        <w:lastRenderedPageBreak/>
        <w:t>Приложение</w:t>
      </w:r>
    </w:p>
    <w:p w14:paraId="385E1FFE" w14:textId="77777777" w:rsidR="00160A17" w:rsidRPr="008F17A2" w:rsidRDefault="00160A17" w:rsidP="00160A17">
      <w:pPr>
        <w:pStyle w:val="HChG"/>
      </w:pPr>
      <w:r>
        <w:tab/>
      </w:r>
      <w:r>
        <w:tab/>
      </w:r>
      <w:r>
        <w:rPr>
          <w:bCs/>
        </w:rPr>
        <w:t>Тематические исследования</w:t>
      </w:r>
      <w:r w:rsidRPr="005C22EF">
        <w:rPr>
          <w:b w:val="0"/>
          <w:sz w:val="18"/>
          <w:vertAlign w:val="superscript"/>
        </w:rPr>
        <w:footnoteReference w:id="31"/>
      </w:r>
    </w:p>
    <w:p w14:paraId="0DFE37E8" w14:textId="4A4D6432" w:rsidR="00160A17" w:rsidRPr="008F17A2" w:rsidRDefault="005C22EF" w:rsidP="00160A17">
      <w:pPr>
        <w:pStyle w:val="H1G"/>
      </w:pPr>
      <w:r>
        <w:tab/>
      </w:r>
      <w:r w:rsidR="00160A17">
        <w:t>A.</w:t>
      </w:r>
      <w:r w:rsidR="00160A17">
        <w:tab/>
        <w:t>Проект национальной стратегии в области территориально-пространственного планирования и окружающей среды, Нидерланды</w:t>
      </w:r>
    </w:p>
    <w:p w14:paraId="6CB37095" w14:textId="2763E202" w:rsidR="00160A17" w:rsidRPr="008F17A2" w:rsidRDefault="005C22EF" w:rsidP="005C22EF">
      <w:pPr>
        <w:pStyle w:val="H4G"/>
      </w:pPr>
      <w:r>
        <w:tab/>
      </w:r>
      <w:r>
        <w:tab/>
      </w:r>
      <w:r w:rsidR="00160A17">
        <w:t>Тематическое исследование, основанное на сообщении г-жи Бригит Статсен, Национальный институт общественного здравоохранения и окружающей среды, Нидерланды</w:t>
      </w:r>
    </w:p>
    <w:p w14:paraId="3AF2F1E6" w14:textId="35763625" w:rsidR="00160A17" w:rsidRPr="005C22EF" w:rsidRDefault="005C22EF" w:rsidP="005C22EF">
      <w:pPr>
        <w:pStyle w:val="H23G"/>
      </w:pPr>
      <w:r>
        <w:tab/>
      </w:r>
      <w:r w:rsidR="00160A17" w:rsidRPr="005C22EF">
        <w:t>1.</w:t>
      </w:r>
      <w:r w:rsidR="00160A17" w:rsidRPr="005C22EF">
        <w:tab/>
        <w:t>Проект национальной стратегии в области территориального планирования и</w:t>
      </w:r>
      <w:r>
        <w:t> </w:t>
      </w:r>
      <w:r w:rsidR="00160A17" w:rsidRPr="005C22EF">
        <w:t>окружающей среды</w:t>
      </w:r>
    </w:p>
    <w:p w14:paraId="1536E271" w14:textId="77777777" w:rsidR="00160A17" w:rsidRPr="00AD4F0D" w:rsidRDefault="00160A17" w:rsidP="00160A17">
      <w:pPr>
        <w:pStyle w:val="SingleTxtG"/>
      </w:pPr>
      <w:r>
        <w:t>1.</w:t>
      </w:r>
      <w:r>
        <w:tab/>
        <w:t>В проекте национальной стратегии в области территориального планирования и окружающей среды</w:t>
      </w:r>
      <w:r w:rsidRPr="00BA6776">
        <w:rPr>
          <w:sz w:val="18"/>
          <w:vertAlign w:val="superscript"/>
        </w:rPr>
        <w:footnoteReference w:id="32"/>
      </w:r>
      <w:r>
        <w:t xml:space="preserve"> представлен основанный на принципах устойчивости план развития среды проживания (антропогенной и природной). Эта стратегия позволит правительству Нидерландов ответить на основные вызовы и обеспечить положительную отдачу благодаря использованию национально-регионального подхода. Проект национальной стратегии был разработан в консультации с ответственными министерствами, муниципалитетами, провинциями и органами управления водными ресурсами при участии консультативных советов, центров обмена знаниями, частного сектора, организаций гражданского общества и отдельных граждан.</w:t>
      </w:r>
    </w:p>
    <w:p w14:paraId="7599D360" w14:textId="77777777" w:rsidR="00160A17" w:rsidRPr="008F17A2" w:rsidRDefault="00160A17" w:rsidP="00160A17">
      <w:pPr>
        <w:pStyle w:val="SingleTxtG"/>
      </w:pPr>
      <w:r>
        <w:t>2.</w:t>
      </w:r>
      <w:r>
        <w:tab/>
        <w:t xml:space="preserve">Проект национальной стратегии представляет собой долгосрочное видение на период до 2050 года. Интересы, установленные национальным правительством, объединены в четыре приоритетных блока: 1) районы, затронутые изменением климата и энергетическим переходом; 2) потенциал для устойчивого экономического роста; 3) сильные и здоровые города и районы; и 4) перспективное развитие сельских районов. Цель проекта национальной стратегии заключается в создании такой среды проживания, которая обеспечивает охрану и укрепление здоровья. Такой комплексный план является результатом активных усилий, приложенных различными сторонами, в том числе Министерством здравоохранения. </w:t>
      </w:r>
    </w:p>
    <w:p w14:paraId="294F1146" w14:textId="44E6B118" w:rsidR="00160A17" w:rsidRPr="005C22EF" w:rsidRDefault="005C22EF" w:rsidP="005C22EF">
      <w:pPr>
        <w:pStyle w:val="H23G"/>
      </w:pPr>
      <w:r>
        <w:tab/>
      </w:r>
      <w:r w:rsidR="00160A17" w:rsidRPr="005C22EF">
        <w:t>2.</w:t>
      </w:r>
      <w:r w:rsidR="00160A17" w:rsidRPr="005C22EF">
        <w:tab/>
        <w:t>Стратегическая экологическая оценка проекта национальной стратегии</w:t>
      </w:r>
    </w:p>
    <w:p w14:paraId="59566699" w14:textId="77777777" w:rsidR="00160A17" w:rsidRPr="00AD4F0D" w:rsidRDefault="00160A17" w:rsidP="00160A17">
      <w:pPr>
        <w:pStyle w:val="SingleTxtG"/>
      </w:pPr>
      <w:r>
        <w:t>3.</w:t>
      </w:r>
      <w:r>
        <w:tab/>
        <w:t xml:space="preserve">Проект национальной стратегии был подвергнут стратегической экологической оценке, в ходе которой были оценены возможности и риски для физической среды проживания, а также воздействие на окружающую среду политических решений, принятых в стратегии. Оценка должна была дать ответ на вопрос о том, как различные задачи сочетаются друг с другом, влияют друг на друга и конкурируют друг с другом за (экологическое) пространство в физической среде проживания. Была поставлена цель обеспечения согласованного, комплексного (в национальном масштабе) подхода, выходящего за рамки отдельных секторов. В дополнение к проекту национальной стратегии в отношении некоторых более конкретных интересов были приняты решения, которые изложены в различных структурных стратегических документах, </w:t>
      </w:r>
      <w:r>
        <w:lastRenderedPageBreak/>
        <w:t>меморандумах и других программных документах и административных соглашениях. Эта реальность учтена в стратегической экологической оценке, позволившей определить возможности и риски, связанные с различными политическими решениями. В ряде случаев был сделан вывод о том, что наличие рисков требует принятие дополнительных мер, которые могут включать национальные программы, стратегии и меры по их осуществлению в конкретных областях политики (окружающая среда, мобильность, воздушный транспорт, природа, здравоохранение) и в других специализированных областях или секторах.</w:t>
      </w:r>
    </w:p>
    <w:p w14:paraId="62AACFF3" w14:textId="1626E6AB" w:rsidR="00160A17" w:rsidRPr="008F17A2" w:rsidRDefault="005C22EF" w:rsidP="00160A17">
      <w:pPr>
        <w:pStyle w:val="H23G"/>
      </w:pPr>
      <w:r>
        <w:tab/>
      </w:r>
      <w:r w:rsidR="00160A17">
        <w:t>3.</w:t>
      </w:r>
      <w:r w:rsidR="00160A17">
        <w:tab/>
      </w:r>
      <w:r w:rsidR="00160A17">
        <w:rPr>
          <w:bCs/>
        </w:rPr>
        <w:t>Каким образом учтена проблематика здоровья?</w:t>
      </w:r>
    </w:p>
    <w:p w14:paraId="4DF88B59" w14:textId="5DE2E5F4" w:rsidR="00160A17" w:rsidRPr="008F17A2" w:rsidRDefault="00160A17" w:rsidP="00160A17">
      <w:pPr>
        <w:pStyle w:val="SingleTxtG"/>
      </w:pPr>
      <w:r>
        <w:t>4.</w:t>
      </w:r>
      <w:r>
        <w:tab/>
        <w:t>Была проведена оценка показателей здоровья (с настоящего момента до 2030</w:t>
      </w:r>
      <w:r w:rsidR="005C22EF">
        <w:t> </w:t>
      </w:r>
      <w:r>
        <w:t xml:space="preserve">года), позволившая сделать вывод о том, что риски для здоровья, такие как шум и загрязнение воздуха, будут возрастать. В некоторых случаях благоприятное для здоровья поведение будет наблюдаться чаще, в других </w:t>
      </w:r>
      <w:r w:rsidRPr="001565EB">
        <w:t>—</w:t>
      </w:r>
      <w:r>
        <w:t xml:space="preserve"> реже. Увеличится риск для здоровья из-за повышения температуры, связанного с изменением климата. Будут наблюдаться ослабление социальной сплоченности и снижение интеграции/участия в жизни общества. С целью показать на одной диаграмме, как сочетаются между собой все риски и возможности, было разработано «колесо оценки» (см. диаграмму ниже). Был сделан вывод о том, что возможности для здоровья перевешивают риски для здоровья.</w:t>
      </w:r>
    </w:p>
    <w:p w14:paraId="5306A8A7" w14:textId="674A8C40" w:rsidR="00160A17" w:rsidRPr="008F17A2" w:rsidRDefault="00160A17" w:rsidP="00160A17">
      <w:pPr>
        <w:pStyle w:val="H23G"/>
      </w:pPr>
      <w:r>
        <w:tab/>
      </w:r>
      <w:r>
        <w:tab/>
        <w:t>«</w:t>
      </w:r>
      <w:r>
        <w:rPr>
          <w:bCs/>
        </w:rPr>
        <w:t>Колесо оценки», показывающее, как сочетаются риски для здоровья и</w:t>
      </w:r>
      <w:r w:rsidR="005C22EF">
        <w:rPr>
          <w:bCs/>
        </w:rPr>
        <w:t> </w:t>
      </w:r>
      <w:r>
        <w:rPr>
          <w:bCs/>
        </w:rPr>
        <w:t>возможности для здоровья</w:t>
      </w:r>
      <w:r>
        <w:t xml:space="preserve"> </w:t>
      </w:r>
    </w:p>
    <w:tbl>
      <w:tblPr>
        <w:tblStyle w:val="ac"/>
        <w:tblW w:w="94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083"/>
        <w:gridCol w:w="425"/>
        <w:gridCol w:w="4083"/>
        <w:gridCol w:w="425"/>
      </w:tblGrid>
      <w:tr w:rsidR="00160A17" w:rsidRPr="00220A8F" w14:paraId="007DC5D3" w14:textId="77777777" w:rsidTr="00BB0EDD">
        <w:trPr>
          <w:gridAfter w:val="1"/>
          <w:wAfter w:w="425" w:type="dxa"/>
        </w:trPr>
        <w:tc>
          <w:tcPr>
            <w:tcW w:w="4508" w:type="dxa"/>
            <w:gridSpan w:val="2"/>
          </w:tcPr>
          <w:p w14:paraId="4180E7E8" w14:textId="77777777" w:rsidR="00160A17" w:rsidRPr="00220A8F" w:rsidRDefault="00160A17" w:rsidP="00BB0EDD">
            <w:pPr>
              <w:jc w:val="center"/>
            </w:pPr>
            <w:r w:rsidRPr="00220A8F">
              <w:rPr>
                <w:noProof/>
                <w:lang w:val="de-DE" w:eastAsia="de-DE"/>
              </w:rPr>
              <w:drawing>
                <wp:inline distT="0" distB="0" distL="0" distR="0" wp14:anchorId="218A4DAA" wp14:editId="51D23D50">
                  <wp:extent cx="2698538" cy="27141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315" b="1425"/>
                          <a:stretch/>
                        </pic:blipFill>
                        <pic:spPr bwMode="auto">
                          <a:xfrm>
                            <a:off x="0" y="0"/>
                            <a:ext cx="2709326" cy="2725025"/>
                          </a:xfrm>
                          <a:prstGeom prst="rect">
                            <a:avLst/>
                          </a:prstGeom>
                          <a:ln>
                            <a:noFill/>
                          </a:ln>
                          <a:extLst>
                            <a:ext uri="{53640926-AAD7-44D8-BBD7-CCE9431645EC}">
                              <a14:shadowObscured xmlns:a14="http://schemas.microsoft.com/office/drawing/2010/main"/>
                            </a:ext>
                          </a:extLst>
                        </pic:spPr>
                      </pic:pic>
                    </a:graphicData>
                  </a:graphic>
                </wp:inline>
              </w:drawing>
            </w:r>
          </w:p>
        </w:tc>
        <w:tc>
          <w:tcPr>
            <w:tcW w:w="4508" w:type="dxa"/>
            <w:gridSpan w:val="2"/>
          </w:tcPr>
          <w:p w14:paraId="094D95F0" w14:textId="77777777" w:rsidR="00160A17" w:rsidRPr="00220A8F" w:rsidRDefault="00160A17" w:rsidP="00BB0EDD">
            <w:pPr>
              <w:jc w:val="center"/>
            </w:pPr>
            <w:r w:rsidRPr="00220A8F">
              <w:rPr>
                <w:noProof/>
                <w:lang w:val="de-DE" w:eastAsia="de-DE"/>
              </w:rPr>
              <w:drawing>
                <wp:anchor distT="0" distB="0" distL="114300" distR="114300" simplePos="0" relativeHeight="251659264" behindDoc="1" locked="0" layoutInCell="1" allowOverlap="1" wp14:anchorId="0986F5A4" wp14:editId="198A444F">
                  <wp:simplePos x="0" y="0"/>
                  <wp:positionH relativeFrom="column">
                    <wp:posOffset>311</wp:posOffset>
                  </wp:positionH>
                  <wp:positionV relativeFrom="paragraph">
                    <wp:posOffset>37</wp:posOffset>
                  </wp:positionV>
                  <wp:extent cx="2773276" cy="2723515"/>
                  <wp:effectExtent l="0" t="0" r="8255" b="635"/>
                  <wp:wrapTight wrapText="bothSides">
                    <wp:wrapPolygon edited="0">
                      <wp:start x="9052" y="0"/>
                      <wp:lineTo x="7716" y="151"/>
                      <wp:lineTo x="3561" y="1964"/>
                      <wp:lineTo x="3413" y="2568"/>
                      <wp:lineTo x="1335" y="4835"/>
                      <wp:lineTo x="148" y="7252"/>
                      <wp:lineTo x="0" y="9216"/>
                      <wp:lineTo x="0" y="12691"/>
                      <wp:lineTo x="297" y="14504"/>
                      <wp:lineTo x="1484" y="16921"/>
                      <wp:lineTo x="3710" y="19339"/>
                      <wp:lineTo x="3858" y="19792"/>
                      <wp:lineTo x="7864" y="21454"/>
                      <wp:lineTo x="8755" y="21454"/>
                      <wp:lineTo x="12761" y="21454"/>
                      <wp:lineTo x="13651" y="21454"/>
                      <wp:lineTo x="17658" y="19641"/>
                      <wp:lineTo x="17806" y="19339"/>
                      <wp:lineTo x="20180" y="16921"/>
                      <wp:lineTo x="21219" y="14504"/>
                      <wp:lineTo x="21516" y="12691"/>
                      <wp:lineTo x="21516" y="9065"/>
                      <wp:lineTo x="21368" y="7252"/>
                      <wp:lineTo x="20180" y="4835"/>
                      <wp:lineTo x="18400" y="2871"/>
                      <wp:lineTo x="18103" y="1964"/>
                      <wp:lineTo x="14097" y="302"/>
                      <wp:lineTo x="12613" y="0"/>
                      <wp:lineTo x="9052" y="0"/>
                    </wp:wrapPolygon>
                  </wp:wrapTight>
                  <wp:docPr id="7" name="Picture 3">
                    <a:extLst xmlns:a="http://schemas.openxmlformats.org/drawingml/2006/main">
                      <a:ext uri="{FF2B5EF4-FFF2-40B4-BE49-F238E27FC236}">
                        <a16:creationId xmlns:a16="http://schemas.microsoft.com/office/drawing/2014/main" id="{6B480743-2DF9-4101-A1E2-64D4CF61E1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B480743-2DF9-4101-A1E2-64D4CF61E101}"/>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2773276" cy="2723515"/>
                          </a:xfrm>
                          <a:prstGeom prst="ellipse">
                            <a:avLst/>
                          </a:prstGeom>
                          <a:solidFill>
                            <a:srgbClr val="4F81BD"/>
                          </a:solidFill>
                        </pic:spPr>
                      </pic:pic>
                    </a:graphicData>
                  </a:graphic>
                  <wp14:sizeRelH relativeFrom="page">
                    <wp14:pctWidth>0</wp14:pctWidth>
                  </wp14:sizeRelH>
                  <wp14:sizeRelV relativeFrom="page">
                    <wp14:pctHeight>0</wp14:pctHeight>
                  </wp14:sizeRelV>
                </wp:anchor>
              </w:drawing>
            </w:r>
          </w:p>
        </w:tc>
      </w:tr>
      <w:tr w:rsidR="00160A17" w:rsidRPr="00220A8F" w14:paraId="739CA1B7" w14:textId="77777777" w:rsidTr="00BB0EDD">
        <w:trPr>
          <w:gridBefore w:val="1"/>
          <w:wBefore w:w="425" w:type="dxa"/>
        </w:trPr>
        <w:tc>
          <w:tcPr>
            <w:tcW w:w="4508" w:type="dxa"/>
            <w:gridSpan w:val="2"/>
          </w:tcPr>
          <w:p w14:paraId="741AD484" w14:textId="77777777" w:rsidR="00160A17" w:rsidRPr="00220A8F" w:rsidRDefault="00160A17" w:rsidP="00BB0EDD">
            <w:pPr>
              <w:rPr>
                <w:noProof/>
                <w:lang w:val="de-DE" w:eastAsia="de-DE"/>
              </w:rPr>
            </w:pPr>
          </w:p>
        </w:tc>
        <w:tc>
          <w:tcPr>
            <w:tcW w:w="4508" w:type="dxa"/>
            <w:gridSpan w:val="2"/>
          </w:tcPr>
          <w:p w14:paraId="4457B3E1" w14:textId="77777777" w:rsidR="00160A17" w:rsidRPr="00220A8F" w:rsidRDefault="00160A17" w:rsidP="00BB0EDD">
            <w:pPr>
              <w:rPr>
                <w:noProof/>
                <w:lang w:val="de-DE" w:eastAsia="de-DE"/>
              </w:rPr>
            </w:pPr>
          </w:p>
        </w:tc>
      </w:tr>
    </w:tbl>
    <w:p w14:paraId="5AF4E7A9" w14:textId="30646A77" w:rsidR="00160A17" w:rsidRPr="005C22EF" w:rsidRDefault="00160A17" w:rsidP="005C22EF">
      <w:pPr>
        <w:spacing w:line="220" w:lineRule="exact"/>
        <w:ind w:left="1134" w:right="1134" w:firstLine="170"/>
        <w:rPr>
          <w:sz w:val="18"/>
          <w:szCs w:val="18"/>
        </w:rPr>
      </w:pPr>
      <w:r w:rsidRPr="005C22EF">
        <w:rPr>
          <w:i/>
          <w:iCs/>
          <w:sz w:val="18"/>
          <w:szCs w:val="18"/>
        </w:rPr>
        <w:t>Источник</w:t>
      </w:r>
      <w:r w:rsidRPr="005C22EF">
        <w:rPr>
          <w:i/>
          <w:iCs/>
          <w:sz w:val="18"/>
          <w:szCs w:val="18"/>
          <w:lang w:val="en-US"/>
        </w:rPr>
        <w:t>:</w:t>
      </w:r>
      <w:r w:rsidRPr="005C22EF">
        <w:rPr>
          <w:sz w:val="18"/>
          <w:szCs w:val="18"/>
          <w:lang w:val="en-US"/>
        </w:rPr>
        <w:t xml:space="preserve"> Maronier and others, </w:t>
      </w:r>
      <w:r w:rsidRPr="00385E44">
        <w:rPr>
          <w:i/>
          <w:iCs/>
          <w:sz w:val="18"/>
          <w:szCs w:val="18"/>
          <w:lang w:val="en-US"/>
        </w:rPr>
        <w:t>Milieueffectrapport Nationale Omgevingsvisie</w:t>
      </w:r>
      <w:r w:rsidRPr="005C22EF">
        <w:rPr>
          <w:sz w:val="18"/>
          <w:szCs w:val="18"/>
          <w:lang w:val="en-US"/>
        </w:rPr>
        <w:t xml:space="preserve"> (Royal Haskoning DHV, 2019), pp. 11 and 15. </w:t>
      </w:r>
      <w:r w:rsidR="005C22EF" w:rsidRPr="005C22EF">
        <w:rPr>
          <w:sz w:val="18"/>
          <w:szCs w:val="18"/>
          <w:lang w:val="en-US"/>
        </w:rPr>
        <w:t>URL</w:t>
      </w:r>
      <w:r w:rsidR="005C22EF" w:rsidRPr="005C22EF">
        <w:rPr>
          <w:sz w:val="18"/>
          <w:szCs w:val="18"/>
        </w:rPr>
        <w:t>: </w:t>
      </w:r>
      <w:hyperlink r:id="rId16" w:history="1">
        <w:r w:rsidR="005C22EF" w:rsidRPr="005C22EF">
          <w:rPr>
            <w:rStyle w:val="af1"/>
            <w:sz w:val="18"/>
            <w:szCs w:val="18"/>
          </w:rPr>
          <w:t>www.denationaleomgevingsvisie.nl/publicaties/novi-stukken+publicaties/default.aspx#folder=1451327</w:t>
        </w:r>
      </w:hyperlink>
      <w:r w:rsidRPr="005C22EF">
        <w:rPr>
          <w:sz w:val="18"/>
          <w:szCs w:val="18"/>
        </w:rPr>
        <w:t xml:space="preserve"> (только на голландском языке).</w:t>
      </w:r>
    </w:p>
    <w:p w14:paraId="006813BE" w14:textId="3B5E664E" w:rsidR="00160A17" w:rsidRPr="00AD4F0D" w:rsidRDefault="00160A17" w:rsidP="005C22EF">
      <w:pPr>
        <w:spacing w:line="220" w:lineRule="exact"/>
        <w:ind w:left="1134" w:right="1134" w:firstLine="170"/>
        <w:rPr>
          <w:sz w:val="18"/>
          <w:szCs w:val="18"/>
        </w:rPr>
      </w:pPr>
      <w:r w:rsidRPr="005C22EF">
        <w:rPr>
          <w:i/>
          <w:iCs/>
          <w:sz w:val="18"/>
          <w:szCs w:val="18"/>
        </w:rPr>
        <w:t>Примечание:</w:t>
      </w:r>
      <w:r w:rsidRPr="005C22EF">
        <w:rPr>
          <w:sz w:val="18"/>
          <w:szCs w:val="18"/>
        </w:rPr>
        <w:t xml:space="preserve"> </w:t>
      </w:r>
      <w:r w:rsidR="005C22EF" w:rsidRPr="005C22EF">
        <w:rPr>
          <w:sz w:val="18"/>
          <w:szCs w:val="18"/>
        </w:rPr>
        <w:t>З</w:t>
      </w:r>
      <w:r w:rsidRPr="005C22EF">
        <w:rPr>
          <w:sz w:val="18"/>
          <w:szCs w:val="18"/>
        </w:rPr>
        <w:t>еленые стрелки указывают возможную траекторию позитивного развития; красные стрелки указывают возможную траекторию негативного развития в контексте целого ряда аспектов устойчивости.</w:t>
      </w:r>
    </w:p>
    <w:p w14:paraId="33CA0F3B" w14:textId="66C88B64" w:rsidR="00160A17" w:rsidRPr="005C22EF" w:rsidRDefault="005C22EF" w:rsidP="005C22EF">
      <w:pPr>
        <w:pStyle w:val="H23G"/>
      </w:pPr>
      <w:r>
        <w:tab/>
      </w:r>
      <w:r w:rsidR="00160A17" w:rsidRPr="005C22EF">
        <w:t>4.</w:t>
      </w:r>
      <w:r w:rsidR="00160A17" w:rsidRPr="005C22EF">
        <w:tab/>
        <w:t>Заключение</w:t>
      </w:r>
    </w:p>
    <w:p w14:paraId="69B70E8B" w14:textId="0EEF192A" w:rsidR="00160A17" w:rsidRPr="008F17A2" w:rsidRDefault="00160A17" w:rsidP="005C22EF">
      <w:pPr>
        <w:pStyle w:val="SingleTxtG"/>
      </w:pPr>
      <w:r>
        <w:t>5.</w:t>
      </w:r>
      <w:r>
        <w:tab/>
        <w:t>Качеству окружающей среды угрожает негативное воздействие. Риски для здоровья, связанные с изменением климата, будут возрастать, если не будут приняты дополнительные меры по смягчению последствий этого явления и адаптации к нему. Хотя комплексная стратегия несет в себе как возможности, так и риски, необходимо также разработать дополнительные меры и принять решения по «болезненным» темам: связке «здоровье‒благосостояние‒природа» и некоторым региональным стратегиям.</w:t>
      </w:r>
    </w:p>
    <w:p w14:paraId="2EB5D6FE" w14:textId="77777777" w:rsidR="00160A17" w:rsidRPr="008F17A2" w:rsidRDefault="00160A17" w:rsidP="00A40889">
      <w:pPr>
        <w:pStyle w:val="SingleTxtG"/>
      </w:pPr>
      <w:r>
        <w:lastRenderedPageBreak/>
        <w:t>6.</w:t>
      </w:r>
      <w:r>
        <w:tab/>
        <w:t>Вовлеченные в эту работу министерства несут совместную ответственность за программы, вытекающие из национальной стратегии. Министерство, на которое возложена первичная ответственность, руководит этим процессом. Национальная стратегия не меняет задач и обязанностей различных министров и членов правительства. Программный подход и практическая реализация будут основываться на возможностях и рисках, выявленных в ходе проведения стратегической экологической оценки. После опубликования национальной стратегии диалог с заинтересованными сторонами и между ними не прекратится, а останется открытым процессом, неотъемлемой частью которого являются консультации с общественностью.</w:t>
      </w:r>
    </w:p>
    <w:p w14:paraId="1105A8B7" w14:textId="64733053" w:rsidR="00160A17" w:rsidRPr="00A40889" w:rsidRDefault="00A40889" w:rsidP="00A40889">
      <w:pPr>
        <w:pStyle w:val="H23G"/>
      </w:pPr>
      <w:r w:rsidRPr="00A40889">
        <w:tab/>
      </w:r>
      <w:r w:rsidR="00160A17" w:rsidRPr="00A40889">
        <w:t>5.</w:t>
      </w:r>
      <w:r w:rsidR="00160A17" w:rsidRPr="00A40889">
        <w:tab/>
        <w:t>Аспекты здоровья в стратегической экологической оценке и последующие действия</w:t>
      </w:r>
    </w:p>
    <w:p w14:paraId="2126312D" w14:textId="77777777" w:rsidR="00160A17" w:rsidRPr="006D2BBB" w:rsidRDefault="00160A17" w:rsidP="00160A17">
      <w:pPr>
        <w:pStyle w:val="SingleTxtG"/>
      </w:pPr>
      <w:r>
        <w:t>7.</w:t>
      </w:r>
      <w:r>
        <w:tab/>
        <w:t>Что помогло:</w:t>
      </w:r>
    </w:p>
    <w:p w14:paraId="513943C5" w14:textId="57D97188" w:rsidR="00160A17" w:rsidRPr="008F17A2" w:rsidRDefault="000D7BA4" w:rsidP="000D7BA4">
      <w:pPr>
        <w:pStyle w:val="Bullet1G"/>
        <w:numPr>
          <w:ilvl w:val="0"/>
          <w:numId w:val="0"/>
        </w:numPr>
        <w:tabs>
          <w:tab w:val="left" w:pos="1701"/>
        </w:tabs>
        <w:suppressAutoHyphens w:val="0"/>
        <w:ind w:left="1701" w:hanging="170"/>
      </w:pPr>
      <w:r w:rsidRPr="008F17A2">
        <w:t>•</w:t>
      </w:r>
      <w:r w:rsidRPr="008F17A2">
        <w:tab/>
      </w:r>
      <w:r w:rsidR="00160A17">
        <w:t>наличие в министерствах «специальных представителей» для привлечения внимания к вопросам здоровья;</w:t>
      </w:r>
    </w:p>
    <w:p w14:paraId="1CE9ADCB" w14:textId="75F1C9D9" w:rsidR="00160A17" w:rsidRPr="008F17A2" w:rsidRDefault="000D7BA4" w:rsidP="000D7BA4">
      <w:pPr>
        <w:pStyle w:val="Bullet1G"/>
        <w:numPr>
          <w:ilvl w:val="0"/>
          <w:numId w:val="0"/>
        </w:numPr>
        <w:tabs>
          <w:tab w:val="left" w:pos="1701"/>
        </w:tabs>
        <w:suppressAutoHyphens w:val="0"/>
        <w:ind w:left="1701" w:hanging="170"/>
      </w:pPr>
      <w:r w:rsidRPr="008F17A2">
        <w:t>•</w:t>
      </w:r>
      <w:r w:rsidRPr="008F17A2">
        <w:tab/>
      </w:r>
      <w:r w:rsidR="00160A17">
        <w:t>наличие целей в области охраны здоровья в природоохранном законодательстве;</w:t>
      </w:r>
    </w:p>
    <w:p w14:paraId="4BBCF453" w14:textId="1A381E5E" w:rsidR="00160A17" w:rsidRPr="008F17A2" w:rsidRDefault="000D7BA4" w:rsidP="000D7BA4">
      <w:pPr>
        <w:pStyle w:val="Bullet1G"/>
        <w:numPr>
          <w:ilvl w:val="0"/>
          <w:numId w:val="0"/>
        </w:numPr>
        <w:tabs>
          <w:tab w:val="left" w:pos="1701"/>
        </w:tabs>
        <w:suppressAutoHyphens w:val="0"/>
        <w:ind w:left="1701" w:hanging="170"/>
      </w:pPr>
      <w:r w:rsidRPr="008F17A2">
        <w:t>•</w:t>
      </w:r>
      <w:r w:rsidRPr="008F17A2">
        <w:tab/>
      </w:r>
      <w:r w:rsidR="00160A17">
        <w:t>включение аспектов здоровья и благосостояния в «колесо оценки»;</w:t>
      </w:r>
    </w:p>
    <w:p w14:paraId="2AF5FB1B" w14:textId="46893EB9" w:rsidR="00160A17" w:rsidRPr="008F17A2" w:rsidRDefault="000D7BA4" w:rsidP="000D7BA4">
      <w:pPr>
        <w:pStyle w:val="Bullet1G"/>
        <w:numPr>
          <w:ilvl w:val="0"/>
          <w:numId w:val="0"/>
        </w:numPr>
        <w:tabs>
          <w:tab w:val="left" w:pos="1701"/>
        </w:tabs>
        <w:suppressAutoHyphens w:val="0"/>
        <w:ind w:left="1701" w:hanging="170"/>
      </w:pPr>
      <w:r w:rsidRPr="008F17A2">
        <w:t>•</w:t>
      </w:r>
      <w:r w:rsidRPr="008F17A2">
        <w:tab/>
      </w:r>
      <w:r w:rsidR="00160A17">
        <w:t xml:space="preserve">заинтересованность министерства здравоохранения в профилактической деятельности; </w:t>
      </w:r>
    </w:p>
    <w:p w14:paraId="39AF0450" w14:textId="2B430E53" w:rsidR="00160A17" w:rsidRPr="008F17A2" w:rsidRDefault="000D7BA4" w:rsidP="000D7BA4">
      <w:pPr>
        <w:pStyle w:val="Bullet1G"/>
        <w:numPr>
          <w:ilvl w:val="0"/>
          <w:numId w:val="0"/>
        </w:numPr>
        <w:tabs>
          <w:tab w:val="left" w:pos="1701"/>
        </w:tabs>
        <w:suppressAutoHyphens w:val="0"/>
        <w:ind w:left="1701" w:hanging="170"/>
      </w:pPr>
      <w:r w:rsidRPr="008F17A2">
        <w:t>•</w:t>
      </w:r>
      <w:r w:rsidRPr="008F17A2">
        <w:tab/>
      </w:r>
      <w:r w:rsidR="00160A17">
        <w:t xml:space="preserve">сотрудничество </w:t>
      </w:r>
      <w:r w:rsidR="00160A17" w:rsidRPr="001565EB">
        <w:t>—</w:t>
      </w:r>
      <w:r w:rsidR="00160A17">
        <w:t xml:space="preserve"> свой вклад внесли сеть экспертов в области здравоохранения и планирования и сеть специалистов по вопросам здоровья окружающей среды.</w:t>
      </w:r>
    </w:p>
    <w:p w14:paraId="0A45522C" w14:textId="77777777" w:rsidR="00160A17" w:rsidRPr="008F17A2" w:rsidRDefault="00160A17" w:rsidP="00160A17">
      <w:pPr>
        <w:pStyle w:val="SingleTxtG"/>
      </w:pPr>
      <w:r>
        <w:t>8.</w:t>
      </w:r>
      <w:r>
        <w:tab/>
        <w:t>Последующие действия: создана межминистерская рабочая группа для обеспечения учета «болезненных» тем в окончательных вариантах национальной стратегии и региональных планов.</w:t>
      </w:r>
    </w:p>
    <w:p w14:paraId="206E250C" w14:textId="045C91F0" w:rsidR="00160A17" w:rsidRPr="008F17A2" w:rsidRDefault="00A40889" w:rsidP="00160A17">
      <w:pPr>
        <w:pStyle w:val="H1G"/>
      </w:pPr>
      <w:r>
        <w:tab/>
      </w:r>
      <w:r w:rsidR="00160A17">
        <w:t>B.</w:t>
      </w:r>
      <w:r w:rsidR="00160A17">
        <w:tab/>
        <w:t>«Рейл Балтика», Эстония</w:t>
      </w:r>
    </w:p>
    <w:p w14:paraId="3C9006A4" w14:textId="77777777" w:rsidR="00160A17" w:rsidRPr="008F17A2" w:rsidRDefault="00160A17" w:rsidP="00160A17">
      <w:pPr>
        <w:pStyle w:val="H4G"/>
      </w:pPr>
      <w:r>
        <w:tab/>
      </w:r>
      <w:r>
        <w:tab/>
      </w:r>
      <w:r>
        <w:rPr>
          <w:iCs/>
        </w:rPr>
        <w:t>Тематическое исследование, основанное на сообщении г-на Хэйкки Калле, Эстонский институт окружающей среды</w:t>
      </w:r>
    </w:p>
    <w:p w14:paraId="7C5B8DC7" w14:textId="00312B3E" w:rsidR="00160A17" w:rsidRPr="00AD4F0D" w:rsidRDefault="00160A17" w:rsidP="00160A17">
      <w:pPr>
        <w:pStyle w:val="SingleTxtG"/>
      </w:pPr>
      <w:r>
        <w:t>9.</w:t>
      </w:r>
      <w:r>
        <w:tab/>
        <w:t xml:space="preserve">«Рейл Балтика» </w:t>
      </w:r>
      <w:r w:rsidRPr="00616338">
        <w:t>—</w:t>
      </w:r>
      <w:r>
        <w:t xml:space="preserve"> это проект создания инфраструктуры высокоскоростной электрифицированной железнодорожной магистрали протяженностью 700 км, целью которого является интеграция стран Балтии в европейскую железнодорожную сеть. Этот проект охватывает пять стран Европейского союза: Эстонию, Финляндию (косвенно), Латвию, Литву и Польшу. Он соединит Хельсинки, Таллин, Пярну (Эстония), Ригу, Паневежис (Литва), Каунас (Литва), Вильнюс и Варшаву. Балтийская часть проекта «Рейл Балтика» называется «Глобальный проект </w:t>
      </w:r>
      <w:r w:rsidR="00A40889" w:rsidRPr="00A40889">
        <w:t>“</w:t>
      </w:r>
      <w:r>
        <w:t>Рейл Балтика</w:t>
      </w:r>
      <w:r w:rsidR="00A40889" w:rsidRPr="00A40889">
        <w:t>”</w:t>
      </w:r>
      <w:r>
        <w:t xml:space="preserve">». </w:t>
      </w:r>
    </w:p>
    <w:p w14:paraId="5F5B0114" w14:textId="77777777" w:rsidR="00160A17" w:rsidRPr="008F17A2" w:rsidRDefault="00160A17" w:rsidP="00160A17">
      <w:pPr>
        <w:pStyle w:val="H23G"/>
      </w:pPr>
      <w:r>
        <w:lastRenderedPageBreak/>
        <w:tab/>
      </w:r>
      <w:r>
        <w:tab/>
      </w:r>
      <w:r>
        <w:rPr>
          <w:bCs/>
        </w:rPr>
        <w:t>Карта с изображением маршрута Глобального проекта «Рейл Балтика»</w:t>
      </w:r>
    </w:p>
    <w:p w14:paraId="41454AC9" w14:textId="77777777" w:rsidR="00160A17" w:rsidRDefault="00160A17" w:rsidP="00160A17">
      <w:pPr>
        <w:jc w:val="center"/>
      </w:pPr>
      <w:r w:rsidRPr="00AD1058">
        <w:rPr>
          <w:noProof/>
          <w:lang w:val="de-DE" w:eastAsia="de-DE"/>
        </w:rPr>
        <w:drawing>
          <wp:inline distT="0" distB="0" distL="0" distR="0" wp14:anchorId="686B5939" wp14:editId="794AC754">
            <wp:extent cx="3926205" cy="33286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6205" cy="3328670"/>
                    </a:xfrm>
                    <a:prstGeom prst="rect">
                      <a:avLst/>
                    </a:prstGeom>
                    <a:noFill/>
                  </pic:spPr>
                </pic:pic>
              </a:graphicData>
            </a:graphic>
          </wp:inline>
        </w:drawing>
      </w:r>
    </w:p>
    <w:p w14:paraId="1A52D7CA" w14:textId="77777777" w:rsidR="00160A17" w:rsidRPr="00A40889" w:rsidRDefault="00160A17" w:rsidP="00A40889">
      <w:pPr>
        <w:tabs>
          <w:tab w:val="right" w:pos="851"/>
        </w:tabs>
        <w:spacing w:before="120" w:after="120" w:line="220" w:lineRule="exact"/>
        <w:ind w:left="1134" w:right="1134" w:firstLine="170"/>
        <w:rPr>
          <w:sz w:val="18"/>
          <w:szCs w:val="18"/>
        </w:rPr>
      </w:pPr>
      <w:r w:rsidRPr="00A40889">
        <w:rPr>
          <w:i/>
          <w:iCs/>
          <w:sz w:val="18"/>
          <w:szCs w:val="18"/>
        </w:rPr>
        <w:t>Источник:</w:t>
      </w:r>
      <w:r w:rsidRPr="00A40889">
        <w:rPr>
          <w:sz w:val="18"/>
          <w:szCs w:val="18"/>
        </w:rPr>
        <w:t xml:space="preserve"> Hendrikson and Ko, 2020.</w:t>
      </w:r>
    </w:p>
    <w:p w14:paraId="772D20E5" w14:textId="77777777" w:rsidR="00160A17" w:rsidRPr="008F17A2" w:rsidRDefault="00160A17" w:rsidP="00160A17">
      <w:pPr>
        <w:pStyle w:val="SingleTxtG"/>
      </w:pPr>
      <w:r>
        <w:t>10.</w:t>
      </w:r>
      <w:r>
        <w:tab/>
        <w:t xml:space="preserve">Оценки воздействия на окружающую среду были проведены в Латвии и Литве. В Эстонии в период между 2012 и 2018 годами была проведена стратегическая экологическая оценка примерно 200 км железнодорожного маршрута, а в 2010 году было разработано технико-экономическое обоснование. В соответствии с эстонским законодательством об оценке воздействия на окружающую среду и территориальном планировании, в рамках стратегической экологической оценки были рассмотрены вопросы, касающиеся здоровья населения. </w:t>
      </w:r>
    </w:p>
    <w:p w14:paraId="1953DA18" w14:textId="77777777" w:rsidR="00160A17" w:rsidRPr="008F17A2" w:rsidRDefault="00160A17" w:rsidP="00160A17">
      <w:pPr>
        <w:pStyle w:val="SingleTxtG"/>
      </w:pPr>
      <w:r>
        <w:t>11.</w:t>
      </w:r>
      <w:r>
        <w:tab/>
        <w:t xml:space="preserve">Стратегическая экологическая оценка охватывала три уровня: государственный, региональный и местный. В нижеследующей таблице показано, как оценка на глобальном/государственном уровне проводилась с ориентацией на цели, а оценка на региональном и местном уровнях осуществлялась с ориентацией на исходные показатели. </w:t>
      </w:r>
    </w:p>
    <w:p w14:paraId="40E28995" w14:textId="77777777" w:rsidR="00160A17" w:rsidRPr="00AD4F0D" w:rsidRDefault="00160A17" w:rsidP="00160A17">
      <w:pPr>
        <w:pStyle w:val="SingleTxtG"/>
      </w:pPr>
      <w:r>
        <w:t>12.</w:t>
      </w:r>
      <w:r>
        <w:tab/>
        <w:t xml:space="preserve">Был рассмотрен ряд детерминантов здоровья, в том числе: климат (выбросы парниковых газов); качество грунтовых и поверхностных вод; шум; вибрация; качество воздуха; электромагнитное излучение; аварии; самобытность и развитие местных общин; доступность; и визуальное воздействие. </w:t>
      </w:r>
    </w:p>
    <w:p w14:paraId="4DC5022E" w14:textId="777D0017" w:rsidR="00160A17" w:rsidRDefault="00160A17" w:rsidP="00A40889">
      <w:pPr>
        <w:pStyle w:val="H23G"/>
      </w:pPr>
      <w:r w:rsidRPr="00A40889">
        <w:tab/>
      </w:r>
      <w:r w:rsidRPr="00A40889">
        <w:tab/>
        <w:t>Аспекты здоровья на разных уровнях стратегической экологической оценки</w:t>
      </w:r>
    </w:p>
    <w:tbl>
      <w:tblPr>
        <w:tblStyle w:val="ac"/>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42"/>
        <w:gridCol w:w="1842"/>
        <w:gridCol w:w="1843"/>
      </w:tblGrid>
      <w:tr w:rsidR="00A40889" w:rsidRPr="00A40889" w14:paraId="1F5D1B5C" w14:textId="77777777" w:rsidTr="00A52B64">
        <w:trPr>
          <w:tblHeader/>
        </w:trPr>
        <w:tc>
          <w:tcPr>
            <w:tcW w:w="1843" w:type="dxa"/>
            <w:tcBorders>
              <w:top w:val="single" w:sz="4" w:space="0" w:color="auto"/>
              <w:bottom w:val="single" w:sz="12" w:space="0" w:color="auto"/>
            </w:tcBorders>
            <w:shd w:val="clear" w:color="auto" w:fill="auto"/>
            <w:vAlign w:val="bottom"/>
          </w:tcPr>
          <w:p w14:paraId="70BD9C40" w14:textId="547B9DA3" w:rsidR="00A40889" w:rsidRPr="00A40889" w:rsidRDefault="00A40889" w:rsidP="00A40889">
            <w:pPr>
              <w:spacing w:before="80" w:after="80" w:line="200" w:lineRule="exact"/>
              <w:ind w:left="28" w:right="113"/>
              <w:rPr>
                <w:i/>
                <w:sz w:val="16"/>
              </w:rPr>
            </w:pPr>
            <w:r w:rsidRPr="00A40889">
              <w:rPr>
                <w:i/>
                <w:iCs/>
                <w:sz w:val="16"/>
              </w:rPr>
              <w:t>Уровень</w:t>
            </w:r>
          </w:p>
        </w:tc>
        <w:tc>
          <w:tcPr>
            <w:tcW w:w="1842" w:type="dxa"/>
            <w:tcBorders>
              <w:top w:val="single" w:sz="4" w:space="0" w:color="auto"/>
              <w:bottom w:val="single" w:sz="12" w:space="0" w:color="auto"/>
            </w:tcBorders>
            <w:shd w:val="clear" w:color="auto" w:fill="auto"/>
            <w:vAlign w:val="bottom"/>
          </w:tcPr>
          <w:p w14:paraId="35203B96" w14:textId="771040D5" w:rsidR="00A40889" w:rsidRPr="00A40889" w:rsidRDefault="00A40889" w:rsidP="00A40889">
            <w:pPr>
              <w:spacing w:before="80" w:after="80" w:line="200" w:lineRule="exact"/>
              <w:ind w:left="28" w:right="113"/>
              <w:rPr>
                <w:i/>
                <w:sz w:val="16"/>
              </w:rPr>
            </w:pPr>
            <w:r w:rsidRPr="00A40889">
              <w:rPr>
                <w:i/>
                <w:iCs/>
                <w:sz w:val="16"/>
              </w:rPr>
              <w:t>Преобладающий</w:t>
            </w:r>
            <w:r w:rsidR="00A52B64">
              <w:rPr>
                <w:i/>
                <w:iCs/>
                <w:sz w:val="16"/>
              </w:rPr>
              <w:br/>
            </w:r>
            <w:r w:rsidRPr="00A40889">
              <w:rPr>
                <w:i/>
                <w:iCs/>
                <w:sz w:val="16"/>
              </w:rPr>
              <w:t>подход</w:t>
            </w:r>
          </w:p>
        </w:tc>
        <w:tc>
          <w:tcPr>
            <w:tcW w:w="1842" w:type="dxa"/>
            <w:tcBorders>
              <w:top w:val="single" w:sz="4" w:space="0" w:color="auto"/>
              <w:bottom w:val="single" w:sz="12" w:space="0" w:color="auto"/>
            </w:tcBorders>
            <w:shd w:val="clear" w:color="auto" w:fill="auto"/>
            <w:vAlign w:val="bottom"/>
          </w:tcPr>
          <w:p w14:paraId="309AB88B" w14:textId="22DB8C8F" w:rsidR="00A40889" w:rsidRPr="00A40889" w:rsidRDefault="00A40889" w:rsidP="00A40889">
            <w:pPr>
              <w:spacing w:before="80" w:after="80" w:line="200" w:lineRule="exact"/>
              <w:ind w:left="28" w:right="113"/>
              <w:rPr>
                <w:i/>
                <w:sz w:val="16"/>
              </w:rPr>
            </w:pPr>
            <w:r w:rsidRPr="00A40889">
              <w:rPr>
                <w:i/>
                <w:iCs/>
                <w:sz w:val="16"/>
              </w:rPr>
              <w:t>Основные детерминанты</w:t>
            </w:r>
            <w:r w:rsidRPr="00A40889">
              <w:rPr>
                <w:i/>
                <w:iCs/>
                <w:sz w:val="16"/>
              </w:rPr>
              <w:br/>
              <w:t>здоровья</w:t>
            </w:r>
          </w:p>
        </w:tc>
        <w:tc>
          <w:tcPr>
            <w:tcW w:w="1843" w:type="dxa"/>
            <w:tcBorders>
              <w:top w:val="single" w:sz="4" w:space="0" w:color="auto"/>
              <w:bottom w:val="single" w:sz="12" w:space="0" w:color="auto"/>
            </w:tcBorders>
            <w:shd w:val="clear" w:color="auto" w:fill="auto"/>
            <w:vAlign w:val="bottom"/>
          </w:tcPr>
          <w:p w14:paraId="3AA6782D" w14:textId="2EF9567E" w:rsidR="00A40889" w:rsidRPr="00A40889" w:rsidRDefault="00A40889" w:rsidP="00A40889">
            <w:pPr>
              <w:spacing w:before="80" w:after="80" w:line="200" w:lineRule="exact"/>
              <w:ind w:left="28" w:right="113"/>
              <w:rPr>
                <w:i/>
                <w:sz w:val="16"/>
              </w:rPr>
            </w:pPr>
            <w:r w:rsidRPr="00A40889">
              <w:rPr>
                <w:i/>
                <w:iCs/>
                <w:sz w:val="16"/>
              </w:rPr>
              <w:t>Последствия</w:t>
            </w:r>
            <w:r w:rsidRPr="00A40889">
              <w:rPr>
                <w:i/>
                <w:iCs/>
                <w:sz w:val="16"/>
              </w:rPr>
              <w:br/>
              <w:t>для здоровья</w:t>
            </w:r>
          </w:p>
        </w:tc>
      </w:tr>
      <w:tr w:rsidR="00A40889" w:rsidRPr="00A40889" w14:paraId="664B3B31" w14:textId="77777777" w:rsidTr="00A52B64">
        <w:trPr>
          <w:trHeight w:hRule="exact" w:val="113"/>
        </w:trPr>
        <w:tc>
          <w:tcPr>
            <w:tcW w:w="1843" w:type="dxa"/>
            <w:tcBorders>
              <w:top w:val="single" w:sz="12" w:space="0" w:color="auto"/>
            </w:tcBorders>
            <w:shd w:val="clear" w:color="auto" w:fill="auto"/>
            <w:vAlign w:val="bottom"/>
          </w:tcPr>
          <w:p w14:paraId="3EF87477" w14:textId="77777777" w:rsidR="00A40889" w:rsidRPr="00A40889" w:rsidRDefault="00A40889" w:rsidP="00A40889">
            <w:pPr>
              <w:spacing w:before="80" w:after="80" w:line="200" w:lineRule="exact"/>
              <w:ind w:left="28" w:right="113"/>
              <w:rPr>
                <w:i/>
                <w:sz w:val="16"/>
              </w:rPr>
            </w:pPr>
          </w:p>
        </w:tc>
        <w:tc>
          <w:tcPr>
            <w:tcW w:w="1842" w:type="dxa"/>
            <w:tcBorders>
              <w:top w:val="single" w:sz="12" w:space="0" w:color="auto"/>
            </w:tcBorders>
            <w:shd w:val="clear" w:color="auto" w:fill="auto"/>
            <w:vAlign w:val="bottom"/>
          </w:tcPr>
          <w:p w14:paraId="5C98DEFB" w14:textId="77777777" w:rsidR="00A40889" w:rsidRPr="00A40889" w:rsidRDefault="00A40889" w:rsidP="00A40889">
            <w:pPr>
              <w:spacing w:before="80" w:after="80" w:line="200" w:lineRule="exact"/>
              <w:ind w:left="28" w:right="113"/>
              <w:rPr>
                <w:i/>
                <w:sz w:val="16"/>
              </w:rPr>
            </w:pPr>
          </w:p>
        </w:tc>
        <w:tc>
          <w:tcPr>
            <w:tcW w:w="1842" w:type="dxa"/>
            <w:tcBorders>
              <w:top w:val="single" w:sz="12" w:space="0" w:color="auto"/>
            </w:tcBorders>
            <w:shd w:val="clear" w:color="auto" w:fill="auto"/>
            <w:vAlign w:val="bottom"/>
          </w:tcPr>
          <w:p w14:paraId="6FAF36A5" w14:textId="77777777" w:rsidR="00A40889" w:rsidRPr="00A40889" w:rsidRDefault="00A40889" w:rsidP="00A40889">
            <w:pPr>
              <w:spacing w:before="80" w:after="80" w:line="200" w:lineRule="exact"/>
              <w:ind w:left="28" w:right="113"/>
              <w:rPr>
                <w:i/>
                <w:sz w:val="16"/>
              </w:rPr>
            </w:pPr>
          </w:p>
        </w:tc>
        <w:tc>
          <w:tcPr>
            <w:tcW w:w="1843" w:type="dxa"/>
            <w:tcBorders>
              <w:top w:val="single" w:sz="12" w:space="0" w:color="auto"/>
            </w:tcBorders>
            <w:shd w:val="clear" w:color="auto" w:fill="auto"/>
            <w:vAlign w:val="bottom"/>
          </w:tcPr>
          <w:p w14:paraId="2FD054A0" w14:textId="77777777" w:rsidR="00A40889" w:rsidRPr="00A40889" w:rsidRDefault="00A40889" w:rsidP="00A40889">
            <w:pPr>
              <w:spacing w:before="80" w:after="80" w:line="200" w:lineRule="exact"/>
              <w:ind w:left="28" w:right="113"/>
              <w:rPr>
                <w:i/>
                <w:sz w:val="16"/>
              </w:rPr>
            </w:pPr>
          </w:p>
        </w:tc>
      </w:tr>
      <w:tr w:rsidR="00A40889" w:rsidRPr="00A40889" w14:paraId="27982974" w14:textId="77777777" w:rsidTr="00A52B64">
        <w:tc>
          <w:tcPr>
            <w:tcW w:w="1843" w:type="dxa"/>
            <w:shd w:val="clear" w:color="auto" w:fill="auto"/>
          </w:tcPr>
          <w:p w14:paraId="51EF5710" w14:textId="74704E98" w:rsidR="00A40889" w:rsidRPr="00A52B64" w:rsidRDefault="00A40889" w:rsidP="00A40889">
            <w:pPr>
              <w:spacing w:before="40" w:after="120"/>
              <w:ind w:right="113"/>
              <w:rPr>
                <w:sz w:val="19"/>
                <w:szCs w:val="19"/>
              </w:rPr>
            </w:pPr>
            <w:r w:rsidRPr="00A52B64">
              <w:rPr>
                <w:sz w:val="19"/>
                <w:szCs w:val="19"/>
              </w:rPr>
              <w:t>Глобальный/</w:t>
            </w:r>
            <w:r w:rsidRPr="00A52B64">
              <w:rPr>
                <w:sz w:val="19"/>
                <w:szCs w:val="19"/>
              </w:rPr>
              <w:br/>
              <w:t>государственный уровень</w:t>
            </w:r>
          </w:p>
        </w:tc>
        <w:tc>
          <w:tcPr>
            <w:tcW w:w="1842" w:type="dxa"/>
            <w:shd w:val="clear" w:color="auto" w:fill="auto"/>
          </w:tcPr>
          <w:p w14:paraId="65EBD4F4" w14:textId="5F533091" w:rsidR="00A40889" w:rsidRPr="00A52B64" w:rsidRDefault="00A40889" w:rsidP="00A40889">
            <w:pPr>
              <w:spacing w:before="40" w:after="120"/>
              <w:ind w:right="113"/>
              <w:rPr>
                <w:sz w:val="19"/>
                <w:szCs w:val="19"/>
              </w:rPr>
            </w:pPr>
            <w:r w:rsidRPr="00A52B64">
              <w:rPr>
                <w:sz w:val="19"/>
                <w:szCs w:val="19"/>
              </w:rPr>
              <w:t>Ориентация</w:t>
            </w:r>
            <w:r w:rsidR="00A52B64">
              <w:rPr>
                <w:sz w:val="19"/>
                <w:szCs w:val="19"/>
              </w:rPr>
              <w:br/>
            </w:r>
            <w:r w:rsidRPr="00A52B64">
              <w:rPr>
                <w:sz w:val="19"/>
                <w:szCs w:val="19"/>
              </w:rPr>
              <w:t>на цели</w:t>
            </w:r>
          </w:p>
        </w:tc>
        <w:tc>
          <w:tcPr>
            <w:tcW w:w="1842" w:type="dxa"/>
            <w:shd w:val="clear" w:color="auto" w:fill="auto"/>
          </w:tcPr>
          <w:p w14:paraId="2355942C" w14:textId="59A23A6D" w:rsidR="00A40889" w:rsidRPr="00A52B64" w:rsidRDefault="00A40889" w:rsidP="00A40889">
            <w:pPr>
              <w:spacing w:before="40" w:after="120"/>
              <w:ind w:right="113"/>
              <w:rPr>
                <w:sz w:val="19"/>
                <w:szCs w:val="19"/>
              </w:rPr>
            </w:pPr>
            <w:r w:rsidRPr="00A52B64">
              <w:rPr>
                <w:sz w:val="19"/>
                <w:szCs w:val="19"/>
              </w:rPr>
              <w:t>Качество воздуха, выбросы парниковых газов, затопление</w:t>
            </w:r>
          </w:p>
        </w:tc>
        <w:tc>
          <w:tcPr>
            <w:tcW w:w="1843" w:type="dxa"/>
            <w:shd w:val="clear" w:color="auto" w:fill="auto"/>
          </w:tcPr>
          <w:p w14:paraId="2522154E" w14:textId="476920A2" w:rsidR="00A40889" w:rsidRPr="00A52B64" w:rsidRDefault="00A40889" w:rsidP="00A40889">
            <w:pPr>
              <w:spacing w:before="40" w:after="120"/>
              <w:ind w:right="113"/>
              <w:rPr>
                <w:sz w:val="19"/>
                <w:szCs w:val="19"/>
              </w:rPr>
            </w:pPr>
            <w:r w:rsidRPr="00A52B64">
              <w:rPr>
                <w:sz w:val="19"/>
                <w:szCs w:val="19"/>
              </w:rPr>
              <w:t>В основном положительные изменения, обусловленные переходом к более устойчивым формам мобильности</w:t>
            </w:r>
          </w:p>
        </w:tc>
      </w:tr>
      <w:tr w:rsidR="00A40889" w:rsidRPr="00A40889" w14:paraId="0959D6B1" w14:textId="77777777" w:rsidTr="00A52B64">
        <w:tc>
          <w:tcPr>
            <w:tcW w:w="1843" w:type="dxa"/>
            <w:shd w:val="clear" w:color="auto" w:fill="auto"/>
          </w:tcPr>
          <w:p w14:paraId="137B11FF" w14:textId="60005467" w:rsidR="00A40889" w:rsidRPr="00A52B64" w:rsidRDefault="00A40889" w:rsidP="00A40889">
            <w:pPr>
              <w:spacing w:before="40" w:after="120"/>
              <w:ind w:right="113"/>
              <w:rPr>
                <w:sz w:val="19"/>
                <w:szCs w:val="19"/>
              </w:rPr>
            </w:pPr>
            <w:r w:rsidRPr="00A52B64">
              <w:rPr>
                <w:sz w:val="19"/>
                <w:szCs w:val="19"/>
              </w:rPr>
              <w:t>Региональный уровень</w:t>
            </w:r>
          </w:p>
        </w:tc>
        <w:tc>
          <w:tcPr>
            <w:tcW w:w="1842" w:type="dxa"/>
            <w:shd w:val="clear" w:color="auto" w:fill="auto"/>
          </w:tcPr>
          <w:p w14:paraId="736E28B8" w14:textId="2FCCFB0F" w:rsidR="00A40889" w:rsidRPr="00A52B64" w:rsidRDefault="00A40889" w:rsidP="00A40889">
            <w:pPr>
              <w:spacing w:before="40" w:after="120"/>
              <w:ind w:right="113"/>
              <w:rPr>
                <w:sz w:val="19"/>
                <w:szCs w:val="19"/>
              </w:rPr>
            </w:pPr>
            <w:r w:rsidRPr="00A52B64">
              <w:rPr>
                <w:sz w:val="19"/>
                <w:szCs w:val="19"/>
              </w:rPr>
              <w:t>Ориентация на</w:t>
            </w:r>
            <w:r w:rsidR="00A52B64">
              <w:rPr>
                <w:sz w:val="19"/>
                <w:szCs w:val="19"/>
              </w:rPr>
              <w:t> </w:t>
            </w:r>
            <w:r w:rsidRPr="00A52B64">
              <w:rPr>
                <w:sz w:val="19"/>
                <w:szCs w:val="19"/>
              </w:rPr>
              <w:t>исходные показатели</w:t>
            </w:r>
          </w:p>
        </w:tc>
        <w:tc>
          <w:tcPr>
            <w:tcW w:w="1842" w:type="dxa"/>
            <w:shd w:val="clear" w:color="auto" w:fill="auto"/>
          </w:tcPr>
          <w:p w14:paraId="641D06D0" w14:textId="58B2225E" w:rsidR="00A40889" w:rsidRPr="00A52B64" w:rsidRDefault="00A40889" w:rsidP="00A40889">
            <w:pPr>
              <w:spacing w:before="40" w:after="120"/>
              <w:ind w:right="113"/>
              <w:rPr>
                <w:sz w:val="19"/>
                <w:szCs w:val="19"/>
              </w:rPr>
            </w:pPr>
            <w:r w:rsidRPr="00A52B64">
              <w:rPr>
                <w:sz w:val="19"/>
                <w:szCs w:val="19"/>
              </w:rPr>
              <w:t>Доступность</w:t>
            </w:r>
          </w:p>
        </w:tc>
        <w:tc>
          <w:tcPr>
            <w:tcW w:w="1843" w:type="dxa"/>
            <w:shd w:val="clear" w:color="auto" w:fill="auto"/>
          </w:tcPr>
          <w:p w14:paraId="489B5006" w14:textId="07FAF257" w:rsidR="00A40889" w:rsidRPr="00A52B64" w:rsidRDefault="00A40889" w:rsidP="00A40889">
            <w:pPr>
              <w:spacing w:before="40" w:after="120"/>
              <w:ind w:right="113"/>
              <w:rPr>
                <w:sz w:val="19"/>
                <w:szCs w:val="19"/>
              </w:rPr>
            </w:pPr>
            <w:r w:rsidRPr="00A52B64">
              <w:rPr>
                <w:sz w:val="19"/>
                <w:szCs w:val="19"/>
              </w:rPr>
              <w:t>Положительные, при условии надлежащего планирования</w:t>
            </w:r>
          </w:p>
        </w:tc>
      </w:tr>
      <w:tr w:rsidR="00A40889" w:rsidRPr="00A40889" w14:paraId="29C04D83" w14:textId="77777777" w:rsidTr="00A52B64">
        <w:tc>
          <w:tcPr>
            <w:tcW w:w="1843" w:type="dxa"/>
            <w:tcBorders>
              <w:bottom w:val="single" w:sz="12" w:space="0" w:color="auto"/>
            </w:tcBorders>
            <w:shd w:val="clear" w:color="auto" w:fill="auto"/>
          </w:tcPr>
          <w:p w14:paraId="676C367A" w14:textId="1288A33F" w:rsidR="00A40889" w:rsidRPr="00A52B64" w:rsidRDefault="00A40889" w:rsidP="00A40889">
            <w:pPr>
              <w:spacing w:before="40" w:after="120"/>
              <w:ind w:right="113"/>
              <w:rPr>
                <w:sz w:val="19"/>
                <w:szCs w:val="19"/>
              </w:rPr>
            </w:pPr>
            <w:r w:rsidRPr="00A52B64">
              <w:rPr>
                <w:sz w:val="19"/>
                <w:szCs w:val="19"/>
              </w:rPr>
              <w:t>Местный уровень</w:t>
            </w:r>
          </w:p>
        </w:tc>
        <w:tc>
          <w:tcPr>
            <w:tcW w:w="1842" w:type="dxa"/>
            <w:tcBorders>
              <w:bottom w:val="single" w:sz="12" w:space="0" w:color="auto"/>
            </w:tcBorders>
            <w:shd w:val="clear" w:color="auto" w:fill="auto"/>
          </w:tcPr>
          <w:p w14:paraId="3D72E6F9" w14:textId="4F75F176" w:rsidR="00A40889" w:rsidRPr="00A52B64" w:rsidRDefault="00A40889" w:rsidP="00A40889">
            <w:pPr>
              <w:spacing w:before="40" w:after="120"/>
              <w:ind w:right="113"/>
              <w:rPr>
                <w:sz w:val="19"/>
                <w:szCs w:val="19"/>
              </w:rPr>
            </w:pPr>
            <w:r w:rsidRPr="00A52B64">
              <w:rPr>
                <w:sz w:val="19"/>
                <w:szCs w:val="19"/>
              </w:rPr>
              <w:t>Ориентация на</w:t>
            </w:r>
            <w:r w:rsidR="00A52B64">
              <w:rPr>
                <w:sz w:val="19"/>
                <w:szCs w:val="19"/>
              </w:rPr>
              <w:t> </w:t>
            </w:r>
            <w:r w:rsidRPr="00A52B64">
              <w:rPr>
                <w:sz w:val="19"/>
                <w:szCs w:val="19"/>
              </w:rPr>
              <w:t>исходные показатели</w:t>
            </w:r>
          </w:p>
        </w:tc>
        <w:tc>
          <w:tcPr>
            <w:tcW w:w="1842" w:type="dxa"/>
            <w:tcBorders>
              <w:bottom w:val="single" w:sz="12" w:space="0" w:color="auto"/>
            </w:tcBorders>
            <w:shd w:val="clear" w:color="auto" w:fill="auto"/>
          </w:tcPr>
          <w:p w14:paraId="7C13B392" w14:textId="71D52C33" w:rsidR="00A40889" w:rsidRPr="00A52B64" w:rsidRDefault="00A40889" w:rsidP="00A40889">
            <w:pPr>
              <w:spacing w:before="40" w:after="120"/>
              <w:ind w:right="113"/>
              <w:rPr>
                <w:sz w:val="19"/>
                <w:szCs w:val="19"/>
              </w:rPr>
            </w:pPr>
            <w:r w:rsidRPr="00A52B64">
              <w:rPr>
                <w:sz w:val="19"/>
                <w:szCs w:val="19"/>
              </w:rPr>
              <w:t>Шум, вибрация, электромагнитное излучение (на этапе эксплуатации), качество воздуха (пыль на этапе строительства)</w:t>
            </w:r>
          </w:p>
        </w:tc>
        <w:tc>
          <w:tcPr>
            <w:tcW w:w="1843" w:type="dxa"/>
            <w:tcBorders>
              <w:bottom w:val="single" w:sz="12" w:space="0" w:color="auto"/>
            </w:tcBorders>
            <w:shd w:val="clear" w:color="auto" w:fill="auto"/>
          </w:tcPr>
          <w:p w14:paraId="1ADCF56E" w14:textId="606A7DD7" w:rsidR="00A40889" w:rsidRPr="00A52B64" w:rsidRDefault="00A40889" w:rsidP="00A40889">
            <w:pPr>
              <w:spacing w:before="40" w:after="120"/>
              <w:ind w:right="113"/>
              <w:rPr>
                <w:sz w:val="19"/>
                <w:szCs w:val="19"/>
              </w:rPr>
            </w:pPr>
            <w:r w:rsidRPr="00A52B64">
              <w:rPr>
                <w:sz w:val="19"/>
                <w:szCs w:val="19"/>
              </w:rPr>
              <w:t>Отрицательные, при отсутствии надлежащих мер по смягчению последствий</w:t>
            </w:r>
          </w:p>
        </w:tc>
      </w:tr>
    </w:tbl>
    <w:p w14:paraId="1081373B" w14:textId="77777777" w:rsidR="00160A17" w:rsidRPr="008F17A2" w:rsidRDefault="00160A17" w:rsidP="00160A17">
      <w:pPr>
        <w:pStyle w:val="SingleTxtG"/>
        <w:spacing w:before="120"/>
      </w:pPr>
      <w:r>
        <w:t>13.</w:t>
      </w:r>
      <w:r>
        <w:tab/>
        <w:t>Свои официальные заключения по экологическому докладу представили Эстонская комиссия по вопросам здравоохранения и Эстонская комиссия по проведению спасательных работ. Поначалу найти точки соприкосновения между региональными властями и органами здравоохранения было непросто: специалисты в области здравоохранения не были знакомы со стратегической экологической оценкой и больше ориентировались на местный уровень. Однако затем в обсуждение были включены региональные соображения, касающиеся доступности медицинского обслуживания. Например, обсуждался вопрос о доступности зон отдыха и медицинских услуг на местах.</w:t>
      </w:r>
    </w:p>
    <w:p w14:paraId="48308A8E" w14:textId="77777777" w:rsidR="00160A17" w:rsidRPr="008F17A2" w:rsidRDefault="00160A17" w:rsidP="00160A17">
      <w:pPr>
        <w:pStyle w:val="SingleTxtG"/>
      </w:pPr>
      <w:r>
        <w:t>14.</w:t>
      </w:r>
      <w:r>
        <w:tab/>
        <w:t xml:space="preserve">Темы, связанные со здоровьем населения, обсуждались также с Эстонской комиссией по охране окружающей среды, и, в частности, рассматривалось воздействие на поверхностные воды озера Юлемисте </w:t>
      </w:r>
      <w:r w:rsidRPr="00616338">
        <w:t>—</w:t>
      </w:r>
      <w:r>
        <w:t xml:space="preserve"> основного источника водоснабжения в Таллине. В этой связи Министерство обороны выразило обеспокоенность по поводу безопасности движения поездов вблизи одного из военных полигонов.</w:t>
      </w:r>
    </w:p>
    <w:p w14:paraId="0940454D" w14:textId="77777777" w:rsidR="00160A17" w:rsidRPr="008F17A2" w:rsidRDefault="00160A17" w:rsidP="00A52B64">
      <w:pPr>
        <w:pStyle w:val="SingleTxtG"/>
      </w:pPr>
      <w:r>
        <w:t>15.</w:t>
      </w:r>
      <w:r>
        <w:tab/>
        <w:t xml:space="preserve">Подход, ориентированный на цели, был использован не в полной мере. Оценка позволила получить пространственные данные о факторах риска, таких как детерминанты здоровья, описанные в таблице выше, однако при определении пространственных данных о показателях здоровья возникли сложности. </w:t>
      </w:r>
    </w:p>
    <w:p w14:paraId="01AF5B0A" w14:textId="77777777" w:rsidR="00160A17" w:rsidRPr="008F17A2" w:rsidRDefault="00160A17" w:rsidP="00A52B64">
      <w:pPr>
        <w:pStyle w:val="SingleTxtG"/>
      </w:pPr>
      <w:r>
        <w:t>16.</w:t>
      </w:r>
      <w:r>
        <w:tab/>
        <w:t xml:space="preserve">Проводившая оценку группа проанализировала сделанную в рамках стратегической экологической оценки работу и пришла к следующим выводам: </w:t>
      </w:r>
    </w:p>
    <w:p w14:paraId="3F444DB9" w14:textId="2048FDF3" w:rsidR="00160A17" w:rsidRPr="008F17A2" w:rsidRDefault="000D7BA4" w:rsidP="00A52B64">
      <w:pPr>
        <w:pStyle w:val="Bullet1G"/>
        <w:numPr>
          <w:ilvl w:val="0"/>
          <w:numId w:val="0"/>
        </w:numPr>
        <w:tabs>
          <w:tab w:val="left" w:pos="1701"/>
        </w:tabs>
        <w:ind w:left="1701" w:hanging="170"/>
      </w:pPr>
      <w:r w:rsidRPr="008F17A2">
        <w:t>•</w:t>
      </w:r>
      <w:r w:rsidRPr="008F17A2">
        <w:tab/>
      </w:r>
      <w:r w:rsidR="00160A17">
        <w:t>результаты стратегической экологической оценки могут и должны включать информацию о положительном воздействии;</w:t>
      </w:r>
    </w:p>
    <w:p w14:paraId="3A6689CD" w14:textId="42DC80E1" w:rsidR="00160A17" w:rsidRPr="008F17A2" w:rsidRDefault="000D7BA4" w:rsidP="00A52B64">
      <w:pPr>
        <w:pStyle w:val="Bullet1G"/>
        <w:numPr>
          <w:ilvl w:val="0"/>
          <w:numId w:val="0"/>
        </w:numPr>
        <w:tabs>
          <w:tab w:val="left" w:pos="1701"/>
        </w:tabs>
        <w:ind w:left="1701" w:hanging="170"/>
      </w:pPr>
      <w:r w:rsidRPr="008F17A2">
        <w:t>•</w:t>
      </w:r>
      <w:r w:rsidRPr="008F17A2">
        <w:tab/>
      </w:r>
      <w:r w:rsidR="00160A17">
        <w:t>цели в области здравоохранения на государственном и региональном уровнях позволят органам здравоохранения участвовать в стратегической экологической оценке и планировании на государственном и региональном уровнях;</w:t>
      </w:r>
    </w:p>
    <w:p w14:paraId="0AC154EB" w14:textId="66A77FBE" w:rsidR="00160A17" w:rsidRPr="008F17A2" w:rsidRDefault="000D7BA4" w:rsidP="00A52B64">
      <w:pPr>
        <w:pStyle w:val="Bullet1G"/>
        <w:numPr>
          <w:ilvl w:val="0"/>
          <w:numId w:val="0"/>
        </w:numPr>
        <w:tabs>
          <w:tab w:val="left" w:pos="1701"/>
        </w:tabs>
        <w:ind w:left="1701" w:hanging="170"/>
      </w:pPr>
      <w:r w:rsidRPr="008F17A2">
        <w:t>•</w:t>
      </w:r>
      <w:r w:rsidRPr="008F17A2">
        <w:tab/>
      </w:r>
      <w:r w:rsidR="00160A17">
        <w:t xml:space="preserve">важно организовать оценку по пространственно-временным шкалам; </w:t>
      </w:r>
    </w:p>
    <w:p w14:paraId="35E36DE0" w14:textId="3B31200E" w:rsidR="00160A17" w:rsidRPr="008F17A2" w:rsidRDefault="000D7BA4" w:rsidP="00A52B64">
      <w:pPr>
        <w:pStyle w:val="Bullet1G"/>
        <w:numPr>
          <w:ilvl w:val="0"/>
          <w:numId w:val="0"/>
        </w:numPr>
        <w:tabs>
          <w:tab w:val="left" w:pos="1701"/>
        </w:tabs>
        <w:ind w:left="1701" w:hanging="170"/>
      </w:pPr>
      <w:r w:rsidRPr="008F17A2">
        <w:t>•</w:t>
      </w:r>
      <w:r w:rsidRPr="008F17A2">
        <w:tab/>
      </w:r>
      <w:r w:rsidR="00160A17">
        <w:t>существует необходимость в пространственных данных, связывающих детерминанты здоровья, показатели состояния здоровья, факторы риска и последствия для здоровья;</w:t>
      </w:r>
    </w:p>
    <w:p w14:paraId="70FAEE2F" w14:textId="6D965469" w:rsidR="00160A17" w:rsidRPr="008F17A2" w:rsidRDefault="000D7BA4" w:rsidP="00A52B64">
      <w:pPr>
        <w:pStyle w:val="Bullet1G"/>
        <w:numPr>
          <w:ilvl w:val="0"/>
          <w:numId w:val="0"/>
        </w:numPr>
        <w:tabs>
          <w:tab w:val="left" w:pos="1701"/>
        </w:tabs>
        <w:ind w:left="1701" w:hanging="170"/>
      </w:pPr>
      <w:r w:rsidRPr="008F17A2">
        <w:t>•</w:t>
      </w:r>
      <w:r w:rsidRPr="008F17A2">
        <w:tab/>
      </w:r>
      <w:r w:rsidR="00160A17">
        <w:t xml:space="preserve">существует необходимость в перекрестной подготовке экспертов по стратегической экологической оценке и экспертов в области общественного здравоохранения; </w:t>
      </w:r>
    </w:p>
    <w:p w14:paraId="659069AC" w14:textId="55D52918" w:rsidR="00160A17" w:rsidRPr="008F17A2" w:rsidRDefault="000D7BA4" w:rsidP="00A52B64">
      <w:pPr>
        <w:pStyle w:val="Bullet1G"/>
        <w:numPr>
          <w:ilvl w:val="0"/>
          <w:numId w:val="0"/>
        </w:numPr>
        <w:tabs>
          <w:tab w:val="left" w:pos="1701"/>
        </w:tabs>
        <w:ind w:left="1701" w:hanging="170"/>
      </w:pPr>
      <w:r w:rsidRPr="008F17A2">
        <w:t>•</w:t>
      </w:r>
      <w:r w:rsidRPr="008F17A2">
        <w:tab/>
      </w:r>
      <w:r w:rsidR="00160A17">
        <w:t>необходимы действенные руководящие указания по вопросам здоровья в рамках стратегической экологической оценки и по вопросам здоровья в рамках оценки воздействия на окружающую среду.</w:t>
      </w:r>
    </w:p>
    <w:p w14:paraId="7032DB33" w14:textId="48E9F1CE" w:rsidR="00160A17" w:rsidRPr="008F17A2" w:rsidRDefault="00A52B64" w:rsidP="00160A17">
      <w:pPr>
        <w:pStyle w:val="H1G"/>
      </w:pPr>
      <w:r>
        <w:lastRenderedPageBreak/>
        <w:tab/>
      </w:r>
      <w:r w:rsidR="00160A17">
        <w:t>C.</w:t>
      </w:r>
      <w:r w:rsidR="00160A17">
        <w:tab/>
        <w:t>Обновление региональной энергетической концепции Высочинского края на 2017‒2042 годы, Чехия</w:t>
      </w:r>
      <w:bookmarkStart w:id="17" w:name="_Hlk130893502"/>
      <w:bookmarkEnd w:id="17"/>
    </w:p>
    <w:p w14:paraId="6A102D0F" w14:textId="5084AB2A" w:rsidR="00160A17" w:rsidRPr="008F17A2" w:rsidRDefault="00A52B64" w:rsidP="00A52B64">
      <w:pPr>
        <w:pStyle w:val="H4G"/>
      </w:pPr>
      <w:r>
        <w:tab/>
      </w:r>
      <w:r>
        <w:tab/>
      </w:r>
      <w:r w:rsidR="00160A17">
        <w:t>Тематическое исследование, основанное на сообщении г-на Ярослава Вольфа, Университетская больница Остравы, Чехия, и г-жи Гелены Казмаровой, Национальный институт общественного здравоохранения, Чехия</w:t>
      </w:r>
    </w:p>
    <w:p w14:paraId="099D8A45" w14:textId="77777777" w:rsidR="00160A17" w:rsidRPr="000B3F43" w:rsidRDefault="00160A17" w:rsidP="00160A17">
      <w:pPr>
        <w:pStyle w:val="SingleTxtG"/>
      </w:pPr>
      <w:r>
        <w:t>17.</w:t>
      </w:r>
      <w:r>
        <w:tab/>
        <w:t>Была проведена оценка воздействия на здоровье населения, а также стратегическая экологическая оценка обновленной региональной энергетической концепции Высочинского края на 2017‒2042 годы. Региональная концепция направлена на достижение следующих целей:</w:t>
      </w:r>
    </w:p>
    <w:p w14:paraId="7BCE292B" w14:textId="1D3A04C1" w:rsidR="00160A17" w:rsidRPr="008F17A2" w:rsidRDefault="000D7BA4" w:rsidP="000D7BA4">
      <w:pPr>
        <w:pStyle w:val="Bullet1G"/>
        <w:numPr>
          <w:ilvl w:val="0"/>
          <w:numId w:val="0"/>
        </w:numPr>
        <w:tabs>
          <w:tab w:val="left" w:pos="1701"/>
        </w:tabs>
        <w:suppressAutoHyphens w:val="0"/>
        <w:ind w:left="1701" w:hanging="170"/>
      </w:pPr>
      <w:r w:rsidRPr="008F17A2">
        <w:t>•</w:t>
      </w:r>
      <w:r w:rsidRPr="008F17A2">
        <w:tab/>
      </w:r>
      <w:r w:rsidR="00160A17">
        <w:t xml:space="preserve">повышение безопасности и надежности энергоснабжения; </w:t>
      </w:r>
    </w:p>
    <w:p w14:paraId="2F0E47FD" w14:textId="39EEE7A9" w:rsidR="00160A17" w:rsidRPr="000B3F43" w:rsidRDefault="000D7BA4" w:rsidP="000D7BA4">
      <w:pPr>
        <w:pStyle w:val="Bullet1G"/>
        <w:numPr>
          <w:ilvl w:val="0"/>
          <w:numId w:val="0"/>
        </w:numPr>
        <w:tabs>
          <w:tab w:val="left" w:pos="1701"/>
        </w:tabs>
        <w:suppressAutoHyphens w:val="0"/>
        <w:ind w:left="1701" w:hanging="170"/>
      </w:pPr>
      <w:r w:rsidRPr="000B3F43">
        <w:t>•</w:t>
      </w:r>
      <w:r w:rsidRPr="000B3F43">
        <w:tab/>
      </w:r>
      <w:r w:rsidR="00160A17">
        <w:t xml:space="preserve">повышение эффективности использования энергии; </w:t>
      </w:r>
    </w:p>
    <w:p w14:paraId="51EC8801" w14:textId="321A6705" w:rsidR="00160A17" w:rsidRPr="000B3F43" w:rsidRDefault="000D7BA4" w:rsidP="000D7BA4">
      <w:pPr>
        <w:pStyle w:val="Bullet1G"/>
        <w:numPr>
          <w:ilvl w:val="0"/>
          <w:numId w:val="0"/>
        </w:numPr>
        <w:tabs>
          <w:tab w:val="left" w:pos="1701"/>
        </w:tabs>
        <w:suppressAutoHyphens w:val="0"/>
        <w:ind w:left="1701" w:hanging="170"/>
      </w:pPr>
      <w:r w:rsidRPr="000B3F43">
        <w:t>•</w:t>
      </w:r>
      <w:r w:rsidRPr="000B3F43">
        <w:tab/>
      </w:r>
      <w:r w:rsidR="00160A17">
        <w:t>поощрение устойчивого развития.</w:t>
      </w:r>
    </w:p>
    <w:p w14:paraId="7A2A790F" w14:textId="77777777" w:rsidR="00160A17" w:rsidRPr="008F17A2" w:rsidRDefault="00160A17" w:rsidP="00160A17">
      <w:pPr>
        <w:pStyle w:val="SingleTxtG"/>
      </w:pPr>
      <w:r>
        <w:t>18.</w:t>
      </w:r>
      <w:r>
        <w:tab/>
        <w:t xml:space="preserve">Оба эти процесса оценки были начаты одновременно. При подготовке обновленной региональной концепции и проведении оценки использовались, среди прочего, следующие данные: данные обо всех источниках электроэнергии и теплоснабжения, в том числе о местоположении, мощности, типе топлива и использовании запасов; подробная информация о текущем потреблении электроэнергии и тепла; информация о будущем энергопотреблении и возможностях производства возобновляемой энергии. Рассматривались также пути более эффективного использования избыточной тепловой энергии, генерируемой на АЭС «Духованы». </w:t>
      </w:r>
    </w:p>
    <w:p w14:paraId="4A732777" w14:textId="06E99066" w:rsidR="00160A17" w:rsidRPr="00AD4F0D" w:rsidRDefault="00160A17" w:rsidP="00160A17">
      <w:pPr>
        <w:pStyle w:val="SingleTxtG"/>
      </w:pPr>
      <w:r>
        <w:t>19.</w:t>
      </w:r>
      <w:r>
        <w:tab/>
        <w:t>Региональная концепция была оценена с учетом принципов территориального развития Высочинского края и ряда региональных стратегических документов и тематических исследований, в том числе документов по экологическому образованию, просвещению и повышению осведомленности, а также стратегии охраны окружающей среды Высочинского края. Некоторые из принятых во внимание планов/программ были посвящены конкретным субрегионам и касались таких вопросов, как планирование деятельности в водных бассейнах и улучшение качества воздуха. К</w:t>
      </w:r>
      <w:r w:rsidR="00A52B64">
        <w:t> </w:t>
      </w:r>
      <w:r>
        <w:t xml:space="preserve">использовавшимся стратегическим документам относятся региональные, национальные и международные публикации. </w:t>
      </w:r>
    </w:p>
    <w:p w14:paraId="3EBDD32D" w14:textId="77777777" w:rsidR="00160A17" w:rsidRPr="008F17A2" w:rsidRDefault="00160A17" w:rsidP="00160A17">
      <w:pPr>
        <w:pStyle w:val="SingleTxtG"/>
      </w:pPr>
      <w:r>
        <w:t>20.</w:t>
      </w:r>
      <w:r>
        <w:tab/>
        <w:t xml:space="preserve">Воздействие региональной концепции на здоровье населения оценивалось с учетом приложения 9 к Закону об оценке воздействия на окружающую среду и с уделением особого внимания проблемам шума и загрязнения воздуха. Спектр вопросов, охваченных оценкой, частично определялся этой правовой базой и включал в себя: </w:t>
      </w:r>
    </w:p>
    <w:p w14:paraId="135B421D" w14:textId="12BB2F83" w:rsidR="00160A17" w:rsidRPr="000B3F43" w:rsidRDefault="000D7BA4" w:rsidP="000D7BA4">
      <w:pPr>
        <w:pStyle w:val="Bullet1G"/>
        <w:numPr>
          <w:ilvl w:val="0"/>
          <w:numId w:val="0"/>
        </w:numPr>
        <w:tabs>
          <w:tab w:val="left" w:pos="1701"/>
        </w:tabs>
        <w:suppressAutoHyphens w:val="0"/>
        <w:ind w:left="1701" w:hanging="170"/>
      </w:pPr>
      <w:r w:rsidRPr="000B3F43">
        <w:t>•</w:t>
      </w:r>
      <w:r w:rsidRPr="000B3F43">
        <w:tab/>
      </w:r>
      <w:r w:rsidR="00160A17">
        <w:t>формулирование предложений;</w:t>
      </w:r>
    </w:p>
    <w:p w14:paraId="2F040111" w14:textId="52A80456" w:rsidR="00160A17" w:rsidRPr="000B3F43" w:rsidRDefault="000D7BA4" w:rsidP="000D7BA4">
      <w:pPr>
        <w:pStyle w:val="Bullet1G"/>
        <w:numPr>
          <w:ilvl w:val="0"/>
          <w:numId w:val="0"/>
        </w:numPr>
        <w:tabs>
          <w:tab w:val="left" w:pos="1701"/>
        </w:tabs>
        <w:suppressAutoHyphens w:val="0"/>
        <w:ind w:left="1701" w:hanging="170"/>
      </w:pPr>
      <w:r w:rsidRPr="000B3F43">
        <w:t>•</w:t>
      </w:r>
      <w:r w:rsidRPr="000B3F43">
        <w:tab/>
      </w:r>
      <w:r w:rsidR="00160A17">
        <w:t>степень детализации информации;</w:t>
      </w:r>
    </w:p>
    <w:p w14:paraId="47A9BB4C" w14:textId="483920B1" w:rsidR="00160A17" w:rsidRPr="000B3F43" w:rsidRDefault="000D7BA4" w:rsidP="000D7BA4">
      <w:pPr>
        <w:pStyle w:val="Bullet1G"/>
        <w:numPr>
          <w:ilvl w:val="0"/>
          <w:numId w:val="0"/>
        </w:numPr>
        <w:tabs>
          <w:tab w:val="left" w:pos="1701"/>
        </w:tabs>
        <w:suppressAutoHyphens w:val="0"/>
        <w:ind w:left="1701" w:hanging="170"/>
      </w:pPr>
      <w:r w:rsidRPr="000B3F43">
        <w:t>•</w:t>
      </w:r>
      <w:r w:rsidRPr="000B3F43">
        <w:tab/>
      </w:r>
      <w:r w:rsidR="00160A17">
        <w:t>сферу действия региональной концепции;</w:t>
      </w:r>
    </w:p>
    <w:p w14:paraId="55832F72" w14:textId="6F0259BA" w:rsidR="00160A17" w:rsidRPr="000B3F43" w:rsidRDefault="000D7BA4" w:rsidP="000D7BA4">
      <w:pPr>
        <w:pStyle w:val="Bullet1G"/>
        <w:numPr>
          <w:ilvl w:val="0"/>
          <w:numId w:val="0"/>
        </w:numPr>
        <w:tabs>
          <w:tab w:val="left" w:pos="1701"/>
        </w:tabs>
        <w:suppressAutoHyphens w:val="0"/>
        <w:ind w:left="1701" w:hanging="170"/>
      </w:pPr>
      <w:r w:rsidRPr="000B3F43">
        <w:t>•</w:t>
      </w:r>
      <w:r w:rsidRPr="000B3F43">
        <w:tab/>
      </w:r>
      <w:r w:rsidR="00160A17">
        <w:t>определение затрагиваемого населения;</w:t>
      </w:r>
    </w:p>
    <w:p w14:paraId="24C00447" w14:textId="45B294C6" w:rsidR="00160A17" w:rsidRPr="000B3F43" w:rsidRDefault="000D7BA4" w:rsidP="000D7BA4">
      <w:pPr>
        <w:pStyle w:val="Bullet1G"/>
        <w:numPr>
          <w:ilvl w:val="0"/>
          <w:numId w:val="0"/>
        </w:numPr>
        <w:tabs>
          <w:tab w:val="left" w:pos="1701"/>
        </w:tabs>
        <w:suppressAutoHyphens w:val="0"/>
        <w:ind w:left="1701" w:hanging="170"/>
      </w:pPr>
      <w:r w:rsidRPr="000B3F43">
        <w:t>•</w:t>
      </w:r>
      <w:r w:rsidRPr="000B3F43">
        <w:tab/>
      </w:r>
      <w:r w:rsidR="00160A17">
        <w:t>сроки проведения оценки;</w:t>
      </w:r>
    </w:p>
    <w:p w14:paraId="7570E5CA" w14:textId="66CC4652" w:rsidR="00160A17" w:rsidRPr="008F17A2" w:rsidRDefault="000D7BA4" w:rsidP="000D7BA4">
      <w:pPr>
        <w:pStyle w:val="Bullet1G"/>
        <w:numPr>
          <w:ilvl w:val="0"/>
          <w:numId w:val="0"/>
        </w:numPr>
        <w:tabs>
          <w:tab w:val="left" w:pos="1701"/>
        </w:tabs>
        <w:suppressAutoHyphens w:val="0"/>
        <w:ind w:left="1701" w:hanging="170"/>
      </w:pPr>
      <w:r w:rsidRPr="008F17A2">
        <w:t>•</w:t>
      </w:r>
      <w:r w:rsidRPr="008F17A2">
        <w:tab/>
      </w:r>
      <w:r w:rsidR="00160A17">
        <w:t>количество и виды планируемых совещаний.</w:t>
      </w:r>
    </w:p>
    <w:p w14:paraId="072C79F6" w14:textId="77777777" w:rsidR="00160A17" w:rsidRPr="00AD4F0D" w:rsidRDefault="00160A17" w:rsidP="00160A17">
      <w:pPr>
        <w:pStyle w:val="SingleTxtG"/>
      </w:pPr>
      <w:r>
        <w:t>21.</w:t>
      </w:r>
      <w:r>
        <w:tab/>
        <w:t xml:space="preserve">Оценка воздействия на здоровье населения была ориентирована не только на здоровье окружающей среды (физическое и химическое состояние, качество воздуха и воды, шум), но и на учет социальных и экономических детерминантов здоровья (занятость, образование и заработная плата). </w:t>
      </w:r>
    </w:p>
    <w:p w14:paraId="504F8458" w14:textId="77777777" w:rsidR="00160A17" w:rsidRPr="008F17A2" w:rsidRDefault="00160A17" w:rsidP="00160A17">
      <w:pPr>
        <w:pStyle w:val="SingleTxtG"/>
      </w:pPr>
      <w:r>
        <w:t>22.</w:t>
      </w:r>
      <w:r>
        <w:tab/>
        <w:t xml:space="preserve">Оценка выявила положительное воздействие на социально-экономические детерминанты, например повышение уровня образования, рост доходов трудящихся и расширение возможностей для получения выгод от компенсационных мер, особенно в зоне аварийного планирования. Были отмечены следующие негативные последствия: страх перед ядерной аварией; озабоченность по поводу долгосрочного воздействия </w:t>
      </w:r>
      <w:r>
        <w:lastRenderedPageBreak/>
        <w:t>радиации от атомной электростанции; и облучение на рабочем месте и восприятие потенциальных рисков, связанных с планированием семьи. Было установлено, что для охраны окружающей среды важное значение имеет разумное размещение других источников электрической и тепловой энергии и использование потенциала АЭС.</w:t>
      </w:r>
    </w:p>
    <w:p w14:paraId="159503BB" w14:textId="77777777" w:rsidR="00160A17" w:rsidRPr="008F17A2" w:rsidRDefault="00160A17" w:rsidP="00A52B64">
      <w:pPr>
        <w:pStyle w:val="SingleTxtG"/>
      </w:pPr>
      <w:r>
        <w:t>23.</w:t>
      </w:r>
      <w:r>
        <w:tab/>
        <w:t xml:space="preserve">В ходе оценки воздействия региональной концепции на здоровье населения были сделаны следующие выводы: </w:t>
      </w:r>
    </w:p>
    <w:p w14:paraId="10BCD5A8" w14:textId="35B11DAD" w:rsidR="00160A17" w:rsidRPr="008F17A2" w:rsidRDefault="000D7BA4" w:rsidP="00A52B64">
      <w:pPr>
        <w:pStyle w:val="Bullet1G"/>
        <w:numPr>
          <w:ilvl w:val="0"/>
          <w:numId w:val="0"/>
        </w:numPr>
        <w:tabs>
          <w:tab w:val="left" w:pos="1701"/>
        </w:tabs>
        <w:ind w:left="1701" w:hanging="170"/>
      </w:pPr>
      <w:r w:rsidRPr="008F17A2">
        <w:t>•</w:t>
      </w:r>
      <w:r w:rsidRPr="008F17A2">
        <w:tab/>
      </w:r>
      <w:r w:rsidR="00160A17">
        <w:t>надежное снабжение населения энергией имеет важное значение для удовлетворения основных потребностей в плане поддержании хорошего уровня здравоохранения (тепло, свет, микроклимат, режим охлаждения, объем медицинских услуг, безопасность связи);</w:t>
      </w:r>
    </w:p>
    <w:p w14:paraId="375D54C4" w14:textId="1C3B9ADF" w:rsidR="00160A17" w:rsidRPr="008F17A2" w:rsidRDefault="000D7BA4" w:rsidP="00A52B64">
      <w:pPr>
        <w:pStyle w:val="Bullet1G"/>
        <w:numPr>
          <w:ilvl w:val="0"/>
          <w:numId w:val="0"/>
        </w:numPr>
        <w:tabs>
          <w:tab w:val="left" w:pos="1701"/>
        </w:tabs>
        <w:ind w:left="1701" w:hanging="170"/>
      </w:pPr>
      <w:r w:rsidRPr="008F17A2">
        <w:t>•</w:t>
      </w:r>
      <w:r w:rsidRPr="008F17A2">
        <w:tab/>
      </w:r>
      <w:r w:rsidR="00160A17">
        <w:t>цели региональной концепции, заключающиеся в повышении безопасности и надежности энергоснабжения, повышении эффективности использования энергии и обеспечении устойчивого развития, являются благотворными для здоровья человека.</w:t>
      </w:r>
    </w:p>
    <w:p w14:paraId="1289A8AA" w14:textId="712B27F2" w:rsidR="00160A17" w:rsidRPr="008F17A2" w:rsidRDefault="00A52B64" w:rsidP="00160A17">
      <w:pPr>
        <w:pStyle w:val="H1G"/>
      </w:pPr>
      <w:r>
        <w:tab/>
      </w:r>
      <w:r w:rsidR="00160A17">
        <w:t>D.</w:t>
      </w:r>
      <w:r w:rsidR="00160A17">
        <w:tab/>
        <w:t>Уроки из практики: тематические исследования по оценке воздействия на здоровье человека при проведении стратегической экологической оценки и оценки воздействия на окружающую среду в Европейском регионе Всемирной организации здравоохранения</w:t>
      </w:r>
      <w:bookmarkStart w:id="18" w:name="_Hlk130893562"/>
      <w:bookmarkEnd w:id="18"/>
    </w:p>
    <w:p w14:paraId="461843D8" w14:textId="77777777" w:rsidR="00160A17" w:rsidRPr="008F17A2" w:rsidRDefault="00160A17" w:rsidP="00160A17">
      <w:pPr>
        <w:pStyle w:val="SingleTxtG"/>
      </w:pPr>
      <w:r>
        <w:t>24.</w:t>
      </w:r>
      <w:r>
        <w:tab/>
        <w:t>Европейское региональное бюро ВОЗ рассмотрело и представило дополнительные тематические исследования, касающиеся учета вопросов здоровья в стратегической экологической оценке (и в оценке воздействия на окружающую среду)</w:t>
      </w:r>
      <w:r w:rsidRPr="00E96AFC">
        <w:rPr>
          <w:sz w:val="18"/>
          <w:vertAlign w:val="superscript"/>
        </w:rPr>
        <w:footnoteReference w:id="33"/>
      </w:r>
      <w:r>
        <w:t>.</w:t>
      </w:r>
    </w:p>
    <w:p w14:paraId="2BEF9740" w14:textId="77777777" w:rsidR="00160A17" w:rsidRPr="008F17A2" w:rsidRDefault="00160A17" w:rsidP="00160A17">
      <w:pPr>
        <w:spacing w:before="240"/>
        <w:jc w:val="center"/>
        <w:rPr>
          <w:u w:val="single"/>
        </w:rPr>
      </w:pPr>
      <w:r w:rsidRPr="008F17A2">
        <w:rPr>
          <w:u w:val="single"/>
        </w:rPr>
        <w:tab/>
      </w:r>
      <w:r w:rsidRPr="008F17A2">
        <w:rPr>
          <w:u w:val="single"/>
        </w:rPr>
        <w:tab/>
      </w:r>
      <w:r w:rsidRPr="008F17A2">
        <w:rPr>
          <w:u w:val="single"/>
        </w:rPr>
        <w:tab/>
      </w:r>
    </w:p>
    <w:p w14:paraId="2FA84A80" w14:textId="77777777" w:rsidR="00160A17" w:rsidRPr="00160A17" w:rsidRDefault="00160A17" w:rsidP="00A52B64">
      <w:pPr>
        <w:pStyle w:val="SingleTxtG"/>
        <w:ind w:left="0"/>
      </w:pPr>
    </w:p>
    <w:sectPr w:rsidR="00160A17" w:rsidRPr="00160A17" w:rsidSect="002E49F0">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588F" w14:textId="77777777" w:rsidR="00B32B1C" w:rsidRPr="00A312BC" w:rsidRDefault="00B32B1C" w:rsidP="00A312BC"/>
  </w:endnote>
  <w:endnote w:type="continuationSeparator" w:id="0">
    <w:p w14:paraId="47909155" w14:textId="77777777" w:rsidR="00B32B1C" w:rsidRPr="00A312BC" w:rsidRDefault="00B32B1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6FD8" w14:textId="6C57ACCB" w:rsidR="00000000" w:rsidRDefault="00CD07FD" w:rsidP="000D7BA4">
    <w:pPr>
      <w:pStyle w:val="a8"/>
    </w:pPr>
    <w:r w:rsidRPr="00CD07FD">
      <w:rPr>
        <w:b/>
        <w:sz w:val="18"/>
      </w:rPr>
      <w:fldChar w:fldCharType="begin"/>
    </w:r>
    <w:r w:rsidRPr="00CD07FD">
      <w:rPr>
        <w:b/>
        <w:sz w:val="18"/>
      </w:rPr>
      <w:instrText xml:space="preserve"> PAGE  \* MERGEFORMAT </w:instrText>
    </w:r>
    <w:r w:rsidRPr="00CD07FD">
      <w:rPr>
        <w:b/>
        <w:sz w:val="18"/>
      </w:rPr>
      <w:fldChar w:fldCharType="separate"/>
    </w:r>
    <w:r w:rsidRPr="00CD07FD">
      <w:rPr>
        <w:b/>
        <w:noProof/>
        <w:sz w:val="18"/>
      </w:rPr>
      <w:t>2</w:t>
    </w:r>
    <w:r w:rsidRPr="00CD07FD">
      <w:rPr>
        <w:b/>
        <w:sz w:val="18"/>
      </w:rPr>
      <w:fldChar w:fldCharType="end"/>
    </w:r>
    <w:r>
      <w:rPr>
        <w:b/>
        <w:sz w:val="18"/>
      </w:rPr>
      <w:tab/>
    </w:r>
    <w:r>
      <w:t>GE.23-05723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7B20" w14:textId="04E7E5F8" w:rsidR="00000000" w:rsidRPr="000D7BA4" w:rsidRDefault="00CD07FD" w:rsidP="000D7BA4">
    <w:pPr>
      <w:pStyle w:val="a8"/>
      <w:rPr>
        <w:b/>
        <w:sz w:val="18"/>
      </w:rPr>
    </w:pPr>
    <w:r>
      <w:t>GE.23-05723</w:t>
    </w:r>
    <w:r>
      <w:tab/>
    </w:r>
    <w:r w:rsidRPr="00CD07FD">
      <w:rPr>
        <w:b/>
        <w:sz w:val="18"/>
      </w:rPr>
      <w:fldChar w:fldCharType="begin"/>
    </w:r>
    <w:r w:rsidRPr="00CD07FD">
      <w:rPr>
        <w:b/>
        <w:sz w:val="18"/>
      </w:rPr>
      <w:instrText xml:space="preserve"> PAGE  \* MERGEFORMAT </w:instrText>
    </w:r>
    <w:r w:rsidRPr="00CD07FD">
      <w:rPr>
        <w:b/>
        <w:sz w:val="18"/>
      </w:rPr>
      <w:fldChar w:fldCharType="separate"/>
    </w:r>
    <w:r w:rsidRPr="00CD07FD">
      <w:rPr>
        <w:b/>
        <w:noProof/>
        <w:sz w:val="18"/>
      </w:rPr>
      <w:t>3</w:t>
    </w:r>
    <w:r w:rsidRPr="00CD07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E60C" w14:textId="602A26D9" w:rsidR="00042B72" w:rsidRPr="00160A17" w:rsidRDefault="00CD07FD" w:rsidP="00CD07FD">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47A472B" wp14:editId="27B6EDD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23-05723  (R)</w:t>
    </w:r>
    <w:r>
      <w:rPr>
        <w:noProof/>
      </w:rPr>
      <w:drawing>
        <wp:anchor distT="0" distB="0" distL="114300" distR="114300" simplePos="0" relativeHeight="251659264" behindDoc="0" locked="0" layoutInCell="1" allowOverlap="1" wp14:anchorId="79AFF5EE" wp14:editId="1AC0D9E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A17">
      <w:rPr>
        <w:lang w:val="fr-CH"/>
      </w:rPr>
      <w:t xml:space="preserve">  200423  2</w:t>
    </w:r>
    <w:r w:rsidR="00967A23">
      <w:t>5</w:t>
    </w:r>
    <w:r w:rsidR="00160A17">
      <w:rPr>
        <w:lang w:val="fr-CH"/>
      </w:rPr>
      <w:t>0423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B352" w14:textId="767588F8" w:rsidR="00396307" w:rsidRPr="005C22EF" w:rsidRDefault="005C22EF" w:rsidP="005C22EF">
    <w:pPr>
      <w:pStyle w:val="a8"/>
      <w:rPr>
        <w:b/>
        <w:sz w:val="18"/>
      </w:rPr>
    </w:pPr>
    <w:r>
      <w:t>GE.23-05723</w:t>
    </w:r>
    <w:r>
      <w:tab/>
    </w:r>
    <w:r w:rsidRPr="00CD07FD">
      <w:rPr>
        <w:b/>
        <w:sz w:val="18"/>
      </w:rPr>
      <w:fldChar w:fldCharType="begin"/>
    </w:r>
    <w:r w:rsidRPr="00CD07FD">
      <w:rPr>
        <w:b/>
        <w:sz w:val="18"/>
      </w:rPr>
      <w:instrText xml:space="preserve"> PAGE  \* MERGEFORMAT </w:instrText>
    </w:r>
    <w:r w:rsidRPr="00CD07FD">
      <w:rPr>
        <w:b/>
        <w:sz w:val="18"/>
      </w:rPr>
      <w:fldChar w:fldCharType="separate"/>
    </w:r>
    <w:r>
      <w:rPr>
        <w:b/>
        <w:sz w:val="18"/>
      </w:rPr>
      <w:t>21</w:t>
    </w:r>
    <w:r w:rsidRPr="00CD07F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0766" w14:textId="77777777" w:rsidR="00B32B1C" w:rsidRPr="001075E9" w:rsidRDefault="00B32B1C" w:rsidP="001075E9">
      <w:pPr>
        <w:tabs>
          <w:tab w:val="right" w:pos="2155"/>
        </w:tabs>
        <w:spacing w:after="80" w:line="240" w:lineRule="auto"/>
        <w:ind w:left="680"/>
        <w:rPr>
          <w:u w:val="single"/>
        </w:rPr>
      </w:pPr>
      <w:r>
        <w:rPr>
          <w:u w:val="single"/>
        </w:rPr>
        <w:tab/>
      </w:r>
    </w:p>
  </w:footnote>
  <w:footnote w:type="continuationSeparator" w:id="0">
    <w:p w14:paraId="41B5C92B" w14:textId="77777777" w:rsidR="00B32B1C" w:rsidRDefault="00B32B1C" w:rsidP="00407B78">
      <w:pPr>
        <w:tabs>
          <w:tab w:val="right" w:pos="2155"/>
        </w:tabs>
        <w:spacing w:after="80"/>
        <w:ind w:left="680"/>
        <w:rPr>
          <w:u w:val="single"/>
        </w:rPr>
      </w:pPr>
      <w:r>
        <w:rPr>
          <w:u w:val="single"/>
        </w:rPr>
        <w:tab/>
      </w:r>
    </w:p>
  </w:footnote>
  <w:footnote w:id="1">
    <w:p w14:paraId="3E72FF44" w14:textId="300FC08E" w:rsidR="00160A17" w:rsidRPr="008F17A2" w:rsidRDefault="00160A17" w:rsidP="00160A17">
      <w:pPr>
        <w:pStyle w:val="ad"/>
      </w:pPr>
      <w:r>
        <w:tab/>
      </w:r>
      <w:r>
        <w:rPr>
          <w:rStyle w:val="aa"/>
        </w:rPr>
        <w:footnoteRef/>
      </w:r>
      <w:r>
        <w:tab/>
      </w:r>
      <w:r>
        <w:tab/>
        <w:t>ECE/MP.EIA/23/Add.1–ECE/MP.EIA/SEA/7/Add.1, решение VII/3–III/3, приложение II, пункт</w:t>
      </w:r>
      <w:r w:rsidR="00FE5133">
        <w:rPr>
          <w:lang w:val="en-US"/>
        </w:rPr>
        <w:t> </w:t>
      </w:r>
      <w:r>
        <w:t>IV.1.</w:t>
      </w:r>
    </w:p>
  </w:footnote>
  <w:footnote w:id="2">
    <w:p w14:paraId="5CB7B795" w14:textId="77777777" w:rsidR="00160A17" w:rsidRPr="008F17A2" w:rsidRDefault="00160A17" w:rsidP="00160A17">
      <w:pPr>
        <w:pStyle w:val="ad"/>
      </w:pPr>
      <w:r>
        <w:tab/>
      </w:r>
      <w:r w:rsidRPr="00525A5E">
        <w:rPr>
          <w:vertAlign w:val="superscript"/>
        </w:rPr>
        <w:footnoteRef/>
      </w:r>
      <w:bookmarkStart w:id="0" w:name="_Hlk18325296"/>
      <w:r>
        <w:tab/>
        <w:t xml:space="preserve">Публикация Организации Объединенных Наций, ECE/MP.EIA/17. </w:t>
      </w:r>
      <w:bookmarkStart w:id="1" w:name="_Hlk34224379"/>
      <w:bookmarkEnd w:id="0"/>
    </w:p>
    <w:bookmarkEnd w:id="1"/>
  </w:footnote>
  <w:footnote w:id="3">
    <w:p w14:paraId="0F0AADD7" w14:textId="675AD18A" w:rsidR="00160A17" w:rsidRPr="008F17A2" w:rsidRDefault="00160A17" w:rsidP="00160A17">
      <w:pPr>
        <w:pStyle w:val="ad"/>
      </w:pPr>
      <w:r>
        <w:tab/>
      </w:r>
      <w:r w:rsidRPr="00C93286">
        <w:rPr>
          <w:vertAlign w:val="superscript"/>
        </w:rPr>
        <w:footnoteRef/>
      </w:r>
      <w:r>
        <w:tab/>
      </w:r>
      <w:r w:rsidRPr="00830F48">
        <w:rPr>
          <w:i/>
          <w:iCs/>
        </w:rPr>
        <w:t>Информационно-справочное руководство по применению Протокола ЕЭК ООН по стратегической экологической оценке</w:t>
      </w:r>
      <w:r>
        <w:t xml:space="preserve"> (информационно-справочное руководство) было первоначально подготовлено в соответствии с решением первого совещания Сторон, подписавших Протокол по стратегической экологической оценке к Конвенции об оценке воздействия на окружающую среду в трансграничном контексте (Цавтат, Хорватия, 1–4 июня 2004 года). На своей первой сессии (Женева, 20–23 июня 2011 года) Совещание Сторон Протокола приветствовало информационно-справочное руководство, включая посвященное вопросам здоровья приложение к нему (ECE/MP.EIA/SEA/2, решение I/3). </w:t>
      </w:r>
    </w:p>
  </w:footnote>
  <w:footnote w:id="4">
    <w:p w14:paraId="27BBDB5C" w14:textId="4A1709F8" w:rsidR="00160A17" w:rsidRPr="00EC6155" w:rsidRDefault="00160A17" w:rsidP="00160A17">
      <w:pPr>
        <w:pStyle w:val="ad"/>
      </w:pPr>
      <w:r>
        <w:tab/>
      </w:r>
      <w:r w:rsidRPr="00C70BEC">
        <w:rPr>
          <w:vertAlign w:val="superscript"/>
        </w:rPr>
        <w:footnoteRef/>
      </w:r>
      <w:r>
        <w:tab/>
        <w:t xml:space="preserve">Свежие данные о состоянии дел с ратификациями см. </w:t>
      </w:r>
      <w:r w:rsidR="00FE5133" w:rsidRPr="00FE5133">
        <w:rPr>
          <w:lang w:val="en-US"/>
        </w:rPr>
        <w:t>URL</w:t>
      </w:r>
      <w:r w:rsidR="00FE5133" w:rsidRPr="00EC6155">
        <w:t>:</w:t>
      </w:r>
      <w:r w:rsidR="00EC6155">
        <w:t> </w:t>
      </w:r>
      <w:hyperlink r:id="rId1" w:history="1">
        <w:r w:rsidR="00152BD6" w:rsidRPr="00AA6921">
          <w:rPr>
            <w:rStyle w:val="af1"/>
            <w:lang w:val="en-US"/>
          </w:rPr>
          <w:t>https</w:t>
        </w:r>
        <w:r w:rsidR="00152BD6" w:rsidRPr="00AA6921">
          <w:rPr>
            <w:rStyle w:val="af1"/>
          </w:rPr>
          <w:t>://</w:t>
        </w:r>
        <w:r w:rsidR="00152BD6" w:rsidRPr="00AA6921">
          <w:rPr>
            <w:rStyle w:val="af1"/>
            <w:lang w:val="en-US"/>
          </w:rPr>
          <w:t>treaties</w:t>
        </w:r>
        <w:r w:rsidR="00152BD6" w:rsidRPr="00AA6921">
          <w:rPr>
            <w:rStyle w:val="af1"/>
          </w:rPr>
          <w:t>.</w:t>
        </w:r>
        <w:r w:rsidR="00152BD6" w:rsidRPr="00AA6921">
          <w:rPr>
            <w:rStyle w:val="af1"/>
            <w:lang w:val="en-US"/>
          </w:rPr>
          <w:t>un</w:t>
        </w:r>
        <w:r w:rsidR="00152BD6" w:rsidRPr="00AA6921">
          <w:rPr>
            <w:rStyle w:val="af1"/>
          </w:rPr>
          <w:t>.</w:t>
        </w:r>
        <w:r w:rsidR="00152BD6" w:rsidRPr="00AA6921">
          <w:rPr>
            <w:rStyle w:val="af1"/>
            <w:lang w:val="en-US"/>
          </w:rPr>
          <w:t>org</w:t>
        </w:r>
        <w:r w:rsidR="00152BD6" w:rsidRPr="00AA6921">
          <w:rPr>
            <w:rStyle w:val="af1"/>
          </w:rPr>
          <w:t>/</w:t>
        </w:r>
        <w:r w:rsidR="00152BD6" w:rsidRPr="00AA6921">
          <w:rPr>
            <w:rStyle w:val="af1"/>
            <w:lang w:val="en-US"/>
          </w:rPr>
          <w:t>Pages</w:t>
        </w:r>
        <w:r w:rsidR="00152BD6" w:rsidRPr="00AA6921">
          <w:rPr>
            <w:rStyle w:val="af1"/>
          </w:rPr>
          <w:t>/</w:t>
        </w:r>
        <w:r w:rsidR="00152BD6" w:rsidRPr="00AA6921">
          <w:rPr>
            <w:rStyle w:val="af1"/>
            <w:lang w:val="en-US"/>
          </w:rPr>
          <w:t>ViewDetails</w:t>
        </w:r>
        <w:r w:rsidR="00152BD6" w:rsidRPr="00AA6921">
          <w:rPr>
            <w:rStyle w:val="af1"/>
          </w:rPr>
          <w:t>.</w:t>
        </w:r>
        <w:r w:rsidR="00152BD6" w:rsidRPr="00AA6921">
          <w:rPr>
            <w:rStyle w:val="af1"/>
            <w:lang w:val="en-US"/>
          </w:rPr>
          <w:t>aspx</w:t>
        </w:r>
        <w:r w:rsidR="00152BD6" w:rsidRPr="00AA6921">
          <w:rPr>
            <w:rStyle w:val="af1"/>
          </w:rPr>
          <w:t>?</w:t>
        </w:r>
        <w:r w:rsidR="00152BD6" w:rsidRPr="00AA6921">
          <w:rPr>
            <w:rStyle w:val="af1"/>
            <w:lang w:val="en-US"/>
          </w:rPr>
          <w:t>src</w:t>
        </w:r>
        <w:r w:rsidR="00152BD6" w:rsidRPr="00AA6921">
          <w:rPr>
            <w:rStyle w:val="af1"/>
          </w:rPr>
          <w:t>=</w:t>
        </w:r>
        <w:r w:rsidR="00152BD6" w:rsidRPr="00AA6921">
          <w:rPr>
            <w:rStyle w:val="af1"/>
            <w:lang w:val="en-US"/>
          </w:rPr>
          <w:t>TREATY</w:t>
        </w:r>
        <w:r w:rsidR="00152BD6" w:rsidRPr="00AA6921">
          <w:rPr>
            <w:rStyle w:val="af1"/>
          </w:rPr>
          <w:t>&amp;</w:t>
        </w:r>
        <w:r w:rsidR="00152BD6" w:rsidRPr="00AA6921">
          <w:rPr>
            <w:rStyle w:val="af1"/>
            <w:lang w:val="en-US"/>
          </w:rPr>
          <w:t>mtdsg</w:t>
        </w:r>
        <w:r w:rsidR="00152BD6" w:rsidRPr="00AA6921">
          <w:rPr>
            <w:rStyle w:val="af1"/>
          </w:rPr>
          <w:t>_</w:t>
        </w:r>
        <w:r w:rsidR="00152BD6" w:rsidRPr="00AA6921">
          <w:rPr>
            <w:rStyle w:val="af1"/>
            <w:lang w:val="en-US"/>
          </w:rPr>
          <w:t>no</w:t>
        </w:r>
        <w:r w:rsidR="00152BD6" w:rsidRPr="00AA6921">
          <w:rPr>
            <w:rStyle w:val="af1"/>
          </w:rPr>
          <w:t>=</w:t>
        </w:r>
        <w:r w:rsidR="00152BD6" w:rsidRPr="00AA6921">
          <w:rPr>
            <w:rStyle w:val="af1"/>
            <w:lang w:val="en-US"/>
          </w:rPr>
          <w:t>XXVII</w:t>
        </w:r>
        <w:r w:rsidR="00152BD6" w:rsidRPr="00AA6921">
          <w:rPr>
            <w:rStyle w:val="af1"/>
          </w:rPr>
          <w:t>-4-</w:t>
        </w:r>
        <w:r w:rsidR="00152BD6" w:rsidRPr="00AA6921">
          <w:rPr>
            <w:rStyle w:val="af1"/>
            <w:lang w:val="en-US"/>
          </w:rPr>
          <w:t>b</w:t>
        </w:r>
        <w:r w:rsidR="00152BD6" w:rsidRPr="00AA6921">
          <w:rPr>
            <w:rStyle w:val="af1"/>
          </w:rPr>
          <w:t>&amp;</w:t>
        </w:r>
        <w:r w:rsidR="00152BD6" w:rsidRPr="00AA6921">
          <w:rPr>
            <w:rStyle w:val="af1"/>
            <w:lang w:val="en-US"/>
          </w:rPr>
          <w:t>chapter</w:t>
        </w:r>
        <w:r w:rsidR="00152BD6" w:rsidRPr="00AA6921">
          <w:rPr>
            <w:rStyle w:val="af1"/>
          </w:rPr>
          <w:t>=27&amp;</w:t>
        </w:r>
        <w:r w:rsidR="00152BD6" w:rsidRPr="00AA6921">
          <w:rPr>
            <w:rStyle w:val="af1"/>
            <w:lang w:val="en-US"/>
          </w:rPr>
          <w:t>clang</w:t>
        </w:r>
        <w:r w:rsidR="00152BD6" w:rsidRPr="00AA6921">
          <w:rPr>
            <w:rStyle w:val="af1"/>
          </w:rPr>
          <w:t>=_</w:t>
        </w:r>
        <w:r w:rsidR="00152BD6" w:rsidRPr="00AA6921">
          <w:rPr>
            <w:rStyle w:val="af1"/>
            <w:lang w:val="en-US"/>
          </w:rPr>
          <w:t>en</w:t>
        </w:r>
      </w:hyperlink>
      <w:r w:rsidRPr="00EC6155">
        <w:t>.</w:t>
      </w:r>
    </w:p>
  </w:footnote>
  <w:footnote w:id="5">
    <w:p w14:paraId="6CDB327C" w14:textId="3D2D457F" w:rsidR="00160A17" w:rsidRPr="00160A17" w:rsidRDefault="00160A17" w:rsidP="00160A17">
      <w:pPr>
        <w:pStyle w:val="ad"/>
        <w:rPr>
          <w:lang w:val="en-US"/>
        </w:rPr>
      </w:pPr>
      <w:r w:rsidRPr="00EC6155">
        <w:tab/>
      </w:r>
      <w:r w:rsidRPr="00C70BEC">
        <w:rPr>
          <w:vertAlign w:val="superscript"/>
        </w:rPr>
        <w:footnoteRef/>
      </w:r>
      <w:r w:rsidRPr="00160A17">
        <w:rPr>
          <w:lang w:val="en-US"/>
        </w:rPr>
        <w:tab/>
        <w:t>World Health Organization (WHO) Regional Office for Europe, “Health</w:t>
      </w:r>
      <w:r>
        <w:rPr>
          <w:lang w:val="en-US"/>
        </w:rPr>
        <w:t xml:space="preserve"> topics</w:t>
      </w:r>
      <w:r w:rsidRPr="00160A17">
        <w:rPr>
          <w:lang w:val="en-US"/>
        </w:rPr>
        <w:t xml:space="preserve">”, available at </w:t>
      </w:r>
      <w:hyperlink r:id="rId2" w:history="1">
        <w:r w:rsidR="00FE5133" w:rsidRPr="00AA6921">
          <w:rPr>
            <w:rStyle w:val="af1"/>
            <w:lang w:val="en-US"/>
          </w:rPr>
          <w:t>https://www.who.int/europe/health-topics/</w:t>
        </w:r>
      </w:hyperlink>
      <w:r w:rsidRPr="00160A17">
        <w:rPr>
          <w:lang w:val="en-US"/>
        </w:rPr>
        <w:t>.</w:t>
      </w:r>
    </w:p>
  </w:footnote>
  <w:footnote w:id="6">
    <w:p w14:paraId="302CA5A0" w14:textId="77777777" w:rsidR="00160A17" w:rsidRPr="00160A17" w:rsidRDefault="00160A17" w:rsidP="00160A17">
      <w:pPr>
        <w:pStyle w:val="ad"/>
        <w:rPr>
          <w:lang w:val="en-US"/>
        </w:rPr>
      </w:pPr>
      <w:r w:rsidRPr="008F17A2">
        <w:rPr>
          <w:lang w:val="en-US"/>
        </w:rPr>
        <w:tab/>
      </w:r>
      <w:r w:rsidRPr="00C70BEC">
        <w:rPr>
          <w:vertAlign w:val="superscript"/>
        </w:rPr>
        <w:footnoteRef/>
      </w:r>
      <w:r w:rsidRPr="008F17A2">
        <w:rPr>
          <w:lang w:val="en-US"/>
        </w:rPr>
        <w:tab/>
        <w:t xml:space="preserve">A. Prüss-Ustün and others, </w:t>
      </w:r>
      <w:r w:rsidRPr="00152BD6">
        <w:rPr>
          <w:i/>
          <w:iCs/>
          <w:lang w:val="en-US"/>
        </w:rPr>
        <w:t>Preventing Disease through Healthy Environments: A Global Assessment of the Burden of Disease from Environmental Risks</w:t>
      </w:r>
      <w:r w:rsidRPr="008F17A2">
        <w:rPr>
          <w:lang w:val="en-US"/>
        </w:rPr>
        <w:t xml:space="preserve"> (Geneva, WHO, 2016); </w:t>
      </w:r>
      <w:r>
        <w:t>и</w:t>
      </w:r>
      <w:r w:rsidRPr="008F17A2">
        <w:rPr>
          <w:lang w:val="en-US"/>
        </w:rPr>
        <w:t xml:space="preserve"> WHO, </w:t>
      </w:r>
      <w:r w:rsidRPr="00300B9B">
        <w:rPr>
          <w:i/>
          <w:iCs/>
          <w:lang w:val="en-US"/>
        </w:rPr>
        <w:t>Healthy Environments for Healthier Populations: Why Do They Matter, and What Can We Do?</w:t>
      </w:r>
      <w:r w:rsidRPr="008F17A2">
        <w:rPr>
          <w:lang w:val="en-US"/>
        </w:rPr>
        <w:t xml:space="preserve"> (Geneva, 2019). </w:t>
      </w:r>
    </w:p>
  </w:footnote>
  <w:footnote w:id="7">
    <w:p w14:paraId="3BDAB83A" w14:textId="5A3C7178" w:rsidR="00160A17" w:rsidRPr="006E671B" w:rsidRDefault="00160A17" w:rsidP="00160A17">
      <w:pPr>
        <w:pStyle w:val="ad"/>
        <w:rPr>
          <w:lang w:val="en-US"/>
        </w:rPr>
      </w:pPr>
      <w:r w:rsidRPr="00160A17">
        <w:rPr>
          <w:lang w:val="en-US"/>
        </w:rPr>
        <w:tab/>
      </w:r>
      <w:r>
        <w:rPr>
          <w:rStyle w:val="aa"/>
        </w:rPr>
        <w:footnoteRef/>
      </w:r>
      <w:r w:rsidRPr="00160A17">
        <w:rPr>
          <w:lang w:val="en-US"/>
        </w:rPr>
        <w:tab/>
      </w:r>
      <w:r w:rsidRPr="00160A17">
        <w:rPr>
          <w:lang w:val="en-US"/>
        </w:rPr>
        <w:tab/>
      </w:r>
      <w:r w:rsidRPr="006E671B">
        <w:rPr>
          <w:lang w:val="en-US"/>
        </w:rPr>
        <w:t xml:space="preserve">WHO, </w:t>
      </w:r>
      <w:r w:rsidRPr="006E671B">
        <w:rPr>
          <w:i/>
          <w:iCs/>
          <w:lang w:val="en-US"/>
        </w:rPr>
        <w:t xml:space="preserve">Basic Documents: Forty-ninth Edition 2020 </w:t>
      </w:r>
      <w:r w:rsidRPr="00160A17">
        <w:rPr>
          <w:i/>
          <w:iCs/>
          <w:lang w:val="en-US"/>
        </w:rPr>
        <w:t>–</w:t>
      </w:r>
      <w:r w:rsidRPr="006E671B">
        <w:rPr>
          <w:i/>
          <w:iCs/>
          <w:lang w:val="en-US"/>
        </w:rPr>
        <w:t xml:space="preserve"> Including Amendments Adopted up to 31 May 2019</w:t>
      </w:r>
      <w:r w:rsidRPr="006E671B">
        <w:rPr>
          <w:lang w:val="en-US"/>
        </w:rPr>
        <w:t xml:space="preserve"> (Geneva, 2020), p. 1.</w:t>
      </w:r>
    </w:p>
  </w:footnote>
  <w:footnote w:id="8">
    <w:p w14:paraId="50DA5F63" w14:textId="77777777" w:rsidR="00160A17" w:rsidRPr="008F17A2" w:rsidRDefault="00160A17" w:rsidP="00160A17">
      <w:pPr>
        <w:pStyle w:val="ad"/>
      </w:pPr>
      <w:r w:rsidRPr="008F17A2">
        <w:rPr>
          <w:lang w:val="en-US"/>
        </w:rPr>
        <w:tab/>
      </w:r>
      <w:r w:rsidRPr="00C3454D">
        <w:rPr>
          <w:vertAlign w:val="superscript"/>
        </w:rPr>
        <w:footnoteRef/>
      </w:r>
      <w:r>
        <w:tab/>
        <w:t>Используемая терминология варьируется от страны к стране, и (в зависимости от рассматриваемых вопросов) то, что называется «программой» в одной стране, может называться «планом» в другой, и наоборот. В настоящем документе используется терминология, которая обычно используется в соответствующей международной литературе.</w:t>
      </w:r>
    </w:p>
  </w:footnote>
  <w:footnote w:id="9">
    <w:p w14:paraId="648A3C65" w14:textId="7A43AD51" w:rsidR="00160A17" w:rsidRPr="008F17A2" w:rsidRDefault="00160A17" w:rsidP="00160A17">
      <w:pPr>
        <w:pStyle w:val="ad"/>
      </w:pPr>
      <w:r>
        <w:tab/>
      </w:r>
      <w:r>
        <w:rPr>
          <w:rStyle w:val="aa"/>
        </w:rPr>
        <w:footnoteRef/>
      </w:r>
      <w:r>
        <w:tab/>
        <w:t>Законодательство и политика в той степени, в какой это целесообразно.</w:t>
      </w:r>
    </w:p>
  </w:footnote>
  <w:footnote w:id="10">
    <w:p w14:paraId="263BC9F5" w14:textId="37126123" w:rsidR="00160A17" w:rsidRPr="008F17A2" w:rsidRDefault="00160A17" w:rsidP="00160A17">
      <w:pPr>
        <w:pStyle w:val="ad"/>
      </w:pPr>
      <w:r>
        <w:tab/>
      </w:r>
      <w:r w:rsidRPr="00093CE1">
        <w:rPr>
          <w:vertAlign w:val="superscript"/>
        </w:rPr>
        <w:footnoteRef/>
      </w:r>
      <w:r>
        <w:tab/>
        <w:t>Публикация Организации Объединенных Наций, ECE/MP.EIA/17, гл</w:t>
      </w:r>
      <w:r w:rsidR="0058043B">
        <w:t>.</w:t>
      </w:r>
      <w:r>
        <w:t xml:space="preserve"> B1.2.</w:t>
      </w:r>
    </w:p>
  </w:footnote>
  <w:footnote w:id="11">
    <w:p w14:paraId="5EBF789F" w14:textId="0223C181" w:rsidR="00160A17" w:rsidRPr="00160A17" w:rsidRDefault="00160A17" w:rsidP="00160A17">
      <w:pPr>
        <w:pStyle w:val="ad"/>
        <w:rPr>
          <w:lang w:val="en-US"/>
        </w:rPr>
      </w:pPr>
      <w:r>
        <w:tab/>
      </w:r>
      <w:r w:rsidRPr="00093CE1">
        <w:rPr>
          <w:vertAlign w:val="superscript"/>
        </w:rPr>
        <w:footnoteRef/>
      </w:r>
      <w:r w:rsidRPr="008F17A2">
        <w:rPr>
          <w:lang w:val="en-US"/>
        </w:rPr>
        <w:tab/>
        <w:t xml:space="preserve">United Nations Economic Commission for Europe (ECE), “Review of implementation (national reporting)”, </w:t>
      </w:r>
      <w:r w:rsidR="00FE5133">
        <w:rPr>
          <w:lang w:val="en-US"/>
        </w:rPr>
        <w:t>URL</w:t>
      </w:r>
      <w:r w:rsidRPr="008F17A2">
        <w:rPr>
          <w:lang w:val="en-US"/>
        </w:rPr>
        <w:t xml:space="preserve">: </w:t>
      </w:r>
      <w:hyperlink r:id="rId3" w:history="1">
        <w:r w:rsidR="001D49E2" w:rsidRPr="00AA6921">
          <w:rPr>
            <w:rStyle w:val="af1"/>
            <w:lang w:val="en-US"/>
          </w:rPr>
          <w:t>www.unece.org/env/eia/implementation/review_implementation.html</w:t>
        </w:r>
      </w:hyperlink>
      <w:r w:rsidRPr="008F17A2">
        <w:rPr>
          <w:lang w:val="en-US"/>
        </w:rPr>
        <w:t xml:space="preserve">. </w:t>
      </w:r>
    </w:p>
  </w:footnote>
  <w:footnote w:id="12">
    <w:p w14:paraId="72834393" w14:textId="47F55DDE" w:rsidR="00160A17" w:rsidRPr="008F17A2" w:rsidRDefault="00160A17" w:rsidP="00160A17">
      <w:pPr>
        <w:pStyle w:val="ad"/>
      </w:pPr>
      <w:r w:rsidRPr="008F17A2">
        <w:rPr>
          <w:lang w:val="en-US"/>
        </w:rPr>
        <w:tab/>
      </w:r>
      <w:r w:rsidRPr="00593E38">
        <w:rPr>
          <w:vertAlign w:val="superscript"/>
        </w:rPr>
        <w:footnoteRef/>
      </w:r>
      <w:r>
        <w:tab/>
        <w:t>Публикация Организации Объединенных Наций, ECE/MP.EIA/17, с. 183.</w:t>
      </w:r>
    </w:p>
  </w:footnote>
  <w:footnote w:id="13">
    <w:p w14:paraId="77C1B9D0" w14:textId="54C4E039" w:rsidR="00160A17" w:rsidRPr="001D49E2" w:rsidRDefault="00160A17" w:rsidP="00FE5133">
      <w:pPr>
        <w:pStyle w:val="ad"/>
        <w:rPr>
          <w:lang w:val="en-US"/>
        </w:rPr>
      </w:pPr>
      <w:r>
        <w:tab/>
      </w:r>
      <w:r>
        <w:rPr>
          <w:rStyle w:val="aa"/>
        </w:rPr>
        <w:footnoteRef/>
      </w:r>
      <w:r>
        <w:tab/>
      </w:r>
      <w:r>
        <w:tab/>
        <w:t xml:space="preserve">Обзоры осуществления Протокола по СЭО. </w:t>
      </w:r>
      <w:r w:rsidR="001D49E2" w:rsidRPr="001D49E2">
        <w:rPr>
          <w:lang w:val="en-US"/>
        </w:rPr>
        <w:t>URL:</w:t>
      </w:r>
      <w:r w:rsidRPr="001D49E2">
        <w:rPr>
          <w:lang w:val="en-US"/>
        </w:rPr>
        <w:t xml:space="preserve"> </w:t>
      </w:r>
      <w:hyperlink r:id="rId4" w:history="1">
        <w:r w:rsidR="001D49E2" w:rsidRPr="00AA6921">
          <w:rPr>
            <w:rStyle w:val="af1"/>
            <w:lang w:val="en-US"/>
          </w:rPr>
          <w:t>https://unece.org/environment-policy/environmental-assessment/review-implementation-national-reporting</w:t>
        </w:r>
      </w:hyperlink>
      <w:r w:rsidRPr="001D49E2">
        <w:rPr>
          <w:lang w:val="en-US"/>
        </w:rPr>
        <w:t>.</w:t>
      </w:r>
    </w:p>
  </w:footnote>
  <w:footnote w:id="14">
    <w:p w14:paraId="5E025201" w14:textId="77777777" w:rsidR="00160A17" w:rsidRPr="008F17A2" w:rsidRDefault="00160A17" w:rsidP="00160A17">
      <w:pPr>
        <w:pStyle w:val="ad"/>
      </w:pPr>
      <w:r w:rsidRPr="001D49E2">
        <w:rPr>
          <w:lang w:val="en-US"/>
        </w:rPr>
        <w:tab/>
      </w:r>
      <w:r w:rsidRPr="00593E38">
        <w:rPr>
          <w:vertAlign w:val="superscript"/>
        </w:rPr>
        <w:footnoteRef/>
      </w:r>
      <w:r>
        <w:tab/>
        <w:t>Публикация Организации Объединенных Наций, ECE/MP.EIA/17, приложение A1.1.</w:t>
      </w:r>
    </w:p>
  </w:footnote>
  <w:footnote w:id="15">
    <w:p w14:paraId="1A10CA81" w14:textId="16CE1044" w:rsidR="00160A17" w:rsidRPr="008B7918" w:rsidRDefault="00160A17" w:rsidP="00160A17">
      <w:pPr>
        <w:pStyle w:val="ad"/>
        <w:ind w:hanging="567"/>
        <w:rPr>
          <w:lang w:val="en-US"/>
        </w:rPr>
      </w:pPr>
      <w:r>
        <w:tab/>
      </w:r>
      <w:r w:rsidRPr="0077565B">
        <w:rPr>
          <w:vertAlign w:val="superscript"/>
        </w:rPr>
        <w:footnoteRef/>
      </w:r>
      <w:r>
        <w:tab/>
        <w:t>ВОЗ: «Многие факторы оказывают совокупное воздействие на здоровье отдельных лиц и общин. Здоровье людей определяется обстоятельствами их жизни и окружающей средой». См</w:t>
      </w:r>
      <w:r w:rsidRPr="008B7918">
        <w:rPr>
          <w:lang w:val="en-US"/>
        </w:rPr>
        <w:t>.</w:t>
      </w:r>
      <w:r w:rsidR="008B7918" w:rsidRPr="008B7918">
        <w:rPr>
          <w:lang w:val="en-US"/>
        </w:rPr>
        <w:t> </w:t>
      </w:r>
      <w:r>
        <w:t>ВОЗ</w:t>
      </w:r>
      <w:r w:rsidRPr="008B7918">
        <w:rPr>
          <w:lang w:val="en-US"/>
        </w:rPr>
        <w:t xml:space="preserve">, </w:t>
      </w:r>
      <w:r w:rsidRPr="003A379E">
        <w:rPr>
          <w:lang w:val="en-US"/>
        </w:rPr>
        <w:t>WHO</w:t>
      </w:r>
      <w:r w:rsidRPr="008B7918">
        <w:rPr>
          <w:lang w:val="en-US"/>
        </w:rPr>
        <w:t>, “</w:t>
      </w:r>
      <w:r w:rsidRPr="003A379E">
        <w:rPr>
          <w:lang w:val="en-US"/>
        </w:rPr>
        <w:t>Determinants</w:t>
      </w:r>
      <w:r w:rsidRPr="008B7918">
        <w:rPr>
          <w:lang w:val="en-US"/>
        </w:rPr>
        <w:t xml:space="preserve"> </w:t>
      </w:r>
      <w:r w:rsidRPr="003A379E">
        <w:rPr>
          <w:lang w:val="en-US"/>
        </w:rPr>
        <w:t>of</w:t>
      </w:r>
      <w:r w:rsidRPr="008B7918">
        <w:rPr>
          <w:lang w:val="en-US"/>
        </w:rPr>
        <w:t xml:space="preserve"> </w:t>
      </w:r>
      <w:r w:rsidRPr="003A379E">
        <w:rPr>
          <w:lang w:val="en-US"/>
        </w:rPr>
        <w:t>health</w:t>
      </w:r>
      <w:r w:rsidRPr="008B7918">
        <w:rPr>
          <w:lang w:val="en-US"/>
        </w:rPr>
        <w:t xml:space="preserve">”, 3 </w:t>
      </w:r>
      <w:r w:rsidRPr="003A379E">
        <w:rPr>
          <w:lang w:val="en-US"/>
        </w:rPr>
        <w:t>February</w:t>
      </w:r>
      <w:r w:rsidRPr="008B7918">
        <w:rPr>
          <w:lang w:val="en-US"/>
        </w:rPr>
        <w:t xml:space="preserve"> 2017, </w:t>
      </w:r>
      <w:r w:rsidRPr="003A379E">
        <w:rPr>
          <w:lang w:val="en-US"/>
        </w:rPr>
        <w:t>Questions</w:t>
      </w:r>
      <w:r w:rsidRPr="008B7918">
        <w:rPr>
          <w:lang w:val="en-US"/>
        </w:rPr>
        <w:t xml:space="preserve"> </w:t>
      </w:r>
      <w:r w:rsidRPr="003A379E">
        <w:rPr>
          <w:lang w:val="en-US"/>
        </w:rPr>
        <w:t>and</w:t>
      </w:r>
      <w:r w:rsidRPr="008B7918">
        <w:rPr>
          <w:lang w:val="en-US"/>
        </w:rPr>
        <w:t xml:space="preserve"> </w:t>
      </w:r>
      <w:r w:rsidRPr="003A379E">
        <w:rPr>
          <w:lang w:val="en-US"/>
        </w:rPr>
        <w:t>Answers</w:t>
      </w:r>
      <w:r w:rsidRPr="008B7918">
        <w:rPr>
          <w:lang w:val="en-US"/>
        </w:rPr>
        <w:t xml:space="preserve">, </w:t>
      </w:r>
      <w:r w:rsidR="008B7918">
        <w:rPr>
          <w:lang w:val="en-US"/>
        </w:rPr>
        <w:t>URL</w:t>
      </w:r>
      <w:r w:rsidR="008B7918" w:rsidRPr="008B7918">
        <w:rPr>
          <w:lang w:val="en-US"/>
        </w:rPr>
        <w:t>: </w:t>
      </w:r>
      <w:hyperlink r:id="rId5" w:history="1">
        <w:r w:rsidR="008B7918" w:rsidRPr="00AA6921">
          <w:rPr>
            <w:rStyle w:val="af1"/>
            <w:lang w:val="en-US"/>
          </w:rPr>
          <w:t>www.who.int/news-room/questions-and-answers/item/determinants-of-health</w:t>
        </w:r>
      </w:hyperlink>
      <w:r w:rsidRPr="008B7918">
        <w:rPr>
          <w:lang w:val="en-US"/>
        </w:rPr>
        <w:t xml:space="preserve">. </w:t>
      </w:r>
    </w:p>
  </w:footnote>
  <w:footnote w:id="16">
    <w:p w14:paraId="11357E0C" w14:textId="77777777" w:rsidR="00160A17" w:rsidRPr="008F17A2" w:rsidRDefault="00160A17" w:rsidP="00160A17">
      <w:pPr>
        <w:pStyle w:val="ad"/>
      </w:pPr>
      <w:r w:rsidRPr="008B7918">
        <w:rPr>
          <w:lang w:val="en-US"/>
        </w:rPr>
        <w:tab/>
      </w:r>
      <w:r>
        <w:rPr>
          <w:rStyle w:val="aa"/>
        </w:rPr>
        <w:footnoteRef/>
      </w:r>
      <w:r>
        <w:tab/>
        <w:t>Обычно на этапе определения сферы охвата.</w:t>
      </w:r>
    </w:p>
  </w:footnote>
  <w:footnote w:id="17">
    <w:p w14:paraId="4C315B44" w14:textId="77777777" w:rsidR="00160A17" w:rsidRPr="008F17A2" w:rsidRDefault="00160A17" w:rsidP="00160A17">
      <w:pPr>
        <w:pStyle w:val="ad"/>
      </w:pPr>
      <w:r>
        <w:tab/>
      </w:r>
      <w:r w:rsidRPr="00917B3B">
        <w:rPr>
          <w:vertAlign w:val="superscript"/>
        </w:rPr>
        <w:footnoteRef/>
      </w:r>
      <w:r>
        <w:tab/>
        <w:t>Порядок в разных странах и системах будет различным.</w:t>
      </w:r>
    </w:p>
  </w:footnote>
  <w:footnote w:id="18">
    <w:p w14:paraId="1C870F6E" w14:textId="77777777" w:rsidR="00160A17" w:rsidRPr="008F17A2" w:rsidRDefault="00160A17" w:rsidP="00160A17">
      <w:pPr>
        <w:pStyle w:val="ad"/>
      </w:pPr>
      <w:r>
        <w:tab/>
      </w:r>
      <w:r w:rsidRPr="00917B3B">
        <w:rPr>
          <w:vertAlign w:val="superscript"/>
        </w:rPr>
        <w:footnoteRef/>
      </w:r>
      <w:r>
        <w:tab/>
        <w:t xml:space="preserve">Одним из главных элементов эффективной стратегической экологической оценки является понимание того, какие вопросы должны входить в сферу охвата оценки, а какие подлежат рассмотрению в рамках других процедур. Именно поэтому сюда включен проектный уровень. </w:t>
      </w:r>
    </w:p>
  </w:footnote>
  <w:footnote w:id="19">
    <w:p w14:paraId="169F165F" w14:textId="148D49B9" w:rsidR="00AD3030" w:rsidRPr="008F17A2" w:rsidRDefault="00AD3030" w:rsidP="00AD3030">
      <w:pPr>
        <w:pStyle w:val="ad"/>
      </w:pPr>
      <w:r>
        <w:tab/>
      </w:r>
      <w:r w:rsidRPr="00917B3B">
        <w:rPr>
          <w:vertAlign w:val="superscript"/>
        </w:rPr>
        <w:footnoteRef/>
      </w:r>
      <w:r>
        <w:tab/>
        <w:t>Публикация Организации Объединенных Наций, ECE/MP.EIA/17, гл</w:t>
      </w:r>
      <w:r>
        <w:t>.</w:t>
      </w:r>
      <w:r>
        <w:t xml:space="preserve"> А1.4.</w:t>
      </w:r>
    </w:p>
  </w:footnote>
  <w:footnote w:id="20">
    <w:p w14:paraId="185662C6" w14:textId="61839A50" w:rsidR="00160A17" w:rsidRPr="00160A17" w:rsidRDefault="00160A17" w:rsidP="00160A17">
      <w:pPr>
        <w:pStyle w:val="ad"/>
        <w:rPr>
          <w:lang w:val="en-US"/>
        </w:rPr>
      </w:pPr>
      <w:r>
        <w:tab/>
      </w:r>
      <w:r w:rsidRPr="00A96DF2">
        <w:rPr>
          <w:vertAlign w:val="superscript"/>
        </w:rPr>
        <w:footnoteRef/>
      </w:r>
      <w:r w:rsidRPr="008F17A2">
        <w:rPr>
          <w:lang w:val="en-US"/>
        </w:rPr>
        <w:tab/>
      </w:r>
      <w:r>
        <w:t>Там</w:t>
      </w:r>
      <w:r w:rsidRPr="008F17A2">
        <w:rPr>
          <w:lang w:val="en-US"/>
        </w:rPr>
        <w:t xml:space="preserve"> </w:t>
      </w:r>
      <w:r>
        <w:t>же</w:t>
      </w:r>
      <w:r w:rsidRPr="008F17A2">
        <w:rPr>
          <w:lang w:val="en-US"/>
        </w:rPr>
        <w:t xml:space="preserve">, </w:t>
      </w:r>
      <w:r>
        <w:t>гл</w:t>
      </w:r>
      <w:r w:rsidR="00AD3030">
        <w:t>.</w:t>
      </w:r>
      <w:r w:rsidRPr="008F17A2">
        <w:rPr>
          <w:lang w:val="en-US"/>
        </w:rPr>
        <w:t xml:space="preserve"> A.5.</w:t>
      </w:r>
    </w:p>
  </w:footnote>
  <w:footnote w:id="21">
    <w:p w14:paraId="451807F1" w14:textId="1CE85DAE" w:rsidR="00160A17" w:rsidRPr="00160A17" w:rsidRDefault="00160A17" w:rsidP="00160A17">
      <w:pPr>
        <w:pStyle w:val="ad"/>
        <w:rPr>
          <w:lang w:val="en-US"/>
        </w:rPr>
      </w:pPr>
      <w:r w:rsidRPr="008F17A2">
        <w:rPr>
          <w:lang w:val="en-US"/>
        </w:rPr>
        <w:tab/>
      </w:r>
      <w:r w:rsidRPr="00A96DF2">
        <w:rPr>
          <w:vertAlign w:val="superscript"/>
        </w:rPr>
        <w:footnoteRef/>
      </w:r>
      <w:r w:rsidRPr="008F17A2">
        <w:rPr>
          <w:lang w:val="en-US"/>
        </w:rPr>
        <w:tab/>
      </w:r>
      <w:r>
        <w:t>См</w:t>
      </w:r>
      <w:r w:rsidRPr="008F17A2">
        <w:rPr>
          <w:lang w:val="en-US"/>
        </w:rPr>
        <w:t xml:space="preserve">., </w:t>
      </w:r>
      <w:r>
        <w:t>например</w:t>
      </w:r>
      <w:r w:rsidRPr="008F17A2">
        <w:rPr>
          <w:lang w:val="en-US"/>
        </w:rPr>
        <w:t xml:space="preserve">, </w:t>
      </w:r>
      <w:r w:rsidR="00FE1316" w:rsidRPr="00FE1316">
        <w:rPr>
          <w:lang w:val="en-GB"/>
        </w:rPr>
        <w:t xml:space="preserve">Sonja Kahlmeier and others, </w:t>
      </w:r>
      <w:r w:rsidR="00FE1316" w:rsidRPr="00FE1316">
        <w:rPr>
          <w:i/>
          <w:iCs/>
          <w:lang w:val="en-GB"/>
        </w:rPr>
        <w:t>Health Economic Assessment Tool (HEAT) for Walking and for Cycling: Methods and User Guide on Physical Activity, Air Pollution, Injuries and Carbon Impact Assessments</w:t>
      </w:r>
      <w:r w:rsidR="00FE1316" w:rsidRPr="00FE1316">
        <w:rPr>
          <w:lang w:val="en-GB"/>
        </w:rPr>
        <w:t xml:space="preserve"> (Copenhagen, WHO Regional Office for Europe, 2017).</w:t>
      </w:r>
      <w:r w:rsidRPr="008F17A2">
        <w:rPr>
          <w:lang w:val="en-US"/>
        </w:rPr>
        <w:t xml:space="preserve"> </w:t>
      </w:r>
    </w:p>
  </w:footnote>
  <w:footnote w:id="22">
    <w:p w14:paraId="45F5835D" w14:textId="65CFBADB" w:rsidR="00160A17" w:rsidRPr="009063C5" w:rsidRDefault="00160A17" w:rsidP="00160A17">
      <w:pPr>
        <w:pStyle w:val="ad"/>
        <w:rPr>
          <w:lang w:val="en-US"/>
        </w:rPr>
      </w:pPr>
      <w:r w:rsidRPr="008F17A2">
        <w:rPr>
          <w:lang w:val="en-US"/>
        </w:rPr>
        <w:tab/>
      </w:r>
      <w:r w:rsidRPr="00A96DF2">
        <w:rPr>
          <w:vertAlign w:val="superscript"/>
        </w:rPr>
        <w:footnoteRef/>
      </w:r>
      <w:r w:rsidRPr="008F17A2">
        <w:rPr>
          <w:lang w:val="en-US"/>
        </w:rPr>
        <w:tab/>
      </w:r>
      <w:r>
        <w:t>См</w:t>
      </w:r>
      <w:r w:rsidRPr="008F17A2">
        <w:rPr>
          <w:lang w:val="en-US"/>
        </w:rPr>
        <w:t xml:space="preserve">., </w:t>
      </w:r>
      <w:r>
        <w:t>например</w:t>
      </w:r>
      <w:r w:rsidRPr="008F17A2">
        <w:rPr>
          <w:lang w:val="en-US"/>
        </w:rPr>
        <w:t xml:space="preserve">, Wales Health Impact Assessment Support Unit, </w:t>
      </w:r>
      <w:r w:rsidR="00E22273" w:rsidRPr="00E22273">
        <w:rPr>
          <w:lang w:val="en-GB"/>
        </w:rPr>
        <w:t>“Health Impact Assessment: A</w:t>
      </w:r>
      <w:r w:rsidR="00E22273" w:rsidRPr="00E22273">
        <w:rPr>
          <w:lang w:val="en-US"/>
        </w:rPr>
        <w:t> </w:t>
      </w:r>
      <w:r w:rsidR="00E22273" w:rsidRPr="00E22273">
        <w:rPr>
          <w:lang w:val="en-GB"/>
        </w:rPr>
        <w:t>Practical Guide” (n.p., n.d.).</w:t>
      </w:r>
      <w:r w:rsidRPr="008F17A2">
        <w:rPr>
          <w:lang w:val="en-US"/>
        </w:rPr>
        <w:t xml:space="preserve"> </w:t>
      </w:r>
      <w:r w:rsidR="009063C5" w:rsidRPr="009063C5">
        <w:rPr>
          <w:lang w:val="en-US"/>
        </w:rPr>
        <w:t>URL:</w:t>
      </w:r>
      <w:r w:rsidRPr="009063C5">
        <w:rPr>
          <w:lang w:val="en-US"/>
        </w:rPr>
        <w:t xml:space="preserve"> </w:t>
      </w:r>
      <w:hyperlink r:id="rId6" w:history="1">
        <w:r w:rsidR="009063C5" w:rsidRPr="00AA6921">
          <w:rPr>
            <w:rStyle w:val="af1"/>
            <w:lang w:val="en-US"/>
          </w:rPr>
          <w:t>https://phwwhocc.co.uk/wp-content/uploads/2020/07/Health-Impact-Assessment-A-Practical-guide.pdf</w:t>
        </w:r>
      </w:hyperlink>
      <w:r w:rsidRPr="009063C5">
        <w:rPr>
          <w:lang w:val="en-US"/>
        </w:rPr>
        <w:t xml:space="preserve">. </w:t>
      </w:r>
    </w:p>
  </w:footnote>
  <w:footnote w:id="23">
    <w:p w14:paraId="76BD6651" w14:textId="77777777" w:rsidR="00160A17" w:rsidRPr="00160A17" w:rsidRDefault="00160A17" w:rsidP="00160A17">
      <w:pPr>
        <w:pStyle w:val="ad"/>
        <w:rPr>
          <w:lang w:val="en-US"/>
        </w:rPr>
      </w:pPr>
      <w:r w:rsidRPr="009063C5">
        <w:rPr>
          <w:lang w:val="en-US"/>
        </w:rPr>
        <w:tab/>
      </w:r>
      <w:r w:rsidRPr="00D24394">
        <w:rPr>
          <w:vertAlign w:val="superscript"/>
        </w:rPr>
        <w:footnoteRef/>
      </w:r>
      <w:r w:rsidRPr="008F17A2">
        <w:rPr>
          <w:lang w:val="en-US"/>
        </w:rPr>
        <w:tab/>
        <w:t xml:space="preserve">M. Douglas and others, eds., </w:t>
      </w:r>
      <w:r w:rsidRPr="00757DD1">
        <w:rPr>
          <w:i/>
          <w:iCs/>
          <w:lang w:val="en-US"/>
        </w:rPr>
        <w:t>Health Impact Assessment of Transport Initiatives: A Guide</w:t>
      </w:r>
      <w:r w:rsidRPr="008F17A2">
        <w:rPr>
          <w:lang w:val="en-US"/>
        </w:rPr>
        <w:t xml:space="preserve"> (Edinburgh, National Health Service Health Scotland/Medical Research Council Social and Public Health Sciences Unit/Institute of Occupational Medicine, 2007). </w:t>
      </w:r>
    </w:p>
  </w:footnote>
  <w:footnote w:id="24">
    <w:p w14:paraId="5B0B21F7" w14:textId="77777777" w:rsidR="00160A17" w:rsidRPr="00160A17" w:rsidRDefault="00160A17" w:rsidP="00160A17">
      <w:pPr>
        <w:pStyle w:val="ad"/>
        <w:rPr>
          <w:lang w:val="en-US"/>
        </w:rPr>
      </w:pPr>
      <w:r w:rsidRPr="008F17A2">
        <w:rPr>
          <w:lang w:val="en-US"/>
        </w:rPr>
        <w:tab/>
      </w:r>
      <w:r w:rsidRPr="00D24394">
        <w:rPr>
          <w:vertAlign w:val="superscript"/>
        </w:rPr>
        <w:footnoteRef/>
      </w:r>
      <w:r w:rsidRPr="008F17A2">
        <w:rPr>
          <w:lang w:val="en-US"/>
        </w:rPr>
        <w:tab/>
        <w:t>WHO, “Health in all policies (HiAP) framework for country action</w:t>
      </w:r>
      <w:proofErr w:type="gramStart"/>
      <w:r w:rsidRPr="008F17A2">
        <w:rPr>
          <w:lang w:val="en-US"/>
        </w:rPr>
        <w:t>”,</w:t>
      </w:r>
      <w:proofErr w:type="gramEnd"/>
      <w:r w:rsidRPr="008F17A2">
        <w:rPr>
          <w:lang w:val="en-US"/>
        </w:rPr>
        <w:t xml:space="preserve"> </w:t>
      </w:r>
      <w:r w:rsidRPr="005D0F17">
        <w:rPr>
          <w:i/>
          <w:iCs/>
          <w:lang w:val="en-US"/>
        </w:rPr>
        <w:t>Health Promotion International</w:t>
      </w:r>
      <w:r w:rsidRPr="008F17A2">
        <w:rPr>
          <w:lang w:val="en-US"/>
        </w:rPr>
        <w:t>, vol. 29, No. S1 (June 2014), pp. i19–i28.</w:t>
      </w:r>
    </w:p>
  </w:footnote>
  <w:footnote w:id="25">
    <w:p w14:paraId="5522FA57" w14:textId="77777777" w:rsidR="00160A17" w:rsidRPr="00160A17" w:rsidRDefault="00160A17" w:rsidP="00160A17">
      <w:pPr>
        <w:pStyle w:val="ad"/>
        <w:rPr>
          <w:lang w:val="en-US"/>
        </w:rPr>
      </w:pPr>
      <w:r w:rsidRPr="008F17A2">
        <w:rPr>
          <w:lang w:val="en-US"/>
        </w:rPr>
        <w:tab/>
      </w:r>
      <w:r w:rsidRPr="00DC14C4">
        <w:rPr>
          <w:vertAlign w:val="superscript"/>
        </w:rPr>
        <w:footnoteRef/>
      </w:r>
      <w:r w:rsidRPr="008F17A2">
        <w:rPr>
          <w:lang w:val="en-US"/>
        </w:rPr>
        <w:tab/>
        <w:t>Andy Haines and others, “Public health benefits of strategies to reduce greenhouse-gas emissions: Overview and implications for policymakers</w:t>
      </w:r>
      <w:proofErr w:type="gramStart"/>
      <w:r w:rsidRPr="008F17A2">
        <w:rPr>
          <w:lang w:val="en-US"/>
        </w:rPr>
        <w:t>”,</w:t>
      </w:r>
      <w:proofErr w:type="gramEnd"/>
      <w:r w:rsidRPr="008F17A2">
        <w:rPr>
          <w:lang w:val="en-US"/>
        </w:rPr>
        <w:t xml:space="preserve"> </w:t>
      </w:r>
      <w:r w:rsidRPr="00BD6CD5">
        <w:rPr>
          <w:i/>
          <w:iCs/>
          <w:lang w:val="en-US"/>
        </w:rPr>
        <w:t>The Lancet</w:t>
      </w:r>
      <w:r w:rsidRPr="008F17A2">
        <w:rPr>
          <w:lang w:val="en-US"/>
        </w:rPr>
        <w:t xml:space="preserve">, vol. 347, No. 9707 (19 December 2009), pp. 2104–2114. </w:t>
      </w:r>
    </w:p>
  </w:footnote>
  <w:footnote w:id="26">
    <w:p w14:paraId="39EAADE1" w14:textId="36D22AB4" w:rsidR="00160A17" w:rsidRPr="008F17A2" w:rsidRDefault="00160A17" w:rsidP="00160A17">
      <w:pPr>
        <w:pStyle w:val="ad"/>
      </w:pPr>
      <w:r w:rsidRPr="008F17A2">
        <w:rPr>
          <w:lang w:val="en-US"/>
        </w:rPr>
        <w:tab/>
      </w:r>
      <w:r w:rsidRPr="003B540B">
        <w:rPr>
          <w:vertAlign w:val="superscript"/>
        </w:rPr>
        <w:footnoteRef/>
      </w:r>
      <w:r>
        <w:tab/>
        <w:t>Модель, основанная на взаимосвязи между источником, путем и объектом воздействия, позволяет оценить экологические (и иные) последствия для тех или иных групп населения. Эта</w:t>
      </w:r>
      <w:r w:rsidR="00FE1F38">
        <w:t> </w:t>
      </w:r>
      <w:r>
        <w:t xml:space="preserve">модель была впервые описана в публикации M.W. Holdgate, </w:t>
      </w:r>
      <w:r w:rsidRPr="008336AA">
        <w:rPr>
          <w:i/>
          <w:iCs/>
        </w:rPr>
        <w:t>A Perspective of Environmental Pollution</w:t>
      </w:r>
      <w:r>
        <w:t xml:space="preserve"> (Cambridge, Cambridge University Press, 1979).</w:t>
      </w:r>
    </w:p>
  </w:footnote>
  <w:footnote w:id="27">
    <w:p w14:paraId="7B1D5525" w14:textId="0AFDAAEA" w:rsidR="00160A17" w:rsidRPr="00160A17" w:rsidRDefault="00160A17" w:rsidP="00160A17">
      <w:pPr>
        <w:pStyle w:val="ad"/>
        <w:rPr>
          <w:lang w:val="en-US"/>
        </w:rPr>
      </w:pPr>
      <w:r w:rsidRPr="003B540B">
        <w:tab/>
      </w:r>
      <w:r w:rsidRPr="003B540B">
        <w:rPr>
          <w:vertAlign w:val="superscript"/>
        </w:rPr>
        <w:footnoteRef/>
      </w:r>
      <w:r w:rsidRPr="008F17A2">
        <w:rPr>
          <w:lang w:val="en-US"/>
        </w:rPr>
        <w:tab/>
      </w:r>
      <w:r w:rsidR="001A3D50" w:rsidRPr="001A3D50">
        <w:rPr>
          <w:lang w:val="en-GB"/>
        </w:rPr>
        <w:t xml:space="preserve">Yasmin </w:t>
      </w:r>
      <w:r w:rsidR="001A3D50" w:rsidRPr="001A3D50">
        <w:rPr>
          <w:lang w:val="en-GB"/>
        </w:rPr>
        <w:fldChar w:fldCharType="begin"/>
      </w:r>
      <w:r w:rsidR="001A3D50" w:rsidRPr="001A3D50">
        <w:rPr>
          <w:lang w:val="en-GB"/>
        </w:rPr>
        <w:instrText xml:space="preserve"> ADDIN EN.CITE &lt;EndNote&gt;&lt;Cite&gt;&lt;Author&gt;von Schirnding&lt;/Author&gt;&lt;Year&gt;2002&lt;/Year&gt;&lt;RecNum&gt;15150&lt;/RecNum&gt;&lt;DisplayText&gt;von Schirnding, Y. 2002b. &lt;style face="italic"&gt;Health in Sustainable Development Planning: the role of indicators&lt;/style&gt;.&lt;/DisplayText&gt;&lt;record&gt;&lt;rec-number&gt;15150&lt;/rec-number&gt;&lt;foreign-keys&gt;&lt;key app="EN" db-id="wvpz5d5w3twx2kezx21v5tw855faveswped2" timestamp="1558098262"&gt;15150&lt;/key&gt;&lt;/foreign-keys&gt;&lt;ref-type name="Book"&gt;6&lt;/ref-type&gt;&lt;contributors&gt;&lt;authors&gt;&lt;author&gt;von Schirnding, Y.&lt;/author&gt;&lt;/authors&gt;&lt;secondary-authors&gt;&lt;author&gt;von Schirnding, Y.&lt;/author&gt;&lt;/secondary-authors&gt;&lt;/contributors&gt;&lt;titles&gt;&lt;title&gt;Health in Sustainable Development Planning: the role of indicators&lt;/title&gt;&lt;/titles&gt;&lt;dates&gt;&lt;year&gt;2002&lt;/year&gt;&lt;/dates&gt;&lt;urls&gt;&lt;related-urls&gt;&lt;url&gt;www.who.int/wssd/resources/indicators/en/&lt;/url&gt;&lt;/related-urls&gt;&lt;/urls&gt;&lt;/record&gt;&lt;/Cite&gt;&lt;/EndNote&gt;</w:instrText>
      </w:r>
      <w:r w:rsidR="001A3D50" w:rsidRPr="001A3D50">
        <w:rPr>
          <w:lang w:val="en-GB"/>
        </w:rPr>
        <w:fldChar w:fldCharType="separate"/>
      </w:r>
      <w:r w:rsidR="001A3D50" w:rsidRPr="001A3D50">
        <w:rPr>
          <w:lang w:val="en-GB"/>
        </w:rPr>
        <w:t xml:space="preserve">von Schirnding, </w:t>
      </w:r>
      <w:r w:rsidR="001A3D50" w:rsidRPr="001A3D50">
        <w:rPr>
          <w:i/>
          <w:iCs/>
          <w:lang w:val="en-GB"/>
        </w:rPr>
        <w:t>Health in Sustainable Development Planning: The Role of Indicators</w:t>
      </w:r>
      <w:r w:rsidR="001A3D50" w:rsidRPr="001A3D50">
        <w:rPr>
          <w:lang w:val="en-GB"/>
        </w:rPr>
        <w:t xml:space="preserve"> (Geneva, WHO, 2002)</w:t>
      </w:r>
      <w:r w:rsidR="001A3D50" w:rsidRPr="001A3D50">
        <w:rPr>
          <w:lang w:val="en-US"/>
        </w:rPr>
        <w:fldChar w:fldCharType="end"/>
      </w:r>
      <w:r w:rsidR="001A3D50" w:rsidRPr="001A3D50">
        <w:rPr>
          <w:lang w:val="en-GB"/>
        </w:rPr>
        <w:t>; and D. Briggs, C. Corvalán and M. Nurminen, eds., “Linkage methods for environment and health analysis: General guidelines” Report of the Health and Environment Analysis for Decision-making (HEADLAMP) project,  No. WHO/EHG/95.26 (Geneva, United Nations Environment Programme/United States Environmental Protection Agency/WHO, 1996).</w:t>
      </w:r>
    </w:p>
  </w:footnote>
  <w:footnote w:id="28">
    <w:p w14:paraId="2F58666D" w14:textId="77777777" w:rsidR="00160A17" w:rsidRPr="00160A17" w:rsidRDefault="00160A17" w:rsidP="00160A17">
      <w:pPr>
        <w:pStyle w:val="ad"/>
        <w:rPr>
          <w:lang w:val="en-US"/>
        </w:rPr>
      </w:pPr>
      <w:r w:rsidRPr="008F17A2">
        <w:rPr>
          <w:lang w:val="en-US"/>
        </w:rPr>
        <w:tab/>
      </w:r>
      <w:r w:rsidRPr="00116590">
        <w:rPr>
          <w:vertAlign w:val="superscript"/>
        </w:rPr>
        <w:footnoteRef/>
      </w:r>
      <w:r w:rsidRPr="008F17A2">
        <w:rPr>
          <w:lang w:val="en-US"/>
        </w:rPr>
        <w:tab/>
        <w:t>International Petroleum Industry Environmental Conservation Association/International Association of Oil and Gas Producers, “Health Impact Assessment: A Guide for the Oil and Gas Industry</w:t>
      </w:r>
      <w:proofErr w:type="gramStart"/>
      <w:r w:rsidRPr="008F17A2">
        <w:rPr>
          <w:lang w:val="en-US"/>
        </w:rPr>
        <w:t>”,</w:t>
      </w:r>
      <w:proofErr w:type="gramEnd"/>
      <w:r w:rsidRPr="008F17A2">
        <w:rPr>
          <w:lang w:val="en-US"/>
        </w:rPr>
        <w:t xml:space="preserve"> Report No. 548 (n.p., n.d.). </w:t>
      </w:r>
    </w:p>
  </w:footnote>
  <w:footnote w:id="29">
    <w:p w14:paraId="6D5E3258" w14:textId="6161CDBE" w:rsidR="00160A17" w:rsidRPr="008F17A2" w:rsidRDefault="00160A17" w:rsidP="00160A17">
      <w:pPr>
        <w:pStyle w:val="ad"/>
      </w:pPr>
      <w:r w:rsidRPr="008F17A2">
        <w:rPr>
          <w:lang w:val="en-US"/>
        </w:rPr>
        <w:tab/>
      </w:r>
      <w:r w:rsidRPr="00116590">
        <w:rPr>
          <w:vertAlign w:val="superscript"/>
        </w:rPr>
        <w:footnoteRef/>
      </w:r>
      <w:r>
        <w:tab/>
        <w:t>Публикация Организации Объединенных Наций, ECE/MP.EIA/17, с. 114.</w:t>
      </w:r>
    </w:p>
  </w:footnote>
  <w:footnote w:id="30">
    <w:p w14:paraId="51BE5680" w14:textId="0EEE2418" w:rsidR="00160A17" w:rsidRPr="005C22EF" w:rsidRDefault="00160A17" w:rsidP="00160A17">
      <w:pPr>
        <w:pStyle w:val="ad"/>
        <w:rPr>
          <w:lang w:val="en-US"/>
        </w:rPr>
      </w:pPr>
      <w:r w:rsidRPr="00116590">
        <w:tab/>
      </w:r>
      <w:r w:rsidRPr="00116590">
        <w:rPr>
          <w:vertAlign w:val="superscript"/>
        </w:rPr>
        <w:footnoteRef/>
      </w:r>
      <w:r w:rsidRPr="008F17A2">
        <w:rPr>
          <w:lang w:val="en-US"/>
        </w:rPr>
        <w:tab/>
      </w:r>
      <w:r w:rsidR="006B2775" w:rsidRPr="006B2775">
        <w:rPr>
          <w:lang w:val="en-GB"/>
        </w:rPr>
        <w:t xml:space="preserve">Alan </w:t>
      </w:r>
      <w:r w:rsidR="006B2775" w:rsidRPr="006B2775">
        <w:rPr>
          <w:lang w:val="en-GB"/>
        </w:rPr>
        <w:fldChar w:fldCharType="begin">
          <w:fldData xml:space="preserve">PEVuZE5vdGU+PENpdGU+PEF1dGhvcj5Cb25kPC9BdXRob3I+PFllYXI+MjAxMzwvWWVhcj48UmVj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=
</w:fldData>
        </w:fldChar>
      </w:r>
      <w:r w:rsidR="006B2775" w:rsidRPr="006B2775">
        <w:rPr>
          <w:lang w:val="en-GB"/>
        </w:rPr>
        <w:instrText xml:space="preserve"> ADDIN EN.CITE </w:instrText>
      </w:r>
      <w:r w:rsidR="006B2775" w:rsidRPr="006B2775">
        <w:rPr>
          <w:lang w:val="en-GB"/>
        </w:rPr>
        <w:fldChar w:fldCharType="begin">
          <w:fldData xml:space="preserve">PEVuZE5vdGU+PENpdGU+PEF1dGhvcj5Cb25kPC9BdXRob3I+PFllYXI+MjAxMzwvWWVhcj48UmVj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=
</w:fldData>
        </w:fldChar>
      </w:r>
      <w:r w:rsidR="006B2775" w:rsidRPr="006B2775">
        <w:rPr>
          <w:lang w:val="en-GB"/>
        </w:rPr>
        <w:instrText xml:space="preserve"> ADDIN EN.CITE.DATA </w:instrText>
      </w:r>
      <w:r w:rsidR="006B2775" w:rsidRPr="006B2775">
        <w:rPr>
          <w:lang w:val="en-GB"/>
        </w:rPr>
      </w:r>
      <w:r w:rsidR="006B2775" w:rsidRPr="006B2775">
        <w:rPr>
          <w:lang w:val="en-US"/>
        </w:rPr>
        <w:fldChar w:fldCharType="end"/>
      </w:r>
      <w:r w:rsidR="006B2775" w:rsidRPr="006B2775">
        <w:rPr>
          <w:lang w:val="en-GB"/>
        </w:rPr>
      </w:r>
      <w:r w:rsidR="006B2775" w:rsidRPr="006B2775">
        <w:rPr>
          <w:lang w:val="en-GB"/>
        </w:rPr>
        <w:fldChar w:fldCharType="separate"/>
      </w:r>
      <w:r w:rsidR="006B2775" w:rsidRPr="006B2775">
        <w:rPr>
          <w:lang w:val="en-GB"/>
        </w:rPr>
        <w:t>Bond, Ben Cave and Rob Ballantyne, “Who plans for health improvement? SEA, HIA and the separation of spatial planning and health planning</w:t>
      </w:r>
      <w:bookmarkStart w:id="15" w:name="_Hlk18408477"/>
      <w:r w:rsidR="006B2775" w:rsidRPr="006B2775">
        <w:rPr>
          <w:lang w:val="en-GB"/>
        </w:rPr>
        <w:t>”</w:t>
      </w:r>
      <w:bookmarkEnd w:id="15"/>
      <w:r w:rsidR="006B2775" w:rsidRPr="006B2775">
        <w:rPr>
          <w:lang w:val="en-GB"/>
        </w:rPr>
        <w:t xml:space="preserve">, </w:t>
      </w:r>
      <w:r w:rsidR="006B2775" w:rsidRPr="006B2775">
        <w:rPr>
          <w:i/>
          <w:iCs/>
          <w:lang w:val="en-GB"/>
        </w:rPr>
        <w:t>Environmental Impact Assessment Review</w:t>
      </w:r>
      <w:r w:rsidR="006B2775" w:rsidRPr="006B2775">
        <w:rPr>
          <w:lang w:val="en-GB"/>
        </w:rPr>
        <w:t>, vol.</w:t>
      </w:r>
      <w:r w:rsidR="00395D4C" w:rsidRPr="00395D4C">
        <w:rPr>
          <w:lang w:val="en-US"/>
        </w:rPr>
        <w:t> </w:t>
      </w:r>
      <w:r w:rsidR="006B2775" w:rsidRPr="006B2775">
        <w:rPr>
          <w:lang w:val="en-GB"/>
        </w:rPr>
        <w:t xml:space="preserve">42 (September 2013), pp. 67–73. </w:t>
      </w:r>
      <w:r w:rsidR="006B2775" w:rsidRPr="006B2775">
        <w:rPr>
          <w:lang w:val="en-US"/>
        </w:rPr>
        <w:fldChar w:fldCharType="end"/>
      </w:r>
      <w:r w:rsidRPr="00116590">
        <w:fldChar w:fldCharType="begin">
          <w:fldData xml:space="preserve">PEVuZE5vdGU+PENpdGU+PEF1dGhvcj5Cb25kPC9BdXRob3I+PFllYXI+MjAxMzwvWWVhcj48UmVj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=
</w:fldData>
        </w:fldChar>
      </w:r>
      <w:r w:rsidRPr="005C22EF">
        <w:rPr>
          <w:lang w:val="en-US"/>
        </w:rPr>
        <w:instrText xml:space="preserve"> ADDIN EN.CITE.DATA </w:instrText>
      </w:r>
      <w:r w:rsidRPr="00116590">
        <w:fldChar w:fldCharType="end"/>
      </w:r>
    </w:p>
  </w:footnote>
  <w:footnote w:id="31">
    <w:p w14:paraId="44CDE9BC" w14:textId="52EBC560" w:rsidR="00160A17" w:rsidRPr="008F17A2" w:rsidRDefault="00160A17" w:rsidP="00160A17">
      <w:pPr>
        <w:pStyle w:val="ad"/>
        <w:widowControl w:val="0"/>
        <w:tabs>
          <w:tab w:val="clear" w:pos="1021"/>
          <w:tab w:val="right" w:pos="1020"/>
        </w:tabs>
      </w:pPr>
      <w:r w:rsidRPr="005C22EF">
        <w:rPr>
          <w:lang w:val="en-US"/>
        </w:rPr>
        <w:tab/>
      </w:r>
      <w:r>
        <w:rPr>
          <w:rStyle w:val="aa"/>
        </w:rPr>
        <w:footnoteRef/>
      </w:r>
      <w:r>
        <w:tab/>
        <w:t xml:space="preserve">Настоящие тематические исследования основаны на сообщениях, сделанных на восьмом совещании Рабочей группы по оценке воздействия на окружающую среду и стратегической экологической оценке (Женева, 26‒28 ноября 2019 года). Тексты выступлений доступны по </w:t>
      </w:r>
      <w:r w:rsidR="005C22EF">
        <w:rPr>
          <w:lang w:val="en-US"/>
        </w:rPr>
        <w:t>URL</w:t>
      </w:r>
      <w:r w:rsidR="005C22EF">
        <w:t>:</w:t>
      </w:r>
      <w:r>
        <w:t xml:space="preserve"> </w:t>
      </w:r>
      <w:hyperlink r:id="rId7" w:history="1">
        <w:r w:rsidR="00D2739B" w:rsidRPr="00D2739B">
          <w:rPr>
            <w:rStyle w:val="af1"/>
            <w:lang w:val="en-GB"/>
          </w:rPr>
          <w:t>www</w:t>
        </w:r>
        <w:r w:rsidR="00D2739B" w:rsidRPr="00D2739B">
          <w:rPr>
            <w:rStyle w:val="af1"/>
          </w:rPr>
          <w:t>.</w:t>
        </w:r>
        <w:r w:rsidR="00D2739B" w:rsidRPr="00D2739B">
          <w:rPr>
            <w:rStyle w:val="af1"/>
            <w:lang w:val="en-GB"/>
          </w:rPr>
          <w:t>unece</w:t>
        </w:r>
        <w:r w:rsidR="00D2739B" w:rsidRPr="00D2739B">
          <w:rPr>
            <w:rStyle w:val="af1"/>
          </w:rPr>
          <w:t>.</w:t>
        </w:r>
        <w:r w:rsidR="00D2739B" w:rsidRPr="00D2739B">
          <w:rPr>
            <w:rStyle w:val="af1"/>
            <w:lang w:val="en-GB"/>
          </w:rPr>
          <w:t>org</w:t>
        </w:r>
        <w:r w:rsidR="00D2739B" w:rsidRPr="00D2739B">
          <w:rPr>
            <w:rStyle w:val="af1"/>
          </w:rPr>
          <w:t>/</w:t>
        </w:r>
        <w:r w:rsidR="00D2739B" w:rsidRPr="00D2739B">
          <w:rPr>
            <w:rStyle w:val="af1"/>
            <w:lang w:val="en-GB"/>
          </w:rPr>
          <w:t>index</w:t>
        </w:r>
        <w:r w:rsidR="00D2739B" w:rsidRPr="00D2739B">
          <w:rPr>
            <w:rStyle w:val="af1"/>
          </w:rPr>
          <w:t>.</w:t>
        </w:r>
        <w:r w:rsidR="00D2739B" w:rsidRPr="00D2739B">
          <w:rPr>
            <w:rStyle w:val="af1"/>
            <w:lang w:val="en-GB"/>
          </w:rPr>
          <w:t>php</w:t>
        </w:r>
        <w:r w:rsidR="00D2739B" w:rsidRPr="00D2739B">
          <w:rPr>
            <w:rStyle w:val="af1"/>
          </w:rPr>
          <w:t>?</w:t>
        </w:r>
        <w:r w:rsidR="00D2739B" w:rsidRPr="00D2739B">
          <w:rPr>
            <w:rStyle w:val="af1"/>
            <w:lang w:val="en-GB"/>
          </w:rPr>
          <w:t>id</w:t>
        </w:r>
        <w:r w:rsidR="00D2739B" w:rsidRPr="00D2739B">
          <w:rPr>
            <w:rStyle w:val="af1"/>
          </w:rPr>
          <w:t>=50466</w:t>
        </w:r>
      </w:hyperlink>
      <w:r>
        <w:t>.</w:t>
      </w:r>
    </w:p>
  </w:footnote>
  <w:footnote w:id="32">
    <w:p w14:paraId="72DBA062" w14:textId="27056CAD" w:rsidR="00160A17" w:rsidRPr="005C22EF" w:rsidRDefault="00160A17" w:rsidP="005C22EF">
      <w:pPr>
        <w:pStyle w:val="ad"/>
        <w:rPr>
          <w:lang w:val="en-US"/>
        </w:rPr>
      </w:pPr>
      <w:r>
        <w:tab/>
      </w:r>
      <w:r>
        <w:rPr>
          <w:rStyle w:val="aa"/>
        </w:rPr>
        <w:footnoteRef/>
      </w:r>
      <w:r w:rsidRPr="008F17A2">
        <w:rPr>
          <w:lang w:val="en-US"/>
        </w:rPr>
        <w:tab/>
        <w:t xml:space="preserve">Netherlands, Ministry of the Interior and Kingdom Relations, </w:t>
      </w:r>
      <w:r w:rsidRPr="004241E0">
        <w:rPr>
          <w:i/>
          <w:iCs/>
          <w:lang w:val="en-US"/>
        </w:rPr>
        <w:t>Draft national strategy on spatial planning and the environment: A sustainable perspective for our living environment</w:t>
      </w:r>
      <w:r w:rsidRPr="008F17A2">
        <w:rPr>
          <w:lang w:val="en-US"/>
        </w:rPr>
        <w:t xml:space="preserve"> (The Hague, 2019). </w:t>
      </w:r>
      <w:r w:rsidR="005C22EF" w:rsidRPr="005C22EF">
        <w:rPr>
          <w:lang w:val="en-US"/>
        </w:rPr>
        <w:t>URL:</w:t>
      </w:r>
      <w:r w:rsidRPr="005C22EF">
        <w:rPr>
          <w:lang w:val="en-US"/>
        </w:rPr>
        <w:t xml:space="preserve"> </w:t>
      </w:r>
      <w:hyperlink r:id="rId8" w:history="1">
        <w:r w:rsidR="005C22EF" w:rsidRPr="00AA6921">
          <w:rPr>
            <w:rStyle w:val="af1"/>
            <w:lang w:val="en-US"/>
          </w:rPr>
          <w:t>www.ontwerpnovi.nl/translations+draft+novi+and+sea/handlerdownloadfiles.ashx?idnv=1419958</w:t>
        </w:r>
      </w:hyperlink>
      <w:r w:rsidR="005C22EF" w:rsidRPr="005C22EF">
        <w:rPr>
          <w:lang w:val="en-US"/>
        </w:rPr>
        <w:t>.</w:t>
      </w:r>
      <w:r w:rsidRPr="005C22EF">
        <w:rPr>
          <w:lang w:val="en-US"/>
        </w:rPr>
        <w:t xml:space="preserve"> </w:t>
      </w:r>
    </w:p>
  </w:footnote>
  <w:footnote w:id="33">
    <w:p w14:paraId="6EA4BDAB" w14:textId="41A3F14F" w:rsidR="00160A17" w:rsidRPr="00160A17" w:rsidRDefault="00160A17" w:rsidP="00160A17">
      <w:pPr>
        <w:pStyle w:val="ad"/>
        <w:rPr>
          <w:lang w:val="en-US"/>
        </w:rPr>
      </w:pPr>
      <w:r w:rsidRPr="005C22EF">
        <w:rPr>
          <w:lang w:val="en-US"/>
        </w:rPr>
        <w:tab/>
      </w:r>
      <w:r>
        <w:rPr>
          <w:rStyle w:val="aa"/>
        </w:rPr>
        <w:footnoteRef/>
      </w:r>
      <w:r w:rsidRPr="008F17A2">
        <w:rPr>
          <w:lang w:val="en-US"/>
        </w:rPr>
        <w:tab/>
        <w:t xml:space="preserve">World Health Organization (WHO) Regional Office for Europe/University of Liverpool, </w:t>
      </w:r>
      <w:r w:rsidRPr="00602588">
        <w:rPr>
          <w:i/>
          <w:iCs/>
          <w:lang w:val="en-US"/>
        </w:rPr>
        <w:t>Learning from Practice: Case Studies of Health in Strategic Environmental Assessment and Environmental Impact Assessment across the WHO European Region</w:t>
      </w:r>
      <w:r w:rsidRPr="008F17A2">
        <w:rPr>
          <w:lang w:val="en-US"/>
        </w:rPr>
        <w:t xml:space="preserve"> (Copenhagen, WHO Regional Office for Europe, 2022).</w:t>
      </w:r>
      <w:r w:rsidRPr="008F17A2">
        <w:rPr>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52B9" w14:textId="53D66397" w:rsidR="00CD07FD" w:rsidRPr="00CD07FD" w:rsidRDefault="00CD07FD">
    <w:pPr>
      <w:pStyle w:val="a5"/>
    </w:pPr>
    <w:fldSimple w:instr=" TITLE  \* MERGEFORMAT ">
      <w:r w:rsidR="00E844C7">
        <w:t>ECE/MP.EIA/WG.2/2023/8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04A9" w14:textId="31A5D5F1" w:rsidR="00000000" w:rsidRDefault="00CD07FD" w:rsidP="000D7BA4">
    <w:pPr>
      <w:pStyle w:val="a5"/>
      <w:jc w:val="right"/>
    </w:pPr>
    <w:fldSimple w:instr=" TITLE  \* MERGEFORMAT ">
      <w:r w:rsidR="00E844C7">
        <w:t>ECE/MP.EIA/WG.2/2023/8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42E1" w14:textId="77777777" w:rsidR="00396307" w:rsidRPr="002E49F0" w:rsidRDefault="00F15F0C" w:rsidP="00396307">
    <w:pPr>
      <w:pStyle w:val="a5"/>
      <w:jc w:val="right"/>
    </w:pPr>
    <w:r>
      <w:t>ECE/MP.EIA/WG.2/2023/8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245E7"/>
    <w:multiLevelType w:val="hybridMultilevel"/>
    <w:tmpl w:val="8626D5FE"/>
    <w:lvl w:ilvl="0" w:tplc="A300D3F2">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0DFF2028"/>
    <w:multiLevelType w:val="hybridMultilevel"/>
    <w:tmpl w:val="DC2C11AE"/>
    <w:lvl w:ilvl="0" w:tplc="31CCEC60">
      <w:start w:val="1"/>
      <w:numFmt w:val="upperRoman"/>
      <w:lvlText w:val="%1."/>
      <w:lvlJc w:val="left"/>
      <w:pPr>
        <w:ind w:left="1458" w:hanging="720"/>
      </w:pPr>
      <w:rPr>
        <w:rFonts w:hint="default"/>
      </w:rPr>
    </w:lvl>
    <w:lvl w:ilvl="1" w:tplc="04090019">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6693744"/>
    <w:multiLevelType w:val="hybridMultilevel"/>
    <w:tmpl w:val="6FA2251E"/>
    <w:lvl w:ilvl="0" w:tplc="6E3E9AA0">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51130"/>
    <w:multiLevelType w:val="hybridMultilevel"/>
    <w:tmpl w:val="8BF6C5FE"/>
    <w:lvl w:ilvl="0" w:tplc="720CA6E8">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3655D3B"/>
    <w:multiLevelType w:val="hybridMultilevel"/>
    <w:tmpl w:val="BEB2683E"/>
    <w:lvl w:ilvl="0" w:tplc="C71C0A5C">
      <w:start w:val="1"/>
      <w:numFmt w:val="upperRoman"/>
      <w:lvlText w:val="%1."/>
      <w:lvlJc w:val="left"/>
      <w:pPr>
        <w:ind w:left="1458" w:hanging="72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0" w15:restartNumberingAfterBreak="0">
    <w:nsid w:val="63D07910"/>
    <w:multiLevelType w:val="hybridMultilevel"/>
    <w:tmpl w:val="2D9061BA"/>
    <w:lvl w:ilvl="0" w:tplc="A70289E2">
      <w:start w:val="1"/>
      <w:numFmt w:val="upperRoman"/>
      <w:lvlText w:val="%1."/>
      <w:lvlJc w:val="left"/>
      <w:pPr>
        <w:ind w:left="1458" w:hanging="72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1E1BF4"/>
    <w:multiLevelType w:val="hybridMultilevel"/>
    <w:tmpl w:val="16146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58297015">
    <w:abstractNumId w:val="23"/>
  </w:num>
  <w:num w:numId="2" w16cid:durableId="1584342082">
    <w:abstractNumId w:val="14"/>
  </w:num>
  <w:num w:numId="3" w16cid:durableId="735516396">
    <w:abstractNumId w:val="12"/>
  </w:num>
  <w:num w:numId="4" w16cid:durableId="2060811971">
    <w:abstractNumId w:val="24"/>
  </w:num>
  <w:num w:numId="5" w16cid:durableId="1466849284">
    <w:abstractNumId w:val="17"/>
  </w:num>
  <w:num w:numId="6" w16cid:durableId="144204450">
    <w:abstractNumId w:val="8"/>
  </w:num>
  <w:num w:numId="7" w16cid:durableId="484400556">
    <w:abstractNumId w:val="3"/>
  </w:num>
  <w:num w:numId="8" w16cid:durableId="376859403">
    <w:abstractNumId w:val="2"/>
  </w:num>
  <w:num w:numId="9" w16cid:durableId="53965263">
    <w:abstractNumId w:val="1"/>
  </w:num>
  <w:num w:numId="10" w16cid:durableId="412170940">
    <w:abstractNumId w:val="0"/>
  </w:num>
  <w:num w:numId="11" w16cid:durableId="1649168753">
    <w:abstractNumId w:val="9"/>
  </w:num>
  <w:num w:numId="12" w16cid:durableId="1006857360">
    <w:abstractNumId w:val="7"/>
  </w:num>
  <w:num w:numId="13" w16cid:durableId="401492569">
    <w:abstractNumId w:val="6"/>
  </w:num>
  <w:num w:numId="14" w16cid:durableId="1551191774">
    <w:abstractNumId w:val="5"/>
  </w:num>
  <w:num w:numId="15" w16cid:durableId="992175990">
    <w:abstractNumId w:val="4"/>
  </w:num>
  <w:num w:numId="16" w16cid:durableId="1764565688">
    <w:abstractNumId w:val="22"/>
  </w:num>
  <w:num w:numId="17" w16cid:durableId="1518929745">
    <w:abstractNumId w:val="15"/>
  </w:num>
  <w:num w:numId="18" w16cid:durableId="889223119">
    <w:abstractNumId w:val="18"/>
  </w:num>
  <w:num w:numId="19" w16cid:durableId="907037225">
    <w:abstractNumId w:val="22"/>
  </w:num>
  <w:num w:numId="20" w16cid:durableId="600458068">
    <w:abstractNumId w:val="15"/>
  </w:num>
  <w:num w:numId="21" w16cid:durableId="1322194240">
    <w:abstractNumId w:val="18"/>
  </w:num>
  <w:num w:numId="22" w16cid:durableId="1478374493">
    <w:abstractNumId w:val="25"/>
  </w:num>
  <w:num w:numId="23" w16cid:durableId="1687095335">
    <w:abstractNumId w:val="16"/>
  </w:num>
  <w:num w:numId="24" w16cid:durableId="135803658">
    <w:abstractNumId w:val="21"/>
  </w:num>
  <w:num w:numId="25" w16cid:durableId="319847415">
    <w:abstractNumId w:val="11"/>
  </w:num>
  <w:num w:numId="26" w16cid:durableId="1968048606">
    <w:abstractNumId w:val="13"/>
  </w:num>
  <w:num w:numId="27" w16cid:durableId="1106003307">
    <w:abstractNumId w:val="20"/>
  </w:num>
  <w:num w:numId="28" w16cid:durableId="1734160208">
    <w:abstractNumId w:val="10"/>
  </w:num>
  <w:num w:numId="29" w16cid:durableId="44604670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1C"/>
    <w:rsid w:val="00013F90"/>
    <w:rsid w:val="00033EE1"/>
    <w:rsid w:val="00042B72"/>
    <w:rsid w:val="000558BD"/>
    <w:rsid w:val="000B57E7"/>
    <w:rsid w:val="000B6373"/>
    <w:rsid w:val="000D7BA4"/>
    <w:rsid w:val="000E4E5B"/>
    <w:rsid w:val="000F09DF"/>
    <w:rsid w:val="000F61B2"/>
    <w:rsid w:val="001075E9"/>
    <w:rsid w:val="0014152F"/>
    <w:rsid w:val="00146E87"/>
    <w:rsid w:val="00152BD6"/>
    <w:rsid w:val="00160A17"/>
    <w:rsid w:val="00180183"/>
    <w:rsid w:val="0018024D"/>
    <w:rsid w:val="0018649F"/>
    <w:rsid w:val="00196389"/>
    <w:rsid w:val="001A3D50"/>
    <w:rsid w:val="001B3EF6"/>
    <w:rsid w:val="001C7A89"/>
    <w:rsid w:val="001D49E2"/>
    <w:rsid w:val="00255343"/>
    <w:rsid w:val="002669F9"/>
    <w:rsid w:val="0027151D"/>
    <w:rsid w:val="002A2EFC"/>
    <w:rsid w:val="002B0106"/>
    <w:rsid w:val="002B74B1"/>
    <w:rsid w:val="002C0E18"/>
    <w:rsid w:val="002D5AAC"/>
    <w:rsid w:val="002E5067"/>
    <w:rsid w:val="002F3397"/>
    <w:rsid w:val="002F405F"/>
    <w:rsid w:val="002F7EEC"/>
    <w:rsid w:val="00300B9B"/>
    <w:rsid w:val="00301299"/>
    <w:rsid w:val="00301A80"/>
    <w:rsid w:val="00305C08"/>
    <w:rsid w:val="00307FB6"/>
    <w:rsid w:val="00317339"/>
    <w:rsid w:val="00322004"/>
    <w:rsid w:val="00335A75"/>
    <w:rsid w:val="003402C2"/>
    <w:rsid w:val="003529B9"/>
    <w:rsid w:val="00381C24"/>
    <w:rsid w:val="00385E44"/>
    <w:rsid w:val="00387CD4"/>
    <w:rsid w:val="003958D0"/>
    <w:rsid w:val="00395D4C"/>
    <w:rsid w:val="003A0D43"/>
    <w:rsid w:val="003A48CE"/>
    <w:rsid w:val="003B00E5"/>
    <w:rsid w:val="003E0B46"/>
    <w:rsid w:val="00407B78"/>
    <w:rsid w:val="004241E0"/>
    <w:rsid w:val="00424203"/>
    <w:rsid w:val="00431836"/>
    <w:rsid w:val="00452493"/>
    <w:rsid w:val="00453318"/>
    <w:rsid w:val="00454AF2"/>
    <w:rsid w:val="00454E07"/>
    <w:rsid w:val="00472C5C"/>
    <w:rsid w:val="00485F8A"/>
    <w:rsid w:val="004E05B7"/>
    <w:rsid w:val="0050108D"/>
    <w:rsid w:val="00502A0B"/>
    <w:rsid w:val="00513081"/>
    <w:rsid w:val="00517901"/>
    <w:rsid w:val="00526683"/>
    <w:rsid w:val="00526DB8"/>
    <w:rsid w:val="00537E56"/>
    <w:rsid w:val="00554EE1"/>
    <w:rsid w:val="005639C1"/>
    <w:rsid w:val="005709E0"/>
    <w:rsid w:val="00572E19"/>
    <w:rsid w:val="0058043B"/>
    <w:rsid w:val="005961C8"/>
    <w:rsid w:val="005966F1"/>
    <w:rsid w:val="005C22EF"/>
    <w:rsid w:val="005D0F17"/>
    <w:rsid w:val="005D7914"/>
    <w:rsid w:val="005E2B41"/>
    <w:rsid w:val="005F0B42"/>
    <w:rsid w:val="00602588"/>
    <w:rsid w:val="00617A43"/>
    <w:rsid w:val="006345DB"/>
    <w:rsid w:val="00640F49"/>
    <w:rsid w:val="00672294"/>
    <w:rsid w:val="00673E97"/>
    <w:rsid w:val="00680D03"/>
    <w:rsid w:val="00681A10"/>
    <w:rsid w:val="006A1ED8"/>
    <w:rsid w:val="006B2775"/>
    <w:rsid w:val="006C2031"/>
    <w:rsid w:val="006D461A"/>
    <w:rsid w:val="006F35EE"/>
    <w:rsid w:val="007021FF"/>
    <w:rsid w:val="00712895"/>
    <w:rsid w:val="007272BE"/>
    <w:rsid w:val="00734ACB"/>
    <w:rsid w:val="00757357"/>
    <w:rsid w:val="00757DD1"/>
    <w:rsid w:val="00792497"/>
    <w:rsid w:val="007A6290"/>
    <w:rsid w:val="007D061F"/>
    <w:rsid w:val="00806737"/>
    <w:rsid w:val="00825F8D"/>
    <w:rsid w:val="00830F48"/>
    <w:rsid w:val="008336AA"/>
    <w:rsid w:val="00834B71"/>
    <w:rsid w:val="008426F4"/>
    <w:rsid w:val="0086445C"/>
    <w:rsid w:val="00894693"/>
    <w:rsid w:val="008A08D7"/>
    <w:rsid w:val="008A37C8"/>
    <w:rsid w:val="008B6909"/>
    <w:rsid w:val="008B7918"/>
    <w:rsid w:val="008C3DC7"/>
    <w:rsid w:val="008D53B6"/>
    <w:rsid w:val="008F7609"/>
    <w:rsid w:val="009063C5"/>
    <w:rsid w:val="00906890"/>
    <w:rsid w:val="00911BE4"/>
    <w:rsid w:val="00951972"/>
    <w:rsid w:val="009608F3"/>
    <w:rsid w:val="00967A23"/>
    <w:rsid w:val="009A24AC"/>
    <w:rsid w:val="009C59D7"/>
    <w:rsid w:val="009C6FE6"/>
    <w:rsid w:val="009D7E7D"/>
    <w:rsid w:val="009F383A"/>
    <w:rsid w:val="00A102C2"/>
    <w:rsid w:val="00A14DA8"/>
    <w:rsid w:val="00A312BC"/>
    <w:rsid w:val="00A40889"/>
    <w:rsid w:val="00A52B64"/>
    <w:rsid w:val="00A84021"/>
    <w:rsid w:val="00A84D35"/>
    <w:rsid w:val="00A917B3"/>
    <w:rsid w:val="00AA3DDD"/>
    <w:rsid w:val="00AB4B51"/>
    <w:rsid w:val="00AD3030"/>
    <w:rsid w:val="00AF79F7"/>
    <w:rsid w:val="00B10CC7"/>
    <w:rsid w:val="00B32B1C"/>
    <w:rsid w:val="00B36DF7"/>
    <w:rsid w:val="00B45E7D"/>
    <w:rsid w:val="00B539E7"/>
    <w:rsid w:val="00B62458"/>
    <w:rsid w:val="00BC18B2"/>
    <w:rsid w:val="00BD33EE"/>
    <w:rsid w:val="00BD5D63"/>
    <w:rsid w:val="00BD6CD5"/>
    <w:rsid w:val="00BE1CC7"/>
    <w:rsid w:val="00C106D6"/>
    <w:rsid w:val="00C119AE"/>
    <w:rsid w:val="00C60F0C"/>
    <w:rsid w:val="00C71E84"/>
    <w:rsid w:val="00C805C9"/>
    <w:rsid w:val="00C92939"/>
    <w:rsid w:val="00CA1679"/>
    <w:rsid w:val="00CB151C"/>
    <w:rsid w:val="00CD07FD"/>
    <w:rsid w:val="00CD28F9"/>
    <w:rsid w:val="00CD5030"/>
    <w:rsid w:val="00CE5A1A"/>
    <w:rsid w:val="00CF55F6"/>
    <w:rsid w:val="00D2739B"/>
    <w:rsid w:val="00D33D63"/>
    <w:rsid w:val="00D5253A"/>
    <w:rsid w:val="00D873A8"/>
    <w:rsid w:val="00D90028"/>
    <w:rsid w:val="00D90138"/>
    <w:rsid w:val="00D9145B"/>
    <w:rsid w:val="00D97BC5"/>
    <w:rsid w:val="00DD78D1"/>
    <w:rsid w:val="00DE32CD"/>
    <w:rsid w:val="00DF5767"/>
    <w:rsid w:val="00DF71B9"/>
    <w:rsid w:val="00E0418F"/>
    <w:rsid w:val="00E12C5F"/>
    <w:rsid w:val="00E22273"/>
    <w:rsid w:val="00E73F76"/>
    <w:rsid w:val="00E844C7"/>
    <w:rsid w:val="00EA2C9F"/>
    <w:rsid w:val="00EA420E"/>
    <w:rsid w:val="00EC6155"/>
    <w:rsid w:val="00ED0BDA"/>
    <w:rsid w:val="00EE142A"/>
    <w:rsid w:val="00EF1360"/>
    <w:rsid w:val="00EF3220"/>
    <w:rsid w:val="00F15F0C"/>
    <w:rsid w:val="00F2523A"/>
    <w:rsid w:val="00F43903"/>
    <w:rsid w:val="00F73B33"/>
    <w:rsid w:val="00F94155"/>
    <w:rsid w:val="00F9783F"/>
    <w:rsid w:val="00FA19AB"/>
    <w:rsid w:val="00FA5253"/>
    <w:rsid w:val="00FC01EC"/>
    <w:rsid w:val="00FD2EF7"/>
    <w:rsid w:val="00FE1316"/>
    <w:rsid w:val="00FE1F38"/>
    <w:rsid w:val="00FE447E"/>
    <w:rsid w:val="00FE513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9A4BC"/>
  <w15:docId w15:val="{6B0EBB1A-ABFF-4A2F-9E3D-3D8B41B8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23GChar">
    <w:name w:val="_ H_2/3_G Char"/>
    <w:link w:val="H23G"/>
    <w:rsid w:val="00160A17"/>
    <w:rPr>
      <w:b/>
      <w:lang w:val="ru-RU" w:eastAsia="ru-RU"/>
    </w:rPr>
  </w:style>
  <w:style w:type="character" w:customStyle="1" w:styleId="SingleTxtGChar">
    <w:name w:val="_ Single Txt_G Char"/>
    <w:link w:val="SingleTxtG"/>
    <w:rsid w:val="00160A17"/>
    <w:rPr>
      <w:lang w:val="ru-RU" w:eastAsia="en-US"/>
    </w:rPr>
  </w:style>
  <w:style w:type="paragraph" w:styleId="af3">
    <w:name w:val="List Paragraph"/>
    <w:basedOn w:val="a"/>
    <w:uiPriority w:val="34"/>
    <w:rsid w:val="00160A17"/>
    <w:pPr>
      <w:ind w:left="720"/>
      <w:contextualSpacing/>
    </w:pPr>
  </w:style>
  <w:style w:type="character" w:styleId="af4">
    <w:name w:val="Unresolved Mention"/>
    <w:basedOn w:val="a0"/>
    <w:uiPriority w:val="99"/>
    <w:semiHidden/>
    <w:unhideWhenUsed/>
    <w:rsid w:val="00FE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denationaleomgevingsvisie.nl/publicaties/novi-stukken+publicaties/default.aspx#folder=14513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ontwerpnovi.nl/translations+draft+novi+and+sea/handlerdownloadfiles.ashx?idnv=1419958" TargetMode="External"/><Relationship Id="rId3" Type="http://schemas.openxmlformats.org/officeDocument/2006/relationships/hyperlink" Target="http://www.unece.org/env/eia/implementation/review_implementation.html" TargetMode="External"/><Relationship Id="rId7" Type="http://schemas.openxmlformats.org/officeDocument/2006/relationships/hyperlink" Target="http://www.unece.org/index.php?id=50466" TargetMode="External"/><Relationship Id="rId2" Type="http://schemas.openxmlformats.org/officeDocument/2006/relationships/hyperlink" Target="https://www.who.int/europe/health-topics/" TargetMode="External"/><Relationship Id="rId1" Type="http://schemas.openxmlformats.org/officeDocument/2006/relationships/hyperlink" Target="https://treaties.un.org/Pages/ViewDetails.aspx?src=TREATY&amp;mtdsg_no=XXVII-4-b&amp;chapter=27&amp;clang=_en" TargetMode="External"/><Relationship Id="rId6" Type="http://schemas.openxmlformats.org/officeDocument/2006/relationships/hyperlink" Target="https://phwwhocc.co.uk/wp-content/uploads/2020/07/Health-Impact-Assessment-A-Practical-guide.pdf" TargetMode="External"/><Relationship Id="rId5" Type="http://schemas.openxmlformats.org/officeDocument/2006/relationships/hyperlink" Target="http://www.who.int/news-room/questions-and-answers/item/determinants-of-health" TargetMode="External"/><Relationship Id="rId4" Type="http://schemas.openxmlformats.org/officeDocument/2006/relationships/hyperlink" Target="https://unece.org/environment-policy/environmental-assessment/review-implementation-national-repor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9FDD0-5DB3-4FEC-9C34-E394B4B9A101}"/>
</file>

<file path=customXml/itemProps2.xml><?xml version="1.0" encoding="utf-8"?>
<ds:datastoreItem xmlns:ds="http://schemas.openxmlformats.org/officeDocument/2006/customXml" ds:itemID="{FF6F56C2-907D-4AC3-B6BF-14A5E693D013}"/>
</file>

<file path=docProps/app.xml><?xml version="1.0" encoding="utf-8"?>
<Properties xmlns="http://schemas.openxmlformats.org/officeDocument/2006/extended-properties" xmlns:vt="http://schemas.openxmlformats.org/officeDocument/2006/docPropsVTypes">
  <Template>ECE.dotm</Template>
  <TotalTime>1</TotalTime>
  <Pages>29</Pages>
  <Words>9245</Words>
  <Characters>66935</Characters>
  <Application>Microsoft Office Word</Application>
  <DocSecurity>0</DocSecurity>
  <Lines>1338</Lines>
  <Paragraphs>359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ECE/MP.EIA/WG.2/2023/8</vt:lpstr>
      <vt:lpstr>A/</vt:lpstr>
      <vt:lpstr>A/</vt:lpstr>
    </vt:vector>
  </TitlesOfParts>
  <Company>DCM</Company>
  <LinksUpToDate>false</LinksUpToDate>
  <CharactersWithSpaces>75821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ECE/MP.EIA/WG.2/2023/8</dc:title>
  <dc:subject/>
  <dc:creator>Uliana ANTIPOVA</dc:creator>
  <cp:keywords/>
  <cp:lastModifiedBy>Uliana Antipova</cp:lastModifiedBy>
  <cp:revision>3</cp:revision>
  <cp:lastPrinted>2023-04-25T09:08:00Z</cp:lastPrinted>
  <dcterms:created xsi:type="dcterms:W3CDTF">2023-04-25T09:08:00Z</dcterms:created>
  <dcterms:modified xsi:type="dcterms:W3CDTF">2023-04-25T09:09:00Z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