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D30BF52" w14:textId="77777777" w:rsidTr="00B20551">
        <w:trPr>
          <w:cantSplit/>
          <w:trHeight w:hRule="exact" w:val="851"/>
        </w:trPr>
        <w:tc>
          <w:tcPr>
            <w:tcW w:w="1276" w:type="dxa"/>
            <w:tcBorders>
              <w:bottom w:val="single" w:sz="4" w:space="0" w:color="auto"/>
            </w:tcBorders>
            <w:vAlign w:val="bottom"/>
          </w:tcPr>
          <w:p w14:paraId="5618E9F0" w14:textId="77777777" w:rsidR="009E6CB7" w:rsidRDefault="009E6CB7" w:rsidP="00B20551">
            <w:pPr>
              <w:spacing w:after="80"/>
            </w:pPr>
          </w:p>
        </w:tc>
        <w:tc>
          <w:tcPr>
            <w:tcW w:w="2268" w:type="dxa"/>
            <w:tcBorders>
              <w:bottom w:val="single" w:sz="4" w:space="0" w:color="auto"/>
            </w:tcBorders>
            <w:vAlign w:val="bottom"/>
          </w:tcPr>
          <w:p w14:paraId="14D36F3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E5E27FD" w14:textId="376A3C45" w:rsidR="009E6CB7" w:rsidRPr="00D47EEA" w:rsidRDefault="00832DF6" w:rsidP="00832DF6">
            <w:pPr>
              <w:jc w:val="right"/>
            </w:pPr>
            <w:r w:rsidRPr="00832DF6">
              <w:rPr>
                <w:sz w:val="40"/>
              </w:rPr>
              <w:t>ECE</w:t>
            </w:r>
            <w:r>
              <w:t xml:space="preserve">/MP.EIA/WG.2/2023/1  </w:t>
            </w:r>
          </w:p>
        </w:tc>
      </w:tr>
      <w:tr w:rsidR="009E6CB7" w14:paraId="29A1F0E0" w14:textId="77777777" w:rsidTr="00B20551">
        <w:trPr>
          <w:cantSplit/>
          <w:trHeight w:hRule="exact" w:val="2835"/>
        </w:trPr>
        <w:tc>
          <w:tcPr>
            <w:tcW w:w="1276" w:type="dxa"/>
            <w:tcBorders>
              <w:top w:val="single" w:sz="4" w:space="0" w:color="auto"/>
              <w:bottom w:val="single" w:sz="12" w:space="0" w:color="auto"/>
            </w:tcBorders>
          </w:tcPr>
          <w:p w14:paraId="62287F49" w14:textId="77777777" w:rsidR="009E6CB7" w:rsidRDefault="00686A48" w:rsidP="00B20551">
            <w:pPr>
              <w:spacing w:before="120"/>
            </w:pPr>
            <w:r>
              <w:rPr>
                <w:noProof/>
                <w:lang w:val="fr-CH" w:eastAsia="fr-CH"/>
              </w:rPr>
              <w:drawing>
                <wp:inline distT="0" distB="0" distL="0" distR="0" wp14:anchorId="2B07373A" wp14:editId="4EDE6E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A7ECD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3BF5587" w14:textId="77777777" w:rsidR="009E6CB7" w:rsidRDefault="00832DF6" w:rsidP="00832DF6">
            <w:pPr>
              <w:spacing w:before="240" w:line="240" w:lineRule="exact"/>
            </w:pPr>
            <w:r>
              <w:t>Distr.: General</w:t>
            </w:r>
          </w:p>
          <w:p w14:paraId="0C486ABB" w14:textId="59A70A4D" w:rsidR="00832DF6" w:rsidRDefault="00F03427" w:rsidP="00832DF6">
            <w:pPr>
              <w:spacing w:line="240" w:lineRule="exact"/>
            </w:pPr>
            <w:r>
              <w:t>23</w:t>
            </w:r>
            <w:r w:rsidR="00832DF6">
              <w:t xml:space="preserve"> March 2023</w:t>
            </w:r>
          </w:p>
          <w:p w14:paraId="37C5626F" w14:textId="77777777" w:rsidR="00832DF6" w:rsidRDefault="00832DF6" w:rsidP="00832DF6">
            <w:pPr>
              <w:spacing w:line="240" w:lineRule="exact"/>
            </w:pPr>
          </w:p>
          <w:p w14:paraId="33359500" w14:textId="2A5E1903" w:rsidR="00832DF6" w:rsidRDefault="00832DF6" w:rsidP="00832DF6">
            <w:pPr>
              <w:spacing w:line="240" w:lineRule="exact"/>
            </w:pPr>
            <w:r>
              <w:t>Original: English</w:t>
            </w:r>
          </w:p>
        </w:tc>
      </w:tr>
    </w:tbl>
    <w:p w14:paraId="4BA35480" w14:textId="77777777" w:rsidR="00832DF6" w:rsidRPr="00136A88" w:rsidRDefault="00832DF6" w:rsidP="0094684F">
      <w:pPr>
        <w:spacing w:before="120"/>
        <w:rPr>
          <w:b/>
          <w:sz w:val="28"/>
          <w:szCs w:val="28"/>
        </w:rPr>
      </w:pPr>
      <w:r w:rsidRPr="00136A88">
        <w:rPr>
          <w:b/>
          <w:sz w:val="28"/>
          <w:szCs w:val="28"/>
        </w:rPr>
        <w:t>Economic Commission for Europe</w:t>
      </w:r>
    </w:p>
    <w:p w14:paraId="53ED8BD0" w14:textId="77777777" w:rsidR="00832DF6" w:rsidRPr="00136A88" w:rsidRDefault="00832DF6"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5B19982E" w14:textId="77777777" w:rsidR="00832DF6" w:rsidRPr="00136A88" w:rsidRDefault="00832DF6"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7FF012F2" w14:textId="77777777" w:rsidR="00832DF6" w:rsidRPr="00136A88" w:rsidRDefault="00832DF6"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64E1F3C3" w14:textId="77777777" w:rsidR="00C02421" w:rsidRPr="00C02421" w:rsidRDefault="00C02421" w:rsidP="00C02421">
      <w:pPr>
        <w:suppressAutoHyphens/>
        <w:spacing w:before="120"/>
        <w:rPr>
          <w:b/>
          <w:lang w:eastAsia="en-US"/>
        </w:rPr>
      </w:pPr>
      <w:r w:rsidRPr="00C02421">
        <w:rPr>
          <w:b/>
          <w:lang w:eastAsia="en-US"/>
        </w:rPr>
        <w:t>Twelfth meeting</w:t>
      </w:r>
    </w:p>
    <w:p w14:paraId="4B517A7F" w14:textId="77777777" w:rsidR="00C02421" w:rsidRPr="00C02421" w:rsidRDefault="00C02421" w:rsidP="00C02421">
      <w:pPr>
        <w:suppressAutoHyphens/>
        <w:rPr>
          <w:lang w:eastAsia="en-US"/>
        </w:rPr>
      </w:pPr>
      <w:r w:rsidRPr="00C02421">
        <w:rPr>
          <w:lang w:eastAsia="en-US"/>
        </w:rPr>
        <w:t>Geneva, 13–15 June 2023</w:t>
      </w:r>
    </w:p>
    <w:p w14:paraId="0FD5413E" w14:textId="77777777" w:rsidR="00C02421" w:rsidRPr="00C02421" w:rsidRDefault="00C02421" w:rsidP="00C02421">
      <w:pPr>
        <w:suppressAutoHyphens/>
        <w:rPr>
          <w:lang w:eastAsia="en-US"/>
        </w:rPr>
      </w:pPr>
      <w:r w:rsidRPr="00C02421">
        <w:rPr>
          <w:lang w:eastAsia="en-US"/>
        </w:rPr>
        <w:t>Item 1 of the provisional agenda</w:t>
      </w:r>
    </w:p>
    <w:p w14:paraId="4A535A46" w14:textId="5255E0FB" w:rsidR="00995079" w:rsidRDefault="00C02421" w:rsidP="00C02421">
      <w:pPr>
        <w:rPr>
          <w:b/>
          <w:bCs/>
          <w:lang w:eastAsia="en-US"/>
        </w:rPr>
      </w:pPr>
      <w:r w:rsidRPr="00C02421">
        <w:rPr>
          <w:b/>
          <w:bCs/>
          <w:lang w:eastAsia="en-US"/>
        </w:rPr>
        <w:t>Adoption of the agenda</w:t>
      </w:r>
    </w:p>
    <w:p w14:paraId="5959FE75" w14:textId="32D5379C" w:rsidR="00C02421" w:rsidRPr="00C02421" w:rsidRDefault="00C02421" w:rsidP="00C02421">
      <w:pPr>
        <w:pStyle w:val="HChG"/>
        <w:rPr>
          <w:bCs/>
          <w:lang w:eastAsia="en-US"/>
        </w:rPr>
      </w:pPr>
      <w:r>
        <w:rPr>
          <w:lang w:eastAsia="en-US"/>
        </w:rPr>
        <w:tab/>
      </w:r>
      <w:r>
        <w:rPr>
          <w:lang w:eastAsia="en-US"/>
        </w:rPr>
        <w:tab/>
      </w:r>
      <w:r w:rsidRPr="00C02421">
        <w:rPr>
          <w:lang w:eastAsia="en-US"/>
        </w:rPr>
        <w:t>Annotated provisional agenda for the twelfth meeting</w:t>
      </w:r>
    </w:p>
    <w:p w14:paraId="6C83B946" w14:textId="37DCAAC6" w:rsidR="00C02421" w:rsidRPr="00C02421" w:rsidRDefault="00C02421" w:rsidP="00C02421">
      <w:pPr>
        <w:pStyle w:val="H1G"/>
        <w:rPr>
          <w:lang w:eastAsia="en-US"/>
        </w:rPr>
      </w:pPr>
      <w:r w:rsidRPr="00C02421">
        <w:rPr>
          <w:lang w:eastAsia="en-US"/>
        </w:rPr>
        <w:tab/>
      </w:r>
      <w:r w:rsidRPr="00C02421">
        <w:rPr>
          <w:lang w:eastAsia="en-US"/>
        </w:rPr>
        <w:tab/>
        <w:t>To be held at the Palais des Nations, Geneva, starting at 10 a.m.</w:t>
      </w:r>
      <w:r w:rsidRPr="00C02421">
        <w:rPr>
          <w:lang w:eastAsia="en-US"/>
        </w:rPr>
        <w:br/>
        <w:t>on Tuesday, 13 June 2023</w:t>
      </w:r>
      <w:r w:rsidRPr="00C02421">
        <w:rPr>
          <w:sz w:val="18"/>
          <w:lang w:eastAsia="en-US"/>
        </w:rPr>
        <w:footnoteReference w:customMarkFollows="1" w:id="2"/>
        <w:t>*</w:t>
      </w:r>
    </w:p>
    <w:p w14:paraId="1467AC6A" w14:textId="77777777" w:rsidR="00C02421" w:rsidRPr="00C02421" w:rsidRDefault="00C02421" w:rsidP="00C02421">
      <w:pPr>
        <w:pStyle w:val="HChG"/>
        <w:rPr>
          <w:lang w:eastAsia="en-US"/>
        </w:rPr>
      </w:pPr>
      <w:r w:rsidRPr="00C02421">
        <w:rPr>
          <w:lang w:eastAsia="en-US"/>
        </w:rPr>
        <w:tab/>
        <w:t>I.</w:t>
      </w:r>
      <w:r w:rsidRPr="00C02421">
        <w:rPr>
          <w:lang w:eastAsia="en-US"/>
        </w:rPr>
        <w:tab/>
        <w:t>Provisional agenda</w:t>
      </w:r>
    </w:p>
    <w:p w14:paraId="43A4CE1B" w14:textId="31D47592" w:rsidR="00C02421" w:rsidRDefault="00C02421" w:rsidP="00C02421">
      <w:pPr>
        <w:pStyle w:val="SingleTxtG"/>
        <w:rPr>
          <w:lang w:eastAsia="en-US"/>
        </w:rPr>
      </w:pPr>
      <w:r w:rsidRPr="00C02421">
        <w:rPr>
          <w:lang w:eastAsia="en-US"/>
        </w:rPr>
        <w:t>1.</w:t>
      </w:r>
      <w:r w:rsidRPr="00C02421">
        <w:rPr>
          <w:lang w:eastAsia="en-US"/>
        </w:rPr>
        <w:tab/>
        <w:t>Adoption of the agenda.</w:t>
      </w:r>
    </w:p>
    <w:p w14:paraId="5544BBB9" w14:textId="77777777" w:rsidR="00C02421" w:rsidRPr="00C02421" w:rsidRDefault="00C02421" w:rsidP="00C02421">
      <w:pPr>
        <w:pStyle w:val="SingleTxtG"/>
        <w:rPr>
          <w:lang w:eastAsia="en-US"/>
        </w:rPr>
      </w:pPr>
      <w:bookmarkStart w:id="1" w:name="_Hlk30092265"/>
      <w:r w:rsidRPr="00C02421">
        <w:rPr>
          <w:lang w:eastAsia="en-US"/>
        </w:rPr>
        <w:t>2.</w:t>
      </w:r>
      <w:r w:rsidRPr="00C02421">
        <w:rPr>
          <w:lang w:eastAsia="en-US"/>
        </w:rPr>
        <w:tab/>
        <w:t xml:space="preserve">Status of ratification. </w:t>
      </w:r>
    </w:p>
    <w:p w14:paraId="48E29C45" w14:textId="77777777" w:rsidR="00C02421" w:rsidRPr="00C02421" w:rsidRDefault="00C02421" w:rsidP="00C02421">
      <w:pPr>
        <w:pStyle w:val="SingleTxtG"/>
        <w:rPr>
          <w:lang w:eastAsia="en-US"/>
        </w:rPr>
      </w:pPr>
      <w:r w:rsidRPr="00C02421">
        <w:rPr>
          <w:lang w:eastAsia="en-US"/>
        </w:rPr>
        <w:t>3.</w:t>
      </w:r>
      <w:r w:rsidRPr="00C02421">
        <w:rPr>
          <w:lang w:eastAsia="en-US"/>
        </w:rPr>
        <w:tab/>
        <w:t>Financial arrangements.</w:t>
      </w:r>
    </w:p>
    <w:p w14:paraId="3891EAC5" w14:textId="27904E11" w:rsidR="00C02421" w:rsidRPr="00C02421" w:rsidRDefault="00C02421" w:rsidP="00C02421">
      <w:pPr>
        <w:pStyle w:val="SingleTxtG"/>
        <w:rPr>
          <w:lang w:eastAsia="en-US"/>
        </w:rPr>
      </w:pPr>
      <w:r w:rsidRPr="00C02421">
        <w:rPr>
          <w:lang w:eastAsia="en-US"/>
        </w:rPr>
        <w:t>4.</w:t>
      </w:r>
      <w:r w:rsidRPr="00C02421">
        <w:rPr>
          <w:lang w:eastAsia="en-US"/>
        </w:rPr>
        <w:tab/>
        <w:t>Preparations for the next sessions of the Meetings of the Parties:</w:t>
      </w:r>
    </w:p>
    <w:p w14:paraId="50E84A07" w14:textId="2019E8C3" w:rsidR="00C02421" w:rsidRPr="00C02421" w:rsidRDefault="00C02421" w:rsidP="00C02421">
      <w:pPr>
        <w:pStyle w:val="SingleTxtG"/>
        <w:ind w:firstLine="567"/>
        <w:rPr>
          <w:lang w:eastAsia="en-US"/>
        </w:rPr>
      </w:pPr>
      <w:r w:rsidRPr="00C02421">
        <w:rPr>
          <w:lang w:eastAsia="en-US"/>
        </w:rPr>
        <w:t>(a)</w:t>
      </w:r>
      <w:r w:rsidRPr="00C02421">
        <w:rPr>
          <w:lang w:eastAsia="en-US"/>
        </w:rPr>
        <w:tab/>
        <w:t xml:space="preserve">Practical arrangements; </w:t>
      </w:r>
    </w:p>
    <w:p w14:paraId="7A6CCCCD" w14:textId="79736511" w:rsidR="00C02421" w:rsidRPr="00C02421" w:rsidRDefault="00C02421" w:rsidP="00C02421">
      <w:pPr>
        <w:pStyle w:val="SingleTxtG"/>
        <w:ind w:firstLine="567"/>
        <w:rPr>
          <w:lang w:eastAsia="en-US"/>
        </w:rPr>
      </w:pPr>
      <w:r w:rsidRPr="00C02421">
        <w:rPr>
          <w:lang w:eastAsia="en-US"/>
        </w:rPr>
        <w:lastRenderedPageBreak/>
        <w:t>(b)</w:t>
      </w:r>
      <w:r w:rsidRPr="00C02421">
        <w:rPr>
          <w:lang w:eastAsia="en-US"/>
        </w:rPr>
        <w:tab/>
        <w:t>Provisional agenda;</w:t>
      </w:r>
    </w:p>
    <w:p w14:paraId="3AF9C1A5" w14:textId="5AF92540" w:rsidR="00C02421" w:rsidRPr="00C02421" w:rsidRDefault="00C02421" w:rsidP="00C02421">
      <w:pPr>
        <w:pStyle w:val="SingleTxtG"/>
        <w:ind w:firstLine="567"/>
        <w:rPr>
          <w:lang w:eastAsia="en-US"/>
        </w:rPr>
      </w:pPr>
      <w:bookmarkStart w:id="2" w:name="_Hlk29483741"/>
      <w:r w:rsidRPr="00C02421">
        <w:rPr>
          <w:lang w:eastAsia="en-US"/>
        </w:rPr>
        <w:t>(c)</w:t>
      </w:r>
      <w:r w:rsidRPr="00C02421">
        <w:rPr>
          <w:lang w:eastAsia="en-US"/>
        </w:rPr>
        <w:tab/>
        <w:t xml:space="preserve">Draft workplan </w:t>
      </w:r>
      <w:bookmarkStart w:id="3" w:name="_Hlk29569255"/>
      <w:r w:rsidRPr="00C02421">
        <w:rPr>
          <w:lang w:eastAsia="en-US"/>
        </w:rPr>
        <w:t>for 2024–202</w:t>
      </w:r>
      <w:bookmarkEnd w:id="3"/>
      <w:r w:rsidRPr="00C02421">
        <w:rPr>
          <w:lang w:eastAsia="en-US"/>
        </w:rPr>
        <w:t>6;</w:t>
      </w:r>
    </w:p>
    <w:p w14:paraId="1A86A372" w14:textId="2316EDA1" w:rsidR="00C02421" w:rsidRPr="00C02421" w:rsidRDefault="00C02421" w:rsidP="00C02421">
      <w:pPr>
        <w:pStyle w:val="SingleTxtG"/>
        <w:ind w:firstLine="567"/>
        <w:rPr>
          <w:lang w:eastAsia="en-US"/>
        </w:rPr>
      </w:pPr>
      <w:r w:rsidRPr="00C02421">
        <w:rPr>
          <w:lang w:eastAsia="en-US"/>
        </w:rPr>
        <w:t>(d)</w:t>
      </w:r>
      <w:r w:rsidRPr="00C02421">
        <w:rPr>
          <w:lang w:eastAsia="en-US"/>
        </w:rPr>
        <w:tab/>
        <w:t>Draft declaration</w:t>
      </w:r>
      <w:bookmarkEnd w:id="2"/>
      <w:r w:rsidRPr="00C02421">
        <w:rPr>
          <w:lang w:eastAsia="en-US"/>
        </w:rPr>
        <w:t>;</w:t>
      </w:r>
    </w:p>
    <w:p w14:paraId="3A391159" w14:textId="77777777" w:rsidR="00C02421" w:rsidRPr="00C02421" w:rsidRDefault="00C02421" w:rsidP="00C02421">
      <w:pPr>
        <w:pStyle w:val="SingleTxtG"/>
        <w:ind w:firstLine="567"/>
        <w:rPr>
          <w:lang w:eastAsia="en-US"/>
        </w:rPr>
      </w:pPr>
      <w:bookmarkStart w:id="4" w:name="_Hlk29483822"/>
      <w:r w:rsidRPr="00C02421">
        <w:rPr>
          <w:lang w:eastAsia="en-US"/>
        </w:rPr>
        <w:t>(e)</w:t>
      </w:r>
      <w:r w:rsidRPr="00C02421">
        <w:rPr>
          <w:lang w:eastAsia="en-US"/>
        </w:rPr>
        <w:tab/>
        <w:t>Chairs of the sessions;</w:t>
      </w:r>
    </w:p>
    <w:p w14:paraId="3A5B615E" w14:textId="77777777" w:rsidR="00C02421" w:rsidRPr="00C02421" w:rsidRDefault="00C02421" w:rsidP="00C02421">
      <w:pPr>
        <w:pStyle w:val="SingleTxtG"/>
        <w:ind w:firstLine="567"/>
        <w:rPr>
          <w:lang w:eastAsia="en-US"/>
        </w:rPr>
      </w:pPr>
      <w:bookmarkStart w:id="5" w:name="_Hlk29482161"/>
      <w:r w:rsidRPr="00C02421">
        <w:rPr>
          <w:lang w:eastAsia="en-US"/>
        </w:rPr>
        <w:t>(f)</w:t>
      </w:r>
      <w:r w:rsidRPr="00C02421">
        <w:rPr>
          <w:lang w:eastAsia="en-US"/>
        </w:rPr>
        <w:tab/>
        <w:t>Officers for the next intersessional period;</w:t>
      </w:r>
    </w:p>
    <w:bookmarkEnd w:id="5"/>
    <w:p w14:paraId="5EB32B6A" w14:textId="403BBF18" w:rsidR="00C02421" w:rsidRPr="00C02421" w:rsidRDefault="00C02421" w:rsidP="00C02421">
      <w:pPr>
        <w:pStyle w:val="SingleTxtG"/>
        <w:ind w:firstLine="567"/>
        <w:rPr>
          <w:lang w:eastAsia="en-US"/>
        </w:rPr>
      </w:pPr>
      <w:r w:rsidRPr="00C02421">
        <w:rPr>
          <w:lang w:eastAsia="en-US"/>
        </w:rPr>
        <w:t>(g)</w:t>
      </w:r>
      <w:r w:rsidRPr="00C02421">
        <w:rPr>
          <w:lang w:eastAsia="en-US"/>
        </w:rPr>
        <w:tab/>
        <w:t>Provisional schedule of meetings 2024–2026.</w:t>
      </w:r>
      <w:bookmarkEnd w:id="4"/>
    </w:p>
    <w:p w14:paraId="1A955A4D" w14:textId="4BB2CFFF" w:rsidR="00C02421" w:rsidRPr="00C02421" w:rsidRDefault="00C02421" w:rsidP="00C02421">
      <w:pPr>
        <w:pStyle w:val="SingleTxtG"/>
        <w:rPr>
          <w:lang w:eastAsia="en-US"/>
        </w:rPr>
      </w:pPr>
      <w:r w:rsidRPr="00C02421">
        <w:rPr>
          <w:lang w:eastAsia="en-US"/>
        </w:rPr>
        <w:t>5.</w:t>
      </w:r>
      <w:r w:rsidRPr="00C02421">
        <w:rPr>
          <w:lang w:eastAsia="en-US"/>
        </w:rPr>
        <w:tab/>
        <w:t>Compliance and implementation:</w:t>
      </w:r>
    </w:p>
    <w:p w14:paraId="6EB5F8D0" w14:textId="5987ACEA" w:rsidR="00C02421" w:rsidRPr="00C02421" w:rsidRDefault="00C02421" w:rsidP="00C02421">
      <w:pPr>
        <w:pStyle w:val="SingleTxtG"/>
        <w:ind w:firstLine="567"/>
        <w:rPr>
          <w:lang w:eastAsia="en-US"/>
        </w:rPr>
      </w:pPr>
      <w:r w:rsidRPr="00C02421">
        <w:rPr>
          <w:lang w:eastAsia="en-US"/>
        </w:rPr>
        <w:t>(a)</w:t>
      </w:r>
      <w:r w:rsidRPr="00C02421">
        <w:rPr>
          <w:lang w:eastAsia="en-US"/>
        </w:rPr>
        <w:tab/>
        <w:t>Review of compliance and related draft decisions;</w:t>
      </w:r>
    </w:p>
    <w:p w14:paraId="56173048" w14:textId="624C1F12" w:rsidR="00C02421" w:rsidRPr="00C02421" w:rsidRDefault="00C02421" w:rsidP="00C02421">
      <w:pPr>
        <w:pStyle w:val="SingleTxtG"/>
        <w:ind w:firstLine="567"/>
        <w:rPr>
          <w:lang w:eastAsia="en-US"/>
        </w:rPr>
      </w:pPr>
      <w:r w:rsidRPr="00C02421">
        <w:rPr>
          <w:lang w:eastAsia="en-US"/>
        </w:rPr>
        <w:t>(b)</w:t>
      </w:r>
      <w:r w:rsidRPr="00C02421">
        <w:rPr>
          <w:lang w:eastAsia="en-US"/>
        </w:rPr>
        <w:tab/>
        <w:t>Reporting and review of implementation;</w:t>
      </w:r>
    </w:p>
    <w:p w14:paraId="52A42993" w14:textId="42EDEE5B" w:rsidR="00C02421" w:rsidRPr="00C02421" w:rsidRDefault="00C02421" w:rsidP="00C02421">
      <w:pPr>
        <w:pStyle w:val="SingleTxtG"/>
        <w:ind w:firstLine="567"/>
        <w:rPr>
          <w:lang w:eastAsia="en-US"/>
        </w:rPr>
      </w:pPr>
      <w:r w:rsidRPr="00C02421">
        <w:rPr>
          <w:lang w:eastAsia="en-US"/>
        </w:rPr>
        <w:t>(c)</w:t>
      </w:r>
      <w:r w:rsidRPr="00C02421">
        <w:rPr>
          <w:lang w:eastAsia="en-US"/>
        </w:rPr>
        <w:tab/>
        <w:t>Legislative assistance.</w:t>
      </w:r>
    </w:p>
    <w:p w14:paraId="7EDBCA0F" w14:textId="77777777" w:rsidR="00C02421" w:rsidRPr="00C02421" w:rsidRDefault="00C02421" w:rsidP="00C02421">
      <w:pPr>
        <w:pStyle w:val="SingleTxtG"/>
        <w:rPr>
          <w:lang w:eastAsia="en-US"/>
        </w:rPr>
      </w:pPr>
      <w:r w:rsidRPr="00C02421">
        <w:rPr>
          <w:lang w:eastAsia="en-US"/>
        </w:rPr>
        <w:t>6.</w:t>
      </w:r>
      <w:r w:rsidRPr="00C02421">
        <w:rPr>
          <w:lang w:eastAsia="en-US"/>
        </w:rPr>
        <w:tab/>
        <w:t>Promoting practical application of the Convention and the Protocol:</w:t>
      </w:r>
    </w:p>
    <w:p w14:paraId="50E3A399" w14:textId="77777777" w:rsidR="00C02421" w:rsidRPr="00C02421" w:rsidRDefault="00C02421" w:rsidP="00C02421">
      <w:pPr>
        <w:pStyle w:val="SingleTxtG"/>
        <w:ind w:firstLine="567"/>
        <w:rPr>
          <w:lang w:eastAsia="en-US"/>
        </w:rPr>
      </w:pPr>
      <w:r w:rsidRPr="00C02421">
        <w:rPr>
          <w:lang w:eastAsia="en-US"/>
        </w:rPr>
        <w:t>(a)</w:t>
      </w:r>
      <w:r w:rsidRPr="00C02421">
        <w:rPr>
          <w:lang w:eastAsia="en-US"/>
        </w:rPr>
        <w:tab/>
        <w:t>Draft guidance on assessing health impacts in strategic environmental assessment;</w:t>
      </w:r>
    </w:p>
    <w:p w14:paraId="4808120D" w14:textId="75C3EBE0" w:rsidR="00C02421" w:rsidRPr="00C02421" w:rsidRDefault="00C02421" w:rsidP="00C02421">
      <w:pPr>
        <w:pStyle w:val="SingleTxtG"/>
        <w:ind w:firstLine="567"/>
        <w:rPr>
          <w:lang w:eastAsia="en-US"/>
        </w:rPr>
      </w:pPr>
      <w:r w:rsidRPr="00C02421">
        <w:rPr>
          <w:lang w:eastAsia="en-US"/>
        </w:rPr>
        <w:t>(b)</w:t>
      </w:r>
      <w:r w:rsidRPr="00C02421">
        <w:rPr>
          <w:lang w:eastAsia="en-US"/>
        </w:rPr>
        <w:tab/>
        <w:t>Subregional cooperation and capacity-building;</w:t>
      </w:r>
    </w:p>
    <w:p w14:paraId="78A96505" w14:textId="77777777" w:rsidR="00C02421" w:rsidRPr="00C02421" w:rsidRDefault="00C02421" w:rsidP="00C02421">
      <w:pPr>
        <w:pStyle w:val="SingleTxtG"/>
        <w:ind w:firstLine="567"/>
        <w:rPr>
          <w:lang w:eastAsia="en-US"/>
        </w:rPr>
      </w:pPr>
      <w:r w:rsidRPr="00C02421">
        <w:rPr>
          <w:lang w:eastAsia="en-US"/>
        </w:rPr>
        <w:t>(c)</w:t>
      </w:r>
      <w:r w:rsidRPr="00C02421">
        <w:rPr>
          <w:lang w:eastAsia="en-US"/>
        </w:rPr>
        <w:tab/>
        <w:t>Exchange of good practices;</w:t>
      </w:r>
    </w:p>
    <w:p w14:paraId="15956B07" w14:textId="77777777" w:rsidR="00C02421" w:rsidRPr="00C02421" w:rsidRDefault="00C02421" w:rsidP="00C02421">
      <w:pPr>
        <w:pStyle w:val="SingleTxtG"/>
        <w:ind w:firstLine="567"/>
        <w:rPr>
          <w:lang w:eastAsia="en-US"/>
        </w:rPr>
      </w:pPr>
      <w:r w:rsidRPr="00C02421">
        <w:rPr>
          <w:lang w:eastAsia="en-US"/>
        </w:rPr>
        <w:t>(d)</w:t>
      </w:r>
      <w:r w:rsidRPr="00C02421">
        <w:rPr>
          <w:lang w:eastAsia="en-US"/>
        </w:rPr>
        <w:tab/>
        <w:t>Capacity-building activities.</w:t>
      </w:r>
    </w:p>
    <w:p w14:paraId="2037A8E9" w14:textId="77777777" w:rsidR="00C02421" w:rsidRPr="00C02421" w:rsidRDefault="00C02421" w:rsidP="00C02421">
      <w:pPr>
        <w:pStyle w:val="SingleTxtG"/>
        <w:rPr>
          <w:lang w:eastAsia="en-US"/>
        </w:rPr>
      </w:pPr>
      <w:r w:rsidRPr="00C02421">
        <w:rPr>
          <w:lang w:eastAsia="en-US"/>
        </w:rPr>
        <w:t>7.</w:t>
      </w:r>
      <w:r w:rsidRPr="00C02421">
        <w:rPr>
          <w:lang w:eastAsia="en-US"/>
        </w:rPr>
        <w:tab/>
        <w:t>Management, coordination and visibility of intersessional activities.</w:t>
      </w:r>
    </w:p>
    <w:p w14:paraId="1257C36C" w14:textId="77777777" w:rsidR="00C02421" w:rsidRPr="00C02421" w:rsidRDefault="00C02421" w:rsidP="00C02421">
      <w:pPr>
        <w:pStyle w:val="SingleTxtG"/>
        <w:rPr>
          <w:lang w:eastAsia="en-US"/>
        </w:rPr>
      </w:pPr>
      <w:r w:rsidRPr="00C02421">
        <w:rPr>
          <w:lang w:eastAsia="en-US"/>
        </w:rPr>
        <w:t>8.</w:t>
      </w:r>
      <w:r w:rsidRPr="00C02421">
        <w:rPr>
          <w:lang w:eastAsia="en-US"/>
        </w:rPr>
        <w:tab/>
        <w:t>Related events.</w:t>
      </w:r>
    </w:p>
    <w:p w14:paraId="4BF0B25E" w14:textId="77777777" w:rsidR="00C02421" w:rsidRPr="00C02421" w:rsidRDefault="00C02421" w:rsidP="00C02421">
      <w:pPr>
        <w:pStyle w:val="SingleTxtG"/>
        <w:rPr>
          <w:lang w:eastAsia="en-US"/>
        </w:rPr>
      </w:pPr>
      <w:r w:rsidRPr="00C02421">
        <w:rPr>
          <w:lang w:eastAsia="en-US"/>
        </w:rPr>
        <w:t>9.</w:t>
      </w:r>
      <w:r w:rsidRPr="00C02421">
        <w:rPr>
          <w:lang w:eastAsia="en-US"/>
        </w:rPr>
        <w:tab/>
        <w:t>Other business.</w:t>
      </w:r>
    </w:p>
    <w:p w14:paraId="6BF79976" w14:textId="77777777" w:rsidR="00C02421" w:rsidRPr="00C02421" w:rsidRDefault="00C02421" w:rsidP="00C02421">
      <w:pPr>
        <w:pStyle w:val="SingleTxtG"/>
        <w:rPr>
          <w:lang w:eastAsia="en-US"/>
        </w:rPr>
      </w:pPr>
      <w:r w:rsidRPr="00C02421">
        <w:rPr>
          <w:lang w:eastAsia="en-US"/>
        </w:rPr>
        <w:t>10.</w:t>
      </w:r>
      <w:r w:rsidRPr="00C02421">
        <w:rPr>
          <w:lang w:eastAsia="en-US"/>
        </w:rPr>
        <w:tab/>
        <w:t>Presentation of the main decisions taken and closing of the meeting.</w:t>
      </w:r>
    </w:p>
    <w:bookmarkEnd w:id="1"/>
    <w:p w14:paraId="58B26323" w14:textId="0E526C39" w:rsidR="00C02421" w:rsidRPr="00C02421" w:rsidRDefault="00C02421" w:rsidP="00C02421">
      <w:pPr>
        <w:pStyle w:val="HChG"/>
        <w:rPr>
          <w:lang w:eastAsia="en-US"/>
        </w:rPr>
      </w:pPr>
      <w:r>
        <w:rPr>
          <w:lang w:eastAsia="en-US"/>
        </w:rPr>
        <w:tab/>
      </w:r>
      <w:r w:rsidRPr="00C02421">
        <w:rPr>
          <w:lang w:eastAsia="en-US"/>
        </w:rPr>
        <w:t>II.</w:t>
      </w:r>
      <w:r w:rsidRPr="00C02421">
        <w:rPr>
          <w:lang w:eastAsia="en-US"/>
        </w:rPr>
        <w:tab/>
        <w:t>Annotations to the provisional agenda</w:t>
      </w:r>
    </w:p>
    <w:p w14:paraId="4E920AE8" w14:textId="77777777" w:rsidR="00C02421" w:rsidRPr="00C02421" w:rsidRDefault="00C02421" w:rsidP="00C02421">
      <w:pPr>
        <w:pStyle w:val="H1G"/>
        <w:rPr>
          <w:lang w:eastAsia="en-US"/>
        </w:rPr>
      </w:pPr>
      <w:r w:rsidRPr="00C02421">
        <w:rPr>
          <w:lang w:eastAsia="en-US"/>
        </w:rPr>
        <w:tab/>
        <w:t>1.</w:t>
      </w:r>
      <w:r w:rsidRPr="00C02421">
        <w:rPr>
          <w:lang w:eastAsia="en-US"/>
        </w:rPr>
        <w:tab/>
        <w:t>Adoption of the agenda</w:t>
      </w:r>
    </w:p>
    <w:p w14:paraId="53B95446" w14:textId="77777777" w:rsidR="00C02421" w:rsidRPr="00C02421" w:rsidRDefault="00C02421" w:rsidP="00C02421">
      <w:pPr>
        <w:pStyle w:val="H4G"/>
        <w:rPr>
          <w:lang w:eastAsia="en-US"/>
        </w:rPr>
      </w:pPr>
      <w:r w:rsidRPr="00C02421">
        <w:rPr>
          <w:lang w:eastAsia="en-US"/>
        </w:rPr>
        <w:tab/>
      </w:r>
      <w:r w:rsidRPr="00C02421">
        <w:rPr>
          <w:lang w:eastAsia="en-US"/>
        </w:rPr>
        <w:tab/>
        <w:t xml:space="preserve">Tentative timing: </w:t>
      </w:r>
      <w:bookmarkStart w:id="6" w:name="_Hlk502853972"/>
      <w:r w:rsidRPr="00C02421">
        <w:rPr>
          <w:lang w:eastAsia="en-US"/>
        </w:rPr>
        <w:t xml:space="preserve">Tuesday, 13 </w:t>
      </w:r>
      <w:bookmarkEnd w:id="6"/>
      <w:r w:rsidRPr="00C02421">
        <w:rPr>
          <w:lang w:eastAsia="en-US"/>
        </w:rPr>
        <w:t>June, 10–10.15 a.m.</w:t>
      </w:r>
    </w:p>
    <w:p w14:paraId="07E2F426" w14:textId="520F5CDE" w:rsidR="00C02421" w:rsidRPr="00C02421" w:rsidRDefault="00C02421" w:rsidP="00C02421">
      <w:pPr>
        <w:pStyle w:val="SingleTxtG"/>
        <w:rPr>
          <w:lang w:eastAsia="en-US"/>
        </w:rPr>
      </w:pPr>
      <w:r w:rsidRPr="00C02421">
        <w:rPr>
          <w:lang w:eastAsia="en-US"/>
        </w:rPr>
        <w:t>1.</w:t>
      </w:r>
      <w:r w:rsidRPr="00C02421">
        <w:rPr>
          <w:lang w:eastAsia="en-US"/>
        </w:rPr>
        <w:tab/>
        <w:t>The Chair of the Working Group on Environmental Impact Assessment and Strategic Environmental Assessment under the Convention on Environmental Impact Assessment in a Transboundary Context (Espoo Convention) and its Protocol on Strategic Environmental Assessment will invite the Working Group to adopt the agenda for its twelfth meeting, as set out in the present document. The provisional agenda was prepared by the secretariat in agreement with the Bureau of the Meetings of the Parties to the two treaties.</w:t>
      </w:r>
      <w:r w:rsidRPr="00C02421">
        <w:rPr>
          <w:sz w:val="18"/>
          <w:vertAlign w:val="superscript"/>
          <w:lang w:eastAsia="en-US"/>
        </w:rPr>
        <w:footnoteReference w:id="3"/>
      </w:r>
    </w:p>
    <w:p w14:paraId="28BD0CCE" w14:textId="77777777" w:rsidR="00C02421" w:rsidRPr="00C02421" w:rsidRDefault="00C02421" w:rsidP="00C02421">
      <w:pPr>
        <w:pStyle w:val="H23G"/>
        <w:rPr>
          <w:lang w:eastAsia="en-US"/>
        </w:rPr>
      </w:pPr>
      <w:r w:rsidRPr="00C02421">
        <w:rPr>
          <w:lang w:eastAsia="en-US"/>
        </w:rPr>
        <w:tab/>
      </w:r>
      <w:r w:rsidRPr="00C02421">
        <w:rPr>
          <w:lang w:eastAsia="en-US"/>
        </w:rPr>
        <w:tab/>
        <w:t>Documentation</w:t>
      </w:r>
    </w:p>
    <w:p w14:paraId="77A0FABF" w14:textId="77777777" w:rsidR="00C02421" w:rsidRPr="00C02421" w:rsidRDefault="00C02421" w:rsidP="00C02421">
      <w:pPr>
        <w:pStyle w:val="SingleTxtG"/>
        <w:rPr>
          <w:lang w:eastAsia="en-US"/>
        </w:rPr>
      </w:pPr>
      <w:r w:rsidRPr="00C02421">
        <w:rPr>
          <w:lang w:eastAsia="en-US"/>
        </w:rPr>
        <w:t>Annotated provisional agenda for the twelfth meeting (ECE/MP.EIA/WG.2/2023/1)</w:t>
      </w:r>
    </w:p>
    <w:p w14:paraId="75C06F43" w14:textId="77777777" w:rsidR="00C02421" w:rsidRPr="00C02421" w:rsidRDefault="00C02421" w:rsidP="00C02421">
      <w:pPr>
        <w:pStyle w:val="H4G"/>
        <w:rPr>
          <w:lang w:eastAsia="en-US"/>
        </w:rPr>
      </w:pPr>
      <w:bookmarkStart w:id="7" w:name="_Hlk502918450"/>
      <w:r w:rsidRPr="00C02421">
        <w:rPr>
          <w:lang w:eastAsia="en-US"/>
        </w:rPr>
        <w:tab/>
      </w:r>
      <w:r w:rsidRPr="00C02421">
        <w:rPr>
          <w:lang w:eastAsia="en-US"/>
        </w:rPr>
        <w:tab/>
        <w:t>Informal document</w:t>
      </w:r>
    </w:p>
    <w:p w14:paraId="72796389" w14:textId="77777777" w:rsidR="00C02421" w:rsidRPr="00C02421" w:rsidRDefault="00C02421" w:rsidP="00C02421">
      <w:pPr>
        <w:pStyle w:val="SingleTxtG"/>
        <w:rPr>
          <w:lang w:eastAsia="en-US"/>
        </w:rPr>
      </w:pPr>
      <w:r w:rsidRPr="00C02421">
        <w:rPr>
          <w:lang w:eastAsia="en-US"/>
        </w:rPr>
        <w:t>Informal notes on the agenda (ECE/MP.EIA/WG.2/2023/INF.1)</w:t>
      </w:r>
    </w:p>
    <w:bookmarkEnd w:id="7"/>
    <w:p w14:paraId="35EC64E6" w14:textId="77777777" w:rsidR="00C02421" w:rsidRPr="00C02421" w:rsidRDefault="00C02421" w:rsidP="00C02421">
      <w:pPr>
        <w:pStyle w:val="H1G"/>
        <w:rPr>
          <w:lang w:eastAsia="en-US"/>
        </w:rPr>
      </w:pPr>
      <w:r w:rsidRPr="00C02421">
        <w:rPr>
          <w:lang w:eastAsia="en-US"/>
        </w:rPr>
        <w:lastRenderedPageBreak/>
        <w:tab/>
        <w:t>2.</w:t>
      </w:r>
      <w:r w:rsidRPr="00C02421">
        <w:rPr>
          <w:lang w:eastAsia="en-US"/>
        </w:rPr>
        <w:tab/>
      </w:r>
      <w:r w:rsidRPr="00C02421">
        <w:rPr>
          <w:lang w:eastAsia="en-US"/>
        </w:rPr>
        <w:tab/>
      </w:r>
      <w:r w:rsidRPr="00C02421">
        <w:t>Status</w:t>
      </w:r>
      <w:r w:rsidRPr="00C02421">
        <w:rPr>
          <w:lang w:eastAsia="en-US"/>
        </w:rPr>
        <w:t xml:space="preserve"> of ratification </w:t>
      </w:r>
    </w:p>
    <w:p w14:paraId="3D40F76C" w14:textId="3BD582C1" w:rsidR="00C02421" w:rsidRPr="00C02421" w:rsidRDefault="00C02421" w:rsidP="00C02421">
      <w:pPr>
        <w:pStyle w:val="H4G"/>
        <w:rPr>
          <w:lang w:eastAsia="en-US"/>
        </w:rPr>
      </w:pPr>
      <w:r>
        <w:rPr>
          <w:lang w:eastAsia="en-US"/>
        </w:rPr>
        <w:tab/>
      </w:r>
      <w:r>
        <w:rPr>
          <w:lang w:eastAsia="en-US"/>
        </w:rPr>
        <w:tab/>
      </w:r>
      <w:r w:rsidRPr="00C02421">
        <w:rPr>
          <w:lang w:eastAsia="en-US"/>
        </w:rPr>
        <w:t xml:space="preserve">Tentative timing: </w:t>
      </w:r>
      <w:bookmarkStart w:id="8" w:name="_Hlk30150423"/>
      <w:r w:rsidRPr="00C02421">
        <w:rPr>
          <w:lang w:eastAsia="en-US"/>
        </w:rPr>
        <w:t>Tuesday, 13 June, 10.15–10.45 a.m</w:t>
      </w:r>
      <w:bookmarkEnd w:id="8"/>
      <w:r w:rsidRPr="00C02421">
        <w:rPr>
          <w:lang w:eastAsia="en-US"/>
        </w:rPr>
        <w:t>.</w:t>
      </w:r>
    </w:p>
    <w:p w14:paraId="19D08FC7" w14:textId="77777777" w:rsidR="00C02421" w:rsidRPr="00C02421" w:rsidRDefault="00C02421" w:rsidP="00C02421">
      <w:pPr>
        <w:pStyle w:val="SingleTxtG"/>
        <w:rPr>
          <w:lang w:eastAsia="en-US"/>
        </w:rPr>
      </w:pPr>
      <w:r w:rsidRPr="00C02421">
        <w:rPr>
          <w:lang w:eastAsia="en-US"/>
        </w:rPr>
        <w:t>2.</w:t>
      </w:r>
      <w:r w:rsidRPr="00C02421">
        <w:rPr>
          <w:lang w:eastAsia="en-US"/>
        </w:rPr>
        <w:tab/>
        <w:t>The secretariat will report on the status of the Convention and its two amendments. The delegations of the following countries will be invited to report on the steps they have taken to complete the pending ratifications of the two amendments to the Convention and the Protocol by the end of the current sessions:</w:t>
      </w:r>
    </w:p>
    <w:p w14:paraId="71288355" w14:textId="77777777" w:rsidR="00C02421" w:rsidRPr="00C02421" w:rsidRDefault="00C02421" w:rsidP="00C02421">
      <w:pPr>
        <w:pStyle w:val="SingleTxtG"/>
        <w:ind w:firstLine="567"/>
        <w:rPr>
          <w:lang w:eastAsia="en-US"/>
        </w:rPr>
      </w:pPr>
      <w:r w:rsidRPr="00C02421">
        <w:rPr>
          <w:lang w:eastAsia="en-US"/>
        </w:rPr>
        <w:t>(a)</w:t>
      </w:r>
      <w:r w:rsidRPr="00C02421">
        <w:rPr>
          <w:lang w:eastAsia="en-US"/>
        </w:rPr>
        <w:tab/>
        <w:t xml:space="preserve"> Armenia, Belgium, North Macedonia and the United Kingdom of Great Britain and Northern Ireland regarding the 2001 amendment to the Convention, to allow for the global opening of the Convention;</w:t>
      </w:r>
    </w:p>
    <w:p w14:paraId="3A434B5F" w14:textId="77777777" w:rsidR="00C02421" w:rsidRPr="00C02421" w:rsidRDefault="00C02421" w:rsidP="00C02421">
      <w:pPr>
        <w:pStyle w:val="SingleTxtG"/>
        <w:ind w:firstLine="567"/>
        <w:rPr>
          <w:lang w:eastAsia="en-US"/>
        </w:rPr>
      </w:pPr>
      <w:r w:rsidRPr="00C02421">
        <w:rPr>
          <w:lang w:eastAsia="en-US"/>
        </w:rPr>
        <w:t>(b)</w:t>
      </w:r>
      <w:r w:rsidRPr="00C02421">
        <w:rPr>
          <w:lang w:eastAsia="en-US"/>
        </w:rPr>
        <w:tab/>
        <w:t>Armenia, Belarus, Bosnia and Herzegovina, Ireland, Kazakhstan, Kyrgyzstan, North Macedonia, and the United Kingdom of Great Britain and Northern Ireland regarding the 2004 amendment to the Convention, to ensure unified application of the Convention by all its Parties;</w:t>
      </w:r>
    </w:p>
    <w:p w14:paraId="42AF525B" w14:textId="77777777" w:rsidR="00C02421" w:rsidRPr="00C02421" w:rsidRDefault="00C02421" w:rsidP="00C02421">
      <w:pPr>
        <w:pStyle w:val="SingleTxtG"/>
        <w:ind w:firstLine="567"/>
        <w:rPr>
          <w:lang w:eastAsia="en-US"/>
        </w:rPr>
      </w:pPr>
      <w:r w:rsidRPr="00C02421">
        <w:rPr>
          <w:lang w:eastAsia="en-US"/>
        </w:rPr>
        <w:t>(c)</w:t>
      </w:r>
      <w:r w:rsidRPr="00C02421">
        <w:rPr>
          <w:lang w:eastAsia="en-US"/>
        </w:rPr>
        <w:tab/>
        <w:t xml:space="preserve">Belgium, France, Georgia, Greece, Ireland and the United Kingdom of Great Britain and Northern Ireland regarding the Protocol, as States signatories thereto.  </w:t>
      </w:r>
    </w:p>
    <w:p w14:paraId="5AF7348A" w14:textId="77777777" w:rsidR="00C02421" w:rsidRPr="00C02421" w:rsidRDefault="00C02421" w:rsidP="00C02421">
      <w:pPr>
        <w:pStyle w:val="SingleTxtG"/>
        <w:rPr>
          <w:lang w:eastAsia="en-US"/>
        </w:rPr>
      </w:pPr>
      <w:r w:rsidRPr="00C02421">
        <w:rPr>
          <w:lang w:eastAsia="en-US"/>
        </w:rPr>
        <w:t>3.</w:t>
      </w:r>
      <w:r w:rsidRPr="00C02421">
        <w:rPr>
          <w:lang w:eastAsia="en-US"/>
        </w:rPr>
        <w:tab/>
        <w:t xml:space="preserve">Other delegations will also be invited to report on their preparations for ratifications or accessions. In particular, the Chair will invite countries beneficiaries of technical assistance and capacity-building in Eastern Europe, the Caucasus and Central Asia to report on steps taken to accede to the Convention and/or the Protocol, as relevant. </w:t>
      </w:r>
    </w:p>
    <w:p w14:paraId="58A776E9" w14:textId="77777777" w:rsidR="00C02421" w:rsidRPr="00C02421" w:rsidRDefault="00C02421" w:rsidP="00C02421">
      <w:pPr>
        <w:pStyle w:val="SingleTxtG"/>
        <w:rPr>
          <w:lang w:eastAsia="en-US"/>
        </w:rPr>
      </w:pPr>
      <w:r w:rsidRPr="00C02421">
        <w:rPr>
          <w:lang w:eastAsia="en-US"/>
        </w:rPr>
        <w:t>4.</w:t>
      </w:r>
      <w:r w:rsidRPr="00C02421">
        <w:rPr>
          <w:lang w:eastAsia="en-US"/>
        </w:rPr>
        <w:tab/>
        <w:t>Romania, as the depository of the Multilateral agreement among the countries of South-Eastern Europe for implementation of the Convention on Environmental Impact Assessment in a Transboundary Context (Bucharest Agreement), will be expected to report on the status thereof. The States signatories Croatia and Greece will be invited to report on their plans to ratify the Bucharest Agreement, and Bosnia and Herzegovina on its plans to accede thereto.</w:t>
      </w:r>
    </w:p>
    <w:p w14:paraId="2B89AE40" w14:textId="1CFC0665" w:rsidR="00C02421" w:rsidRPr="00C02421" w:rsidRDefault="00C02421" w:rsidP="00C02421">
      <w:pPr>
        <w:pStyle w:val="SingleTxtG"/>
        <w:rPr>
          <w:lang w:eastAsia="en-US"/>
        </w:rPr>
      </w:pPr>
      <w:r w:rsidRPr="00C02421">
        <w:rPr>
          <w:lang w:eastAsia="en-US"/>
        </w:rPr>
        <w:t>5.</w:t>
      </w:r>
      <w:r w:rsidRPr="00C02421">
        <w:rPr>
          <w:lang w:eastAsia="en-US"/>
        </w:rPr>
        <w:tab/>
        <w:t>The Working Group is expected to consider the information and, as needed, invite the concerned Parties to complete their pending ratifications, as a matter of priority, for the first amendment, by the next sessions of the Meetings of the Parties to the Convention and the Protocol (Geneva, 12–15 December 2023), or failing that, to announce their firm commitment, with clear timelines, to completing their ratifications as soon as possible in the next intersessional period.</w:t>
      </w:r>
    </w:p>
    <w:p w14:paraId="5BEE8C6A" w14:textId="77777777" w:rsidR="00C02421" w:rsidRPr="00C02421" w:rsidRDefault="00C02421" w:rsidP="00C02421">
      <w:pPr>
        <w:pStyle w:val="H23G"/>
        <w:rPr>
          <w:lang w:eastAsia="en-US"/>
        </w:rPr>
      </w:pPr>
      <w:r w:rsidRPr="00C02421">
        <w:rPr>
          <w:i/>
          <w:iCs/>
          <w:lang w:eastAsia="en-US"/>
        </w:rPr>
        <w:tab/>
      </w:r>
      <w:r w:rsidRPr="00C02421">
        <w:rPr>
          <w:i/>
          <w:iCs/>
          <w:lang w:eastAsia="en-US"/>
        </w:rPr>
        <w:tab/>
      </w:r>
      <w:r w:rsidRPr="00C02421">
        <w:rPr>
          <w:lang w:eastAsia="en-US"/>
        </w:rPr>
        <w:t>Documentation</w:t>
      </w:r>
    </w:p>
    <w:p w14:paraId="698D9D11" w14:textId="77777777" w:rsidR="00C02421" w:rsidRPr="00C02421" w:rsidRDefault="00C02421" w:rsidP="00C02421">
      <w:pPr>
        <w:pStyle w:val="H4G"/>
        <w:rPr>
          <w:lang w:eastAsia="en-US"/>
        </w:rPr>
      </w:pPr>
      <w:r w:rsidRPr="00C02421">
        <w:rPr>
          <w:lang w:eastAsia="en-US"/>
        </w:rPr>
        <w:tab/>
      </w:r>
      <w:r w:rsidRPr="00C02421">
        <w:rPr>
          <w:lang w:eastAsia="en-US"/>
        </w:rPr>
        <w:tab/>
        <w:t>Informal document</w:t>
      </w:r>
    </w:p>
    <w:p w14:paraId="78CF77DA" w14:textId="77777777" w:rsidR="00C02421" w:rsidRPr="00C02421" w:rsidRDefault="00C02421" w:rsidP="00C02421">
      <w:pPr>
        <w:pStyle w:val="SingleTxtG"/>
        <w:rPr>
          <w:lang w:eastAsia="en-US"/>
        </w:rPr>
      </w:pPr>
      <w:bookmarkStart w:id="9" w:name="_Hlk502918490"/>
      <w:r w:rsidRPr="00C02421">
        <w:rPr>
          <w:lang w:eastAsia="en-US"/>
        </w:rPr>
        <w:t>Status of ratification of the Convention, its amendments and its Protocol (ECE/MP.EIA/WG.2/2023/INF.2)</w:t>
      </w:r>
      <w:bookmarkEnd w:id="9"/>
    </w:p>
    <w:p w14:paraId="60215791" w14:textId="0FCBC089" w:rsidR="00C02421" w:rsidRPr="00C02421" w:rsidRDefault="00C02421" w:rsidP="00C02421">
      <w:pPr>
        <w:pStyle w:val="H1G"/>
        <w:rPr>
          <w:lang w:eastAsia="en-US"/>
        </w:rPr>
      </w:pPr>
      <w:r>
        <w:rPr>
          <w:lang w:eastAsia="en-US"/>
        </w:rPr>
        <w:tab/>
      </w:r>
      <w:r w:rsidRPr="00C02421">
        <w:rPr>
          <w:lang w:eastAsia="en-US"/>
        </w:rPr>
        <w:t>3.</w:t>
      </w:r>
      <w:r w:rsidRPr="00C02421">
        <w:rPr>
          <w:lang w:eastAsia="en-US"/>
        </w:rPr>
        <w:tab/>
        <w:t>Financial arrangements</w:t>
      </w:r>
    </w:p>
    <w:p w14:paraId="7A2933C8" w14:textId="0B8E0FEF" w:rsidR="00C02421" w:rsidRPr="00C02421" w:rsidRDefault="00C02421" w:rsidP="00C02421">
      <w:pPr>
        <w:pStyle w:val="H4G"/>
        <w:rPr>
          <w:lang w:eastAsia="en-US"/>
        </w:rPr>
      </w:pPr>
      <w:r w:rsidRPr="00C02421">
        <w:rPr>
          <w:lang w:eastAsia="en-US"/>
        </w:rPr>
        <w:tab/>
      </w:r>
      <w:r w:rsidRPr="00C02421">
        <w:rPr>
          <w:lang w:eastAsia="en-US"/>
        </w:rPr>
        <w:tab/>
      </w:r>
      <w:bookmarkStart w:id="10" w:name="_Hlk30150570"/>
      <w:r w:rsidRPr="00C02421">
        <w:rPr>
          <w:lang w:eastAsia="en-US"/>
        </w:rPr>
        <w:t>Tentative timing: Tuesday, 13 June, 10.45 a.m.–12.30 p.m.</w:t>
      </w:r>
    </w:p>
    <w:bookmarkEnd w:id="10"/>
    <w:p w14:paraId="19B48542" w14:textId="77777777" w:rsidR="00C02421" w:rsidRPr="00C02421" w:rsidRDefault="00C02421" w:rsidP="00C02421">
      <w:pPr>
        <w:pStyle w:val="SingleTxtG"/>
        <w:rPr>
          <w:lang w:eastAsia="en-US"/>
        </w:rPr>
      </w:pPr>
      <w:r w:rsidRPr="00C02421">
        <w:rPr>
          <w:lang w:eastAsia="en-US"/>
        </w:rPr>
        <w:t>6.</w:t>
      </w:r>
      <w:r w:rsidRPr="00C02421">
        <w:rPr>
          <w:lang w:eastAsia="en-US"/>
        </w:rPr>
        <w:tab/>
        <w:t xml:space="preserve">The secretariat will report on the status of the Convention’s and Protocol’s trust fund. </w:t>
      </w:r>
      <w:bookmarkStart w:id="11" w:name="_Hlk17970056"/>
      <w:r w:rsidRPr="00C02421">
        <w:rPr>
          <w:lang w:eastAsia="en-US"/>
        </w:rPr>
        <w:t>Subsequently, the secretariat, in consultation with the Bureau, will prepare the financial report covering the period from after the eighth session of the Meetings of the Parties to the Convention and the fourth session of the Meetings of the Parties to the Protocol (Vilnius (online), 8–11 December 2020) until December 2023.</w:t>
      </w:r>
    </w:p>
    <w:p w14:paraId="3D68E35C" w14:textId="0027A93F" w:rsidR="00C02421" w:rsidRPr="00C02421" w:rsidRDefault="00C02421" w:rsidP="00C02421">
      <w:pPr>
        <w:pStyle w:val="SingleTxtG"/>
        <w:rPr>
          <w:lang w:eastAsia="en-US"/>
        </w:rPr>
      </w:pPr>
      <w:r w:rsidRPr="00C02421">
        <w:rPr>
          <w:lang w:eastAsia="en-US"/>
        </w:rPr>
        <w:t>7.</w:t>
      </w:r>
      <w:r w:rsidRPr="00C02421">
        <w:rPr>
          <w:lang w:eastAsia="en-US"/>
        </w:rPr>
        <w:tab/>
        <w:t xml:space="preserve">The secretariat will also present information on the contributions that Parties have pledged to the budget for the Convention and the Protocol in the period 2024–2026. The Working Group will be informed about the additional funding that Parties mobilized and committed as a response to the call to remedy the lack of secretariat resources for servicing the intergovernmental work under the Convention and the Protocol. Any delegation yet to inform the secretariat of its pledge is invited to do so by 15 May 2023. That information is </w:t>
      </w:r>
      <w:r w:rsidRPr="00C02421">
        <w:rPr>
          <w:lang w:eastAsia="en-US"/>
        </w:rPr>
        <w:lastRenderedPageBreak/>
        <w:t>required in order to ensure that the workplan for 2024–2026 to be agreed under item 4 (c) below will match the financial and staffing resources to be made available for its implementation.</w:t>
      </w:r>
    </w:p>
    <w:bookmarkEnd w:id="11"/>
    <w:p w14:paraId="7BE7049A" w14:textId="0C7BF602" w:rsidR="00C02421" w:rsidRPr="00C02421" w:rsidRDefault="00C02421" w:rsidP="00C02421">
      <w:pPr>
        <w:pStyle w:val="SingleTxtG"/>
        <w:rPr>
          <w:lang w:eastAsia="en-US"/>
        </w:rPr>
      </w:pPr>
      <w:r w:rsidRPr="00C02421">
        <w:rPr>
          <w:lang w:eastAsia="en-US"/>
        </w:rPr>
        <w:t>8.</w:t>
      </w:r>
      <w:r w:rsidRPr="00C02421">
        <w:rPr>
          <w:lang w:eastAsia="en-US"/>
        </w:rPr>
        <w:tab/>
        <w:t xml:space="preserve">The Working Group is invited to consider and agree on draft decision IX/1–V/1 on financial arrangements for </w:t>
      </w:r>
      <w:bookmarkStart w:id="12" w:name="_Hlk30156616"/>
      <w:r w:rsidRPr="00C02421">
        <w:rPr>
          <w:lang w:eastAsia="en-US"/>
        </w:rPr>
        <w:t>2024–202</w:t>
      </w:r>
      <w:bookmarkEnd w:id="12"/>
      <w:r w:rsidRPr="00C02421">
        <w:rPr>
          <w:lang w:eastAsia="en-US"/>
        </w:rPr>
        <w:t>6, to be forwarded to the next sessions of the Meetings of the Parties. The draft decision was prepared by the Bureau, with support from the secretariat, taking into account the comments from the Working Group at its last meeting (Geneva, 19–21 December 2022).</w:t>
      </w:r>
      <w:r w:rsidRPr="00C02421">
        <w:rPr>
          <w:color w:val="FF0000"/>
          <w:lang w:eastAsia="en-US"/>
        </w:rPr>
        <w:t xml:space="preserve"> </w:t>
      </w:r>
      <w:r w:rsidRPr="00C02421">
        <w:rPr>
          <w:lang w:eastAsia="en-US"/>
        </w:rPr>
        <w:t>The Working Group is expected to ensure that the draft decision addresses the general considerable shortage of contributions to the trust fund under the treaties and provides for a more sustainable, predictable and equitable funding during the next budget cycle and beyond.</w:t>
      </w:r>
    </w:p>
    <w:p w14:paraId="68A89362" w14:textId="1C9314D0" w:rsidR="00C02421" w:rsidRPr="00C02421" w:rsidRDefault="00C02421" w:rsidP="00C02421">
      <w:pPr>
        <w:pStyle w:val="H23G"/>
        <w:rPr>
          <w:lang w:eastAsia="en-US"/>
        </w:rPr>
      </w:pPr>
      <w:bookmarkStart w:id="13" w:name="_Hlk502943764"/>
      <w:r>
        <w:rPr>
          <w:lang w:eastAsia="en-US"/>
        </w:rPr>
        <w:tab/>
      </w:r>
      <w:r>
        <w:rPr>
          <w:lang w:eastAsia="en-US"/>
        </w:rPr>
        <w:tab/>
      </w:r>
      <w:r w:rsidRPr="00C02421">
        <w:rPr>
          <w:lang w:eastAsia="en-US"/>
        </w:rPr>
        <w:t>Documentation</w:t>
      </w:r>
    </w:p>
    <w:p w14:paraId="262B1828" w14:textId="5D6E773A" w:rsidR="00C02421" w:rsidRPr="00C02421" w:rsidRDefault="00C02421" w:rsidP="00C02421">
      <w:pPr>
        <w:pStyle w:val="SingleTxtG"/>
        <w:rPr>
          <w:lang w:eastAsia="en-US"/>
        </w:rPr>
      </w:pPr>
      <w:bookmarkStart w:id="14" w:name="_Hlk30158862"/>
      <w:bookmarkStart w:id="15" w:name="_Hlk17973811"/>
      <w:bookmarkEnd w:id="13"/>
      <w:r w:rsidRPr="00C02421">
        <w:rPr>
          <w:lang w:eastAsia="en-US"/>
        </w:rPr>
        <w:t>Draft joint decisions by the Meetings of the Parties to the Convention and the Protocol</w:t>
      </w:r>
      <w:r w:rsidRPr="00C02421">
        <w:rPr>
          <w:i/>
          <w:lang w:eastAsia="en-US"/>
        </w:rPr>
        <w:t xml:space="preserve"> </w:t>
      </w:r>
      <w:r w:rsidRPr="00C02421">
        <w:rPr>
          <w:lang w:eastAsia="en-US"/>
        </w:rPr>
        <w:t>(ECE/MP.EIA/WG.2/2023/3)</w:t>
      </w:r>
    </w:p>
    <w:bookmarkEnd w:id="14"/>
    <w:p w14:paraId="5E4A6C2E" w14:textId="77777777" w:rsidR="00C02421" w:rsidRPr="00C02421" w:rsidRDefault="00C02421" w:rsidP="00C02421">
      <w:pPr>
        <w:pStyle w:val="H4G"/>
        <w:rPr>
          <w:lang w:eastAsia="en-US"/>
        </w:rPr>
      </w:pPr>
      <w:r w:rsidRPr="00C02421">
        <w:rPr>
          <w:lang w:eastAsia="en-US"/>
        </w:rPr>
        <w:tab/>
      </w:r>
      <w:r w:rsidRPr="00C02421">
        <w:rPr>
          <w:lang w:eastAsia="en-US"/>
        </w:rPr>
        <w:tab/>
        <w:t>Informal document</w:t>
      </w:r>
    </w:p>
    <w:p w14:paraId="6824FCA5" w14:textId="77777777" w:rsidR="00C02421" w:rsidRPr="00C02421" w:rsidRDefault="00C02421" w:rsidP="00C02421">
      <w:pPr>
        <w:pStyle w:val="SingleTxtG"/>
        <w:rPr>
          <w:lang w:eastAsia="en-US"/>
        </w:rPr>
      </w:pPr>
      <w:bookmarkStart w:id="16" w:name="_Hlk31131274"/>
      <w:r w:rsidRPr="00C02421">
        <w:rPr>
          <w:lang w:val="en-US" w:eastAsia="en-US"/>
        </w:rPr>
        <w:t>Status of the trust fund</w:t>
      </w:r>
      <w:r w:rsidRPr="00C02421">
        <w:rPr>
          <w:lang w:eastAsia="en-US"/>
        </w:rPr>
        <w:t xml:space="preserve"> (ECE/MP.EIA/WG.2/2023/INF.3)</w:t>
      </w:r>
      <w:bookmarkEnd w:id="16"/>
    </w:p>
    <w:bookmarkEnd w:id="15"/>
    <w:p w14:paraId="7ABB775E" w14:textId="0E3C71A1" w:rsidR="00C02421" w:rsidRDefault="00C02421" w:rsidP="00956E75">
      <w:pPr>
        <w:pStyle w:val="H1G"/>
        <w:rPr>
          <w:lang w:eastAsia="en-US"/>
        </w:rPr>
      </w:pPr>
      <w:r w:rsidRPr="00C02421">
        <w:rPr>
          <w:lang w:eastAsia="en-US"/>
        </w:rPr>
        <w:tab/>
        <w:t>4.</w:t>
      </w:r>
      <w:r w:rsidRPr="00C02421">
        <w:rPr>
          <w:lang w:eastAsia="en-US"/>
        </w:rPr>
        <w:tab/>
        <w:t>Preparations for the next sessions of the Meetings of the Parties</w:t>
      </w:r>
    </w:p>
    <w:p w14:paraId="27BDF385" w14:textId="640602FD" w:rsidR="00C02421" w:rsidRPr="00C02421" w:rsidRDefault="00C02421" w:rsidP="00C02421">
      <w:pPr>
        <w:pStyle w:val="H23G"/>
        <w:rPr>
          <w:lang w:eastAsia="en-US"/>
        </w:rPr>
      </w:pPr>
      <w:r w:rsidRPr="00C02421">
        <w:rPr>
          <w:lang w:eastAsia="en-US"/>
        </w:rPr>
        <w:tab/>
        <w:t>(a)</w:t>
      </w:r>
      <w:r w:rsidRPr="00C02421">
        <w:rPr>
          <w:lang w:eastAsia="en-US"/>
        </w:rPr>
        <w:tab/>
        <w:t>Practical arrangements</w:t>
      </w:r>
    </w:p>
    <w:p w14:paraId="3D340E1B" w14:textId="77777777" w:rsidR="00C02421" w:rsidRPr="00C02421" w:rsidRDefault="00C02421" w:rsidP="00C02421">
      <w:pPr>
        <w:pStyle w:val="H4G"/>
        <w:rPr>
          <w:lang w:eastAsia="en-US"/>
        </w:rPr>
      </w:pPr>
      <w:r w:rsidRPr="00C02421">
        <w:rPr>
          <w:lang w:eastAsia="en-US"/>
        </w:rPr>
        <w:tab/>
      </w:r>
      <w:r w:rsidRPr="00C02421">
        <w:rPr>
          <w:lang w:eastAsia="en-US"/>
        </w:rPr>
        <w:tab/>
        <w:t>Tentative timing: Tuesday, 13 June, 12.30–1 p.m.</w:t>
      </w:r>
    </w:p>
    <w:p w14:paraId="61E330CF" w14:textId="55AD8278" w:rsidR="00C02421" w:rsidRPr="00C02421" w:rsidRDefault="00C02421" w:rsidP="00C02421">
      <w:pPr>
        <w:pStyle w:val="SingleTxtG"/>
        <w:rPr>
          <w:lang w:eastAsia="en-US"/>
        </w:rPr>
      </w:pPr>
      <w:r w:rsidRPr="00C02421">
        <w:rPr>
          <w:lang w:eastAsia="en-US"/>
        </w:rPr>
        <w:t>9.</w:t>
      </w:r>
      <w:r w:rsidRPr="00C02421">
        <w:rPr>
          <w:lang w:eastAsia="en-US"/>
        </w:rPr>
        <w:tab/>
        <w:t>The secretariat will provide an update on the practical preparations for the ninth session of the Meeting of the Parties to the Convention and the fifth session of the Meeting of the Parties to the Protocol (Geneva, 12–15 December 2023).</w:t>
      </w:r>
    </w:p>
    <w:p w14:paraId="5E6DBA85" w14:textId="29885463" w:rsidR="00C02421" w:rsidRPr="00C02421" w:rsidRDefault="00C02421" w:rsidP="00C02421">
      <w:pPr>
        <w:pStyle w:val="H23G"/>
        <w:rPr>
          <w:lang w:eastAsia="en-US"/>
        </w:rPr>
      </w:pPr>
      <w:r>
        <w:rPr>
          <w:lang w:eastAsia="en-US"/>
        </w:rPr>
        <w:tab/>
      </w:r>
      <w:r>
        <w:rPr>
          <w:lang w:eastAsia="en-US"/>
        </w:rPr>
        <w:tab/>
      </w:r>
      <w:r w:rsidRPr="00C02421">
        <w:rPr>
          <w:lang w:eastAsia="en-US"/>
        </w:rPr>
        <w:t>Documentation</w:t>
      </w:r>
    </w:p>
    <w:p w14:paraId="329958CF" w14:textId="040DDF3C" w:rsidR="00C02421" w:rsidRPr="00C02421" w:rsidRDefault="00C02421" w:rsidP="00C02421">
      <w:pPr>
        <w:pStyle w:val="H4G"/>
        <w:rPr>
          <w:lang w:eastAsia="en-US"/>
        </w:rPr>
      </w:pPr>
      <w:r>
        <w:rPr>
          <w:lang w:eastAsia="en-US"/>
        </w:rPr>
        <w:tab/>
      </w:r>
      <w:r>
        <w:rPr>
          <w:lang w:eastAsia="en-US"/>
        </w:rPr>
        <w:tab/>
      </w:r>
      <w:r w:rsidRPr="00C02421">
        <w:rPr>
          <w:lang w:eastAsia="en-US"/>
        </w:rPr>
        <w:t>Informal document</w:t>
      </w:r>
    </w:p>
    <w:p w14:paraId="3FF0CFFF" w14:textId="77777777" w:rsidR="00C02421" w:rsidRPr="00C02421" w:rsidRDefault="00C02421" w:rsidP="00C02421">
      <w:pPr>
        <w:pStyle w:val="SingleTxtG"/>
        <w:rPr>
          <w:lang w:eastAsia="en-US"/>
        </w:rPr>
      </w:pPr>
      <w:r w:rsidRPr="00C02421">
        <w:rPr>
          <w:lang w:eastAsia="en-US"/>
        </w:rPr>
        <w:t>Preparations for the next sessions of the Meetings of the Parties (ECE/MP.EIA/WG.2/2023/INF.4)</w:t>
      </w:r>
    </w:p>
    <w:p w14:paraId="7D4AE400" w14:textId="77777777" w:rsidR="00C02421" w:rsidRPr="00C02421" w:rsidRDefault="00C02421" w:rsidP="00C02421">
      <w:pPr>
        <w:pStyle w:val="H23G"/>
        <w:rPr>
          <w:lang w:eastAsia="en-US"/>
        </w:rPr>
      </w:pPr>
      <w:r w:rsidRPr="00C02421">
        <w:rPr>
          <w:lang w:eastAsia="en-US"/>
        </w:rPr>
        <w:tab/>
        <w:t>(b)</w:t>
      </w:r>
      <w:r w:rsidRPr="00C02421">
        <w:rPr>
          <w:lang w:eastAsia="en-US"/>
        </w:rPr>
        <w:tab/>
        <w:t>Provisional agenda</w:t>
      </w:r>
    </w:p>
    <w:p w14:paraId="3D19CBBC" w14:textId="77777777" w:rsidR="00C02421" w:rsidRPr="00C02421" w:rsidRDefault="00C02421" w:rsidP="00C02421">
      <w:pPr>
        <w:pStyle w:val="H4G"/>
        <w:rPr>
          <w:b/>
          <w:bCs/>
          <w:lang w:eastAsia="en-US"/>
        </w:rPr>
      </w:pPr>
      <w:r w:rsidRPr="00C02421">
        <w:rPr>
          <w:b/>
          <w:bCs/>
          <w:lang w:eastAsia="en-US"/>
        </w:rPr>
        <w:tab/>
      </w:r>
      <w:r w:rsidRPr="00C02421">
        <w:rPr>
          <w:b/>
          <w:bCs/>
          <w:lang w:eastAsia="en-US"/>
        </w:rPr>
        <w:tab/>
      </w:r>
      <w:r w:rsidRPr="00C02421">
        <w:rPr>
          <w:lang w:eastAsia="en-US"/>
        </w:rPr>
        <w:t>Tentative timing: Tuesday, 13 June, 3–4 p.m.</w:t>
      </w:r>
    </w:p>
    <w:p w14:paraId="21A9CF54" w14:textId="667717BC" w:rsidR="00C02421" w:rsidRPr="00C02421" w:rsidRDefault="00C02421" w:rsidP="00C02421">
      <w:pPr>
        <w:pStyle w:val="SingleTxtG"/>
        <w:rPr>
          <w:lang w:eastAsia="en-US"/>
        </w:rPr>
      </w:pPr>
      <w:r w:rsidRPr="00C02421">
        <w:rPr>
          <w:lang w:eastAsia="en-US"/>
        </w:rPr>
        <w:t>10.</w:t>
      </w:r>
      <w:r w:rsidRPr="00C02421">
        <w:rPr>
          <w:lang w:eastAsia="en-US"/>
        </w:rPr>
        <w:tab/>
        <w:t>The Working Group is expected to consider and agree on the provisional annotated agenda for the two sessions of the Meetings of the Parties, prepared by the Bureau, with support from the secretariat.</w:t>
      </w:r>
    </w:p>
    <w:p w14:paraId="0A838FCD" w14:textId="77777777" w:rsidR="00C02421" w:rsidRPr="00C02421" w:rsidRDefault="00C02421" w:rsidP="00C02421">
      <w:pPr>
        <w:pStyle w:val="SingleTxtG"/>
        <w:rPr>
          <w:lang w:eastAsia="en-US"/>
        </w:rPr>
      </w:pPr>
      <w:r w:rsidRPr="00C02421">
        <w:rPr>
          <w:lang w:eastAsia="en-US"/>
        </w:rPr>
        <w:t>11.</w:t>
      </w:r>
      <w:r w:rsidRPr="00C02421">
        <w:rPr>
          <w:lang w:eastAsia="en-US"/>
        </w:rPr>
        <w:tab/>
        <w:t>The Working Group will be invited to discuss and provide guidance on the organization of a thematic event focusing on energy transition, circular economy, and addressing also green financing, to be held during the sessions’ high-level segment, with funding from Italy, and with contributions proposed to date by Italy, Spain, the European Investment Bank, the International Association for Impact Assessment, the World Health Organization and Nuclear Transparency Watch. It will be invited to consider any recommendations from the Bureau and information from the secretariat regarding the organizational aspects of the event and the background material, to be prepared with support from consultants funded by Italy. Delegations are expected to consider key questions to be addressed, including with a view to attracting high-level participation. They are also invited to suggest panellists for the event, as well as high-level representatives to deliver brief statements from the floor, with a recommended time limit of 3 minutes. Related proposals should be submitted to the secretariat by 15 May 2023.</w:t>
      </w:r>
    </w:p>
    <w:p w14:paraId="74306D7B" w14:textId="6076B9DB" w:rsidR="00C02421" w:rsidRPr="00C02421" w:rsidRDefault="00C02421" w:rsidP="00C02421">
      <w:pPr>
        <w:pStyle w:val="H23G"/>
        <w:rPr>
          <w:lang w:eastAsia="en-US"/>
        </w:rPr>
      </w:pPr>
      <w:r>
        <w:rPr>
          <w:lang w:eastAsia="en-US"/>
        </w:rPr>
        <w:tab/>
      </w:r>
      <w:r>
        <w:rPr>
          <w:lang w:eastAsia="en-US"/>
        </w:rPr>
        <w:tab/>
      </w:r>
      <w:r w:rsidRPr="00C02421">
        <w:rPr>
          <w:lang w:eastAsia="en-US"/>
        </w:rPr>
        <w:t>Documentation</w:t>
      </w:r>
    </w:p>
    <w:p w14:paraId="00E508DD" w14:textId="2F1FE391" w:rsidR="00C02421" w:rsidRPr="00C02421" w:rsidRDefault="00C02421" w:rsidP="00C02421">
      <w:pPr>
        <w:pStyle w:val="H4G"/>
        <w:rPr>
          <w:lang w:eastAsia="en-US"/>
        </w:rPr>
      </w:pPr>
      <w:r>
        <w:rPr>
          <w:lang w:eastAsia="en-US"/>
        </w:rPr>
        <w:tab/>
      </w:r>
      <w:r>
        <w:rPr>
          <w:lang w:eastAsia="en-US"/>
        </w:rPr>
        <w:tab/>
      </w:r>
      <w:r w:rsidRPr="00C02421">
        <w:rPr>
          <w:lang w:eastAsia="en-US"/>
        </w:rPr>
        <w:t>Informal documents</w:t>
      </w:r>
    </w:p>
    <w:p w14:paraId="6D91BF74" w14:textId="77777777" w:rsidR="00C02421" w:rsidRPr="00C02421" w:rsidRDefault="00C02421" w:rsidP="00C02421">
      <w:pPr>
        <w:pStyle w:val="SingleTxtG"/>
        <w:rPr>
          <w:lang w:eastAsia="en-US"/>
        </w:rPr>
      </w:pPr>
      <w:r w:rsidRPr="00C02421">
        <w:rPr>
          <w:lang w:eastAsia="en-US"/>
        </w:rPr>
        <w:t>Provisional agenda for the ninth session of the Meeting of the Parties to the Convention and the fifth session of the Meeting of the Parties to the Protocol</w:t>
      </w:r>
      <w:r w:rsidRPr="00C02421">
        <w:rPr>
          <w:lang w:eastAsia="en-US"/>
        </w:rPr>
        <w:br/>
        <w:t>(ECE/MP.EIA/WG.2/2023/INF.5)</w:t>
      </w:r>
    </w:p>
    <w:p w14:paraId="0B6AB5B0" w14:textId="77777777" w:rsidR="00C02421" w:rsidRPr="00C02421" w:rsidRDefault="00C02421" w:rsidP="00C02421">
      <w:pPr>
        <w:pStyle w:val="SingleTxtG"/>
        <w:rPr>
          <w:lang w:eastAsia="en-US"/>
        </w:rPr>
      </w:pPr>
      <w:r w:rsidRPr="00C02421">
        <w:rPr>
          <w:lang w:eastAsia="en-US"/>
        </w:rPr>
        <w:t>Preparations for the high-level event on energy transition, circular economy and green financing (ECE/MP.EIA/WG.2/2023/INF.6)</w:t>
      </w:r>
    </w:p>
    <w:p w14:paraId="0F41AFE8" w14:textId="77777777" w:rsidR="00C02421" w:rsidRPr="00C02421" w:rsidRDefault="00C02421" w:rsidP="00C02421">
      <w:pPr>
        <w:pStyle w:val="H23G"/>
        <w:rPr>
          <w:lang w:eastAsia="en-US"/>
        </w:rPr>
      </w:pPr>
      <w:r w:rsidRPr="00C02421">
        <w:rPr>
          <w:lang w:eastAsia="en-US"/>
        </w:rPr>
        <w:tab/>
        <w:t>(c)</w:t>
      </w:r>
      <w:r w:rsidRPr="00C02421">
        <w:rPr>
          <w:lang w:eastAsia="en-US"/>
        </w:rPr>
        <w:tab/>
        <w:t xml:space="preserve">Draft workplan for </w:t>
      </w:r>
      <w:bookmarkStart w:id="17" w:name="_Hlk30158546"/>
      <w:r w:rsidRPr="00C02421">
        <w:rPr>
          <w:lang w:eastAsia="en-US"/>
        </w:rPr>
        <w:t>2024–2026</w:t>
      </w:r>
    </w:p>
    <w:p w14:paraId="66060F1A" w14:textId="333B7ECB" w:rsidR="00C02421" w:rsidRPr="00C02421" w:rsidRDefault="00C02421" w:rsidP="00C02421">
      <w:pPr>
        <w:pStyle w:val="H4G"/>
        <w:rPr>
          <w:b/>
          <w:bCs/>
          <w:lang w:eastAsia="en-US"/>
        </w:rPr>
      </w:pPr>
      <w:r w:rsidRPr="00C02421">
        <w:rPr>
          <w:b/>
          <w:bCs/>
          <w:lang w:eastAsia="en-US"/>
        </w:rPr>
        <w:tab/>
      </w:r>
      <w:r w:rsidRPr="00C02421">
        <w:rPr>
          <w:b/>
          <w:bCs/>
          <w:lang w:eastAsia="en-US"/>
        </w:rPr>
        <w:tab/>
      </w:r>
      <w:r w:rsidRPr="00C02421">
        <w:rPr>
          <w:lang w:eastAsia="en-US"/>
        </w:rPr>
        <w:t>Tentative timing: Tuesday, 13 June, 4–6 p.m.</w:t>
      </w:r>
    </w:p>
    <w:bookmarkEnd w:id="17"/>
    <w:p w14:paraId="117E3EA7" w14:textId="38AB8CFF" w:rsidR="00C02421" w:rsidRPr="00C02421" w:rsidRDefault="00C02421" w:rsidP="00C02421">
      <w:pPr>
        <w:pStyle w:val="SingleTxtG"/>
        <w:rPr>
          <w:lang w:eastAsia="en-US"/>
        </w:rPr>
      </w:pPr>
      <w:r w:rsidRPr="00C02421">
        <w:rPr>
          <w:lang w:eastAsia="en-US"/>
        </w:rPr>
        <w:t>12.</w:t>
      </w:r>
      <w:r w:rsidRPr="00C02421">
        <w:rPr>
          <w:lang w:eastAsia="en-US"/>
        </w:rPr>
        <w:tab/>
        <w:t>The Working Group will be invited to consider draft decision IX/2–V/2 on the adoption of the workplan for 2024–2026, as well as the proposed elements of the draft workplan and the corresponding resource requirements (contained in, respectively, annexes I and II to said draft decision). The draft decision and its annexes were prepared by the Bureau, with the support of the secretariat, taking into account the conclusions of the Working Group at its last meeting.</w:t>
      </w:r>
    </w:p>
    <w:p w14:paraId="3EAF2360" w14:textId="3044AFBE" w:rsidR="00C02421" w:rsidRDefault="00C02421" w:rsidP="00C02421">
      <w:pPr>
        <w:pStyle w:val="SingleTxtG"/>
        <w:rPr>
          <w:lang w:eastAsia="en-US"/>
        </w:rPr>
      </w:pPr>
      <w:r w:rsidRPr="00C02421">
        <w:rPr>
          <w:lang w:eastAsia="en-US"/>
        </w:rPr>
        <w:t>13.</w:t>
      </w:r>
      <w:r w:rsidRPr="00C02421">
        <w:rPr>
          <w:lang w:eastAsia="en-US"/>
        </w:rPr>
        <w:tab/>
        <w:t>Delegations will be invited to propose that they lead or sponsor activities and host events, and to submit their proposals to the secretariat by 15 May 2023. The Working Group is invited to verify that, for each activity in the workplan, information is provided on the entities responsible for implementation, the expected outcome and financial and staffing or in-kind resource requirements. It is expected to ensure that the workplan matches the resources available for its implementation, referring to its earlier discussions on the budget (see item 3 above) and the information on the Parties’ pledged contributions to the budget in 2024–2026. It is invited to agree on activities to be suspended or cut should the required additional resources not be secured.</w:t>
      </w:r>
    </w:p>
    <w:p w14:paraId="16A5E91F" w14:textId="284CE669" w:rsidR="00C02421" w:rsidRPr="00C02421" w:rsidRDefault="00C02421" w:rsidP="00C02421">
      <w:pPr>
        <w:pStyle w:val="SingleTxtG"/>
        <w:rPr>
          <w:lang w:eastAsia="en-US"/>
        </w:rPr>
      </w:pPr>
      <w:r w:rsidRPr="00C02421">
        <w:rPr>
          <w:lang w:eastAsia="en-US"/>
        </w:rPr>
        <w:t>14.</w:t>
      </w:r>
      <w:r w:rsidRPr="00C02421">
        <w:rPr>
          <w:lang w:eastAsia="en-US"/>
        </w:rPr>
        <w:tab/>
        <w:t>As relevant, the Working Group is expected to decide whether some activities should be placed on a waiting list pending identification of possible future funding and included in annex III to the above-mentioned draft decision.</w:t>
      </w:r>
    </w:p>
    <w:p w14:paraId="75ECFD36" w14:textId="77777777" w:rsidR="00C02421" w:rsidRPr="00C02421" w:rsidRDefault="00C02421" w:rsidP="00C02421">
      <w:pPr>
        <w:pStyle w:val="SingleTxtG"/>
        <w:rPr>
          <w:lang w:eastAsia="en-US"/>
        </w:rPr>
      </w:pPr>
      <w:r w:rsidRPr="00C02421">
        <w:rPr>
          <w:lang w:eastAsia="en-US"/>
        </w:rPr>
        <w:t>15.</w:t>
      </w:r>
      <w:r w:rsidRPr="00C02421">
        <w:rPr>
          <w:lang w:eastAsia="en-US"/>
        </w:rPr>
        <w:tab/>
        <w:t>The Working Group is expected to reach an agreement on the text of the draft decision and its annexes to be forwarded to the Meetings of the Parties.</w:t>
      </w:r>
    </w:p>
    <w:p w14:paraId="1FBAEE3D" w14:textId="6B17EC24" w:rsidR="00C02421" w:rsidRPr="00C02421" w:rsidRDefault="00C02421" w:rsidP="00C02421">
      <w:pPr>
        <w:pStyle w:val="H23G"/>
        <w:rPr>
          <w:lang w:eastAsia="en-US"/>
        </w:rPr>
      </w:pPr>
      <w:r>
        <w:rPr>
          <w:lang w:eastAsia="en-US"/>
        </w:rPr>
        <w:tab/>
      </w:r>
      <w:r>
        <w:rPr>
          <w:lang w:eastAsia="en-US"/>
        </w:rPr>
        <w:tab/>
      </w:r>
      <w:r w:rsidRPr="00C02421">
        <w:rPr>
          <w:lang w:eastAsia="en-US"/>
        </w:rPr>
        <w:t>Documentation</w:t>
      </w:r>
    </w:p>
    <w:p w14:paraId="61526A1B" w14:textId="3D4524F3" w:rsidR="00C02421" w:rsidRPr="00C02421" w:rsidRDefault="00C02421" w:rsidP="00C02421">
      <w:pPr>
        <w:pStyle w:val="SingleTxtG"/>
        <w:rPr>
          <w:lang w:eastAsia="en-US"/>
        </w:rPr>
      </w:pPr>
      <w:r w:rsidRPr="00C02421">
        <w:rPr>
          <w:lang w:eastAsia="en-US"/>
        </w:rPr>
        <w:t>Draft joint decisions by the Meetings of the Parties to the Convention and to the Protocol</w:t>
      </w:r>
      <w:r w:rsidRPr="00C02421">
        <w:rPr>
          <w:i/>
          <w:lang w:eastAsia="en-US"/>
        </w:rPr>
        <w:t xml:space="preserve"> </w:t>
      </w:r>
      <w:r w:rsidRPr="00C02421">
        <w:rPr>
          <w:lang w:eastAsia="en-US"/>
        </w:rPr>
        <w:t>(ECE/MP.EIA/WG.2/2023/3)</w:t>
      </w:r>
    </w:p>
    <w:p w14:paraId="4EE7074E" w14:textId="777AA916" w:rsidR="00C02421" w:rsidRPr="00C02421" w:rsidRDefault="00C02421" w:rsidP="00C02421">
      <w:pPr>
        <w:pStyle w:val="H23G"/>
        <w:rPr>
          <w:lang w:eastAsia="en-US"/>
        </w:rPr>
      </w:pPr>
      <w:r>
        <w:rPr>
          <w:lang w:eastAsia="en-US"/>
        </w:rPr>
        <w:tab/>
      </w:r>
      <w:r w:rsidRPr="00C02421">
        <w:rPr>
          <w:lang w:eastAsia="en-US"/>
        </w:rPr>
        <w:t>(d)</w:t>
      </w:r>
      <w:r w:rsidRPr="00C02421">
        <w:rPr>
          <w:lang w:eastAsia="en-US"/>
        </w:rPr>
        <w:tab/>
        <w:t>Draft declaration</w:t>
      </w:r>
    </w:p>
    <w:p w14:paraId="101024D7" w14:textId="613746F5" w:rsidR="00C02421" w:rsidRPr="00C02421" w:rsidRDefault="00C02421" w:rsidP="00C02421">
      <w:pPr>
        <w:pStyle w:val="H4G"/>
        <w:rPr>
          <w:b/>
          <w:bCs/>
          <w:lang w:eastAsia="en-US"/>
        </w:rPr>
      </w:pPr>
      <w:r w:rsidRPr="00C02421">
        <w:rPr>
          <w:b/>
          <w:bCs/>
          <w:lang w:eastAsia="en-US"/>
        </w:rPr>
        <w:tab/>
      </w:r>
      <w:r>
        <w:rPr>
          <w:b/>
          <w:bCs/>
          <w:lang w:eastAsia="en-US"/>
        </w:rPr>
        <w:tab/>
      </w:r>
      <w:r w:rsidRPr="00C02421">
        <w:rPr>
          <w:lang w:eastAsia="en-US"/>
        </w:rPr>
        <w:t>Tentative timing: Wednesday, 14 June, 10–11 a.m.</w:t>
      </w:r>
    </w:p>
    <w:p w14:paraId="5661F5FD" w14:textId="318EC985" w:rsidR="00C02421" w:rsidRPr="00C02421" w:rsidRDefault="00C02421" w:rsidP="00C02421">
      <w:pPr>
        <w:pStyle w:val="SingleTxtG"/>
        <w:rPr>
          <w:lang w:eastAsia="en-US"/>
        </w:rPr>
      </w:pPr>
      <w:r w:rsidRPr="00C02421">
        <w:rPr>
          <w:lang w:eastAsia="en-US"/>
        </w:rPr>
        <w:t>16.</w:t>
      </w:r>
      <w:r w:rsidRPr="00C02421">
        <w:rPr>
          <w:lang w:eastAsia="en-US"/>
        </w:rPr>
        <w:tab/>
        <w:t>The Working Group will be invited to review and agree on the text of the draft Geneva declaration to be forwarded to the Meetings of the Parties.</w:t>
      </w:r>
      <w:bookmarkStart w:id="18" w:name="_Hlk8832292"/>
    </w:p>
    <w:p w14:paraId="0726D95C" w14:textId="623F1804" w:rsidR="00C02421" w:rsidRPr="00C02421" w:rsidRDefault="00C02421" w:rsidP="00C02421">
      <w:pPr>
        <w:pStyle w:val="H23G"/>
        <w:rPr>
          <w:lang w:eastAsia="en-US"/>
        </w:rPr>
      </w:pPr>
      <w:r>
        <w:rPr>
          <w:lang w:eastAsia="en-US"/>
        </w:rPr>
        <w:tab/>
      </w:r>
      <w:r>
        <w:rPr>
          <w:lang w:eastAsia="en-US"/>
        </w:rPr>
        <w:tab/>
      </w:r>
      <w:r w:rsidRPr="00C02421">
        <w:rPr>
          <w:lang w:eastAsia="en-US"/>
        </w:rPr>
        <w:t>Documentation</w:t>
      </w:r>
    </w:p>
    <w:p w14:paraId="786D47DB" w14:textId="77777777" w:rsidR="00C02421" w:rsidRPr="00C02421" w:rsidRDefault="00C02421" w:rsidP="00C02421">
      <w:pPr>
        <w:pStyle w:val="SingleTxtG"/>
        <w:rPr>
          <w:lang w:eastAsia="en-US"/>
        </w:rPr>
      </w:pPr>
      <w:r w:rsidRPr="00C02421">
        <w:rPr>
          <w:lang w:eastAsia="en-US"/>
        </w:rPr>
        <w:t>Draft Geneva declaration (ECE/MP.EIA/WG.2/2023/4)</w:t>
      </w:r>
    </w:p>
    <w:p w14:paraId="78DF3B1C" w14:textId="77777777" w:rsidR="00C02421" w:rsidRPr="00C02421" w:rsidRDefault="00C02421" w:rsidP="00C02421">
      <w:pPr>
        <w:pStyle w:val="H23G"/>
        <w:rPr>
          <w:lang w:eastAsia="en-US"/>
        </w:rPr>
      </w:pPr>
      <w:r w:rsidRPr="00C02421">
        <w:rPr>
          <w:lang w:eastAsia="en-US"/>
        </w:rPr>
        <w:tab/>
        <w:t>(e)</w:t>
      </w:r>
      <w:r w:rsidRPr="00C02421">
        <w:rPr>
          <w:lang w:eastAsia="en-US"/>
        </w:rPr>
        <w:tab/>
        <w:t>Chairs of the sessions</w:t>
      </w:r>
    </w:p>
    <w:p w14:paraId="26EB89EC" w14:textId="77777777" w:rsidR="00C02421" w:rsidRPr="00C02421" w:rsidRDefault="00C02421" w:rsidP="00C02421">
      <w:pPr>
        <w:pStyle w:val="H4G"/>
        <w:rPr>
          <w:b/>
          <w:bCs/>
          <w:lang w:eastAsia="en-US"/>
        </w:rPr>
      </w:pPr>
      <w:r w:rsidRPr="00C02421">
        <w:rPr>
          <w:b/>
          <w:bCs/>
          <w:lang w:eastAsia="en-US"/>
        </w:rPr>
        <w:tab/>
      </w:r>
      <w:r w:rsidRPr="00C02421">
        <w:rPr>
          <w:b/>
          <w:bCs/>
          <w:lang w:eastAsia="en-US"/>
        </w:rPr>
        <w:tab/>
      </w:r>
      <w:r w:rsidRPr="00C02421">
        <w:rPr>
          <w:lang w:eastAsia="en-US"/>
        </w:rPr>
        <w:t>Tentative timing: Wednesday, 14 June, 11–11.30 a.m.</w:t>
      </w:r>
    </w:p>
    <w:p w14:paraId="3516FA2D" w14:textId="61587738" w:rsidR="00C02421" w:rsidRPr="00C02421" w:rsidRDefault="00C02421" w:rsidP="00C02421">
      <w:pPr>
        <w:pStyle w:val="SingleTxtG"/>
        <w:rPr>
          <w:lang w:eastAsia="en-US"/>
        </w:rPr>
      </w:pPr>
      <w:r w:rsidRPr="00C02421">
        <w:rPr>
          <w:lang w:eastAsia="en-US"/>
        </w:rPr>
        <w:t>17.</w:t>
      </w:r>
      <w:r w:rsidRPr="00C02421">
        <w:rPr>
          <w:lang w:eastAsia="en-US"/>
        </w:rPr>
        <w:tab/>
        <w:t xml:space="preserve">The Working Group may wish to welcome the proposed nomination of the Minister for the Ecological Transition and the Demographic Challenge of Spain, as a candidate for chairing the high-level segment of the Meetings of the Parties’ sessions, and of the Bureau Chair, Mr. George </w:t>
      </w:r>
      <w:proofErr w:type="spellStart"/>
      <w:r w:rsidRPr="00C02421">
        <w:rPr>
          <w:lang w:eastAsia="en-US"/>
        </w:rPr>
        <w:t>Kremlis</w:t>
      </w:r>
      <w:proofErr w:type="spellEnd"/>
      <w:r w:rsidRPr="00C02421">
        <w:rPr>
          <w:lang w:eastAsia="en-US"/>
        </w:rPr>
        <w:t xml:space="preserve"> (Greece), as a candidate for chairing the general segment of the sessions. It may also wish to welcome the availability of the Alternate Chair of the Bureau for Protocol matters, Ms. Vesna Kolar-</w:t>
      </w:r>
      <w:proofErr w:type="spellStart"/>
      <w:r w:rsidRPr="00C02421">
        <w:rPr>
          <w:lang w:eastAsia="en-US"/>
        </w:rPr>
        <w:t>Planinšič</w:t>
      </w:r>
      <w:proofErr w:type="spellEnd"/>
      <w:r w:rsidRPr="00C02421">
        <w:rPr>
          <w:lang w:eastAsia="en-US"/>
        </w:rPr>
        <w:t xml:space="preserve"> (Slovenia), to serve as a general segment co-Chair, should Greece not have ratified the Protocol in advance of the sessions.</w:t>
      </w:r>
    </w:p>
    <w:bookmarkEnd w:id="18"/>
    <w:p w14:paraId="053926CB" w14:textId="4DD5C98F" w:rsidR="00C02421" w:rsidRPr="00C02421" w:rsidRDefault="00C02421" w:rsidP="00C02421">
      <w:pPr>
        <w:pStyle w:val="H23G"/>
        <w:rPr>
          <w:lang w:eastAsia="en-US"/>
        </w:rPr>
      </w:pPr>
      <w:r w:rsidRPr="00C02421">
        <w:rPr>
          <w:lang w:eastAsia="en-US"/>
        </w:rPr>
        <w:tab/>
        <w:t>(f)</w:t>
      </w:r>
      <w:r w:rsidRPr="00C02421">
        <w:rPr>
          <w:lang w:eastAsia="en-US"/>
        </w:rPr>
        <w:tab/>
        <w:t>Officers for the next intersessional period</w:t>
      </w:r>
    </w:p>
    <w:p w14:paraId="7C91FBFB" w14:textId="77777777" w:rsidR="00C02421" w:rsidRPr="00C02421" w:rsidRDefault="00C02421" w:rsidP="00C02421">
      <w:pPr>
        <w:pStyle w:val="H4G"/>
        <w:rPr>
          <w:b/>
          <w:bCs/>
          <w:lang w:eastAsia="en-US"/>
        </w:rPr>
      </w:pPr>
      <w:r w:rsidRPr="00C02421">
        <w:rPr>
          <w:b/>
          <w:bCs/>
          <w:lang w:eastAsia="en-US"/>
        </w:rPr>
        <w:tab/>
      </w:r>
      <w:r w:rsidRPr="00C02421">
        <w:rPr>
          <w:b/>
          <w:bCs/>
          <w:lang w:eastAsia="en-US"/>
        </w:rPr>
        <w:tab/>
      </w:r>
      <w:r w:rsidRPr="00C02421">
        <w:rPr>
          <w:lang w:eastAsia="en-US"/>
        </w:rPr>
        <w:t>Tentative timing: Wednesday, 14 June, 11.30–11.45 a.m.</w:t>
      </w:r>
    </w:p>
    <w:p w14:paraId="077CBBE8" w14:textId="77777777" w:rsidR="00C02421" w:rsidRPr="00C02421" w:rsidRDefault="00C02421" w:rsidP="00C02421">
      <w:pPr>
        <w:pStyle w:val="SingleTxtG"/>
        <w:rPr>
          <w:lang w:eastAsia="en-US"/>
        </w:rPr>
      </w:pPr>
      <w:r w:rsidRPr="00C02421">
        <w:rPr>
          <w:lang w:eastAsia="en-US"/>
        </w:rPr>
        <w:t>18.</w:t>
      </w:r>
      <w:r w:rsidRPr="00C02421">
        <w:rPr>
          <w:lang w:eastAsia="en-US"/>
        </w:rPr>
        <w:tab/>
        <w:t>The Chair will ask delegations that have not yet done so to submit or to confirm to the secretariat, by 15 May 2023, nominations for officers to be elected for the next intersessional period, that is to say, one or more Vice-Chairs of the Working Group and one or more members of the Bureau and four (permanent and alternate) members of the Implementation Committee. Additional new members of the Implementation Committee may need to be nominated depending on whether Committee members are Parties to the Protocol. Parties that have never or not recently been represented in the treaty bodies will be encouraged to consider taking on that role.</w:t>
      </w:r>
    </w:p>
    <w:p w14:paraId="5741602A" w14:textId="75E25BCE" w:rsidR="00C02421" w:rsidRPr="00C02421" w:rsidRDefault="00C02421" w:rsidP="00C02421">
      <w:pPr>
        <w:pStyle w:val="H23G"/>
        <w:rPr>
          <w:lang w:eastAsia="en-US"/>
        </w:rPr>
      </w:pPr>
      <w:r>
        <w:rPr>
          <w:lang w:eastAsia="en-US"/>
        </w:rPr>
        <w:tab/>
      </w:r>
      <w:r>
        <w:rPr>
          <w:lang w:eastAsia="en-US"/>
        </w:rPr>
        <w:tab/>
      </w:r>
      <w:r w:rsidRPr="00C02421">
        <w:rPr>
          <w:lang w:eastAsia="en-US"/>
        </w:rPr>
        <w:t>Documentation</w:t>
      </w:r>
    </w:p>
    <w:p w14:paraId="0212FD88" w14:textId="7D5C2C9C" w:rsidR="00C02421" w:rsidRPr="00C02421" w:rsidRDefault="00C02421" w:rsidP="00C02421">
      <w:pPr>
        <w:pStyle w:val="H4G"/>
        <w:rPr>
          <w:lang w:eastAsia="en-US"/>
        </w:rPr>
      </w:pPr>
      <w:r>
        <w:rPr>
          <w:lang w:eastAsia="en-US"/>
        </w:rPr>
        <w:tab/>
      </w:r>
      <w:r>
        <w:rPr>
          <w:lang w:eastAsia="en-US"/>
        </w:rPr>
        <w:tab/>
      </w:r>
      <w:r w:rsidRPr="00C02421">
        <w:rPr>
          <w:lang w:eastAsia="en-US"/>
        </w:rPr>
        <w:t>Informal document</w:t>
      </w:r>
    </w:p>
    <w:p w14:paraId="5616D993" w14:textId="2D950ED1" w:rsidR="00C02421" w:rsidRDefault="00C02421" w:rsidP="00C02421">
      <w:pPr>
        <w:pStyle w:val="SingleTxtG"/>
        <w:rPr>
          <w:lang w:eastAsia="en-US"/>
        </w:rPr>
      </w:pPr>
      <w:r w:rsidRPr="00C02421">
        <w:rPr>
          <w:lang w:eastAsia="en-US"/>
        </w:rPr>
        <w:t>A list of vacancies in the treaty bodies for 2024–2026 (ECE/MP.EIA/WG.2/2023/INF.7)</w:t>
      </w:r>
    </w:p>
    <w:p w14:paraId="4BA03695" w14:textId="5EDA7268" w:rsidR="003236FA" w:rsidRPr="003236FA" w:rsidRDefault="003236FA" w:rsidP="003236FA">
      <w:pPr>
        <w:pStyle w:val="H23G"/>
        <w:rPr>
          <w:lang w:eastAsia="en-US"/>
        </w:rPr>
      </w:pPr>
      <w:r>
        <w:rPr>
          <w:lang w:eastAsia="en-US"/>
        </w:rPr>
        <w:tab/>
      </w:r>
      <w:r w:rsidRPr="003236FA">
        <w:rPr>
          <w:lang w:eastAsia="en-US"/>
        </w:rPr>
        <w:t>(g)</w:t>
      </w:r>
      <w:r w:rsidRPr="003236FA">
        <w:rPr>
          <w:lang w:eastAsia="en-US"/>
        </w:rPr>
        <w:tab/>
        <w:t>Provisional schedule of meetings 2024–2026</w:t>
      </w:r>
    </w:p>
    <w:p w14:paraId="5C5ABCE8" w14:textId="5C6B3A04" w:rsidR="003236FA" w:rsidRPr="003236FA" w:rsidRDefault="003236FA" w:rsidP="003236FA">
      <w:pPr>
        <w:pStyle w:val="H4G"/>
        <w:rPr>
          <w:b/>
          <w:bCs/>
          <w:lang w:eastAsia="en-US"/>
        </w:rPr>
      </w:pPr>
      <w:r w:rsidRPr="003236FA">
        <w:rPr>
          <w:b/>
          <w:bCs/>
          <w:lang w:eastAsia="en-US"/>
        </w:rPr>
        <w:tab/>
      </w:r>
      <w:r>
        <w:rPr>
          <w:b/>
          <w:bCs/>
          <w:lang w:eastAsia="en-US"/>
        </w:rPr>
        <w:tab/>
      </w:r>
      <w:r w:rsidRPr="003236FA">
        <w:rPr>
          <w:lang w:eastAsia="en-US"/>
        </w:rPr>
        <w:t>Tentative timing: Wednesday, 14 June, 11.45 a.m.–noon</w:t>
      </w:r>
    </w:p>
    <w:p w14:paraId="200DF4C3" w14:textId="3D4A73A6" w:rsidR="003236FA" w:rsidRPr="003236FA" w:rsidRDefault="003236FA" w:rsidP="003236FA">
      <w:pPr>
        <w:pStyle w:val="SingleTxtG"/>
        <w:rPr>
          <w:lang w:eastAsia="en-US"/>
        </w:rPr>
      </w:pPr>
      <w:r w:rsidRPr="003236FA">
        <w:rPr>
          <w:lang w:eastAsia="en-US"/>
        </w:rPr>
        <w:t>19.</w:t>
      </w:r>
      <w:r w:rsidRPr="003236FA">
        <w:rPr>
          <w:lang w:eastAsia="en-US"/>
        </w:rPr>
        <w:tab/>
        <w:t>The Working Group is invited to consider a provisional schedule of meetings of the treaty bodies in the next intersessional period, which is expected to extend from January 2024 to December 2026.</w:t>
      </w:r>
    </w:p>
    <w:p w14:paraId="5273A692" w14:textId="477A12F4" w:rsidR="003236FA" w:rsidRPr="003236FA" w:rsidRDefault="003236FA" w:rsidP="003236FA">
      <w:pPr>
        <w:pStyle w:val="H23G"/>
        <w:rPr>
          <w:lang w:eastAsia="en-US"/>
        </w:rPr>
      </w:pPr>
      <w:bookmarkStart w:id="19" w:name="_Hlk503365047"/>
      <w:r w:rsidRPr="003236FA">
        <w:rPr>
          <w:lang w:eastAsia="en-US"/>
        </w:rPr>
        <w:tab/>
      </w:r>
      <w:r w:rsidRPr="003236FA">
        <w:rPr>
          <w:lang w:eastAsia="en-US"/>
        </w:rPr>
        <w:tab/>
        <w:t>Documentation</w:t>
      </w:r>
    </w:p>
    <w:p w14:paraId="39C9FEB0" w14:textId="77777777" w:rsidR="003236FA" w:rsidRPr="003236FA" w:rsidRDefault="003236FA" w:rsidP="003236FA">
      <w:pPr>
        <w:pStyle w:val="H4G"/>
        <w:rPr>
          <w:lang w:eastAsia="en-US"/>
        </w:rPr>
      </w:pPr>
      <w:r w:rsidRPr="003236FA">
        <w:rPr>
          <w:iCs/>
          <w:lang w:eastAsia="en-US"/>
        </w:rPr>
        <w:tab/>
      </w:r>
      <w:r w:rsidRPr="003236FA">
        <w:rPr>
          <w:iCs/>
          <w:lang w:eastAsia="en-US"/>
        </w:rPr>
        <w:tab/>
      </w:r>
      <w:bookmarkStart w:id="20" w:name="_Hlk127864730"/>
      <w:r w:rsidRPr="003236FA">
        <w:rPr>
          <w:iCs/>
          <w:lang w:eastAsia="en-US"/>
        </w:rPr>
        <w:tab/>
      </w:r>
      <w:bookmarkStart w:id="21" w:name="_Hlk503362570"/>
      <w:bookmarkEnd w:id="19"/>
      <w:bookmarkEnd w:id="20"/>
      <w:r w:rsidRPr="003236FA">
        <w:rPr>
          <w:lang w:eastAsia="en-US"/>
        </w:rPr>
        <w:t>Informal document</w:t>
      </w:r>
    </w:p>
    <w:p w14:paraId="153C8300" w14:textId="77777777" w:rsidR="003236FA" w:rsidRPr="003236FA" w:rsidRDefault="003236FA" w:rsidP="003236FA">
      <w:pPr>
        <w:pStyle w:val="SingleTxtG"/>
        <w:rPr>
          <w:lang w:eastAsia="en-US"/>
        </w:rPr>
      </w:pPr>
      <w:bookmarkStart w:id="22" w:name="_Hlk127812438"/>
      <w:bookmarkEnd w:id="21"/>
      <w:r w:rsidRPr="003236FA">
        <w:rPr>
          <w:lang w:eastAsia="en-US"/>
        </w:rPr>
        <w:t xml:space="preserve">Provisional schedule of meetings </w:t>
      </w:r>
      <w:bookmarkStart w:id="23" w:name="_Hlk30161845"/>
      <w:r w:rsidRPr="003236FA">
        <w:rPr>
          <w:lang w:eastAsia="en-US"/>
        </w:rPr>
        <w:t xml:space="preserve">2024–2026 </w:t>
      </w:r>
      <w:bookmarkEnd w:id="23"/>
      <w:r w:rsidRPr="003236FA">
        <w:rPr>
          <w:lang w:eastAsia="en-US"/>
        </w:rPr>
        <w:t>(ECE/MP.EIA/WG.2/2023/INF.8)</w:t>
      </w:r>
    </w:p>
    <w:bookmarkEnd w:id="22"/>
    <w:p w14:paraId="4D7A6167" w14:textId="6C4382A4" w:rsidR="003236FA" w:rsidRPr="003236FA" w:rsidRDefault="003236FA" w:rsidP="003236FA">
      <w:pPr>
        <w:pStyle w:val="H1G"/>
        <w:rPr>
          <w:lang w:eastAsia="en-US"/>
        </w:rPr>
      </w:pPr>
      <w:r w:rsidRPr="003236FA">
        <w:rPr>
          <w:lang w:eastAsia="en-US"/>
        </w:rPr>
        <w:tab/>
        <w:t>5.</w:t>
      </w:r>
      <w:r w:rsidRPr="003236FA">
        <w:rPr>
          <w:lang w:eastAsia="en-US"/>
        </w:rPr>
        <w:tab/>
        <w:t>Compliance and implementation</w:t>
      </w:r>
    </w:p>
    <w:p w14:paraId="6AF7946B" w14:textId="77777777" w:rsidR="003236FA" w:rsidRPr="003236FA" w:rsidRDefault="003236FA" w:rsidP="003236FA">
      <w:pPr>
        <w:pStyle w:val="H23G"/>
        <w:rPr>
          <w:lang w:eastAsia="en-US"/>
        </w:rPr>
      </w:pPr>
      <w:r w:rsidRPr="003236FA">
        <w:rPr>
          <w:i/>
          <w:lang w:eastAsia="en-US"/>
        </w:rPr>
        <w:tab/>
      </w:r>
      <w:r w:rsidRPr="003236FA">
        <w:rPr>
          <w:lang w:eastAsia="en-US"/>
        </w:rPr>
        <w:t>(a)</w:t>
      </w:r>
      <w:r w:rsidRPr="003236FA">
        <w:rPr>
          <w:lang w:eastAsia="en-US"/>
        </w:rPr>
        <w:tab/>
        <w:t>Review of compliance and related draft decisions</w:t>
      </w:r>
    </w:p>
    <w:p w14:paraId="3705AB35" w14:textId="77777777" w:rsidR="003236FA" w:rsidRPr="003236FA" w:rsidRDefault="003236FA" w:rsidP="003236FA">
      <w:pPr>
        <w:pStyle w:val="H4G"/>
        <w:rPr>
          <w:lang w:eastAsia="en-US"/>
        </w:rPr>
      </w:pPr>
      <w:r w:rsidRPr="003236FA">
        <w:rPr>
          <w:b/>
          <w:bCs/>
          <w:lang w:eastAsia="en-US"/>
        </w:rPr>
        <w:tab/>
      </w:r>
      <w:r w:rsidRPr="003236FA">
        <w:rPr>
          <w:b/>
          <w:bCs/>
          <w:lang w:eastAsia="en-US"/>
        </w:rPr>
        <w:tab/>
      </w:r>
      <w:r w:rsidRPr="003236FA">
        <w:rPr>
          <w:lang w:eastAsia="en-US"/>
        </w:rPr>
        <w:t>Tentative timing: Wednesday, 14 June, noon–1 p.m. and 3–4 p.m.</w:t>
      </w:r>
    </w:p>
    <w:p w14:paraId="6F85DE1A" w14:textId="77777777" w:rsidR="003236FA" w:rsidRPr="003236FA" w:rsidRDefault="003236FA" w:rsidP="003236FA">
      <w:pPr>
        <w:pStyle w:val="SingleTxtG"/>
        <w:rPr>
          <w:lang w:eastAsia="en-US"/>
        </w:rPr>
      </w:pPr>
      <w:r w:rsidRPr="003236FA">
        <w:rPr>
          <w:lang w:eastAsia="en-US"/>
        </w:rPr>
        <w:t>20.</w:t>
      </w:r>
      <w:r w:rsidRPr="003236FA">
        <w:rPr>
          <w:lang w:eastAsia="en-US"/>
        </w:rPr>
        <w:tab/>
        <w:t>The Chair of the Implementation Committee is expected to present the main outcomes of the Committee’s fifty-sixth session (Geneva, 2–5 May 2023) and the main objectives of its fifty-seventh session (Geneva, 29 August–1 September 2023). Specifically, he, and, where relevant, the Vice-Chair of the Committee, will present initial draft decisions on compliance with the Convention and the Protocol, including amendment proposals to the Committee’s structure and functions and operating rules.</w:t>
      </w:r>
      <w:r w:rsidRPr="003236FA">
        <w:rPr>
          <w:sz w:val="18"/>
          <w:vertAlign w:val="superscript"/>
          <w:lang w:eastAsia="en-US"/>
        </w:rPr>
        <w:footnoteReference w:id="4"/>
      </w:r>
      <w:r w:rsidRPr="003236FA">
        <w:rPr>
          <w:lang w:eastAsia="en-US"/>
        </w:rPr>
        <w:t xml:space="preserve"> Delegations may wish to comment on the drafts both orally, during the session, and in writing, before, during and shortly after the meeting of the Working Group. The Committee will then finalize the draft decisions at its fifty-seventh session, considering, as relevant, the comments and any other information received, prior to forwarding the draft decisions to the Meetings of the Parties at their next sessions.</w:t>
      </w:r>
    </w:p>
    <w:p w14:paraId="7DA68114" w14:textId="14BB941E" w:rsidR="003236FA" w:rsidRPr="003236FA" w:rsidRDefault="003236FA" w:rsidP="003236FA">
      <w:pPr>
        <w:pStyle w:val="H23G"/>
        <w:rPr>
          <w:lang w:eastAsia="en-US"/>
        </w:rPr>
      </w:pPr>
      <w:r w:rsidRPr="003236FA">
        <w:rPr>
          <w:lang w:eastAsia="en-US"/>
        </w:rPr>
        <w:tab/>
      </w:r>
      <w:r w:rsidRPr="003236FA">
        <w:rPr>
          <w:lang w:eastAsia="en-US"/>
        </w:rPr>
        <w:tab/>
      </w:r>
      <w:bookmarkStart w:id="24" w:name="_Hlk127820086"/>
      <w:r w:rsidRPr="003236FA">
        <w:rPr>
          <w:lang w:eastAsia="en-US"/>
        </w:rPr>
        <w:t>Documentation</w:t>
      </w:r>
      <w:bookmarkEnd w:id="24"/>
    </w:p>
    <w:p w14:paraId="77B2E35C" w14:textId="3900153B" w:rsidR="003236FA" w:rsidRPr="003236FA" w:rsidRDefault="003236FA" w:rsidP="003236FA">
      <w:pPr>
        <w:pStyle w:val="H4G"/>
        <w:rPr>
          <w:lang w:eastAsia="en-US"/>
        </w:rPr>
      </w:pPr>
      <w:r w:rsidRPr="003236FA">
        <w:rPr>
          <w:b/>
          <w:lang w:eastAsia="en-US"/>
        </w:rPr>
        <w:tab/>
      </w:r>
      <w:r w:rsidRPr="003236FA">
        <w:rPr>
          <w:b/>
          <w:lang w:eastAsia="en-US"/>
        </w:rPr>
        <w:tab/>
      </w:r>
      <w:r w:rsidRPr="003236FA">
        <w:rPr>
          <w:lang w:eastAsia="en-US"/>
        </w:rPr>
        <w:t>Informal document</w:t>
      </w:r>
    </w:p>
    <w:p w14:paraId="24C92D72" w14:textId="77777777" w:rsidR="003236FA" w:rsidRPr="003236FA" w:rsidRDefault="003236FA" w:rsidP="003236FA">
      <w:pPr>
        <w:pStyle w:val="SingleTxtG"/>
        <w:rPr>
          <w:lang w:eastAsia="en-US"/>
        </w:rPr>
      </w:pPr>
      <w:r w:rsidRPr="003236FA">
        <w:rPr>
          <w:lang w:eastAsia="en-US"/>
        </w:rPr>
        <w:t>Initial draft decisions on the review of compliance of the Convention and the Protocol (ECE/MP.EIA/WG.2/2023/INF.10)</w:t>
      </w:r>
    </w:p>
    <w:p w14:paraId="5D87665C" w14:textId="49E9C86E" w:rsidR="003236FA" w:rsidRPr="003236FA" w:rsidRDefault="003236FA" w:rsidP="003236FA">
      <w:pPr>
        <w:pStyle w:val="H23G"/>
        <w:rPr>
          <w:lang w:eastAsia="en-US"/>
        </w:rPr>
      </w:pPr>
      <w:r>
        <w:rPr>
          <w:lang w:eastAsia="en-US"/>
        </w:rPr>
        <w:tab/>
      </w:r>
      <w:r w:rsidRPr="003236FA">
        <w:rPr>
          <w:lang w:eastAsia="en-US"/>
        </w:rPr>
        <w:t>(b)</w:t>
      </w:r>
      <w:r w:rsidRPr="003236FA">
        <w:rPr>
          <w:lang w:eastAsia="en-US"/>
        </w:rPr>
        <w:tab/>
        <w:t>Reporting and review of implementation</w:t>
      </w:r>
    </w:p>
    <w:p w14:paraId="2E6EB4B6" w14:textId="77777777" w:rsidR="003236FA" w:rsidRPr="003236FA" w:rsidRDefault="003236FA" w:rsidP="003236FA">
      <w:pPr>
        <w:pStyle w:val="H4G"/>
        <w:rPr>
          <w:lang w:eastAsia="en-US"/>
        </w:rPr>
      </w:pPr>
      <w:r w:rsidRPr="003236FA">
        <w:rPr>
          <w:b/>
          <w:bCs/>
          <w:lang w:eastAsia="en-US"/>
        </w:rPr>
        <w:tab/>
      </w:r>
      <w:r w:rsidRPr="003236FA">
        <w:rPr>
          <w:b/>
          <w:bCs/>
          <w:lang w:eastAsia="en-US"/>
        </w:rPr>
        <w:tab/>
      </w:r>
      <w:r w:rsidRPr="003236FA">
        <w:rPr>
          <w:lang w:eastAsia="en-US"/>
        </w:rPr>
        <w:t>Tentative timing: Wednesday, 14 June, 4–5 p.m.</w:t>
      </w:r>
    </w:p>
    <w:p w14:paraId="4675921D" w14:textId="59DFC65E" w:rsidR="003236FA" w:rsidRDefault="003236FA" w:rsidP="003236FA">
      <w:pPr>
        <w:pStyle w:val="SingleTxtG"/>
        <w:rPr>
          <w:lang w:eastAsia="en-US"/>
        </w:rPr>
      </w:pPr>
      <w:r w:rsidRPr="003236FA">
        <w:rPr>
          <w:lang w:eastAsia="en-US"/>
        </w:rPr>
        <w:t>21.</w:t>
      </w:r>
      <w:r w:rsidRPr="003236FA">
        <w:rPr>
          <w:lang w:eastAsia="en-US"/>
        </w:rPr>
        <w:tab/>
        <w:t>The Working Group will be invited to consider and agree on draft decisions IX/5 and V/5 on reporting and the review of implementation of, respectively, the Convention and the Protocol, to be submitted to the Meetings of the Parties</w:t>
      </w:r>
      <w:r>
        <w:rPr>
          <w:lang w:eastAsia="en-US"/>
        </w:rPr>
        <w:t>.</w:t>
      </w:r>
    </w:p>
    <w:p w14:paraId="5AA6A649" w14:textId="5B060B81" w:rsidR="00935840" w:rsidRPr="00935840" w:rsidRDefault="00935840" w:rsidP="00935840">
      <w:pPr>
        <w:pStyle w:val="SingleTxtG"/>
        <w:rPr>
          <w:lang w:eastAsia="en-US"/>
        </w:rPr>
      </w:pPr>
      <w:r w:rsidRPr="00935840">
        <w:rPr>
          <w:lang w:eastAsia="en-US"/>
        </w:rPr>
        <w:t>22.</w:t>
      </w:r>
      <w:r w:rsidRPr="00935840">
        <w:rPr>
          <w:lang w:eastAsia="en-US"/>
        </w:rPr>
        <w:tab/>
        <w:t>The Working Group will also be invited to consider additional amendment proposals by the European Union and its member States to section II on methodology of the draft seventh review of the implementation of the Convention on Environmental Impact Assessment in a Transboundary Context (ECE/MP.EIA/WG.2/2022/3) and section I on methodology of the draft fourth review of the implementation of the Protocol on Strategic Environmental Assessment (ECE/MP.EIA/WG.2/2022/4), as agreed by the Working Group at its eleventh session (Geneva, 19–21 December 2022).</w:t>
      </w:r>
    </w:p>
    <w:p w14:paraId="464636A1" w14:textId="38971B3E" w:rsidR="00935840" w:rsidRPr="00935840" w:rsidRDefault="00935840" w:rsidP="00935840">
      <w:pPr>
        <w:pStyle w:val="SingleTxtG"/>
        <w:rPr>
          <w:lang w:eastAsia="en-US"/>
        </w:rPr>
      </w:pPr>
      <w:r w:rsidRPr="00935840">
        <w:rPr>
          <w:lang w:eastAsia="en-US"/>
        </w:rPr>
        <w:t>23.</w:t>
      </w:r>
      <w:r w:rsidRPr="00935840">
        <w:rPr>
          <w:lang w:eastAsia="en-US"/>
        </w:rPr>
        <w:tab/>
        <w:t>Additionally, delegations may wish to consider the templates that the Implementation Committee finalized in consultation with the European Commission, to facilitate reporting of the European Union under the Convention and the Protocol.</w:t>
      </w:r>
    </w:p>
    <w:p w14:paraId="0EAA9ED9" w14:textId="27D13598" w:rsidR="00935840" w:rsidRPr="00935840" w:rsidRDefault="00935840" w:rsidP="00935840">
      <w:pPr>
        <w:pStyle w:val="H23G"/>
        <w:rPr>
          <w:lang w:eastAsia="en-US"/>
        </w:rPr>
      </w:pPr>
      <w:bookmarkStart w:id="25" w:name="_Hlk127821748"/>
      <w:r>
        <w:rPr>
          <w:lang w:eastAsia="en-US"/>
        </w:rPr>
        <w:tab/>
      </w:r>
      <w:r>
        <w:rPr>
          <w:lang w:eastAsia="en-US"/>
        </w:rPr>
        <w:tab/>
      </w:r>
      <w:r w:rsidRPr="00935840">
        <w:rPr>
          <w:lang w:eastAsia="en-US"/>
        </w:rPr>
        <w:t>Documentation</w:t>
      </w:r>
      <w:bookmarkEnd w:id="25"/>
    </w:p>
    <w:p w14:paraId="429CB4F0" w14:textId="393E9B44" w:rsidR="00935840" w:rsidRPr="00935840" w:rsidRDefault="00935840" w:rsidP="00935840">
      <w:pPr>
        <w:pStyle w:val="SingleTxtG"/>
        <w:rPr>
          <w:lang w:eastAsia="en-US"/>
        </w:rPr>
      </w:pPr>
      <w:bookmarkStart w:id="26" w:name="_Hlk127820053"/>
      <w:r w:rsidRPr="00935840">
        <w:rPr>
          <w:lang w:eastAsia="en-US"/>
        </w:rPr>
        <w:t xml:space="preserve">Draft </w:t>
      </w:r>
      <w:bookmarkStart w:id="27" w:name="_Hlk127820384"/>
      <w:r w:rsidRPr="00935840">
        <w:rPr>
          <w:lang w:eastAsia="en-US"/>
        </w:rPr>
        <w:t xml:space="preserve">decision on reporting and review of implementation </w:t>
      </w:r>
      <w:bookmarkEnd w:id="27"/>
      <w:r w:rsidRPr="00935840">
        <w:rPr>
          <w:lang w:eastAsia="en-US"/>
        </w:rPr>
        <w:t>of the Convention (ECE/MP.EIA/WG.2/2023/5)</w:t>
      </w:r>
    </w:p>
    <w:p w14:paraId="10D62751" w14:textId="7DC3C3CE" w:rsidR="00935840" w:rsidRPr="00935840" w:rsidRDefault="00935840" w:rsidP="00935840">
      <w:pPr>
        <w:pStyle w:val="SingleTxtG"/>
        <w:rPr>
          <w:lang w:eastAsia="en-US"/>
        </w:rPr>
      </w:pPr>
      <w:bookmarkStart w:id="28" w:name="_Hlk127864579"/>
      <w:bookmarkEnd w:id="26"/>
      <w:r w:rsidRPr="00935840">
        <w:rPr>
          <w:lang w:eastAsia="en-US"/>
        </w:rPr>
        <w:t>Draft decisions by the Meeting of the Parties to the Protocol</w:t>
      </w:r>
      <w:r>
        <w:rPr>
          <w:lang w:eastAsia="en-US"/>
        </w:rPr>
        <w:t xml:space="preserve"> </w:t>
      </w:r>
      <w:r w:rsidRPr="00935840">
        <w:rPr>
          <w:lang w:eastAsia="en-US"/>
        </w:rPr>
        <w:t>(ECE/MP.EIA/WG.2/2023/6)</w:t>
      </w:r>
    </w:p>
    <w:bookmarkEnd w:id="28"/>
    <w:p w14:paraId="02AF16E3" w14:textId="77777777" w:rsidR="00935840" w:rsidRPr="00935840" w:rsidRDefault="00935840" w:rsidP="00935840">
      <w:pPr>
        <w:pStyle w:val="SingleTxtG"/>
        <w:rPr>
          <w:lang w:eastAsia="en-US"/>
        </w:rPr>
      </w:pPr>
      <w:r w:rsidRPr="00935840">
        <w:rPr>
          <w:lang w:eastAsia="en-US"/>
        </w:rPr>
        <w:t xml:space="preserve">Templates </w:t>
      </w:r>
      <w:r w:rsidRPr="00935840">
        <w:rPr>
          <w:lang w:val="en-US" w:eastAsia="en-US"/>
        </w:rPr>
        <w:t xml:space="preserve">for the reports of the European Union on the implementation of the Convention on Environmental Impact Assessment in a Transboundary Context and the Protocol on Strategic Environmental Assessment </w:t>
      </w:r>
      <w:r w:rsidRPr="00935840">
        <w:rPr>
          <w:lang w:eastAsia="en-US"/>
        </w:rPr>
        <w:t>(ECE/MP.EIA/WG.2/2023/7)</w:t>
      </w:r>
    </w:p>
    <w:p w14:paraId="120DA862" w14:textId="55638630" w:rsidR="00935840" w:rsidRPr="00935840" w:rsidRDefault="00935840" w:rsidP="00935840">
      <w:pPr>
        <w:pStyle w:val="H23G"/>
        <w:rPr>
          <w:lang w:eastAsia="en-US"/>
        </w:rPr>
      </w:pPr>
      <w:r>
        <w:rPr>
          <w:lang w:eastAsia="en-US"/>
        </w:rPr>
        <w:tab/>
      </w:r>
      <w:r w:rsidRPr="00935840">
        <w:rPr>
          <w:lang w:eastAsia="en-US"/>
        </w:rPr>
        <w:t>(c)</w:t>
      </w:r>
      <w:r w:rsidRPr="00935840">
        <w:rPr>
          <w:lang w:eastAsia="en-US"/>
        </w:rPr>
        <w:tab/>
        <w:t>Legislative assistance</w:t>
      </w:r>
    </w:p>
    <w:p w14:paraId="310167A2" w14:textId="77777777" w:rsidR="00935840" w:rsidRPr="00935840" w:rsidRDefault="00935840" w:rsidP="00935840">
      <w:pPr>
        <w:pStyle w:val="H4G"/>
        <w:rPr>
          <w:lang w:eastAsia="en-US"/>
        </w:rPr>
      </w:pPr>
      <w:r w:rsidRPr="00935840">
        <w:rPr>
          <w:b/>
          <w:bCs/>
          <w:lang w:eastAsia="en-US"/>
        </w:rPr>
        <w:tab/>
      </w:r>
      <w:r w:rsidRPr="00935840">
        <w:rPr>
          <w:b/>
          <w:bCs/>
          <w:lang w:eastAsia="en-US"/>
        </w:rPr>
        <w:tab/>
      </w:r>
      <w:r w:rsidRPr="00935840">
        <w:rPr>
          <w:lang w:eastAsia="en-US"/>
        </w:rPr>
        <w:t>Tentative timing: Wednesday, 14 June, 5–5.30 p.m.</w:t>
      </w:r>
    </w:p>
    <w:p w14:paraId="1DF18CE4" w14:textId="2FE89FC6" w:rsidR="00935840" w:rsidRPr="00935840" w:rsidRDefault="00935840" w:rsidP="00956E75">
      <w:pPr>
        <w:pStyle w:val="SingleTxtG"/>
        <w:rPr>
          <w:lang w:eastAsia="en-US"/>
        </w:rPr>
      </w:pPr>
      <w:r w:rsidRPr="00935840">
        <w:rPr>
          <w:lang w:eastAsia="en-US"/>
        </w:rPr>
        <w:t>24.</w:t>
      </w:r>
      <w:r w:rsidRPr="00935840">
        <w:rPr>
          <w:lang w:eastAsia="en-US"/>
        </w:rPr>
        <w:tab/>
        <w:t>Representatives of the concerned countries in Eastern Europe, the Caucasus and Central Asia and the secretariat will be invited to report on progress since the last meeting of the Working Group in establishing compliant legislation to implement the Convention and the Protocol further to technical advice received.</w:t>
      </w:r>
    </w:p>
    <w:p w14:paraId="56B6D4E7" w14:textId="3D83B755" w:rsidR="00935840" w:rsidRPr="00935840" w:rsidRDefault="00956E75" w:rsidP="00956E75">
      <w:pPr>
        <w:pStyle w:val="H23G"/>
        <w:rPr>
          <w:lang w:eastAsia="en-US"/>
        </w:rPr>
      </w:pPr>
      <w:r>
        <w:rPr>
          <w:lang w:eastAsia="en-US"/>
        </w:rPr>
        <w:tab/>
      </w:r>
      <w:r>
        <w:rPr>
          <w:lang w:eastAsia="en-US"/>
        </w:rPr>
        <w:tab/>
      </w:r>
      <w:r w:rsidR="00935840" w:rsidRPr="00935840">
        <w:rPr>
          <w:lang w:eastAsia="en-US"/>
        </w:rPr>
        <w:t>Documentation</w:t>
      </w:r>
    </w:p>
    <w:p w14:paraId="3F128619" w14:textId="77777777" w:rsidR="00935840" w:rsidRPr="00935840" w:rsidRDefault="00935840" w:rsidP="00956E75">
      <w:pPr>
        <w:pStyle w:val="H4G"/>
        <w:rPr>
          <w:lang w:eastAsia="en-US"/>
        </w:rPr>
      </w:pPr>
      <w:r w:rsidRPr="00935840">
        <w:rPr>
          <w:lang w:eastAsia="en-US"/>
        </w:rPr>
        <w:tab/>
      </w:r>
      <w:r w:rsidRPr="00935840">
        <w:rPr>
          <w:lang w:eastAsia="en-US"/>
        </w:rPr>
        <w:tab/>
        <w:t>Informal document</w:t>
      </w:r>
    </w:p>
    <w:p w14:paraId="44AF414D" w14:textId="1813DD0E" w:rsidR="00935840" w:rsidRPr="00935840" w:rsidRDefault="00935840" w:rsidP="00956E75">
      <w:pPr>
        <w:pStyle w:val="SingleTxtG"/>
        <w:rPr>
          <w:lang w:eastAsia="en-US"/>
        </w:rPr>
      </w:pPr>
      <w:r w:rsidRPr="00935840">
        <w:rPr>
          <w:lang w:eastAsia="en-US"/>
        </w:rPr>
        <w:t>Workplan implementation status (ECE/MP.EIA/WG.2/2023/INF.9)</w:t>
      </w:r>
    </w:p>
    <w:p w14:paraId="1269071C" w14:textId="77777777" w:rsidR="00935840" w:rsidRPr="00935840" w:rsidRDefault="00935840" w:rsidP="00956E75">
      <w:pPr>
        <w:pStyle w:val="H1G"/>
        <w:rPr>
          <w:lang w:eastAsia="en-US"/>
        </w:rPr>
      </w:pPr>
      <w:r w:rsidRPr="00935840">
        <w:rPr>
          <w:lang w:eastAsia="en-US"/>
        </w:rPr>
        <w:tab/>
        <w:t>6.</w:t>
      </w:r>
      <w:r w:rsidRPr="00935840">
        <w:rPr>
          <w:lang w:eastAsia="en-US"/>
        </w:rPr>
        <w:tab/>
        <w:t>Promoting practical application of the Convention and the Protocol</w:t>
      </w:r>
    </w:p>
    <w:p w14:paraId="6242725F" w14:textId="0A464BC5" w:rsidR="00935840" w:rsidRPr="00935840" w:rsidRDefault="00956E75" w:rsidP="00956E75">
      <w:pPr>
        <w:pStyle w:val="H23G"/>
        <w:rPr>
          <w:lang w:eastAsia="en-US"/>
        </w:rPr>
      </w:pPr>
      <w:r>
        <w:rPr>
          <w:lang w:eastAsia="en-US"/>
        </w:rPr>
        <w:tab/>
      </w:r>
      <w:r w:rsidRPr="00935840">
        <w:rPr>
          <w:lang w:eastAsia="en-US"/>
        </w:rPr>
        <w:t>(a)</w:t>
      </w:r>
      <w:r w:rsidRPr="00935840">
        <w:rPr>
          <w:lang w:eastAsia="en-US"/>
        </w:rPr>
        <w:tab/>
      </w:r>
      <w:r w:rsidR="00935840" w:rsidRPr="00935840">
        <w:rPr>
          <w:lang w:eastAsia="en-US"/>
        </w:rPr>
        <w:t>Draft guidance on assessing health impacts in strategic environmental assessment</w:t>
      </w:r>
    </w:p>
    <w:p w14:paraId="2A2A7F01" w14:textId="2A19647B" w:rsidR="00935840" w:rsidRPr="00935840" w:rsidRDefault="00956E75" w:rsidP="00956E75">
      <w:pPr>
        <w:pStyle w:val="H4G"/>
        <w:rPr>
          <w:b/>
          <w:bCs/>
          <w:lang w:eastAsia="en-US"/>
        </w:rPr>
      </w:pPr>
      <w:r>
        <w:rPr>
          <w:lang w:eastAsia="en-US"/>
        </w:rPr>
        <w:tab/>
      </w:r>
      <w:r>
        <w:rPr>
          <w:lang w:eastAsia="en-US"/>
        </w:rPr>
        <w:tab/>
      </w:r>
      <w:r w:rsidR="00935840" w:rsidRPr="00935840">
        <w:rPr>
          <w:lang w:eastAsia="en-US"/>
        </w:rPr>
        <w:t>Tentative timing: Wednesday, 14 June, 5.30–6 p.m., and Thursday, 15 June, 10–11 a.m.</w:t>
      </w:r>
    </w:p>
    <w:p w14:paraId="3B5710B2" w14:textId="77777777" w:rsidR="00935840" w:rsidRPr="00935840" w:rsidRDefault="00935840" w:rsidP="00956E75">
      <w:pPr>
        <w:pStyle w:val="SingleTxtG"/>
        <w:rPr>
          <w:lang w:eastAsia="en-US"/>
        </w:rPr>
      </w:pPr>
      <w:r w:rsidRPr="00935840">
        <w:rPr>
          <w:lang w:eastAsia="en-US"/>
        </w:rPr>
        <w:t>25.</w:t>
      </w:r>
      <w:r w:rsidRPr="00935840">
        <w:rPr>
          <w:lang w:eastAsia="en-US"/>
        </w:rPr>
        <w:tab/>
        <w:t>The Working Group is expected to finalize one outstanding activity from the workplan for the period 2017–2020, namely, the draft guidance on assessing health impacts in strategic environmental assessment, as requested by the Meeting of the Parties to the Protocol at its last session.</w:t>
      </w:r>
      <w:r w:rsidRPr="00935840">
        <w:rPr>
          <w:sz w:val="18"/>
          <w:szCs w:val="18"/>
          <w:vertAlign w:val="superscript"/>
          <w:lang w:eastAsia="en-US"/>
        </w:rPr>
        <w:footnoteReference w:id="5"/>
      </w:r>
      <w:r w:rsidRPr="00935840">
        <w:rPr>
          <w:lang w:eastAsia="en-US"/>
        </w:rPr>
        <w:t xml:space="preserve">  It is expected to consider a draft, as last revised by the European Union and its member States, and subsequently agreed by the Bureau, and to agree on the text of the draft guidance to be submitted to the Meeting of the Parties to the Protocol at its next session.</w:t>
      </w:r>
    </w:p>
    <w:p w14:paraId="16285382" w14:textId="45D57A11" w:rsidR="00935840" w:rsidRPr="00935840" w:rsidRDefault="00935840" w:rsidP="00956E75">
      <w:pPr>
        <w:pStyle w:val="SingleTxtG"/>
        <w:rPr>
          <w:lang w:eastAsia="en-US"/>
        </w:rPr>
      </w:pPr>
      <w:r w:rsidRPr="00935840">
        <w:rPr>
          <w:lang w:eastAsia="en-US"/>
        </w:rPr>
        <w:t>26.</w:t>
      </w:r>
      <w:r w:rsidRPr="00935840">
        <w:rPr>
          <w:lang w:eastAsia="en-US"/>
        </w:rPr>
        <w:tab/>
        <w:t>The Working Group is also invited to review and agree on draft decision V/6 on assessing health impacts in strategic environmental assessment and to forward both draft documents to the Meetings of the Parties.</w:t>
      </w:r>
    </w:p>
    <w:p w14:paraId="241869B6" w14:textId="77777777" w:rsidR="00935840" w:rsidRPr="00935840" w:rsidRDefault="00935840" w:rsidP="00956E75">
      <w:pPr>
        <w:pStyle w:val="H23G"/>
        <w:rPr>
          <w:lang w:eastAsia="en-US"/>
        </w:rPr>
      </w:pPr>
      <w:r w:rsidRPr="00935840">
        <w:rPr>
          <w:lang w:eastAsia="en-US"/>
        </w:rPr>
        <w:tab/>
      </w:r>
      <w:r w:rsidRPr="00935840">
        <w:rPr>
          <w:lang w:eastAsia="en-US"/>
        </w:rPr>
        <w:tab/>
        <w:t>Documentation</w:t>
      </w:r>
    </w:p>
    <w:p w14:paraId="7A99001F" w14:textId="579C2988" w:rsidR="00935840" w:rsidRDefault="00935840" w:rsidP="00956E75">
      <w:pPr>
        <w:pStyle w:val="SingleTxtG"/>
        <w:rPr>
          <w:lang w:eastAsia="en-US"/>
        </w:rPr>
      </w:pPr>
      <w:r w:rsidRPr="00935840">
        <w:rPr>
          <w:lang w:eastAsia="en-US"/>
        </w:rPr>
        <w:t>Draft guidance on assessing health impacts in strategic environmental assessment (ECE/MP.EIA/WG.2/2023/8)</w:t>
      </w:r>
    </w:p>
    <w:p w14:paraId="4F123F08" w14:textId="77777777" w:rsidR="006B7757" w:rsidRPr="006B7757" w:rsidRDefault="006B7757" w:rsidP="006B7757">
      <w:pPr>
        <w:suppressAutoHyphens/>
        <w:spacing w:after="120"/>
        <w:ind w:left="1134" w:right="1134"/>
        <w:rPr>
          <w:lang w:eastAsia="en-US"/>
        </w:rPr>
      </w:pPr>
      <w:r w:rsidRPr="006B7757">
        <w:rPr>
          <w:lang w:eastAsia="en-US"/>
        </w:rPr>
        <w:t>Draft decisions by the Meeting of the Parties to the Protocol</w:t>
      </w:r>
      <w:r w:rsidRPr="006B7757">
        <w:rPr>
          <w:lang w:eastAsia="en-US"/>
        </w:rPr>
        <w:tab/>
        <w:t>(ECE/MP.EIA/WG.2/2023/6)</w:t>
      </w:r>
    </w:p>
    <w:p w14:paraId="0A08E6AF" w14:textId="4BF2FF26" w:rsidR="006B7757" w:rsidRPr="006B7757" w:rsidRDefault="006B7757" w:rsidP="006B7757">
      <w:pPr>
        <w:pStyle w:val="H23G"/>
        <w:rPr>
          <w:lang w:eastAsia="en-US"/>
        </w:rPr>
      </w:pPr>
      <w:r>
        <w:rPr>
          <w:lang w:eastAsia="en-US"/>
        </w:rPr>
        <w:tab/>
      </w:r>
      <w:r w:rsidRPr="006B7757">
        <w:rPr>
          <w:lang w:eastAsia="en-US"/>
        </w:rPr>
        <w:t>(b)</w:t>
      </w:r>
      <w:r w:rsidRPr="006B7757">
        <w:rPr>
          <w:lang w:eastAsia="en-US"/>
        </w:rPr>
        <w:tab/>
        <w:t xml:space="preserve">Subregional cooperation and capacity-building </w:t>
      </w:r>
    </w:p>
    <w:p w14:paraId="128673B6" w14:textId="29B8AC2E" w:rsidR="006B7757" w:rsidRPr="006B7757" w:rsidRDefault="006B7757" w:rsidP="006B7757">
      <w:pPr>
        <w:pStyle w:val="H4G"/>
        <w:rPr>
          <w:b/>
          <w:bCs/>
          <w:lang w:eastAsia="en-US"/>
        </w:rPr>
      </w:pPr>
      <w:bookmarkStart w:id="29" w:name="_Hlk127864921"/>
      <w:bookmarkStart w:id="30" w:name="_Hlk127865029"/>
      <w:r>
        <w:rPr>
          <w:lang w:eastAsia="en-US"/>
        </w:rPr>
        <w:tab/>
      </w:r>
      <w:r>
        <w:rPr>
          <w:lang w:eastAsia="en-US"/>
        </w:rPr>
        <w:tab/>
      </w:r>
      <w:r w:rsidRPr="006B7757">
        <w:rPr>
          <w:lang w:eastAsia="en-US"/>
        </w:rPr>
        <w:t xml:space="preserve">Tentative timing: </w:t>
      </w:r>
      <w:bookmarkStart w:id="31" w:name="_Hlk127866731"/>
      <w:r w:rsidRPr="006B7757">
        <w:rPr>
          <w:lang w:eastAsia="en-US"/>
        </w:rPr>
        <w:t>Thursday, 15 June, 11–</w:t>
      </w:r>
      <w:bookmarkEnd w:id="29"/>
      <w:r w:rsidRPr="006B7757">
        <w:rPr>
          <w:lang w:eastAsia="en-US"/>
        </w:rPr>
        <w:t>11.30 a.m</w:t>
      </w:r>
      <w:bookmarkEnd w:id="31"/>
      <w:r w:rsidRPr="006B7757">
        <w:rPr>
          <w:lang w:eastAsia="en-US"/>
        </w:rPr>
        <w:t>.</w:t>
      </w:r>
    </w:p>
    <w:bookmarkEnd w:id="30"/>
    <w:p w14:paraId="4B11C011" w14:textId="77777777" w:rsidR="006B7757" w:rsidRPr="006B7757" w:rsidRDefault="006B7757" w:rsidP="002245E3">
      <w:pPr>
        <w:pStyle w:val="SingleTxtG"/>
        <w:rPr>
          <w:lang w:eastAsia="en-US"/>
        </w:rPr>
      </w:pPr>
      <w:r w:rsidRPr="006B7757">
        <w:rPr>
          <w:lang w:eastAsia="en-US"/>
        </w:rPr>
        <w:t>27.</w:t>
      </w:r>
      <w:r w:rsidRPr="006B7757">
        <w:rPr>
          <w:lang w:eastAsia="en-US"/>
        </w:rPr>
        <w:tab/>
        <w:t xml:space="preserve">The Working Group will be invited to review progress in and provide guidance for the implementation of the activities funded by Italy in marine regions, including: </w:t>
      </w:r>
    </w:p>
    <w:p w14:paraId="030239CD" w14:textId="77777777" w:rsidR="006B7757" w:rsidRPr="006B7757" w:rsidRDefault="006B7757" w:rsidP="002245E3">
      <w:pPr>
        <w:pStyle w:val="SingleTxtG"/>
        <w:ind w:firstLine="567"/>
        <w:rPr>
          <w:lang w:eastAsia="en-US"/>
        </w:rPr>
      </w:pPr>
      <w:r w:rsidRPr="006B7757">
        <w:rPr>
          <w:lang w:eastAsia="en-US"/>
        </w:rPr>
        <w:t>(a)</w:t>
      </w:r>
      <w:r w:rsidRPr="006B7757">
        <w:rPr>
          <w:lang w:eastAsia="en-US"/>
        </w:rPr>
        <w:tab/>
        <w:t>A draft report identifying synergies and possible future cooperation activities in marine regions, prepared in consultation with representatives of: the Espoo Convention and its Protocol; the Arctic Council and its Working Group on the Protection of the Arctic Marine Environment; the Convention for the Protection of the Marine Environment and the Coastal Region of the Mediterranean (Barcelona Convention); the Convention on the Protection of the Black Sea Against Pollution (Bucharest Convention) and the Black Sea Commission; the Convention on the Protection of the Marine Environment of the Baltic Sea Area (Helsinki Convention); the Convention for the Protection of the Marine Environment of the North-East Atlantic (OSPAR Convention); and the Framework Convention for the Protection of the Marine Environment of the Caspian Sea (Tehran Convention);</w:t>
      </w:r>
    </w:p>
    <w:p w14:paraId="077016FD" w14:textId="4BC85300" w:rsidR="006B7757" w:rsidRPr="006B7757" w:rsidRDefault="006B7757" w:rsidP="002245E3">
      <w:pPr>
        <w:pStyle w:val="SingleTxtG"/>
        <w:ind w:firstLine="567"/>
        <w:rPr>
          <w:lang w:eastAsia="en-US"/>
        </w:rPr>
      </w:pPr>
      <w:r w:rsidRPr="006B7757">
        <w:rPr>
          <w:lang w:eastAsia="en-US"/>
        </w:rPr>
        <w:t>(b)</w:t>
      </w:r>
      <w:r w:rsidRPr="006B7757">
        <w:rPr>
          <w:lang w:eastAsia="en-US"/>
        </w:rPr>
        <w:tab/>
        <w:t xml:space="preserve">A third joint technical meeting, preliminarily scheduled to be held </w:t>
      </w:r>
      <w:r w:rsidR="00D518B1">
        <w:rPr>
          <w:lang w:eastAsia="en-US"/>
        </w:rPr>
        <w:t xml:space="preserve">on </w:t>
      </w:r>
      <w:r w:rsidR="004E7297">
        <w:rPr>
          <w:lang w:eastAsia="en-US"/>
        </w:rPr>
        <w:t xml:space="preserve">16 </w:t>
      </w:r>
      <w:r w:rsidRPr="006B7757">
        <w:rPr>
          <w:lang w:eastAsia="en-US"/>
        </w:rPr>
        <w:t xml:space="preserve">May 2023; </w:t>
      </w:r>
    </w:p>
    <w:p w14:paraId="722E8D26" w14:textId="5B4B132A" w:rsidR="006B7757" w:rsidRPr="006B7757" w:rsidRDefault="006B7757" w:rsidP="002245E3">
      <w:pPr>
        <w:pStyle w:val="SingleTxtG"/>
        <w:ind w:firstLine="567"/>
        <w:rPr>
          <w:lang w:eastAsia="en-US"/>
        </w:rPr>
      </w:pPr>
      <w:r w:rsidRPr="006B7757">
        <w:rPr>
          <w:lang w:eastAsia="en-US"/>
        </w:rPr>
        <w:t>(c)</w:t>
      </w:r>
      <w:r w:rsidRPr="006B7757">
        <w:rPr>
          <w:lang w:eastAsia="en-US"/>
        </w:rPr>
        <w:tab/>
        <w:t>The case studies illustrating good practice and lessons learned by Parties to the Convention and the Protocol in their application of strategic environmental assessment and transboundary environmental impact assessment to plans, programmes and projects in marine regions.</w:t>
      </w:r>
    </w:p>
    <w:p w14:paraId="7EE9E633" w14:textId="48BE73A4" w:rsidR="006B7757" w:rsidRPr="006B7757" w:rsidRDefault="006B7757" w:rsidP="002245E3">
      <w:pPr>
        <w:pStyle w:val="SingleTxtG"/>
        <w:rPr>
          <w:lang w:eastAsia="en-US"/>
        </w:rPr>
      </w:pPr>
      <w:r w:rsidRPr="006B7757">
        <w:rPr>
          <w:lang w:eastAsia="en-US"/>
        </w:rPr>
        <w:t>28.</w:t>
      </w:r>
      <w:r w:rsidRPr="006B7757">
        <w:rPr>
          <w:lang w:eastAsia="en-US"/>
        </w:rPr>
        <w:tab/>
        <w:t>In particular, the Working Group will be expected to review and comment on the draft report prior to forwarding it to the Meetings of the Parties at their next sessions. Delegations are invited to volunteer to contribute to the implementation of the proposed cooperation activities and/or to propose other activities, as well as to present relevant good practice, notifying the secretariat by 15 May 2023.</w:t>
      </w:r>
    </w:p>
    <w:p w14:paraId="6E3129BC" w14:textId="473EA14A" w:rsidR="006B7757" w:rsidRPr="006B7757" w:rsidRDefault="006B7757" w:rsidP="002245E3">
      <w:pPr>
        <w:pStyle w:val="SingleTxtG"/>
        <w:rPr>
          <w:lang w:eastAsia="en-US"/>
        </w:rPr>
      </w:pPr>
      <w:r w:rsidRPr="006B7757">
        <w:rPr>
          <w:lang w:eastAsia="en-US"/>
        </w:rPr>
        <w:t>29.</w:t>
      </w:r>
      <w:r w:rsidRPr="006B7757">
        <w:rPr>
          <w:lang w:eastAsia="en-US"/>
        </w:rPr>
        <w:tab/>
        <w:t>The Working Group is invited to review and agree on draft decision IX/3–V/3 on cooperation in marine regions.</w:t>
      </w:r>
    </w:p>
    <w:p w14:paraId="6F1B1132" w14:textId="77777777" w:rsidR="006B7757" w:rsidRPr="006B7757" w:rsidRDefault="006B7757" w:rsidP="002245E3">
      <w:pPr>
        <w:pStyle w:val="H23G"/>
        <w:rPr>
          <w:lang w:eastAsia="en-US"/>
        </w:rPr>
      </w:pPr>
      <w:r w:rsidRPr="006B7757">
        <w:rPr>
          <w:lang w:eastAsia="en-US"/>
        </w:rPr>
        <w:tab/>
      </w:r>
      <w:r w:rsidRPr="006B7757">
        <w:rPr>
          <w:lang w:eastAsia="en-US"/>
        </w:rPr>
        <w:tab/>
        <w:t>Documentation</w:t>
      </w:r>
    </w:p>
    <w:p w14:paraId="7C6FADC3" w14:textId="77777777" w:rsidR="006B7757" w:rsidRPr="006B7757" w:rsidRDefault="006B7757" w:rsidP="002245E3">
      <w:pPr>
        <w:pStyle w:val="SingleTxtG"/>
        <w:rPr>
          <w:lang w:eastAsia="en-US"/>
        </w:rPr>
      </w:pPr>
      <w:r w:rsidRPr="006B7757">
        <w:rPr>
          <w:lang w:eastAsia="en-US"/>
        </w:rPr>
        <w:t>Draft report on synergies and possible cooperation activities in marine regions (ECE/MP.EIA/WG.2/2023/9)</w:t>
      </w:r>
    </w:p>
    <w:p w14:paraId="636A02C1" w14:textId="077C055D" w:rsidR="006B7757" w:rsidRPr="006B7757" w:rsidRDefault="006B7757" w:rsidP="002245E3">
      <w:pPr>
        <w:pStyle w:val="SingleTxtG"/>
        <w:rPr>
          <w:lang w:eastAsia="en-US"/>
        </w:rPr>
      </w:pPr>
      <w:r w:rsidRPr="006B7757">
        <w:rPr>
          <w:lang w:eastAsia="en-US"/>
        </w:rPr>
        <w:t>Draft joint decisions by the Meeting of the Parties to the Convention and the Meeting of the Parties to the Protocol (ECE/MP.EIA/WG.2/2023/3)</w:t>
      </w:r>
    </w:p>
    <w:p w14:paraId="74F89C1F" w14:textId="7C2199A5" w:rsidR="006B7757" w:rsidRPr="006B7757" w:rsidRDefault="002245E3" w:rsidP="002245E3">
      <w:pPr>
        <w:pStyle w:val="H23G"/>
        <w:rPr>
          <w:lang w:eastAsia="en-US"/>
        </w:rPr>
      </w:pPr>
      <w:r>
        <w:rPr>
          <w:lang w:eastAsia="en-US"/>
        </w:rPr>
        <w:tab/>
      </w:r>
      <w:r w:rsidR="006B7757" w:rsidRPr="006B7757">
        <w:rPr>
          <w:lang w:eastAsia="en-US"/>
        </w:rPr>
        <w:t>(c)</w:t>
      </w:r>
      <w:r w:rsidR="006B7757" w:rsidRPr="006B7757">
        <w:rPr>
          <w:lang w:eastAsia="en-US"/>
        </w:rPr>
        <w:tab/>
        <w:t xml:space="preserve">Exchange of good practices </w:t>
      </w:r>
    </w:p>
    <w:p w14:paraId="008A54B1" w14:textId="4D6739A9" w:rsidR="006B7757" w:rsidRPr="006B7757" w:rsidRDefault="002245E3" w:rsidP="002245E3">
      <w:pPr>
        <w:pStyle w:val="H4G"/>
        <w:rPr>
          <w:b/>
          <w:bCs/>
          <w:lang w:eastAsia="en-US"/>
        </w:rPr>
      </w:pPr>
      <w:bookmarkStart w:id="32" w:name="_Hlk127866796"/>
      <w:r>
        <w:rPr>
          <w:lang w:eastAsia="en-US"/>
        </w:rPr>
        <w:tab/>
      </w:r>
      <w:r>
        <w:rPr>
          <w:lang w:eastAsia="en-US"/>
        </w:rPr>
        <w:tab/>
      </w:r>
      <w:r w:rsidR="006B7757" w:rsidRPr="006B7757">
        <w:rPr>
          <w:lang w:eastAsia="en-US"/>
        </w:rPr>
        <w:t>Tentative timing: Thursday, 15 June, 11.30 a.m.–noon.</w:t>
      </w:r>
    </w:p>
    <w:bookmarkEnd w:id="32"/>
    <w:p w14:paraId="55DFAE7D" w14:textId="7D198BD7" w:rsidR="006B7757" w:rsidRPr="006B7757" w:rsidRDefault="006B7757" w:rsidP="002245E3">
      <w:pPr>
        <w:pStyle w:val="SingleTxtG"/>
        <w:rPr>
          <w:lang w:eastAsia="en-US"/>
        </w:rPr>
      </w:pPr>
      <w:r w:rsidRPr="006B7757">
        <w:rPr>
          <w:lang w:eastAsia="en-US"/>
        </w:rPr>
        <w:t>30.</w:t>
      </w:r>
      <w:r w:rsidRPr="006B7757">
        <w:rPr>
          <w:lang w:eastAsia="en-US"/>
        </w:rPr>
        <w:tab/>
        <w:t>Delegations are invited to put forward proposals for the preparation of fact sheets on the practical application of the Convention and the Protocol, to be presented during the meetings of the Working Group and posted on the ECE website.</w:t>
      </w:r>
    </w:p>
    <w:p w14:paraId="0135E75A" w14:textId="77777777" w:rsidR="006B7757" w:rsidRPr="006B7757" w:rsidRDefault="006B7757" w:rsidP="002245E3">
      <w:pPr>
        <w:pStyle w:val="SingleTxtG"/>
        <w:rPr>
          <w:lang w:eastAsia="en-US"/>
        </w:rPr>
      </w:pPr>
      <w:r w:rsidRPr="006B7757">
        <w:rPr>
          <w:lang w:eastAsia="en-US"/>
        </w:rPr>
        <w:t>31.</w:t>
      </w:r>
      <w:r w:rsidRPr="006B7757">
        <w:rPr>
          <w:lang w:eastAsia="en-US"/>
        </w:rPr>
        <w:tab/>
        <w:t>Delegations may wish to propose funding for an online database of Parties’ good practice or for the collection and compilation of good practice, which is foreseen in the workplan,</w:t>
      </w:r>
      <w:r w:rsidRPr="006B7757">
        <w:rPr>
          <w:sz w:val="18"/>
          <w:vertAlign w:val="superscript"/>
          <w:lang w:eastAsia="en-US"/>
        </w:rPr>
        <w:footnoteReference w:id="6"/>
      </w:r>
      <w:r w:rsidRPr="006B7757">
        <w:rPr>
          <w:lang w:eastAsia="en-US"/>
        </w:rPr>
        <w:t xml:space="preserve"> subject to identification of additional resources and funding for consultants.</w:t>
      </w:r>
    </w:p>
    <w:p w14:paraId="19DAED41" w14:textId="618CEF89" w:rsidR="007211C0" w:rsidRPr="007211C0" w:rsidRDefault="007211C0" w:rsidP="007211C0">
      <w:pPr>
        <w:pStyle w:val="H23G"/>
        <w:rPr>
          <w:lang w:eastAsia="en-US"/>
        </w:rPr>
      </w:pPr>
      <w:r>
        <w:rPr>
          <w:lang w:eastAsia="en-US"/>
        </w:rPr>
        <w:tab/>
      </w:r>
      <w:r w:rsidRPr="007211C0">
        <w:rPr>
          <w:lang w:eastAsia="en-US"/>
        </w:rPr>
        <w:t>(d)</w:t>
      </w:r>
      <w:r w:rsidRPr="007211C0">
        <w:rPr>
          <w:lang w:eastAsia="en-US"/>
        </w:rPr>
        <w:tab/>
        <w:t>Capacity-building activities</w:t>
      </w:r>
    </w:p>
    <w:p w14:paraId="7ECC95D9" w14:textId="551AE8CD" w:rsidR="007211C0" w:rsidRPr="007211C0" w:rsidRDefault="007211C0" w:rsidP="007211C0">
      <w:pPr>
        <w:pStyle w:val="H4G"/>
        <w:rPr>
          <w:b/>
          <w:bCs/>
          <w:lang w:eastAsia="en-US"/>
        </w:rPr>
      </w:pPr>
      <w:r>
        <w:rPr>
          <w:lang w:eastAsia="en-US"/>
        </w:rPr>
        <w:tab/>
      </w:r>
      <w:r>
        <w:rPr>
          <w:lang w:eastAsia="en-US"/>
        </w:rPr>
        <w:tab/>
      </w:r>
      <w:r w:rsidRPr="007211C0">
        <w:rPr>
          <w:lang w:eastAsia="en-US"/>
        </w:rPr>
        <w:t>Tentative timing: Thursday, 15 June, noon–12.30 p.m.</w:t>
      </w:r>
    </w:p>
    <w:p w14:paraId="099DB1BA" w14:textId="77777777" w:rsidR="007211C0" w:rsidRPr="007211C0" w:rsidRDefault="007211C0" w:rsidP="007211C0">
      <w:pPr>
        <w:pStyle w:val="SingleTxtG"/>
        <w:rPr>
          <w:lang w:eastAsia="en-US"/>
        </w:rPr>
      </w:pPr>
      <w:r w:rsidRPr="007211C0">
        <w:rPr>
          <w:lang w:eastAsia="en-US"/>
        </w:rPr>
        <w:t>32.</w:t>
      </w:r>
      <w:r w:rsidRPr="007211C0">
        <w:rPr>
          <w:lang w:eastAsia="en-US"/>
        </w:rPr>
        <w:tab/>
        <w:t>The secretariat and delegations from the countries or organizations concerned will be invited to provide any updates on capacity-building activities undertaken or planned for since the last meeting of the Working Group to promote ratification and application of the Convention and the Protocol, including:</w:t>
      </w:r>
    </w:p>
    <w:p w14:paraId="01B7E4D8" w14:textId="77777777" w:rsidR="007211C0" w:rsidRPr="007211C0" w:rsidRDefault="007211C0" w:rsidP="007211C0">
      <w:pPr>
        <w:pStyle w:val="SingleTxtG"/>
        <w:ind w:firstLine="567"/>
        <w:rPr>
          <w:lang w:eastAsia="en-US"/>
        </w:rPr>
      </w:pPr>
      <w:r w:rsidRPr="007211C0">
        <w:rPr>
          <w:lang w:eastAsia="en-US"/>
        </w:rPr>
        <w:t>(a)</w:t>
      </w:r>
      <w:r w:rsidRPr="007211C0">
        <w:rPr>
          <w:lang w:eastAsia="en-US"/>
        </w:rPr>
        <w:tab/>
        <w:t xml:space="preserve">Activities funded through the European Union EU4Environment Programme, undertaken, in progress or planned since its last meeting in accordance with the workplan for 2024–2026 to promote the practical application of the Convention and the Protocol in Eastern Europe and the Caucasus; </w:t>
      </w:r>
    </w:p>
    <w:p w14:paraId="06D2F5C2" w14:textId="77777777" w:rsidR="007211C0" w:rsidRPr="007211C0" w:rsidRDefault="007211C0" w:rsidP="007211C0">
      <w:pPr>
        <w:pStyle w:val="SingleTxtG"/>
        <w:ind w:firstLine="567"/>
        <w:rPr>
          <w:lang w:eastAsia="en-US"/>
        </w:rPr>
      </w:pPr>
      <w:r w:rsidRPr="007211C0">
        <w:rPr>
          <w:lang w:eastAsia="en-US"/>
        </w:rPr>
        <w:t>(b)</w:t>
      </w:r>
      <w:r w:rsidRPr="007211C0">
        <w:rPr>
          <w:lang w:eastAsia="en-US"/>
        </w:rPr>
        <w:tab/>
        <w:t>Capacity-building activities in Central Asia building on the outcomes of the joint ECE/Organization for Security and Cooperation in Europe project;</w:t>
      </w:r>
    </w:p>
    <w:p w14:paraId="662ACB4C" w14:textId="77777777" w:rsidR="007211C0" w:rsidRPr="007211C0" w:rsidRDefault="007211C0" w:rsidP="007211C0">
      <w:pPr>
        <w:pStyle w:val="SingleTxtG"/>
        <w:ind w:firstLine="567"/>
        <w:rPr>
          <w:lang w:eastAsia="en-US"/>
        </w:rPr>
      </w:pPr>
      <w:r w:rsidRPr="007211C0">
        <w:rPr>
          <w:lang w:eastAsia="en-US"/>
        </w:rPr>
        <w:t>(c)</w:t>
      </w:r>
      <w:r w:rsidRPr="007211C0">
        <w:rPr>
          <w:lang w:eastAsia="en-US"/>
        </w:rPr>
        <w:tab/>
        <w:t>Preparation of the draft informal pamphlets, or “</w:t>
      </w:r>
      <w:proofErr w:type="spellStart"/>
      <w:r w:rsidRPr="007211C0">
        <w:rPr>
          <w:lang w:eastAsia="en-US"/>
        </w:rPr>
        <w:t>FasTips</w:t>
      </w:r>
      <w:proofErr w:type="spellEnd"/>
      <w:r w:rsidRPr="007211C0">
        <w:rPr>
          <w:lang w:eastAsia="en-US"/>
        </w:rPr>
        <w:t>”, by the International Association for Impact Assessment.</w:t>
      </w:r>
    </w:p>
    <w:p w14:paraId="12C61FCF" w14:textId="77777777" w:rsidR="007211C0" w:rsidRPr="007211C0" w:rsidRDefault="007211C0" w:rsidP="007211C0">
      <w:pPr>
        <w:pStyle w:val="SingleTxtG"/>
        <w:rPr>
          <w:lang w:eastAsia="en-US"/>
        </w:rPr>
      </w:pPr>
      <w:r w:rsidRPr="007211C0">
        <w:rPr>
          <w:szCs w:val="16"/>
          <w:lang w:eastAsia="en-US"/>
        </w:rPr>
        <w:t>33.</w:t>
      </w:r>
      <w:r w:rsidRPr="007211C0">
        <w:rPr>
          <w:szCs w:val="16"/>
          <w:lang w:eastAsia="en-US"/>
        </w:rPr>
        <w:tab/>
      </w:r>
      <w:r w:rsidRPr="007211C0">
        <w:rPr>
          <w:lang w:eastAsia="en-US"/>
        </w:rPr>
        <w:t>The Working Group is expected to take note of the information and, as relevant, provide advice for the implementation or follow-up of the activities.</w:t>
      </w:r>
    </w:p>
    <w:p w14:paraId="55BF0065" w14:textId="77777777" w:rsidR="007211C0" w:rsidRPr="007211C0" w:rsidRDefault="007211C0" w:rsidP="007211C0">
      <w:pPr>
        <w:pStyle w:val="H23G"/>
        <w:rPr>
          <w:lang w:eastAsia="en-US"/>
        </w:rPr>
      </w:pPr>
      <w:r w:rsidRPr="007211C0">
        <w:rPr>
          <w:lang w:eastAsia="en-US"/>
        </w:rPr>
        <w:tab/>
      </w:r>
      <w:r w:rsidRPr="007211C0">
        <w:rPr>
          <w:lang w:eastAsia="en-US"/>
        </w:rPr>
        <w:tab/>
      </w:r>
      <w:bookmarkStart w:id="33" w:name="_Hlk502943136"/>
      <w:bookmarkStart w:id="34" w:name="_Hlk127824933"/>
      <w:bookmarkStart w:id="35" w:name="_Hlk128734984"/>
      <w:r w:rsidRPr="007211C0">
        <w:rPr>
          <w:lang w:eastAsia="en-US"/>
        </w:rPr>
        <w:t>Documentation</w:t>
      </w:r>
    </w:p>
    <w:bookmarkEnd w:id="33"/>
    <w:bookmarkEnd w:id="34"/>
    <w:p w14:paraId="1B7F0560" w14:textId="77777777" w:rsidR="007211C0" w:rsidRPr="007211C0" w:rsidRDefault="007211C0" w:rsidP="007211C0">
      <w:pPr>
        <w:pStyle w:val="H4G"/>
        <w:rPr>
          <w:lang w:eastAsia="en-US"/>
        </w:rPr>
      </w:pPr>
      <w:r w:rsidRPr="007211C0">
        <w:rPr>
          <w:lang w:eastAsia="en-US"/>
        </w:rPr>
        <w:tab/>
      </w:r>
      <w:r w:rsidRPr="007211C0">
        <w:rPr>
          <w:lang w:eastAsia="en-US"/>
        </w:rPr>
        <w:tab/>
        <w:t>Informal document</w:t>
      </w:r>
    </w:p>
    <w:p w14:paraId="72FDEFD1" w14:textId="77777777" w:rsidR="007211C0" w:rsidRPr="007211C0" w:rsidRDefault="007211C0" w:rsidP="007211C0">
      <w:pPr>
        <w:pStyle w:val="SingleTxtG"/>
        <w:rPr>
          <w:lang w:eastAsia="en-US"/>
        </w:rPr>
      </w:pPr>
      <w:r w:rsidRPr="007211C0">
        <w:rPr>
          <w:lang w:eastAsia="en-US"/>
        </w:rPr>
        <w:t xml:space="preserve">Workplan implementation status (ECE/MP.EIA/WG.2/2023/INF.9) </w:t>
      </w:r>
    </w:p>
    <w:bookmarkEnd w:id="35"/>
    <w:p w14:paraId="12E60AC2" w14:textId="77777777" w:rsidR="007211C0" w:rsidRPr="007211C0" w:rsidRDefault="007211C0" w:rsidP="007211C0">
      <w:pPr>
        <w:pStyle w:val="H1G"/>
        <w:rPr>
          <w:lang w:eastAsia="en-US"/>
        </w:rPr>
      </w:pPr>
      <w:r w:rsidRPr="007211C0">
        <w:rPr>
          <w:lang w:eastAsia="en-US"/>
        </w:rPr>
        <w:tab/>
        <w:t>7.</w:t>
      </w:r>
      <w:r w:rsidRPr="007211C0">
        <w:rPr>
          <w:lang w:eastAsia="en-US"/>
        </w:rPr>
        <w:tab/>
      </w:r>
      <w:r w:rsidRPr="007211C0">
        <w:rPr>
          <w:lang w:eastAsia="en-US"/>
        </w:rPr>
        <w:tab/>
        <w:t xml:space="preserve">Management, coordination and visibility of intersessional activities </w:t>
      </w:r>
    </w:p>
    <w:p w14:paraId="1E376243" w14:textId="77777777" w:rsidR="007211C0" w:rsidRPr="007211C0" w:rsidRDefault="007211C0" w:rsidP="007211C0">
      <w:pPr>
        <w:pStyle w:val="H4G"/>
        <w:rPr>
          <w:lang w:eastAsia="en-US"/>
        </w:rPr>
      </w:pPr>
      <w:r w:rsidRPr="007211C0">
        <w:rPr>
          <w:lang w:eastAsia="en-US"/>
        </w:rPr>
        <w:tab/>
      </w:r>
      <w:r w:rsidRPr="007211C0">
        <w:rPr>
          <w:lang w:eastAsia="en-US"/>
        </w:rPr>
        <w:tab/>
      </w:r>
      <w:bookmarkStart w:id="36" w:name="_Hlk8826992"/>
      <w:r w:rsidRPr="007211C0">
        <w:rPr>
          <w:lang w:eastAsia="en-US"/>
        </w:rPr>
        <w:t>Tentative timing:</w:t>
      </w:r>
      <w:bookmarkEnd w:id="36"/>
      <w:r w:rsidRPr="007211C0">
        <w:rPr>
          <w:lang w:eastAsia="en-US"/>
        </w:rPr>
        <w:t xml:space="preserve"> Thursday, 15 June, 12.30–1 p.m.</w:t>
      </w:r>
    </w:p>
    <w:p w14:paraId="4DC15724" w14:textId="77777777" w:rsidR="007211C0" w:rsidRPr="007211C0" w:rsidRDefault="007211C0" w:rsidP="007211C0">
      <w:pPr>
        <w:pStyle w:val="SingleTxtG"/>
        <w:rPr>
          <w:lang w:eastAsia="en-US"/>
        </w:rPr>
      </w:pPr>
      <w:r w:rsidRPr="007211C0">
        <w:rPr>
          <w:lang w:eastAsia="en-US"/>
        </w:rPr>
        <w:t>34.</w:t>
      </w:r>
      <w:r w:rsidRPr="007211C0">
        <w:rPr>
          <w:lang w:eastAsia="en-US"/>
        </w:rPr>
        <w:tab/>
      </w:r>
      <w:bookmarkStart w:id="37" w:name="_Hlk505105376"/>
      <w:r w:rsidRPr="007211C0">
        <w:rPr>
          <w:lang w:eastAsia="en-US"/>
        </w:rPr>
        <w:t>The Working Group may wish to consider and comment on the revision proposals from the European Union and its member States regarding the informal note on procedural matters of relevance to meetings with remote participation due to extraordinary circumstances, which the Bureau had prepared in 2020, with the secretariat’s support, in consultation with the Treaty Section of the Office of Legal Affairs,</w:t>
      </w:r>
      <w:r w:rsidRPr="007211C0">
        <w:rPr>
          <w:sz w:val="18"/>
          <w:vertAlign w:val="superscript"/>
          <w:lang w:eastAsia="en-US"/>
        </w:rPr>
        <w:footnoteReference w:id="7"/>
      </w:r>
      <w:r w:rsidRPr="007211C0">
        <w:rPr>
          <w:lang w:eastAsia="en-US"/>
        </w:rPr>
        <w:t xml:space="preserve"> as well as any related recommendations from the Bureau. At the request of the Bureau, the document is presented in a track changes mode. As recommended by the Bureau, the Working Group is invited to agree on a revised version of the note and recommend to the Meetings of the Parties that said version be applied, and, as needed, further adapted, should the extraordinary circumstances arise again. </w:t>
      </w:r>
    </w:p>
    <w:p w14:paraId="0D38DFC4" w14:textId="77777777" w:rsidR="007211C0" w:rsidRPr="007211C0" w:rsidRDefault="007211C0" w:rsidP="007211C0">
      <w:pPr>
        <w:pStyle w:val="H23G"/>
        <w:rPr>
          <w:lang w:eastAsia="en-US"/>
        </w:rPr>
      </w:pPr>
      <w:r w:rsidRPr="007211C0">
        <w:rPr>
          <w:lang w:eastAsia="en-US"/>
        </w:rPr>
        <w:tab/>
      </w:r>
      <w:r w:rsidRPr="007211C0">
        <w:rPr>
          <w:lang w:eastAsia="en-US"/>
        </w:rPr>
        <w:tab/>
        <w:t>Documentation</w:t>
      </w:r>
    </w:p>
    <w:p w14:paraId="59ED13F4" w14:textId="77777777" w:rsidR="007211C0" w:rsidRPr="007211C0" w:rsidRDefault="007211C0" w:rsidP="007211C0">
      <w:pPr>
        <w:pStyle w:val="H4G"/>
        <w:rPr>
          <w:lang w:eastAsia="en-US"/>
        </w:rPr>
      </w:pPr>
      <w:r w:rsidRPr="007211C0">
        <w:rPr>
          <w:lang w:eastAsia="en-US"/>
        </w:rPr>
        <w:tab/>
      </w:r>
      <w:r w:rsidRPr="007211C0">
        <w:rPr>
          <w:lang w:eastAsia="en-US"/>
        </w:rPr>
        <w:tab/>
        <w:t>Informal document</w:t>
      </w:r>
    </w:p>
    <w:p w14:paraId="772368DB" w14:textId="0B5612C5" w:rsidR="007211C0" w:rsidRPr="007211C0" w:rsidRDefault="007211C0" w:rsidP="007211C0">
      <w:pPr>
        <w:pStyle w:val="SingleTxtG"/>
        <w:rPr>
          <w:lang w:eastAsia="en-US"/>
        </w:rPr>
      </w:pPr>
      <w:r w:rsidRPr="007211C0">
        <w:rPr>
          <w:lang w:eastAsia="en-US"/>
        </w:rPr>
        <w:t>Procedural matters of relevance to meetings with remote participation due to extraordinary circumstances (ECE/MP.EIA/WG.2/2023/INF.11)</w:t>
      </w:r>
    </w:p>
    <w:p w14:paraId="247A8502" w14:textId="77777777" w:rsidR="007211C0" w:rsidRPr="007211C0" w:rsidRDefault="007211C0" w:rsidP="007211C0">
      <w:pPr>
        <w:pStyle w:val="H1G"/>
        <w:rPr>
          <w:lang w:eastAsia="en-US"/>
        </w:rPr>
      </w:pPr>
      <w:bookmarkStart w:id="38" w:name="_Hlk505105406"/>
      <w:bookmarkEnd w:id="37"/>
      <w:r w:rsidRPr="007211C0">
        <w:rPr>
          <w:lang w:eastAsia="en-US"/>
        </w:rPr>
        <w:tab/>
        <w:t>8.</w:t>
      </w:r>
      <w:r w:rsidRPr="007211C0">
        <w:rPr>
          <w:lang w:eastAsia="en-US"/>
        </w:rPr>
        <w:tab/>
      </w:r>
      <w:r w:rsidRPr="007211C0">
        <w:rPr>
          <w:lang w:eastAsia="en-US"/>
        </w:rPr>
        <w:tab/>
        <w:t xml:space="preserve">Related events </w:t>
      </w:r>
    </w:p>
    <w:p w14:paraId="0B4D637D" w14:textId="1A9CC59F" w:rsidR="007211C0" w:rsidRPr="007211C0" w:rsidRDefault="007211C0" w:rsidP="007211C0">
      <w:pPr>
        <w:pStyle w:val="H4G"/>
        <w:rPr>
          <w:lang w:eastAsia="en-US"/>
        </w:rPr>
      </w:pPr>
      <w:r w:rsidRPr="007211C0">
        <w:rPr>
          <w:lang w:eastAsia="en-US"/>
        </w:rPr>
        <w:tab/>
      </w:r>
      <w:r w:rsidRPr="007211C0">
        <w:rPr>
          <w:lang w:eastAsia="en-US"/>
        </w:rPr>
        <w:tab/>
        <w:t>Tentative timing: Thursday, 15 June, 3–3.30 p.m.</w:t>
      </w:r>
    </w:p>
    <w:p w14:paraId="32EE6A02" w14:textId="77777777" w:rsidR="007211C0" w:rsidRPr="007211C0" w:rsidRDefault="007211C0" w:rsidP="007211C0">
      <w:pPr>
        <w:pStyle w:val="SingleTxtG"/>
        <w:rPr>
          <w:lang w:eastAsia="en-US"/>
        </w:rPr>
      </w:pPr>
      <w:r w:rsidRPr="007211C0">
        <w:rPr>
          <w:lang w:eastAsia="en-US"/>
        </w:rPr>
        <w:t>35.</w:t>
      </w:r>
      <w:r w:rsidRPr="007211C0">
        <w:rPr>
          <w:lang w:eastAsia="en-US"/>
        </w:rPr>
        <w:tab/>
        <w:t>The secretariat or delegations will report on related events, including:</w:t>
      </w:r>
    </w:p>
    <w:p w14:paraId="7F65A005" w14:textId="77777777" w:rsidR="007211C0" w:rsidRPr="007211C0" w:rsidRDefault="007211C0" w:rsidP="007211C0">
      <w:pPr>
        <w:pStyle w:val="SingleTxtG"/>
        <w:ind w:firstLine="567"/>
        <w:rPr>
          <w:lang w:eastAsia="en-US"/>
        </w:rPr>
      </w:pPr>
      <w:r w:rsidRPr="007211C0">
        <w:rPr>
          <w:lang w:eastAsia="en-US"/>
        </w:rPr>
        <w:t>(a)</w:t>
      </w:r>
      <w:r w:rsidRPr="007211C0">
        <w:rPr>
          <w:lang w:eastAsia="en-US"/>
        </w:rPr>
        <w:tab/>
        <w:t>The Regional Forum on Sustainable Development for the United Nations Economic Commission for Europe Region (Geneva 29–30 March 2023);</w:t>
      </w:r>
    </w:p>
    <w:p w14:paraId="78B8E316" w14:textId="77777777" w:rsidR="007211C0" w:rsidRPr="007211C0" w:rsidRDefault="007211C0" w:rsidP="007211C0">
      <w:pPr>
        <w:pStyle w:val="SingleTxtG"/>
        <w:ind w:firstLine="567"/>
        <w:rPr>
          <w:lang w:eastAsia="en-US"/>
        </w:rPr>
      </w:pPr>
      <w:r w:rsidRPr="007211C0">
        <w:rPr>
          <w:lang w:eastAsia="en-US"/>
        </w:rPr>
        <w:t>(b)</w:t>
      </w:r>
      <w:r w:rsidRPr="007211C0">
        <w:rPr>
          <w:lang w:eastAsia="en-US"/>
        </w:rPr>
        <w:tab/>
        <w:t>The Seventh Ministerial Conference on Environment and Health (Budapest, 5–7 July 2023).</w:t>
      </w:r>
    </w:p>
    <w:p w14:paraId="67ECCC2F" w14:textId="77777777" w:rsidR="007211C0" w:rsidRPr="007211C0" w:rsidRDefault="007211C0" w:rsidP="007211C0">
      <w:pPr>
        <w:pStyle w:val="SingleTxtG"/>
        <w:rPr>
          <w:lang w:eastAsia="en-US"/>
        </w:rPr>
      </w:pPr>
      <w:r w:rsidRPr="007211C0">
        <w:rPr>
          <w:lang w:eastAsia="en-US"/>
        </w:rPr>
        <w:t>36.</w:t>
      </w:r>
      <w:r w:rsidRPr="007211C0">
        <w:rPr>
          <w:lang w:eastAsia="en-US"/>
        </w:rPr>
        <w:tab/>
        <w:t xml:space="preserve">The Working Group will be invited to note and comment on the information provided. </w:t>
      </w:r>
    </w:p>
    <w:bookmarkEnd w:id="38"/>
    <w:p w14:paraId="02621765" w14:textId="77777777" w:rsidR="007211C0" w:rsidRPr="007211C0" w:rsidRDefault="007211C0" w:rsidP="007211C0">
      <w:pPr>
        <w:pStyle w:val="H1G"/>
        <w:rPr>
          <w:lang w:eastAsia="en-US"/>
        </w:rPr>
      </w:pPr>
      <w:r w:rsidRPr="007211C0">
        <w:rPr>
          <w:lang w:eastAsia="en-US"/>
        </w:rPr>
        <w:tab/>
        <w:t>9.</w:t>
      </w:r>
      <w:r w:rsidRPr="007211C0">
        <w:rPr>
          <w:lang w:eastAsia="en-US"/>
        </w:rPr>
        <w:tab/>
        <w:t xml:space="preserve">Other business </w:t>
      </w:r>
    </w:p>
    <w:p w14:paraId="08283BE3" w14:textId="001AD747" w:rsidR="007211C0" w:rsidRPr="007211C0" w:rsidRDefault="007211C0" w:rsidP="007211C0">
      <w:pPr>
        <w:pStyle w:val="H4G"/>
        <w:rPr>
          <w:lang w:eastAsia="en-US"/>
        </w:rPr>
      </w:pPr>
      <w:r w:rsidRPr="007211C0">
        <w:rPr>
          <w:lang w:eastAsia="en-US"/>
        </w:rPr>
        <w:tab/>
      </w:r>
      <w:r w:rsidRPr="007211C0">
        <w:rPr>
          <w:lang w:eastAsia="en-US"/>
        </w:rPr>
        <w:tab/>
      </w:r>
      <w:bookmarkStart w:id="39" w:name="_Hlk8827006"/>
      <w:r w:rsidRPr="007211C0">
        <w:rPr>
          <w:lang w:eastAsia="en-US"/>
        </w:rPr>
        <w:t xml:space="preserve">Tentative timing: </w:t>
      </w:r>
      <w:bookmarkStart w:id="40" w:name="_Hlk30181222"/>
      <w:r w:rsidRPr="007211C0">
        <w:rPr>
          <w:lang w:eastAsia="en-US"/>
        </w:rPr>
        <w:t>Thursday, 15 June, 3.30–4 p.m.</w:t>
      </w:r>
      <w:bookmarkEnd w:id="40"/>
    </w:p>
    <w:bookmarkEnd w:id="39"/>
    <w:p w14:paraId="0A8E1DCE" w14:textId="77777777" w:rsidR="007211C0" w:rsidRPr="007211C0" w:rsidRDefault="007211C0" w:rsidP="007211C0">
      <w:pPr>
        <w:pStyle w:val="SingleTxtG"/>
        <w:rPr>
          <w:lang w:eastAsia="en-US"/>
        </w:rPr>
      </w:pPr>
      <w:r w:rsidRPr="007211C0">
        <w:rPr>
          <w:lang w:eastAsia="en-US"/>
        </w:rPr>
        <w:t>37.</w:t>
      </w:r>
      <w:r w:rsidRPr="007211C0">
        <w:rPr>
          <w:lang w:eastAsia="en-US"/>
        </w:rPr>
        <w:tab/>
        <w:t>Delegations wishing to raise other business should contact the Chair and the secretariat as soon as possible ahead of the meeting.</w:t>
      </w:r>
    </w:p>
    <w:p w14:paraId="091A23FF" w14:textId="77777777" w:rsidR="007211C0" w:rsidRPr="007211C0" w:rsidRDefault="007211C0" w:rsidP="007211C0">
      <w:pPr>
        <w:pStyle w:val="H1G"/>
        <w:rPr>
          <w:lang w:eastAsia="en-US"/>
        </w:rPr>
      </w:pPr>
      <w:r w:rsidRPr="007211C0">
        <w:rPr>
          <w:lang w:eastAsia="en-US"/>
        </w:rPr>
        <w:tab/>
        <w:t>10.</w:t>
      </w:r>
      <w:r w:rsidRPr="007211C0">
        <w:rPr>
          <w:lang w:eastAsia="en-US"/>
        </w:rPr>
        <w:tab/>
        <w:t>Presentation of the main decisions taken and closing of the meeting</w:t>
      </w:r>
    </w:p>
    <w:p w14:paraId="4AE3B2C0" w14:textId="20C16BC1" w:rsidR="007211C0" w:rsidRPr="007211C0" w:rsidRDefault="007211C0" w:rsidP="007211C0">
      <w:pPr>
        <w:pStyle w:val="H4G"/>
        <w:rPr>
          <w:lang w:eastAsia="en-US"/>
        </w:rPr>
      </w:pPr>
      <w:r w:rsidRPr="007211C0">
        <w:rPr>
          <w:lang w:eastAsia="en-US"/>
        </w:rPr>
        <w:tab/>
      </w:r>
      <w:r w:rsidRPr="007211C0">
        <w:rPr>
          <w:lang w:eastAsia="en-US"/>
        </w:rPr>
        <w:tab/>
        <w:t>Tentative timing: Thursday, 15 June, 4–6 p.m.</w:t>
      </w:r>
    </w:p>
    <w:p w14:paraId="1C4D3CC5" w14:textId="77777777" w:rsidR="007211C0" w:rsidRPr="007211C0" w:rsidRDefault="007211C0" w:rsidP="007211C0">
      <w:pPr>
        <w:pStyle w:val="SingleTxtG"/>
        <w:rPr>
          <w:lang w:eastAsia="en-US"/>
        </w:rPr>
      </w:pPr>
      <w:r w:rsidRPr="007211C0">
        <w:rPr>
          <w:lang w:eastAsia="en-US"/>
        </w:rPr>
        <w:t>38.</w:t>
      </w:r>
      <w:r w:rsidRPr="007211C0">
        <w:rPr>
          <w:lang w:eastAsia="en-US"/>
        </w:rPr>
        <w:tab/>
        <w:t>The Working Group is expected to agree on the main decisions taken at its twelfth meeting and to authorize the secretariat to complete the report after the meeting under the guidance of the Chair.</w:t>
      </w:r>
    </w:p>
    <w:p w14:paraId="1E9ED9B2" w14:textId="77777777" w:rsidR="006B7757" w:rsidRDefault="006B7757" w:rsidP="00956E75">
      <w:pPr>
        <w:pStyle w:val="SingleTxtG"/>
      </w:pPr>
    </w:p>
    <w:p w14:paraId="39F4D8EC" w14:textId="77777777" w:rsidR="007211C0" w:rsidRDefault="007211C0" w:rsidP="00956E75">
      <w:pPr>
        <w:pStyle w:val="SingleTxtG"/>
        <w:sectPr w:rsidR="007211C0" w:rsidSect="00832DF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2B7FA334" w14:textId="08A671BD" w:rsidR="00F91877" w:rsidRPr="00F91877" w:rsidRDefault="00F91877" w:rsidP="00F91877">
      <w:pPr>
        <w:pStyle w:val="HChG"/>
        <w:rPr>
          <w:lang w:eastAsia="en-US"/>
        </w:rPr>
      </w:pPr>
      <w:r w:rsidRPr="00F91877">
        <w:rPr>
          <w:lang w:eastAsia="en-US"/>
        </w:rPr>
        <w:t>Annex</w:t>
      </w:r>
      <w:r>
        <w:rPr>
          <w:lang w:eastAsia="en-US"/>
        </w:rPr>
        <w:br/>
      </w:r>
      <w:r w:rsidRPr="00F91877">
        <w:rPr>
          <w:lang w:eastAsia="en-US"/>
        </w:rPr>
        <w:t>Organization of work</w:t>
      </w:r>
    </w:p>
    <w:tbl>
      <w:tblPr>
        <w:tblW w:w="7370" w:type="dxa"/>
        <w:tblInd w:w="1134" w:type="dxa"/>
        <w:tblLayout w:type="fixed"/>
        <w:tblCellMar>
          <w:left w:w="0" w:type="dxa"/>
          <w:right w:w="0" w:type="dxa"/>
        </w:tblCellMar>
        <w:tblLook w:val="01E0" w:firstRow="1" w:lastRow="1" w:firstColumn="1" w:lastColumn="1" w:noHBand="0" w:noVBand="0"/>
      </w:tblPr>
      <w:tblGrid>
        <w:gridCol w:w="2415"/>
        <w:gridCol w:w="4955"/>
      </w:tblGrid>
      <w:tr w:rsidR="0006539A" w:rsidRPr="0006539A" w14:paraId="0AFDF54E" w14:textId="77777777" w:rsidTr="0006539A">
        <w:trPr>
          <w:tblHeader/>
        </w:trPr>
        <w:tc>
          <w:tcPr>
            <w:tcW w:w="2415" w:type="dxa"/>
            <w:tcBorders>
              <w:top w:val="single" w:sz="4" w:space="0" w:color="auto"/>
              <w:bottom w:val="single" w:sz="12" w:space="0" w:color="auto"/>
            </w:tcBorders>
            <w:shd w:val="clear" w:color="auto" w:fill="auto"/>
            <w:vAlign w:val="bottom"/>
          </w:tcPr>
          <w:p w14:paraId="37929E14" w14:textId="77777777" w:rsidR="0006539A" w:rsidRPr="0006539A" w:rsidRDefault="0006539A" w:rsidP="0006539A">
            <w:pPr>
              <w:spacing w:before="80" w:after="80" w:line="200" w:lineRule="exact"/>
              <w:ind w:right="113"/>
              <w:rPr>
                <w:i/>
                <w:sz w:val="16"/>
                <w:lang w:eastAsia="en-US"/>
              </w:rPr>
            </w:pPr>
            <w:r w:rsidRPr="0006539A">
              <w:rPr>
                <w:i/>
                <w:sz w:val="16"/>
                <w:lang w:eastAsia="en-US"/>
              </w:rPr>
              <w:t>Date and tentative time schedule</w:t>
            </w:r>
          </w:p>
        </w:tc>
        <w:tc>
          <w:tcPr>
            <w:tcW w:w="4955" w:type="dxa"/>
            <w:tcBorders>
              <w:top w:val="single" w:sz="4" w:space="0" w:color="auto"/>
              <w:bottom w:val="single" w:sz="12" w:space="0" w:color="auto"/>
            </w:tcBorders>
            <w:shd w:val="clear" w:color="auto" w:fill="auto"/>
            <w:vAlign w:val="bottom"/>
          </w:tcPr>
          <w:p w14:paraId="0EC7330B" w14:textId="77777777" w:rsidR="0006539A" w:rsidRPr="0006539A" w:rsidRDefault="0006539A" w:rsidP="0006539A">
            <w:pPr>
              <w:spacing w:before="80" w:after="80" w:line="200" w:lineRule="exact"/>
              <w:ind w:right="113"/>
              <w:rPr>
                <w:i/>
                <w:sz w:val="16"/>
                <w:lang w:eastAsia="en-US"/>
              </w:rPr>
            </w:pPr>
            <w:r w:rsidRPr="0006539A">
              <w:rPr>
                <w:i/>
                <w:sz w:val="16"/>
                <w:lang w:eastAsia="en-US"/>
              </w:rPr>
              <w:t>Agenda item</w:t>
            </w:r>
          </w:p>
        </w:tc>
      </w:tr>
      <w:tr w:rsidR="0006539A" w:rsidRPr="0006539A" w14:paraId="01E9276D" w14:textId="77777777" w:rsidTr="0006539A">
        <w:trPr>
          <w:trHeight w:hRule="exact" w:val="113"/>
          <w:tblHeader/>
        </w:trPr>
        <w:tc>
          <w:tcPr>
            <w:tcW w:w="2415" w:type="dxa"/>
            <w:tcBorders>
              <w:top w:val="single" w:sz="12" w:space="0" w:color="auto"/>
            </w:tcBorders>
            <w:shd w:val="clear" w:color="auto" w:fill="auto"/>
          </w:tcPr>
          <w:p w14:paraId="543544C8" w14:textId="77777777" w:rsidR="0006539A" w:rsidRPr="0006539A" w:rsidRDefault="0006539A" w:rsidP="0006539A">
            <w:pPr>
              <w:spacing w:before="40" w:after="120"/>
              <w:ind w:right="113"/>
              <w:rPr>
                <w:lang w:eastAsia="en-US"/>
              </w:rPr>
            </w:pPr>
          </w:p>
        </w:tc>
        <w:tc>
          <w:tcPr>
            <w:tcW w:w="4955" w:type="dxa"/>
            <w:tcBorders>
              <w:top w:val="single" w:sz="12" w:space="0" w:color="auto"/>
            </w:tcBorders>
            <w:shd w:val="clear" w:color="auto" w:fill="auto"/>
          </w:tcPr>
          <w:p w14:paraId="1A9C86B9" w14:textId="77777777" w:rsidR="0006539A" w:rsidRPr="0006539A" w:rsidRDefault="0006539A" w:rsidP="0006539A">
            <w:pPr>
              <w:spacing w:before="40" w:after="120"/>
              <w:ind w:right="113"/>
              <w:rPr>
                <w:lang w:eastAsia="en-US"/>
              </w:rPr>
            </w:pPr>
          </w:p>
        </w:tc>
      </w:tr>
      <w:tr w:rsidR="0006539A" w:rsidRPr="0006539A" w14:paraId="14F2C2C9" w14:textId="77777777" w:rsidTr="0006539A">
        <w:tc>
          <w:tcPr>
            <w:tcW w:w="2415" w:type="dxa"/>
            <w:shd w:val="clear" w:color="auto" w:fill="auto"/>
          </w:tcPr>
          <w:p w14:paraId="15332137" w14:textId="77777777" w:rsidR="0006539A" w:rsidRPr="0006539A" w:rsidRDefault="0006539A" w:rsidP="0006539A">
            <w:pPr>
              <w:spacing w:before="40" w:after="120"/>
              <w:ind w:right="113"/>
              <w:rPr>
                <w:b/>
                <w:bCs/>
                <w:lang w:eastAsia="en-US"/>
              </w:rPr>
            </w:pPr>
            <w:r w:rsidRPr="0006539A">
              <w:rPr>
                <w:b/>
                <w:bCs/>
                <w:lang w:eastAsia="en-US"/>
              </w:rPr>
              <w:t>Tuesday, 13 June 2023</w:t>
            </w:r>
          </w:p>
        </w:tc>
        <w:tc>
          <w:tcPr>
            <w:tcW w:w="4955" w:type="dxa"/>
            <w:shd w:val="clear" w:color="auto" w:fill="auto"/>
          </w:tcPr>
          <w:p w14:paraId="658E08C1" w14:textId="77777777" w:rsidR="0006539A" w:rsidRPr="0006539A" w:rsidRDefault="0006539A" w:rsidP="0006539A">
            <w:pPr>
              <w:spacing w:before="40" w:after="120"/>
              <w:ind w:right="113"/>
              <w:rPr>
                <w:lang w:eastAsia="en-US"/>
              </w:rPr>
            </w:pPr>
          </w:p>
        </w:tc>
      </w:tr>
      <w:tr w:rsidR="0006539A" w:rsidRPr="0006539A" w14:paraId="3BCC59BC" w14:textId="77777777" w:rsidTr="0006539A">
        <w:tc>
          <w:tcPr>
            <w:tcW w:w="2415" w:type="dxa"/>
            <w:shd w:val="clear" w:color="auto" w:fill="auto"/>
          </w:tcPr>
          <w:p w14:paraId="4027575C" w14:textId="77777777" w:rsidR="0006539A" w:rsidRPr="0006539A" w:rsidRDefault="0006539A" w:rsidP="0006539A">
            <w:pPr>
              <w:spacing w:before="40" w:after="120"/>
              <w:ind w:right="113"/>
              <w:rPr>
                <w:lang w:eastAsia="en-US"/>
              </w:rPr>
            </w:pPr>
            <w:r w:rsidRPr="0006539A">
              <w:rPr>
                <w:lang w:eastAsia="en-US"/>
              </w:rPr>
              <w:t>10–10.15 a.m.</w:t>
            </w:r>
          </w:p>
        </w:tc>
        <w:tc>
          <w:tcPr>
            <w:tcW w:w="4955" w:type="dxa"/>
            <w:shd w:val="clear" w:color="auto" w:fill="auto"/>
          </w:tcPr>
          <w:p w14:paraId="404F430E" w14:textId="77777777" w:rsidR="0006539A" w:rsidRPr="0006539A" w:rsidRDefault="0006539A" w:rsidP="0006539A">
            <w:pPr>
              <w:spacing w:before="40" w:after="120"/>
              <w:ind w:right="113"/>
              <w:rPr>
                <w:lang w:eastAsia="en-US"/>
              </w:rPr>
            </w:pPr>
            <w:r w:rsidRPr="0006539A">
              <w:rPr>
                <w:lang w:eastAsia="en-US"/>
              </w:rPr>
              <w:t>1. Adoption of the agenda</w:t>
            </w:r>
          </w:p>
        </w:tc>
      </w:tr>
      <w:tr w:rsidR="0006539A" w:rsidRPr="0006539A" w14:paraId="5D28F003" w14:textId="77777777" w:rsidTr="0006539A">
        <w:tc>
          <w:tcPr>
            <w:tcW w:w="2415" w:type="dxa"/>
            <w:shd w:val="clear" w:color="auto" w:fill="auto"/>
          </w:tcPr>
          <w:p w14:paraId="299B5F7C" w14:textId="77777777" w:rsidR="0006539A" w:rsidRPr="0006539A" w:rsidRDefault="0006539A" w:rsidP="0006539A">
            <w:pPr>
              <w:spacing w:before="40" w:after="120"/>
              <w:ind w:right="113"/>
              <w:rPr>
                <w:lang w:eastAsia="en-US"/>
              </w:rPr>
            </w:pPr>
            <w:r w:rsidRPr="0006539A">
              <w:rPr>
                <w:lang w:eastAsia="en-US"/>
              </w:rPr>
              <w:t>10.15–10.45 a.m.</w:t>
            </w:r>
          </w:p>
        </w:tc>
        <w:tc>
          <w:tcPr>
            <w:tcW w:w="4955" w:type="dxa"/>
            <w:shd w:val="clear" w:color="auto" w:fill="auto"/>
          </w:tcPr>
          <w:p w14:paraId="48AAD7E3" w14:textId="77777777" w:rsidR="0006539A" w:rsidRPr="0006539A" w:rsidRDefault="0006539A" w:rsidP="0006539A">
            <w:pPr>
              <w:spacing w:before="40" w:after="120"/>
              <w:ind w:right="113"/>
              <w:rPr>
                <w:lang w:eastAsia="en-US"/>
              </w:rPr>
            </w:pPr>
            <w:r w:rsidRPr="0006539A">
              <w:rPr>
                <w:lang w:eastAsia="en-US"/>
              </w:rPr>
              <w:t>2. Status of ratification</w:t>
            </w:r>
          </w:p>
        </w:tc>
      </w:tr>
      <w:tr w:rsidR="0006539A" w:rsidRPr="0006539A" w14:paraId="351230FB" w14:textId="77777777" w:rsidTr="0006539A">
        <w:tc>
          <w:tcPr>
            <w:tcW w:w="2415" w:type="dxa"/>
            <w:shd w:val="clear" w:color="auto" w:fill="auto"/>
          </w:tcPr>
          <w:p w14:paraId="068C870C" w14:textId="77777777" w:rsidR="0006539A" w:rsidRPr="0006539A" w:rsidRDefault="0006539A" w:rsidP="0006539A">
            <w:pPr>
              <w:spacing w:before="40" w:after="120"/>
              <w:ind w:right="113"/>
              <w:rPr>
                <w:lang w:eastAsia="en-US"/>
              </w:rPr>
            </w:pPr>
            <w:r w:rsidRPr="0006539A">
              <w:rPr>
                <w:lang w:eastAsia="en-US"/>
              </w:rPr>
              <w:t>10.45 a.m.–12.30 p.m.</w:t>
            </w:r>
          </w:p>
        </w:tc>
        <w:tc>
          <w:tcPr>
            <w:tcW w:w="4955" w:type="dxa"/>
            <w:shd w:val="clear" w:color="auto" w:fill="auto"/>
          </w:tcPr>
          <w:p w14:paraId="582596AC" w14:textId="77777777" w:rsidR="0006539A" w:rsidRPr="0006539A" w:rsidRDefault="0006539A" w:rsidP="0006539A">
            <w:pPr>
              <w:spacing w:before="40" w:after="120"/>
              <w:ind w:right="113"/>
              <w:rPr>
                <w:lang w:eastAsia="en-US"/>
              </w:rPr>
            </w:pPr>
            <w:r w:rsidRPr="0006539A">
              <w:rPr>
                <w:lang w:eastAsia="en-US"/>
              </w:rPr>
              <w:t>3. Financial arrangements</w:t>
            </w:r>
          </w:p>
        </w:tc>
      </w:tr>
      <w:tr w:rsidR="0006539A" w:rsidRPr="0006539A" w14:paraId="1EDBADB6" w14:textId="77777777" w:rsidTr="0006539A">
        <w:tc>
          <w:tcPr>
            <w:tcW w:w="2415" w:type="dxa"/>
            <w:shd w:val="clear" w:color="auto" w:fill="auto"/>
          </w:tcPr>
          <w:p w14:paraId="15EDE7A0" w14:textId="77777777" w:rsidR="0006539A" w:rsidRPr="0006539A" w:rsidRDefault="0006539A" w:rsidP="0006539A">
            <w:pPr>
              <w:spacing w:before="40" w:after="120"/>
              <w:ind w:right="113"/>
              <w:rPr>
                <w:lang w:eastAsia="en-US"/>
              </w:rPr>
            </w:pPr>
          </w:p>
        </w:tc>
        <w:tc>
          <w:tcPr>
            <w:tcW w:w="4955" w:type="dxa"/>
            <w:shd w:val="clear" w:color="auto" w:fill="auto"/>
          </w:tcPr>
          <w:p w14:paraId="62DBA1D1" w14:textId="77777777" w:rsidR="0006539A" w:rsidRPr="0006539A" w:rsidRDefault="0006539A" w:rsidP="0006539A">
            <w:pPr>
              <w:spacing w:before="40" w:after="120"/>
              <w:ind w:right="113"/>
              <w:rPr>
                <w:lang w:eastAsia="en-US"/>
              </w:rPr>
            </w:pPr>
            <w:r w:rsidRPr="0006539A">
              <w:rPr>
                <w:lang w:eastAsia="en-US"/>
              </w:rPr>
              <w:t xml:space="preserve">4.  Preparations for the next sessions of the Meetings of the Parties </w:t>
            </w:r>
          </w:p>
        </w:tc>
      </w:tr>
      <w:tr w:rsidR="0006539A" w:rsidRPr="0006539A" w14:paraId="2F8954E3" w14:textId="77777777" w:rsidTr="0006539A">
        <w:tc>
          <w:tcPr>
            <w:tcW w:w="2415" w:type="dxa"/>
            <w:shd w:val="clear" w:color="auto" w:fill="auto"/>
          </w:tcPr>
          <w:p w14:paraId="6CA3F056" w14:textId="77777777" w:rsidR="0006539A" w:rsidRPr="0006539A" w:rsidRDefault="0006539A" w:rsidP="0006539A">
            <w:pPr>
              <w:spacing w:before="40" w:after="120"/>
              <w:ind w:right="113"/>
              <w:rPr>
                <w:lang w:eastAsia="en-US"/>
              </w:rPr>
            </w:pPr>
            <w:r w:rsidRPr="0006539A">
              <w:rPr>
                <w:lang w:eastAsia="en-US"/>
              </w:rPr>
              <w:t>12.30–1 p.m.</w:t>
            </w:r>
          </w:p>
        </w:tc>
        <w:tc>
          <w:tcPr>
            <w:tcW w:w="4955" w:type="dxa"/>
            <w:shd w:val="clear" w:color="auto" w:fill="auto"/>
          </w:tcPr>
          <w:p w14:paraId="68480F8C" w14:textId="77777777" w:rsidR="0006539A" w:rsidRPr="0006539A" w:rsidRDefault="0006539A" w:rsidP="0006539A">
            <w:pPr>
              <w:spacing w:before="40" w:after="120"/>
              <w:ind w:right="113"/>
              <w:rPr>
                <w:lang w:eastAsia="en-US"/>
              </w:rPr>
            </w:pPr>
            <w:r w:rsidRPr="0006539A">
              <w:rPr>
                <w:lang w:eastAsia="en-US"/>
              </w:rPr>
              <w:t xml:space="preserve">(a) Practical arrangements </w:t>
            </w:r>
          </w:p>
        </w:tc>
      </w:tr>
      <w:tr w:rsidR="0006539A" w:rsidRPr="0006539A" w14:paraId="44DF9DC8" w14:textId="77777777" w:rsidTr="0006539A">
        <w:tc>
          <w:tcPr>
            <w:tcW w:w="2415" w:type="dxa"/>
            <w:shd w:val="clear" w:color="auto" w:fill="auto"/>
          </w:tcPr>
          <w:p w14:paraId="428A58F0" w14:textId="77777777" w:rsidR="0006539A" w:rsidRPr="0006539A" w:rsidRDefault="0006539A" w:rsidP="0006539A">
            <w:pPr>
              <w:spacing w:before="40" w:after="120"/>
              <w:ind w:right="113"/>
              <w:rPr>
                <w:lang w:eastAsia="en-US"/>
              </w:rPr>
            </w:pPr>
            <w:r w:rsidRPr="0006539A">
              <w:rPr>
                <w:lang w:eastAsia="en-US"/>
              </w:rPr>
              <w:t>3–4 p.m.</w:t>
            </w:r>
          </w:p>
        </w:tc>
        <w:tc>
          <w:tcPr>
            <w:tcW w:w="4955" w:type="dxa"/>
            <w:shd w:val="clear" w:color="auto" w:fill="auto"/>
          </w:tcPr>
          <w:p w14:paraId="5082CC2C" w14:textId="77777777" w:rsidR="0006539A" w:rsidRPr="0006539A" w:rsidRDefault="0006539A" w:rsidP="0006539A">
            <w:pPr>
              <w:spacing w:before="40" w:after="120"/>
              <w:ind w:right="113"/>
              <w:rPr>
                <w:lang w:eastAsia="en-US"/>
              </w:rPr>
            </w:pPr>
            <w:r w:rsidRPr="0006539A">
              <w:rPr>
                <w:lang w:eastAsia="en-US"/>
              </w:rPr>
              <w:t>(b) Provisional agenda</w:t>
            </w:r>
          </w:p>
        </w:tc>
      </w:tr>
      <w:tr w:rsidR="0006539A" w:rsidRPr="0006539A" w14:paraId="5CBF93E9" w14:textId="77777777" w:rsidTr="0006539A">
        <w:tc>
          <w:tcPr>
            <w:tcW w:w="2415" w:type="dxa"/>
            <w:shd w:val="clear" w:color="auto" w:fill="auto"/>
          </w:tcPr>
          <w:p w14:paraId="51B4EDC7" w14:textId="77777777" w:rsidR="0006539A" w:rsidRPr="0006539A" w:rsidRDefault="0006539A" w:rsidP="0006539A">
            <w:pPr>
              <w:spacing w:before="40" w:after="120"/>
              <w:ind w:right="113"/>
              <w:rPr>
                <w:lang w:eastAsia="en-US"/>
              </w:rPr>
            </w:pPr>
            <w:r w:rsidRPr="0006539A">
              <w:rPr>
                <w:lang w:eastAsia="en-US"/>
              </w:rPr>
              <w:t xml:space="preserve">4–6 p.m. </w:t>
            </w:r>
          </w:p>
        </w:tc>
        <w:tc>
          <w:tcPr>
            <w:tcW w:w="4955" w:type="dxa"/>
            <w:shd w:val="clear" w:color="auto" w:fill="auto"/>
          </w:tcPr>
          <w:p w14:paraId="2512C941" w14:textId="77777777" w:rsidR="0006539A" w:rsidRPr="0006539A" w:rsidRDefault="0006539A" w:rsidP="0006539A">
            <w:pPr>
              <w:spacing w:before="40" w:after="120"/>
              <w:ind w:right="113"/>
              <w:rPr>
                <w:lang w:eastAsia="en-US"/>
              </w:rPr>
            </w:pPr>
            <w:r w:rsidRPr="0006539A">
              <w:rPr>
                <w:lang w:eastAsia="en-US"/>
              </w:rPr>
              <w:t>(c) Draft workplan for 2024–2026</w:t>
            </w:r>
          </w:p>
        </w:tc>
      </w:tr>
      <w:tr w:rsidR="0006539A" w:rsidRPr="0006539A" w14:paraId="7EF3480F" w14:textId="77777777" w:rsidTr="0006539A">
        <w:tc>
          <w:tcPr>
            <w:tcW w:w="2415" w:type="dxa"/>
            <w:shd w:val="clear" w:color="auto" w:fill="auto"/>
          </w:tcPr>
          <w:p w14:paraId="3C9A2E8E" w14:textId="77777777" w:rsidR="0006539A" w:rsidRPr="0006539A" w:rsidRDefault="0006539A" w:rsidP="0006539A">
            <w:pPr>
              <w:spacing w:before="40" w:after="120"/>
              <w:ind w:right="113"/>
              <w:rPr>
                <w:lang w:eastAsia="en-US"/>
              </w:rPr>
            </w:pPr>
            <w:r w:rsidRPr="0006539A">
              <w:rPr>
                <w:b/>
                <w:bCs/>
                <w:lang w:eastAsia="en-US"/>
              </w:rPr>
              <w:t>Wednesday, 14 June 2023</w:t>
            </w:r>
          </w:p>
        </w:tc>
        <w:tc>
          <w:tcPr>
            <w:tcW w:w="4955" w:type="dxa"/>
            <w:shd w:val="clear" w:color="auto" w:fill="auto"/>
          </w:tcPr>
          <w:p w14:paraId="01F8E06C" w14:textId="77777777" w:rsidR="0006539A" w:rsidRPr="0006539A" w:rsidRDefault="0006539A" w:rsidP="0006539A">
            <w:pPr>
              <w:spacing w:before="40" w:after="120"/>
              <w:ind w:right="113"/>
              <w:rPr>
                <w:lang w:eastAsia="en-US"/>
              </w:rPr>
            </w:pPr>
          </w:p>
          <w:p w14:paraId="43C632C0" w14:textId="77777777" w:rsidR="0006539A" w:rsidRPr="0006539A" w:rsidRDefault="0006539A" w:rsidP="0006539A">
            <w:pPr>
              <w:spacing w:before="40" w:after="120"/>
              <w:ind w:right="113"/>
              <w:rPr>
                <w:lang w:eastAsia="en-US"/>
              </w:rPr>
            </w:pPr>
            <w:r w:rsidRPr="0006539A">
              <w:rPr>
                <w:lang w:eastAsia="en-US"/>
              </w:rPr>
              <w:t xml:space="preserve">4.  Preparations for the next sessions of the Meetings of the Parties </w:t>
            </w:r>
            <w:r w:rsidRPr="0006539A">
              <w:rPr>
                <w:iCs/>
                <w:lang w:eastAsia="en-US"/>
              </w:rPr>
              <w:t>(continued)</w:t>
            </w:r>
          </w:p>
        </w:tc>
      </w:tr>
      <w:tr w:rsidR="0006539A" w:rsidRPr="0006539A" w14:paraId="7A0DA26A" w14:textId="77777777" w:rsidTr="0006539A">
        <w:tc>
          <w:tcPr>
            <w:tcW w:w="2415" w:type="dxa"/>
            <w:shd w:val="clear" w:color="auto" w:fill="auto"/>
          </w:tcPr>
          <w:p w14:paraId="56207643" w14:textId="77777777" w:rsidR="0006539A" w:rsidRPr="0006539A" w:rsidRDefault="0006539A" w:rsidP="0006539A">
            <w:pPr>
              <w:spacing w:before="40" w:after="120"/>
              <w:ind w:right="113"/>
              <w:rPr>
                <w:lang w:eastAsia="en-US"/>
              </w:rPr>
            </w:pPr>
            <w:r w:rsidRPr="0006539A">
              <w:rPr>
                <w:lang w:eastAsia="en-US"/>
              </w:rPr>
              <w:t>10–11 a.m.</w:t>
            </w:r>
          </w:p>
        </w:tc>
        <w:tc>
          <w:tcPr>
            <w:tcW w:w="4955" w:type="dxa"/>
            <w:shd w:val="clear" w:color="auto" w:fill="auto"/>
          </w:tcPr>
          <w:p w14:paraId="3665CA46" w14:textId="77777777" w:rsidR="0006539A" w:rsidRPr="0006539A" w:rsidRDefault="0006539A" w:rsidP="0006539A">
            <w:pPr>
              <w:spacing w:before="40" w:after="120"/>
              <w:ind w:right="113"/>
              <w:rPr>
                <w:lang w:eastAsia="en-US"/>
              </w:rPr>
            </w:pPr>
            <w:r w:rsidRPr="0006539A">
              <w:rPr>
                <w:lang w:eastAsia="en-US"/>
              </w:rPr>
              <w:t xml:space="preserve">(d) Draft declaration </w:t>
            </w:r>
          </w:p>
        </w:tc>
      </w:tr>
      <w:tr w:rsidR="0006539A" w:rsidRPr="0006539A" w14:paraId="7326140C" w14:textId="77777777" w:rsidTr="0006539A">
        <w:tc>
          <w:tcPr>
            <w:tcW w:w="2415" w:type="dxa"/>
            <w:shd w:val="clear" w:color="auto" w:fill="auto"/>
          </w:tcPr>
          <w:p w14:paraId="781CA52E" w14:textId="77777777" w:rsidR="0006539A" w:rsidRPr="0006539A" w:rsidRDefault="0006539A" w:rsidP="0006539A">
            <w:pPr>
              <w:spacing w:before="40" w:after="120"/>
              <w:ind w:right="113"/>
              <w:rPr>
                <w:lang w:eastAsia="en-US"/>
              </w:rPr>
            </w:pPr>
            <w:r w:rsidRPr="0006539A">
              <w:rPr>
                <w:lang w:eastAsia="en-US"/>
              </w:rPr>
              <w:t>11–11.30 a.m.</w:t>
            </w:r>
          </w:p>
        </w:tc>
        <w:tc>
          <w:tcPr>
            <w:tcW w:w="4955" w:type="dxa"/>
            <w:shd w:val="clear" w:color="auto" w:fill="auto"/>
          </w:tcPr>
          <w:p w14:paraId="7DF9CC78" w14:textId="77777777" w:rsidR="0006539A" w:rsidRPr="0006539A" w:rsidRDefault="0006539A" w:rsidP="0006539A">
            <w:pPr>
              <w:spacing w:before="40" w:after="120"/>
              <w:ind w:right="113"/>
              <w:rPr>
                <w:lang w:eastAsia="en-US"/>
              </w:rPr>
            </w:pPr>
            <w:r w:rsidRPr="0006539A">
              <w:rPr>
                <w:lang w:eastAsia="en-US"/>
              </w:rPr>
              <w:t>(e) Chairs of the sessions</w:t>
            </w:r>
          </w:p>
        </w:tc>
      </w:tr>
      <w:tr w:rsidR="0006539A" w:rsidRPr="0006539A" w14:paraId="4F08B235" w14:textId="77777777" w:rsidTr="0006539A">
        <w:tc>
          <w:tcPr>
            <w:tcW w:w="2415" w:type="dxa"/>
            <w:shd w:val="clear" w:color="auto" w:fill="auto"/>
          </w:tcPr>
          <w:p w14:paraId="16DC0553" w14:textId="77777777" w:rsidR="0006539A" w:rsidRPr="0006539A" w:rsidRDefault="0006539A" w:rsidP="0006539A">
            <w:pPr>
              <w:spacing w:before="40" w:after="120"/>
              <w:ind w:right="113"/>
              <w:rPr>
                <w:lang w:eastAsia="en-US"/>
              </w:rPr>
            </w:pPr>
            <w:r w:rsidRPr="0006539A">
              <w:rPr>
                <w:lang w:eastAsia="en-US"/>
              </w:rPr>
              <w:t>11.30–11.45 a.m.</w:t>
            </w:r>
          </w:p>
        </w:tc>
        <w:tc>
          <w:tcPr>
            <w:tcW w:w="4955" w:type="dxa"/>
            <w:shd w:val="clear" w:color="auto" w:fill="auto"/>
          </w:tcPr>
          <w:p w14:paraId="11C50976" w14:textId="77777777" w:rsidR="0006539A" w:rsidRPr="0006539A" w:rsidRDefault="0006539A" w:rsidP="0006539A">
            <w:pPr>
              <w:spacing w:before="40" w:after="120"/>
              <w:ind w:right="113"/>
              <w:rPr>
                <w:lang w:eastAsia="en-US"/>
              </w:rPr>
            </w:pPr>
            <w:r w:rsidRPr="0006539A">
              <w:rPr>
                <w:lang w:eastAsia="en-US"/>
              </w:rPr>
              <w:t>(f) Officers for the next intersessional period</w:t>
            </w:r>
          </w:p>
        </w:tc>
      </w:tr>
      <w:tr w:rsidR="0006539A" w:rsidRPr="0006539A" w14:paraId="0FD6ADB9" w14:textId="77777777" w:rsidTr="0006539A">
        <w:tc>
          <w:tcPr>
            <w:tcW w:w="2415" w:type="dxa"/>
            <w:shd w:val="clear" w:color="auto" w:fill="auto"/>
          </w:tcPr>
          <w:p w14:paraId="1BA979E4" w14:textId="77777777" w:rsidR="0006539A" w:rsidRPr="0006539A" w:rsidRDefault="0006539A" w:rsidP="0006539A">
            <w:pPr>
              <w:spacing w:before="40" w:after="120"/>
              <w:ind w:right="113"/>
              <w:rPr>
                <w:lang w:eastAsia="en-US"/>
              </w:rPr>
            </w:pPr>
            <w:r w:rsidRPr="0006539A">
              <w:rPr>
                <w:lang w:eastAsia="en-US"/>
              </w:rPr>
              <w:t>11.45 a.m.–noon</w:t>
            </w:r>
          </w:p>
        </w:tc>
        <w:tc>
          <w:tcPr>
            <w:tcW w:w="4955" w:type="dxa"/>
            <w:shd w:val="clear" w:color="auto" w:fill="auto"/>
          </w:tcPr>
          <w:p w14:paraId="4FB5E31D" w14:textId="77777777" w:rsidR="0006539A" w:rsidRPr="0006539A" w:rsidRDefault="0006539A" w:rsidP="0006539A">
            <w:pPr>
              <w:spacing w:before="40" w:after="120"/>
              <w:ind w:right="113"/>
              <w:rPr>
                <w:lang w:eastAsia="en-US"/>
              </w:rPr>
            </w:pPr>
            <w:r w:rsidRPr="0006539A">
              <w:rPr>
                <w:lang w:eastAsia="en-US"/>
              </w:rPr>
              <w:t>(g) Provisional schedule of meetings 2024–2026</w:t>
            </w:r>
          </w:p>
        </w:tc>
      </w:tr>
      <w:tr w:rsidR="0006539A" w:rsidRPr="0006539A" w14:paraId="331BB63D" w14:textId="77777777" w:rsidTr="0006539A">
        <w:tc>
          <w:tcPr>
            <w:tcW w:w="2415" w:type="dxa"/>
            <w:shd w:val="clear" w:color="auto" w:fill="auto"/>
          </w:tcPr>
          <w:p w14:paraId="39D3520C" w14:textId="77777777" w:rsidR="0006539A" w:rsidRPr="0006539A" w:rsidRDefault="0006539A" w:rsidP="0006539A">
            <w:pPr>
              <w:spacing w:before="40" w:after="120"/>
              <w:ind w:right="113"/>
              <w:rPr>
                <w:lang w:eastAsia="en-US"/>
              </w:rPr>
            </w:pPr>
          </w:p>
        </w:tc>
        <w:tc>
          <w:tcPr>
            <w:tcW w:w="4955" w:type="dxa"/>
            <w:shd w:val="clear" w:color="auto" w:fill="auto"/>
          </w:tcPr>
          <w:p w14:paraId="7AFF66E7" w14:textId="77777777" w:rsidR="0006539A" w:rsidRPr="0006539A" w:rsidRDefault="0006539A" w:rsidP="0006539A">
            <w:pPr>
              <w:spacing w:before="40" w:after="120"/>
              <w:ind w:right="113"/>
              <w:rPr>
                <w:lang w:eastAsia="en-US"/>
              </w:rPr>
            </w:pPr>
            <w:r w:rsidRPr="0006539A">
              <w:rPr>
                <w:lang w:eastAsia="en-US"/>
              </w:rPr>
              <w:t xml:space="preserve">5. Compliance and implementation </w:t>
            </w:r>
          </w:p>
        </w:tc>
      </w:tr>
      <w:tr w:rsidR="0006539A" w:rsidRPr="0006539A" w14:paraId="5F87EF5C" w14:textId="77777777" w:rsidTr="0006539A">
        <w:tc>
          <w:tcPr>
            <w:tcW w:w="2415" w:type="dxa"/>
            <w:shd w:val="clear" w:color="auto" w:fill="auto"/>
          </w:tcPr>
          <w:p w14:paraId="492B01A0" w14:textId="77777777" w:rsidR="0006539A" w:rsidRPr="0006539A" w:rsidRDefault="0006539A" w:rsidP="0006539A">
            <w:pPr>
              <w:spacing w:before="40" w:after="120"/>
              <w:ind w:right="113"/>
              <w:rPr>
                <w:lang w:eastAsia="en-US"/>
              </w:rPr>
            </w:pPr>
            <w:r w:rsidRPr="0006539A">
              <w:rPr>
                <w:lang w:eastAsia="en-US"/>
              </w:rPr>
              <w:t>Noon–1 p.m. and 3–4 p.m.</w:t>
            </w:r>
          </w:p>
        </w:tc>
        <w:tc>
          <w:tcPr>
            <w:tcW w:w="4955" w:type="dxa"/>
            <w:shd w:val="clear" w:color="auto" w:fill="auto"/>
          </w:tcPr>
          <w:p w14:paraId="11EA2B33" w14:textId="77777777" w:rsidR="0006539A" w:rsidRPr="0006539A" w:rsidRDefault="0006539A" w:rsidP="0006539A">
            <w:pPr>
              <w:spacing w:before="40" w:after="120"/>
              <w:ind w:right="113"/>
              <w:rPr>
                <w:lang w:eastAsia="en-US"/>
              </w:rPr>
            </w:pPr>
            <w:r w:rsidRPr="0006539A">
              <w:rPr>
                <w:lang w:eastAsia="en-US"/>
              </w:rPr>
              <w:t>(a) Review of compliance and related draft decisions</w:t>
            </w:r>
          </w:p>
        </w:tc>
      </w:tr>
      <w:tr w:rsidR="0006539A" w:rsidRPr="0006539A" w14:paraId="3E38E203" w14:textId="77777777" w:rsidTr="0006539A">
        <w:tc>
          <w:tcPr>
            <w:tcW w:w="2415" w:type="dxa"/>
            <w:shd w:val="clear" w:color="auto" w:fill="auto"/>
          </w:tcPr>
          <w:p w14:paraId="7CF68039" w14:textId="77777777" w:rsidR="0006539A" w:rsidRPr="0006539A" w:rsidRDefault="0006539A" w:rsidP="0006539A">
            <w:pPr>
              <w:spacing w:before="40" w:after="120"/>
              <w:ind w:right="113"/>
              <w:rPr>
                <w:lang w:eastAsia="en-US"/>
              </w:rPr>
            </w:pPr>
            <w:r w:rsidRPr="0006539A">
              <w:rPr>
                <w:lang w:eastAsia="en-US"/>
              </w:rPr>
              <w:t>4–5 p.m.</w:t>
            </w:r>
          </w:p>
        </w:tc>
        <w:tc>
          <w:tcPr>
            <w:tcW w:w="4955" w:type="dxa"/>
            <w:shd w:val="clear" w:color="auto" w:fill="auto"/>
          </w:tcPr>
          <w:p w14:paraId="17A208D0" w14:textId="77777777" w:rsidR="0006539A" w:rsidRPr="0006539A" w:rsidRDefault="0006539A" w:rsidP="0006539A">
            <w:pPr>
              <w:spacing w:before="40" w:after="120"/>
              <w:ind w:right="113"/>
              <w:rPr>
                <w:lang w:eastAsia="en-US"/>
              </w:rPr>
            </w:pPr>
            <w:r w:rsidRPr="0006539A">
              <w:rPr>
                <w:lang w:eastAsia="en-US"/>
              </w:rPr>
              <w:t>(b) Reporting and review of implementation</w:t>
            </w:r>
          </w:p>
        </w:tc>
      </w:tr>
      <w:tr w:rsidR="0006539A" w:rsidRPr="0006539A" w14:paraId="1157B7CB" w14:textId="77777777" w:rsidTr="0006539A">
        <w:tc>
          <w:tcPr>
            <w:tcW w:w="2415" w:type="dxa"/>
            <w:shd w:val="clear" w:color="auto" w:fill="auto"/>
          </w:tcPr>
          <w:p w14:paraId="27436DC0" w14:textId="77777777" w:rsidR="0006539A" w:rsidRPr="0006539A" w:rsidRDefault="0006539A" w:rsidP="0006539A">
            <w:pPr>
              <w:spacing w:before="40" w:after="120"/>
              <w:ind w:right="113"/>
              <w:rPr>
                <w:lang w:eastAsia="en-US"/>
              </w:rPr>
            </w:pPr>
            <w:r w:rsidRPr="0006539A">
              <w:rPr>
                <w:lang w:eastAsia="en-US"/>
              </w:rPr>
              <w:t>5–5.30 p.m.</w:t>
            </w:r>
          </w:p>
        </w:tc>
        <w:tc>
          <w:tcPr>
            <w:tcW w:w="4955" w:type="dxa"/>
            <w:shd w:val="clear" w:color="auto" w:fill="auto"/>
          </w:tcPr>
          <w:p w14:paraId="60D61E5D" w14:textId="77777777" w:rsidR="0006539A" w:rsidRPr="0006539A" w:rsidRDefault="0006539A" w:rsidP="0006539A">
            <w:pPr>
              <w:spacing w:before="40" w:after="120"/>
              <w:ind w:right="113"/>
              <w:rPr>
                <w:lang w:eastAsia="en-US"/>
              </w:rPr>
            </w:pPr>
            <w:r w:rsidRPr="0006539A">
              <w:rPr>
                <w:lang w:eastAsia="en-US"/>
              </w:rPr>
              <w:t>(c) Legislative assistance</w:t>
            </w:r>
          </w:p>
        </w:tc>
      </w:tr>
      <w:tr w:rsidR="0006539A" w:rsidRPr="0006539A" w14:paraId="5676CFFA" w14:textId="77777777" w:rsidTr="0006539A">
        <w:tc>
          <w:tcPr>
            <w:tcW w:w="2415" w:type="dxa"/>
            <w:shd w:val="clear" w:color="auto" w:fill="auto"/>
          </w:tcPr>
          <w:p w14:paraId="6D32B0B3" w14:textId="77777777" w:rsidR="0006539A" w:rsidRPr="0006539A" w:rsidRDefault="0006539A" w:rsidP="0006539A">
            <w:pPr>
              <w:spacing w:before="40" w:after="120"/>
              <w:ind w:right="113"/>
              <w:rPr>
                <w:b/>
                <w:bCs/>
                <w:lang w:eastAsia="en-US"/>
              </w:rPr>
            </w:pPr>
          </w:p>
        </w:tc>
        <w:tc>
          <w:tcPr>
            <w:tcW w:w="4955" w:type="dxa"/>
            <w:shd w:val="clear" w:color="auto" w:fill="auto"/>
          </w:tcPr>
          <w:p w14:paraId="4CB1A795" w14:textId="77777777" w:rsidR="0006539A" w:rsidRPr="0006539A" w:rsidRDefault="0006539A" w:rsidP="0006539A">
            <w:pPr>
              <w:spacing w:before="40" w:after="120"/>
              <w:ind w:right="113"/>
              <w:rPr>
                <w:lang w:eastAsia="en-US"/>
              </w:rPr>
            </w:pPr>
            <w:r w:rsidRPr="0006539A">
              <w:rPr>
                <w:lang w:eastAsia="en-US"/>
              </w:rPr>
              <w:t>6. Promoting practical application of the Convention and the Protocol</w:t>
            </w:r>
          </w:p>
        </w:tc>
      </w:tr>
      <w:tr w:rsidR="0006539A" w:rsidRPr="0006539A" w14:paraId="48A3A01D" w14:textId="77777777" w:rsidTr="0006539A">
        <w:tc>
          <w:tcPr>
            <w:tcW w:w="2415" w:type="dxa"/>
            <w:shd w:val="clear" w:color="auto" w:fill="auto"/>
          </w:tcPr>
          <w:p w14:paraId="27158349" w14:textId="77777777" w:rsidR="0006539A" w:rsidRPr="0006539A" w:rsidRDefault="0006539A" w:rsidP="0006539A">
            <w:pPr>
              <w:spacing w:before="40" w:after="120"/>
              <w:ind w:right="113"/>
              <w:rPr>
                <w:lang w:eastAsia="en-US"/>
              </w:rPr>
            </w:pPr>
            <w:r w:rsidRPr="0006539A">
              <w:rPr>
                <w:lang w:eastAsia="en-US"/>
              </w:rPr>
              <w:t xml:space="preserve">5.30–6 p.m. </w:t>
            </w:r>
          </w:p>
        </w:tc>
        <w:tc>
          <w:tcPr>
            <w:tcW w:w="4955" w:type="dxa"/>
            <w:shd w:val="clear" w:color="auto" w:fill="auto"/>
          </w:tcPr>
          <w:p w14:paraId="7F5A5CB6" w14:textId="77777777" w:rsidR="0006539A" w:rsidRPr="0006539A" w:rsidRDefault="0006539A" w:rsidP="0006539A">
            <w:pPr>
              <w:spacing w:before="40" w:after="120"/>
              <w:ind w:right="113"/>
              <w:rPr>
                <w:lang w:eastAsia="en-US"/>
              </w:rPr>
            </w:pPr>
            <w:r w:rsidRPr="0006539A">
              <w:rPr>
                <w:lang w:eastAsia="en-US"/>
              </w:rPr>
              <w:t>(a) Draft guidance on assessing health impacts in strategic environmental assessment</w:t>
            </w:r>
          </w:p>
        </w:tc>
      </w:tr>
      <w:tr w:rsidR="0006539A" w:rsidRPr="0006539A" w14:paraId="54D5A5EE" w14:textId="77777777" w:rsidTr="0006539A">
        <w:tc>
          <w:tcPr>
            <w:tcW w:w="2415" w:type="dxa"/>
            <w:shd w:val="clear" w:color="auto" w:fill="auto"/>
          </w:tcPr>
          <w:p w14:paraId="484244E3" w14:textId="77777777" w:rsidR="0006539A" w:rsidRPr="0006539A" w:rsidRDefault="0006539A" w:rsidP="0006539A">
            <w:pPr>
              <w:spacing w:before="40" w:after="120"/>
              <w:ind w:right="113"/>
              <w:rPr>
                <w:lang w:eastAsia="en-US"/>
              </w:rPr>
            </w:pPr>
            <w:r w:rsidRPr="0006539A">
              <w:rPr>
                <w:b/>
                <w:lang w:eastAsia="en-US"/>
              </w:rPr>
              <w:t>Thursday, 15 June 2023</w:t>
            </w:r>
          </w:p>
        </w:tc>
        <w:tc>
          <w:tcPr>
            <w:tcW w:w="4955" w:type="dxa"/>
            <w:shd w:val="clear" w:color="auto" w:fill="auto"/>
          </w:tcPr>
          <w:p w14:paraId="315995D4" w14:textId="77777777" w:rsidR="0006539A" w:rsidRPr="0006539A" w:rsidRDefault="0006539A" w:rsidP="0006539A">
            <w:pPr>
              <w:spacing w:before="40" w:after="120"/>
              <w:ind w:right="113"/>
              <w:rPr>
                <w:lang w:eastAsia="en-US"/>
              </w:rPr>
            </w:pPr>
          </w:p>
        </w:tc>
      </w:tr>
      <w:tr w:rsidR="0006539A" w:rsidRPr="0006539A" w14:paraId="5E83F7D1" w14:textId="77777777" w:rsidTr="0006539A">
        <w:tc>
          <w:tcPr>
            <w:tcW w:w="2415" w:type="dxa"/>
            <w:shd w:val="clear" w:color="auto" w:fill="auto"/>
          </w:tcPr>
          <w:p w14:paraId="20E8B3E7" w14:textId="77777777" w:rsidR="00F37AE2" w:rsidRDefault="00F37AE2" w:rsidP="0006539A">
            <w:pPr>
              <w:spacing w:before="40" w:after="120"/>
              <w:ind w:right="113"/>
              <w:rPr>
                <w:lang w:eastAsia="en-US"/>
              </w:rPr>
            </w:pPr>
          </w:p>
          <w:p w14:paraId="34FF4065" w14:textId="77777777" w:rsidR="00F37AE2" w:rsidRDefault="00F37AE2" w:rsidP="0006539A">
            <w:pPr>
              <w:spacing w:before="40" w:after="120"/>
              <w:ind w:right="113"/>
              <w:rPr>
                <w:lang w:eastAsia="en-US"/>
              </w:rPr>
            </w:pPr>
          </w:p>
          <w:p w14:paraId="234B72FB" w14:textId="77DB0F4C" w:rsidR="0006539A" w:rsidRPr="0006539A" w:rsidRDefault="0006539A" w:rsidP="0006539A">
            <w:pPr>
              <w:spacing w:before="40" w:after="120"/>
              <w:ind w:right="113"/>
              <w:rPr>
                <w:b/>
                <w:lang w:eastAsia="en-US"/>
              </w:rPr>
            </w:pPr>
            <w:r w:rsidRPr="0006539A">
              <w:rPr>
                <w:lang w:eastAsia="en-US"/>
              </w:rPr>
              <w:t>10–11 a.m.</w:t>
            </w:r>
          </w:p>
        </w:tc>
        <w:tc>
          <w:tcPr>
            <w:tcW w:w="4955" w:type="dxa"/>
            <w:shd w:val="clear" w:color="auto" w:fill="auto"/>
          </w:tcPr>
          <w:p w14:paraId="2086C0A8" w14:textId="77777777" w:rsidR="0006539A" w:rsidRPr="0006539A" w:rsidRDefault="0006539A" w:rsidP="0006539A">
            <w:pPr>
              <w:spacing w:before="40" w:after="120"/>
              <w:ind w:right="113"/>
              <w:rPr>
                <w:lang w:eastAsia="en-US"/>
              </w:rPr>
            </w:pPr>
            <w:r w:rsidRPr="0006539A">
              <w:rPr>
                <w:lang w:eastAsia="en-US"/>
              </w:rPr>
              <w:t xml:space="preserve">6. Promoting practical application of the Convention and the Protocol </w:t>
            </w:r>
            <w:r w:rsidRPr="0006539A">
              <w:rPr>
                <w:iCs/>
                <w:lang w:eastAsia="en-US"/>
              </w:rPr>
              <w:t>(continued)</w:t>
            </w:r>
          </w:p>
          <w:p w14:paraId="6C99ACB8" w14:textId="77777777" w:rsidR="0006539A" w:rsidRPr="0006539A" w:rsidRDefault="0006539A" w:rsidP="0006539A">
            <w:pPr>
              <w:spacing w:before="40" w:after="120"/>
              <w:ind w:right="113"/>
              <w:rPr>
                <w:lang w:eastAsia="en-US"/>
              </w:rPr>
            </w:pPr>
            <w:r w:rsidRPr="0006539A">
              <w:rPr>
                <w:lang w:eastAsia="en-US"/>
              </w:rPr>
              <w:t xml:space="preserve">(a) Draft guidance on assessing health impacts in strategic environmental assessment </w:t>
            </w:r>
            <w:r w:rsidRPr="0006539A">
              <w:rPr>
                <w:iCs/>
                <w:lang w:eastAsia="en-US"/>
              </w:rPr>
              <w:t>(continued)</w:t>
            </w:r>
          </w:p>
        </w:tc>
      </w:tr>
      <w:tr w:rsidR="0006539A" w:rsidRPr="0006539A" w14:paraId="414431DE" w14:textId="77777777" w:rsidTr="0006539A">
        <w:tc>
          <w:tcPr>
            <w:tcW w:w="2415" w:type="dxa"/>
            <w:shd w:val="clear" w:color="auto" w:fill="auto"/>
          </w:tcPr>
          <w:p w14:paraId="07C6F933" w14:textId="77777777" w:rsidR="0006539A" w:rsidRPr="0006539A" w:rsidRDefault="0006539A" w:rsidP="0006539A">
            <w:pPr>
              <w:spacing w:before="40" w:after="120"/>
              <w:ind w:right="113"/>
              <w:rPr>
                <w:lang w:eastAsia="en-US"/>
              </w:rPr>
            </w:pPr>
            <w:r w:rsidRPr="0006539A">
              <w:rPr>
                <w:lang w:eastAsia="en-US"/>
              </w:rPr>
              <w:t>11–11.30 a.m.</w:t>
            </w:r>
          </w:p>
        </w:tc>
        <w:tc>
          <w:tcPr>
            <w:tcW w:w="4955" w:type="dxa"/>
            <w:shd w:val="clear" w:color="auto" w:fill="auto"/>
          </w:tcPr>
          <w:p w14:paraId="7752DF0F" w14:textId="77777777" w:rsidR="0006539A" w:rsidRPr="0006539A" w:rsidRDefault="0006539A" w:rsidP="0006539A">
            <w:pPr>
              <w:spacing w:before="40" w:after="120"/>
              <w:ind w:right="113"/>
              <w:rPr>
                <w:lang w:eastAsia="en-US"/>
              </w:rPr>
            </w:pPr>
            <w:r w:rsidRPr="0006539A">
              <w:rPr>
                <w:lang w:eastAsia="en-US"/>
              </w:rPr>
              <w:t>(b) Subregional cooperation and capacity-building</w:t>
            </w:r>
          </w:p>
        </w:tc>
      </w:tr>
      <w:tr w:rsidR="0006539A" w:rsidRPr="0006539A" w14:paraId="3FBA3D7C" w14:textId="77777777" w:rsidTr="0006539A">
        <w:tc>
          <w:tcPr>
            <w:tcW w:w="2415" w:type="dxa"/>
            <w:shd w:val="clear" w:color="auto" w:fill="auto"/>
          </w:tcPr>
          <w:p w14:paraId="7039EF62" w14:textId="77777777" w:rsidR="0006539A" w:rsidRPr="0006539A" w:rsidRDefault="0006539A" w:rsidP="0006539A">
            <w:pPr>
              <w:spacing w:before="40" w:after="120"/>
              <w:ind w:right="113"/>
              <w:rPr>
                <w:lang w:eastAsia="en-US"/>
              </w:rPr>
            </w:pPr>
            <w:r w:rsidRPr="0006539A">
              <w:rPr>
                <w:lang w:eastAsia="en-US"/>
              </w:rPr>
              <w:t>11.30 a.m.–noon.</w:t>
            </w:r>
          </w:p>
        </w:tc>
        <w:tc>
          <w:tcPr>
            <w:tcW w:w="4955" w:type="dxa"/>
            <w:shd w:val="clear" w:color="auto" w:fill="auto"/>
          </w:tcPr>
          <w:p w14:paraId="79A1655B" w14:textId="77777777" w:rsidR="0006539A" w:rsidRPr="0006539A" w:rsidRDefault="0006539A" w:rsidP="0006539A">
            <w:pPr>
              <w:spacing w:before="40" w:after="120"/>
              <w:ind w:right="113"/>
              <w:rPr>
                <w:lang w:eastAsia="en-US"/>
              </w:rPr>
            </w:pPr>
            <w:r w:rsidRPr="0006539A">
              <w:rPr>
                <w:lang w:eastAsia="en-US"/>
              </w:rPr>
              <w:t xml:space="preserve">(c) Exchange of good practices </w:t>
            </w:r>
          </w:p>
        </w:tc>
      </w:tr>
      <w:tr w:rsidR="0006539A" w:rsidRPr="0006539A" w14:paraId="41856529" w14:textId="77777777" w:rsidTr="0006539A">
        <w:tc>
          <w:tcPr>
            <w:tcW w:w="2415" w:type="dxa"/>
            <w:shd w:val="clear" w:color="auto" w:fill="auto"/>
          </w:tcPr>
          <w:p w14:paraId="66D58766" w14:textId="77777777" w:rsidR="0006539A" w:rsidRPr="0006539A" w:rsidRDefault="0006539A" w:rsidP="0006539A">
            <w:pPr>
              <w:spacing w:before="40" w:after="120"/>
              <w:ind w:right="113"/>
              <w:rPr>
                <w:lang w:eastAsia="en-US"/>
              </w:rPr>
            </w:pPr>
            <w:r w:rsidRPr="0006539A">
              <w:rPr>
                <w:lang w:eastAsia="en-US"/>
              </w:rPr>
              <w:t>Noon–12.30 p.m.</w:t>
            </w:r>
          </w:p>
        </w:tc>
        <w:tc>
          <w:tcPr>
            <w:tcW w:w="4955" w:type="dxa"/>
            <w:shd w:val="clear" w:color="auto" w:fill="auto"/>
          </w:tcPr>
          <w:p w14:paraId="28B84D97" w14:textId="77777777" w:rsidR="0006539A" w:rsidRPr="0006539A" w:rsidRDefault="0006539A" w:rsidP="0006539A">
            <w:pPr>
              <w:spacing w:before="40" w:after="120"/>
              <w:ind w:right="113"/>
              <w:rPr>
                <w:lang w:eastAsia="en-US"/>
              </w:rPr>
            </w:pPr>
            <w:r w:rsidRPr="0006539A">
              <w:rPr>
                <w:lang w:eastAsia="en-US"/>
              </w:rPr>
              <w:t>(d) Capacity-building activities</w:t>
            </w:r>
          </w:p>
        </w:tc>
      </w:tr>
      <w:tr w:rsidR="0006539A" w:rsidRPr="0006539A" w14:paraId="140CC6BE" w14:textId="77777777" w:rsidTr="0006539A">
        <w:tc>
          <w:tcPr>
            <w:tcW w:w="2415" w:type="dxa"/>
            <w:shd w:val="clear" w:color="auto" w:fill="auto"/>
          </w:tcPr>
          <w:p w14:paraId="35869E6D" w14:textId="77777777" w:rsidR="0006539A" w:rsidRPr="0006539A" w:rsidRDefault="0006539A" w:rsidP="0006539A">
            <w:pPr>
              <w:spacing w:before="40" w:after="120"/>
              <w:ind w:right="113"/>
              <w:rPr>
                <w:lang w:eastAsia="en-US"/>
              </w:rPr>
            </w:pPr>
            <w:r w:rsidRPr="0006539A">
              <w:rPr>
                <w:lang w:eastAsia="en-US"/>
              </w:rPr>
              <w:t>12.30–1 p.m.</w:t>
            </w:r>
            <w:r w:rsidRPr="0006539A">
              <w:rPr>
                <w:lang w:eastAsia="en-US"/>
              </w:rPr>
              <w:br/>
            </w:r>
          </w:p>
        </w:tc>
        <w:tc>
          <w:tcPr>
            <w:tcW w:w="4955" w:type="dxa"/>
            <w:shd w:val="clear" w:color="auto" w:fill="auto"/>
          </w:tcPr>
          <w:p w14:paraId="08788ED9" w14:textId="77777777" w:rsidR="0006539A" w:rsidRPr="0006539A" w:rsidRDefault="0006539A" w:rsidP="0006539A">
            <w:pPr>
              <w:spacing w:before="40" w:after="120"/>
              <w:ind w:right="113"/>
              <w:rPr>
                <w:lang w:eastAsia="en-US"/>
              </w:rPr>
            </w:pPr>
            <w:r w:rsidRPr="0006539A">
              <w:rPr>
                <w:lang w:eastAsia="en-US"/>
              </w:rPr>
              <w:t>7. Management, coordination and visibility of intersessional activities</w:t>
            </w:r>
          </w:p>
        </w:tc>
      </w:tr>
      <w:tr w:rsidR="0006539A" w:rsidRPr="0006539A" w14:paraId="2D9C56AA" w14:textId="77777777" w:rsidTr="0006539A">
        <w:tc>
          <w:tcPr>
            <w:tcW w:w="2415" w:type="dxa"/>
            <w:shd w:val="clear" w:color="auto" w:fill="auto"/>
          </w:tcPr>
          <w:p w14:paraId="49312B6F" w14:textId="77777777" w:rsidR="0006539A" w:rsidRPr="0006539A" w:rsidRDefault="0006539A" w:rsidP="0006539A">
            <w:pPr>
              <w:spacing w:before="40" w:after="120"/>
              <w:ind w:right="113"/>
              <w:rPr>
                <w:bCs/>
                <w:lang w:eastAsia="en-US"/>
              </w:rPr>
            </w:pPr>
            <w:r w:rsidRPr="0006539A">
              <w:rPr>
                <w:bCs/>
                <w:lang w:eastAsia="en-US"/>
              </w:rPr>
              <w:t>3</w:t>
            </w:r>
            <w:r w:rsidRPr="0006539A">
              <w:rPr>
                <w:lang w:eastAsia="en-US"/>
              </w:rPr>
              <w:t>–</w:t>
            </w:r>
            <w:r w:rsidRPr="0006539A">
              <w:rPr>
                <w:bCs/>
                <w:lang w:eastAsia="en-US"/>
              </w:rPr>
              <w:t>3.30 p.m.</w:t>
            </w:r>
          </w:p>
        </w:tc>
        <w:tc>
          <w:tcPr>
            <w:tcW w:w="4955" w:type="dxa"/>
            <w:shd w:val="clear" w:color="auto" w:fill="auto"/>
          </w:tcPr>
          <w:p w14:paraId="7E5C14F1" w14:textId="77777777" w:rsidR="0006539A" w:rsidRPr="0006539A" w:rsidRDefault="0006539A" w:rsidP="0006539A">
            <w:pPr>
              <w:spacing w:before="40" w:after="120"/>
              <w:ind w:right="113"/>
              <w:rPr>
                <w:lang w:eastAsia="en-US"/>
              </w:rPr>
            </w:pPr>
            <w:r w:rsidRPr="0006539A">
              <w:rPr>
                <w:lang w:eastAsia="en-US"/>
              </w:rPr>
              <w:t>8. Related events</w:t>
            </w:r>
          </w:p>
        </w:tc>
      </w:tr>
      <w:tr w:rsidR="0006539A" w:rsidRPr="0006539A" w14:paraId="0AD4F841" w14:textId="77777777" w:rsidTr="0006539A">
        <w:tc>
          <w:tcPr>
            <w:tcW w:w="2415" w:type="dxa"/>
            <w:shd w:val="clear" w:color="auto" w:fill="auto"/>
          </w:tcPr>
          <w:p w14:paraId="61B58E00" w14:textId="77777777" w:rsidR="0006539A" w:rsidRPr="0006539A" w:rsidRDefault="0006539A" w:rsidP="0006539A">
            <w:pPr>
              <w:spacing w:before="40" w:after="120"/>
              <w:ind w:right="113"/>
              <w:rPr>
                <w:bCs/>
                <w:lang w:eastAsia="en-US"/>
              </w:rPr>
            </w:pPr>
            <w:r w:rsidRPr="0006539A">
              <w:rPr>
                <w:bCs/>
                <w:lang w:eastAsia="en-US"/>
              </w:rPr>
              <w:t>3.30</w:t>
            </w:r>
            <w:r w:rsidRPr="0006539A">
              <w:rPr>
                <w:lang w:eastAsia="en-US"/>
              </w:rPr>
              <w:t>–</w:t>
            </w:r>
            <w:r w:rsidRPr="0006539A">
              <w:rPr>
                <w:bCs/>
                <w:lang w:eastAsia="en-US"/>
              </w:rPr>
              <w:t>4 p.m.</w:t>
            </w:r>
          </w:p>
        </w:tc>
        <w:tc>
          <w:tcPr>
            <w:tcW w:w="4955" w:type="dxa"/>
            <w:shd w:val="clear" w:color="auto" w:fill="auto"/>
          </w:tcPr>
          <w:p w14:paraId="0D157277" w14:textId="77777777" w:rsidR="0006539A" w:rsidRPr="0006539A" w:rsidRDefault="0006539A" w:rsidP="0006539A">
            <w:pPr>
              <w:spacing w:before="40" w:after="120"/>
              <w:ind w:right="113"/>
              <w:rPr>
                <w:lang w:eastAsia="en-US"/>
              </w:rPr>
            </w:pPr>
            <w:r w:rsidRPr="0006539A">
              <w:rPr>
                <w:lang w:eastAsia="en-US"/>
              </w:rPr>
              <w:t>9. Other business</w:t>
            </w:r>
          </w:p>
        </w:tc>
      </w:tr>
      <w:tr w:rsidR="0006539A" w:rsidRPr="0006539A" w14:paraId="65319023" w14:textId="77777777" w:rsidTr="0006539A">
        <w:tc>
          <w:tcPr>
            <w:tcW w:w="2415" w:type="dxa"/>
            <w:tcBorders>
              <w:bottom w:val="single" w:sz="12" w:space="0" w:color="auto"/>
            </w:tcBorders>
            <w:shd w:val="clear" w:color="auto" w:fill="auto"/>
          </w:tcPr>
          <w:p w14:paraId="274491DC" w14:textId="77777777" w:rsidR="0006539A" w:rsidRPr="0006539A" w:rsidRDefault="0006539A" w:rsidP="0006539A">
            <w:pPr>
              <w:spacing w:before="40" w:after="120"/>
              <w:ind w:right="113"/>
              <w:rPr>
                <w:lang w:eastAsia="en-US"/>
              </w:rPr>
            </w:pPr>
            <w:r w:rsidRPr="0006539A">
              <w:rPr>
                <w:lang w:eastAsia="en-US"/>
              </w:rPr>
              <w:t>4–6 p.m.</w:t>
            </w:r>
          </w:p>
        </w:tc>
        <w:tc>
          <w:tcPr>
            <w:tcW w:w="4955" w:type="dxa"/>
            <w:tcBorders>
              <w:bottom w:val="single" w:sz="12" w:space="0" w:color="auto"/>
            </w:tcBorders>
            <w:shd w:val="clear" w:color="auto" w:fill="auto"/>
          </w:tcPr>
          <w:p w14:paraId="0C9C59E6" w14:textId="77777777" w:rsidR="0006539A" w:rsidRPr="0006539A" w:rsidRDefault="0006539A" w:rsidP="0006539A">
            <w:pPr>
              <w:spacing w:before="40" w:after="120"/>
              <w:ind w:right="113"/>
              <w:rPr>
                <w:lang w:eastAsia="en-US"/>
              </w:rPr>
            </w:pPr>
            <w:r w:rsidRPr="0006539A">
              <w:rPr>
                <w:lang w:eastAsia="en-US"/>
              </w:rPr>
              <w:t>10. Presentation of the main decisions taken and closing of the meeting</w:t>
            </w:r>
          </w:p>
        </w:tc>
      </w:tr>
    </w:tbl>
    <w:p w14:paraId="68705EE1" w14:textId="77777777" w:rsidR="007211C0" w:rsidRDefault="007211C0" w:rsidP="00956E75">
      <w:pPr>
        <w:pStyle w:val="SingleTxtG"/>
      </w:pPr>
    </w:p>
    <w:p w14:paraId="00C444DA" w14:textId="04921D2A" w:rsidR="007E227E" w:rsidRPr="007E227E" w:rsidRDefault="007E227E" w:rsidP="007E227E">
      <w:pPr>
        <w:spacing w:before="240"/>
        <w:jc w:val="center"/>
        <w:rPr>
          <w:u w:val="single"/>
        </w:rPr>
      </w:pPr>
      <w:r>
        <w:rPr>
          <w:u w:val="single"/>
        </w:rPr>
        <w:tab/>
      </w:r>
      <w:r>
        <w:rPr>
          <w:u w:val="single"/>
        </w:rPr>
        <w:tab/>
      </w:r>
      <w:r>
        <w:rPr>
          <w:u w:val="single"/>
        </w:rPr>
        <w:tab/>
      </w:r>
    </w:p>
    <w:sectPr w:rsidR="007E227E" w:rsidRPr="007E227E" w:rsidSect="00832DF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9D9F" w14:textId="77777777" w:rsidR="002F5B1C" w:rsidRDefault="002F5B1C"/>
  </w:endnote>
  <w:endnote w:type="continuationSeparator" w:id="0">
    <w:p w14:paraId="2BAF1E76" w14:textId="77777777" w:rsidR="002F5B1C" w:rsidRDefault="002F5B1C"/>
  </w:endnote>
  <w:endnote w:type="continuationNotice" w:id="1">
    <w:p w14:paraId="744D9059" w14:textId="77777777" w:rsidR="002F5B1C" w:rsidRDefault="002F5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321F" w14:textId="4124C440" w:rsidR="00832DF6" w:rsidRPr="00832DF6" w:rsidRDefault="00832DF6" w:rsidP="00832DF6">
    <w:pPr>
      <w:pStyle w:val="Footer"/>
      <w:tabs>
        <w:tab w:val="right" w:pos="9638"/>
      </w:tabs>
      <w:rPr>
        <w:sz w:val="18"/>
      </w:rPr>
    </w:pPr>
    <w:r w:rsidRPr="00832DF6">
      <w:rPr>
        <w:b/>
        <w:sz w:val="18"/>
      </w:rPr>
      <w:fldChar w:fldCharType="begin"/>
    </w:r>
    <w:r w:rsidRPr="00832DF6">
      <w:rPr>
        <w:b/>
        <w:sz w:val="18"/>
      </w:rPr>
      <w:instrText xml:space="preserve"> PAGE  \* MERGEFORMAT </w:instrText>
    </w:r>
    <w:r w:rsidRPr="00832DF6">
      <w:rPr>
        <w:b/>
        <w:sz w:val="18"/>
      </w:rPr>
      <w:fldChar w:fldCharType="separate"/>
    </w:r>
    <w:r w:rsidRPr="00832DF6">
      <w:rPr>
        <w:b/>
        <w:noProof/>
        <w:sz w:val="18"/>
      </w:rPr>
      <w:t>2</w:t>
    </w:r>
    <w:r w:rsidRPr="00832DF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EDAD" w14:textId="0F410423" w:rsidR="00832DF6" w:rsidRPr="00832DF6" w:rsidRDefault="00832DF6" w:rsidP="00832DF6">
    <w:pPr>
      <w:pStyle w:val="Footer"/>
      <w:tabs>
        <w:tab w:val="right" w:pos="9638"/>
      </w:tabs>
      <w:rPr>
        <w:b/>
        <w:sz w:val="18"/>
      </w:rPr>
    </w:pPr>
    <w:r>
      <w:tab/>
    </w:r>
    <w:r w:rsidRPr="00832DF6">
      <w:rPr>
        <w:b/>
        <w:sz w:val="18"/>
      </w:rPr>
      <w:fldChar w:fldCharType="begin"/>
    </w:r>
    <w:r w:rsidRPr="00832DF6">
      <w:rPr>
        <w:b/>
        <w:sz w:val="18"/>
      </w:rPr>
      <w:instrText xml:space="preserve"> PAGE  \* MERGEFORMAT </w:instrText>
    </w:r>
    <w:r w:rsidRPr="00832DF6">
      <w:rPr>
        <w:b/>
        <w:sz w:val="18"/>
      </w:rPr>
      <w:fldChar w:fldCharType="separate"/>
    </w:r>
    <w:r w:rsidRPr="00832DF6">
      <w:rPr>
        <w:b/>
        <w:noProof/>
        <w:sz w:val="18"/>
      </w:rPr>
      <w:t>3</w:t>
    </w:r>
    <w:r w:rsidRPr="00832D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3FA0" w14:textId="0864BE6D" w:rsidR="0035223F" w:rsidRDefault="001B1553" w:rsidP="001B1553">
    <w:pPr>
      <w:pStyle w:val="Footer"/>
      <w:jc w:val="right"/>
      <w:rPr>
        <w:sz w:val="20"/>
      </w:rPr>
    </w:pPr>
    <w:bookmarkStart w:id="41" w:name="_GoBack"/>
    <w:bookmarkEnd w:id="41"/>
    <w:r w:rsidRPr="001B1553">
      <w:rPr>
        <w:noProof/>
        <w:sz w:val="20"/>
        <w:lang w:val="en-US" w:eastAsia="zh-CN"/>
      </w:rPr>
      <w:drawing>
        <wp:anchor distT="0" distB="0" distL="114300" distR="114300" simplePos="0" relativeHeight="251659264" behindDoc="1" locked="1" layoutInCell="1" allowOverlap="1" wp14:anchorId="32B6265B" wp14:editId="10EA525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EA1CA3" w14:textId="757A0706" w:rsidR="001B1553" w:rsidRPr="001B1553" w:rsidRDefault="001B1553" w:rsidP="001B1553">
    <w:pPr>
      <w:pStyle w:val="Footer"/>
      <w:ind w:right="1134"/>
      <w:rPr>
        <w:sz w:val="20"/>
      </w:rPr>
    </w:pPr>
    <w:r>
      <w:rPr>
        <w:sz w:val="20"/>
      </w:rPr>
      <w:t>GE.23-05414(E)</w:t>
    </w:r>
    <w:r>
      <w:rPr>
        <w:noProof/>
        <w:sz w:val="20"/>
      </w:rPr>
      <w:drawing>
        <wp:anchor distT="0" distB="0" distL="114300" distR="114300" simplePos="0" relativeHeight="251660288" behindDoc="0" locked="0" layoutInCell="1" allowOverlap="1" wp14:anchorId="17116D8B" wp14:editId="1EA55F5B">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FC80" w14:textId="4F9DE46A" w:rsidR="0033759A" w:rsidRPr="00832DF6" w:rsidRDefault="0033759A" w:rsidP="0033759A">
    <w:pPr>
      <w:pStyle w:val="Footer"/>
      <w:jc w:val="right"/>
      <w:rPr>
        <w:sz w:val="20"/>
      </w:rPr>
    </w:pPr>
    <w:r>
      <w:rPr>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0342" w14:textId="77777777" w:rsidR="002F5B1C" w:rsidRPr="000B175B" w:rsidRDefault="002F5B1C" w:rsidP="000B175B">
      <w:pPr>
        <w:tabs>
          <w:tab w:val="right" w:pos="2155"/>
        </w:tabs>
        <w:spacing w:after="80"/>
        <w:ind w:left="680"/>
        <w:rPr>
          <w:u w:val="single"/>
        </w:rPr>
      </w:pPr>
      <w:r>
        <w:rPr>
          <w:u w:val="single"/>
        </w:rPr>
        <w:tab/>
      </w:r>
    </w:p>
  </w:footnote>
  <w:footnote w:type="continuationSeparator" w:id="0">
    <w:p w14:paraId="10C1075C" w14:textId="77777777" w:rsidR="002F5B1C" w:rsidRPr="00FC68B7" w:rsidRDefault="002F5B1C" w:rsidP="00FC68B7">
      <w:pPr>
        <w:tabs>
          <w:tab w:val="left" w:pos="2155"/>
        </w:tabs>
        <w:spacing w:after="80"/>
        <w:ind w:left="680"/>
        <w:rPr>
          <w:u w:val="single"/>
        </w:rPr>
      </w:pPr>
      <w:r>
        <w:rPr>
          <w:u w:val="single"/>
        </w:rPr>
        <w:tab/>
      </w:r>
    </w:p>
  </w:footnote>
  <w:footnote w:type="continuationNotice" w:id="1">
    <w:p w14:paraId="44A237B8" w14:textId="77777777" w:rsidR="002F5B1C" w:rsidRDefault="002F5B1C"/>
  </w:footnote>
  <w:footnote w:id="2">
    <w:p w14:paraId="018A47F0" w14:textId="77777777" w:rsidR="00C02421" w:rsidRPr="006C507F" w:rsidRDefault="00C02421" w:rsidP="00C02421">
      <w:pPr>
        <w:pStyle w:val="FootnoteText"/>
      </w:pPr>
      <w:r>
        <w:rPr>
          <w:b/>
          <w:bCs/>
        </w:rPr>
        <w:tab/>
      </w:r>
      <w:r w:rsidRPr="006C63B8">
        <w:rPr>
          <w:rStyle w:val="FootnoteReference"/>
          <w:b/>
          <w:bCs/>
        </w:rPr>
        <w:t>*</w:t>
      </w:r>
      <w:r w:rsidRPr="006C63B8">
        <w:rPr>
          <w:b/>
          <w:bCs/>
        </w:rPr>
        <w:tab/>
      </w:r>
      <w:bookmarkStart w:id="0" w:name="_Hlk17963238"/>
      <w:r w:rsidRPr="006C507F">
        <w:t xml:space="preserve">In accordance with the accreditation procedures for meetings at the Palais des Nations, delegates are </w:t>
      </w:r>
      <w:r w:rsidRPr="001D4F66">
        <w:t xml:space="preserve">requested to register online no later than three weeks prior to the meeting, </w:t>
      </w:r>
      <w:r>
        <w:t>that is,</w:t>
      </w:r>
      <w:r w:rsidRPr="001D4F66">
        <w:t xml:space="preserve"> by </w:t>
      </w:r>
      <w:r>
        <w:t>11 May</w:t>
      </w:r>
      <w:r w:rsidRPr="001D4F66">
        <w:t xml:space="preserve"> 20</w:t>
      </w:r>
      <w:r>
        <w:t>23</w:t>
      </w:r>
      <w:r w:rsidRPr="001D4F66">
        <w:t xml:space="preserve">, through the </w:t>
      </w:r>
      <w:r w:rsidRPr="006F6B19">
        <w:t>following link:</w:t>
      </w:r>
      <w:r w:rsidRPr="00C02421">
        <w:rPr>
          <w:rFonts w:ascii="Calibri" w:eastAsia="DengXian" w:hAnsi="Calibri" w:cs="Calibri"/>
          <w:sz w:val="22"/>
          <w:szCs w:val="22"/>
          <w:lang w:eastAsia="zh-CN"/>
        </w:rPr>
        <w:t xml:space="preserve"> </w:t>
      </w:r>
      <w:hyperlink r:id="rId1" w:history="1">
        <w:r w:rsidRPr="00B21BEE">
          <w:rPr>
            <w:rStyle w:val="Hyperlink"/>
            <w:color w:val="auto"/>
          </w:rPr>
          <w:t>https://indico.un.org/event/1002170/</w:t>
        </w:r>
      </w:hyperlink>
      <w:r w:rsidRPr="00B21BEE">
        <w:t xml:space="preserve">. </w:t>
      </w:r>
      <w:bookmarkEnd w:id="0"/>
      <w:r w:rsidRPr="00B21BEE">
        <w:t xml:space="preserve">The meeting will be held in-person. On the day of the meeting, delegates should obtain an identification badge to access the Palais des Nations (see map and other practical information available from the United Nations Economic Commission for Europe website: </w:t>
      </w:r>
      <w:hyperlink r:id="rId2" w:history="1">
        <w:r w:rsidRPr="00B21BEE">
          <w:rPr>
            <w:rStyle w:val="Hyperlink"/>
            <w:color w:val="auto"/>
          </w:rPr>
          <w:t>www.unece.org/meetings/practical.html</w:t>
        </w:r>
      </w:hyperlink>
      <w:r w:rsidRPr="00B21BEE">
        <w:t>). Please collect your badge well in advance. For further guidance on registration, please see the meeting web page (</w:t>
      </w:r>
      <w:hyperlink r:id="rId3" w:history="1">
        <w:r w:rsidRPr="00B21BEE">
          <w:rPr>
            <w:rStyle w:val="Hyperlink"/>
            <w:color w:val="auto"/>
          </w:rPr>
          <w:t>https://unece.org/environmental-policy/events/working-group-eia-and-sea-espoo-convention-12th-meeting</w:t>
        </w:r>
      </w:hyperlink>
      <w:r w:rsidRPr="00B21BEE">
        <w:rPr>
          <w:rStyle w:val="Hyperlink"/>
          <w:color w:val="auto"/>
        </w:rPr>
        <w:t>)</w:t>
      </w:r>
      <w:r w:rsidRPr="00B21BEE">
        <w:t xml:space="preserve"> and/o</w:t>
      </w:r>
      <w:r w:rsidRPr="009E40AA">
        <w:t>r contact the secretariat by email (maricar.delacruz@un.org; eia.conv@un.org) for assistance</w:t>
      </w:r>
      <w:r>
        <w:t xml:space="preserve">. </w:t>
      </w:r>
      <w:r w:rsidRPr="006C507F">
        <w:t>In case of difficulty, please contact the Convention secretariat by telephone at +41 22 917</w:t>
      </w:r>
      <w:r w:rsidRPr="004255A7">
        <w:t>26 82</w:t>
      </w:r>
      <w:r w:rsidRPr="006C507F">
        <w:t>.</w:t>
      </w:r>
    </w:p>
  </w:footnote>
  <w:footnote w:id="3">
    <w:p w14:paraId="48E79535" w14:textId="77777777" w:rsidR="00C02421" w:rsidRPr="002618F2" w:rsidRDefault="00C02421" w:rsidP="00C02421">
      <w:pPr>
        <w:pStyle w:val="FootnoteText"/>
      </w:pPr>
      <w:r>
        <w:tab/>
      </w:r>
      <w:r w:rsidRPr="00B917F4">
        <w:rPr>
          <w:rStyle w:val="FootnoteReference"/>
        </w:rPr>
        <w:footnoteRef/>
      </w:r>
      <w:r w:rsidRPr="00B917F4">
        <w:tab/>
        <w:t xml:space="preserve">All meeting </w:t>
      </w:r>
      <w:r w:rsidRPr="00BE6BD9">
        <w:t>documentation</w:t>
      </w:r>
      <w:r w:rsidRPr="00B917F4">
        <w:t xml:space="preserve"> will be made available on a dedicated web page for the meeting on the </w:t>
      </w:r>
      <w:r>
        <w:t xml:space="preserve">United Nations </w:t>
      </w:r>
      <w:r w:rsidRPr="00B917F4">
        <w:t xml:space="preserve">Economic Commission for Europe </w:t>
      </w:r>
      <w:r>
        <w:t xml:space="preserve">(ECE) </w:t>
      </w:r>
      <w:r w:rsidRPr="00B917F4">
        <w:t>website</w:t>
      </w:r>
      <w:r>
        <w:t xml:space="preserve">: </w:t>
      </w:r>
      <w:hyperlink r:id="rId4" w:history="1">
        <w:r w:rsidRPr="004772A4">
          <w:rPr>
            <w:rStyle w:val="Hyperlink"/>
            <w:color w:val="auto"/>
          </w:rPr>
          <w:t>https://unece.org/info/events/event/364361</w:t>
        </w:r>
      </w:hyperlink>
      <w:r w:rsidRPr="004772A4">
        <w:t xml:space="preserve">.  Please </w:t>
      </w:r>
      <w:r w:rsidRPr="002618F2">
        <w:t>note that documents with symbols ending in “INF.” and a number are informal documents and can be located in the documents table by clicking on the “Informal Documents” tab.</w:t>
      </w:r>
    </w:p>
  </w:footnote>
  <w:footnote w:id="4">
    <w:p w14:paraId="0EC2733D" w14:textId="5BAFEF4B" w:rsidR="003236FA" w:rsidRPr="0036331F" w:rsidRDefault="003236FA" w:rsidP="003236FA">
      <w:pPr>
        <w:pStyle w:val="FootnoteText"/>
      </w:pPr>
      <w:r>
        <w:tab/>
      </w:r>
      <w:r>
        <w:rPr>
          <w:rStyle w:val="FootnoteReference"/>
        </w:rPr>
        <w:footnoteRef/>
      </w:r>
      <w:r>
        <w:t xml:space="preserve"> </w:t>
      </w:r>
      <w:r>
        <w:tab/>
      </w:r>
      <w:r>
        <w:tab/>
      </w:r>
      <w:r w:rsidRPr="004B0037">
        <w:t>Available at https://unece.org/sites/default/files/2021-02/Implementation%20Committee%20structure%20functions%20procedures%20rules.e%202020.pdf</w:t>
      </w:r>
    </w:p>
  </w:footnote>
  <w:footnote w:id="5">
    <w:p w14:paraId="1CF22C03" w14:textId="77777777" w:rsidR="00935840" w:rsidRPr="00A360E7" w:rsidRDefault="00935840" w:rsidP="00935840">
      <w:pPr>
        <w:pStyle w:val="FootnoteText"/>
        <w:rPr>
          <w:lang w:val="es-ES"/>
        </w:rPr>
      </w:pPr>
      <w:r>
        <w:tab/>
      </w:r>
      <w:r>
        <w:rPr>
          <w:rStyle w:val="FootnoteReference"/>
        </w:rPr>
        <w:footnoteRef/>
      </w:r>
      <w:r w:rsidRPr="0000509E">
        <w:rPr>
          <w:lang w:val="es-ES"/>
        </w:rPr>
        <w:tab/>
      </w:r>
      <w:r w:rsidRPr="00AE13C5">
        <w:rPr>
          <w:lang w:val="es-ES"/>
        </w:rPr>
        <w:t xml:space="preserve">ECE/MP.EIA/30–ECE/MP.EIA/SEA/13, para. </w:t>
      </w:r>
      <w:r w:rsidRPr="00A360E7">
        <w:rPr>
          <w:lang w:val="es-ES"/>
        </w:rPr>
        <w:t>33; and ECE/MP.EIA/30/Add.1</w:t>
      </w:r>
      <w:r w:rsidRPr="00AE13C5">
        <w:rPr>
          <w:lang w:val="es-ES"/>
        </w:rPr>
        <w:t>–</w:t>
      </w:r>
      <w:r w:rsidRPr="00A360E7">
        <w:rPr>
          <w:lang w:val="es-ES"/>
        </w:rPr>
        <w:t>ECE/MP.EIA/SEA/13/Add.1</w:t>
      </w:r>
      <w:r w:rsidRPr="0036331F">
        <w:rPr>
          <w:lang w:val="es-ES"/>
        </w:rPr>
        <w:t xml:space="preserve">, </w:t>
      </w:r>
      <w:proofErr w:type="spellStart"/>
      <w:r w:rsidRPr="0036331F">
        <w:rPr>
          <w:lang w:val="es-ES"/>
        </w:rPr>
        <w:t>annex</w:t>
      </w:r>
      <w:proofErr w:type="spellEnd"/>
      <w:r w:rsidRPr="0036331F">
        <w:rPr>
          <w:lang w:val="es-ES"/>
        </w:rPr>
        <w:t xml:space="preserve"> III, </w:t>
      </w:r>
      <w:proofErr w:type="spellStart"/>
      <w:r w:rsidRPr="0036331F">
        <w:rPr>
          <w:lang w:val="es-ES"/>
        </w:rPr>
        <w:t>decision</w:t>
      </w:r>
      <w:proofErr w:type="spellEnd"/>
      <w:r w:rsidRPr="0036331F">
        <w:rPr>
          <w:lang w:val="es-ES"/>
        </w:rPr>
        <w:t xml:space="preserve"> VIII/3</w:t>
      </w:r>
      <w:r>
        <w:rPr>
          <w:lang w:val="es-ES"/>
        </w:rPr>
        <w:t>–</w:t>
      </w:r>
      <w:r w:rsidRPr="0036331F">
        <w:rPr>
          <w:lang w:val="es-ES"/>
        </w:rPr>
        <w:t xml:space="preserve">IV/3, </w:t>
      </w:r>
      <w:proofErr w:type="spellStart"/>
      <w:r w:rsidRPr="0036331F">
        <w:rPr>
          <w:lang w:val="es-ES"/>
        </w:rPr>
        <w:t>annex</w:t>
      </w:r>
      <w:proofErr w:type="spellEnd"/>
      <w:r w:rsidRPr="0036331F">
        <w:rPr>
          <w:lang w:val="es-ES"/>
        </w:rPr>
        <w:t xml:space="preserve">, </w:t>
      </w:r>
      <w:proofErr w:type="spellStart"/>
      <w:r w:rsidRPr="0036331F">
        <w:rPr>
          <w:lang w:val="es-ES"/>
        </w:rPr>
        <w:t>Vilnius</w:t>
      </w:r>
      <w:proofErr w:type="spellEnd"/>
      <w:r w:rsidRPr="0036331F">
        <w:rPr>
          <w:lang w:val="es-ES"/>
        </w:rPr>
        <w:t xml:space="preserve"> </w:t>
      </w:r>
      <w:proofErr w:type="spellStart"/>
      <w:r w:rsidRPr="0036331F">
        <w:rPr>
          <w:lang w:val="es-ES"/>
        </w:rPr>
        <w:t>Declaration</w:t>
      </w:r>
      <w:proofErr w:type="spellEnd"/>
      <w:r w:rsidRPr="0036331F">
        <w:rPr>
          <w:lang w:val="es-ES"/>
        </w:rPr>
        <w:t>, para. 13.</w:t>
      </w:r>
    </w:p>
  </w:footnote>
  <w:footnote w:id="6">
    <w:p w14:paraId="0BF922E4" w14:textId="77777777" w:rsidR="006B7757" w:rsidRPr="00E352A3" w:rsidRDefault="006B7757" w:rsidP="006B7757">
      <w:pPr>
        <w:pStyle w:val="FootnoteText"/>
        <w:rPr>
          <w:lang w:val="es-ES"/>
        </w:rPr>
      </w:pPr>
      <w:r w:rsidRPr="009E42BC">
        <w:rPr>
          <w:lang w:val="es-ES"/>
        </w:rPr>
        <w:tab/>
      </w:r>
      <w:r>
        <w:rPr>
          <w:rStyle w:val="FootnoteReference"/>
        </w:rPr>
        <w:footnoteRef/>
      </w:r>
      <w:r w:rsidRPr="00E352A3">
        <w:rPr>
          <w:lang w:val="es-ES"/>
        </w:rPr>
        <w:tab/>
        <w:t xml:space="preserve"> ECE/MP.EIA/30/Add.1–ECE/MP.EIA/SEA/13/Add.1, </w:t>
      </w:r>
      <w:proofErr w:type="spellStart"/>
      <w:r w:rsidRPr="00E352A3">
        <w:rPr>
          <w:lang w:val="es-ES"/>
        </w:rPr>
        <w:t>decision</w:t>
      </w:r>
      <w:proofErr w:type="spellEnd"/>
      <w:r w:rsidRPr="00E352A3">
        <w:rPr>
          <w:lang w:val="es-ES"/>
        </w:rPr>
        <w:t xml:space="preserve"> VIII/2–IV/2, </w:t>
      </w:r>
      <w:proofErr w:type="spellStart"/>
      <w:r w:rsidRPr="00E352A3">
        <w:rPr>
          <w:lang w:val="es-ES"/>
        </w:rPr>
        <w:t>annex</w:t>
      </w:r>
      <w:proofErr w:type="spellEnd"/>
      <w:r w:rsidRPr="00E352A3">
        <w:rPr>
          <w:lang w:val="es-ES"/>
        </w:rPr>
        <w:t xml:space="preserve"> I, </w:t>
      </w:r>
      <w:proofErr w:type="spellStart"/>
      <w:r w:rsidRPr="00E352A3">
        <w:rPr>
          <w:lang w:val="es-ES"/>
        </w:rPr>
        <w:t>item</w:t>
      </w:r>
      <w:proofErr w:type="spellEnd"/>
      <w:r w:rsidRPr="00E352A3">
        <w:rPr>
          <w:lang w:val="es-ES"/>
        </w:rPr>
        <w:t xml:space="preserve"> III.B.3.</w:t>
      </w:r>
    </w:p>
  </w:footnote>
  <w:footnote w:id="7">
    <w:p w14:paraId="5A2111A1" w14:textId="77777777" w:rsidR="007211C0" w:rsidRPr="00200414" w:rsidRDefault="007211C0" w:rsidP="007211C0">
      <w:pPr>
        <w:pStyle w:val="FootnoteText"/>
      </w:pPr>
      <w:r w:rsidRPr="00E352A3">
        <w:rPr>
          <w:lang w:val="es-ES"/>
        </w:rPr>
        <w:tab/>
      </w:r>
      <w:r>
        <w:rPr>
          <w:rStyle w:val="FootnoteReference"/>
        </w:rPr>
        <w:footnoteRef/>
      </w:r>
      <w:r>
        <w:t xml:space="preserve">  </w:t>
      </w:r>
      <w:r>
        <w:tab/>
        <w:t xml:space="preserve">See the note of 10 November 2020, as revised on 27 November 2020, available under “Informal documents” </w:t>
      </w:r>
      <w:r w:rsidRPr="00200414">
        <w:t xml:space="preserve">tab at </w:t>
      </w:r>
      <w:hyperlink r:id="rId5" w:history="1">
        <w:r w:rsidRPr="00200414">
          <w:rPr>
            <w:rStyle w:val="Hyperlink"/>
            <w:color w:val="auto"/>
          </w:rPr>
          <w:t>https://unece.org/environmental-policy/events/meeting-parties-espoo-convention-8th-session-and-meeting-parties</w:t>
        </w:r>
      </w:hyperlink>
      <w:r w:rsidRPr="0020041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6008" w14:textId="3B0F8C5A" w:rsidR="00832DF6" w:rsidRPr="00832DF6" w:rsidRDefault="00FD0F6F">
    <w:pPr>
      <w:pStyle w:val="Header"/>
    </w:pPr>
    <w:r>
      <w:t>ECE/MP.EIA/WG.2/2023/1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32A6" w14:textId="2B26F683" w:rsidR="00832DF6" w:rsidRPr="00832DF6" w:rsidRDefault="00FD0F6F" w:rsidP="00832DF6">
    <w:pPr>
      <w:pStyle w:val="Header"/>
      <w:jc w:val="right"/>
    </w:pPr>
    <w:r>
      <w:t>ECE/MP.EIA/WG.2/2023/1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9BE8" w14:textId="77777777" w:rsidR="0033759A" w:rsidRDefault="0033759A" w:rsidP="0033759A">
    <w:pPr>
      <w:pStyle w:val="Header"/>
      <w:jc w:val="right"/>
    </w:pPr>
    <w:r>
      <w:t>ECE/MP.EIA/WG.2/2023/1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7A443C"/>
    <w:multiLevelType w:val="hybridMultilevel"/>
    <w:tmpl w:val="67BE435C"/>
    <w:lvl w:ilvl="0" w:tplc="4FA287D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10619145">
    <w:abstractNumId w:val="1"/>
  </w:num>
  <w:num w:numId="2" w16cid:durableId="1595938443">
    <w:abstractNumId w:val="0"/>
  </w:num>
  <w:num w:numId="3" w16cid:durableId="1496260568">
    <w:abstractNumId w:val="2"/>
  </w:num>
  <w:num w:numId="4" w16cid:durableId="1054305352">
    <w:abstractNumId w:val="3"/>
  </w:num>
  <w:num w:numId="5" w16cid:durableId="1499228608">
    <w:abstractNumId w:val="8"/>
  </w:num>
  <w:num w:numId="6" w16cid:durableId="1527910924">
    <w:abstractNumId w:val="9"/>
  </w:num>
  <w:num w:numId="7" w16cid:durableId="746808871">
    <w:abstractNumId w:val="7"/>
  </w:num>
  <w:num w:numId="8" w16cid:durableId="87047608">
    <w:abstractNumId w:val="6"/>
  </w:num>
  <w:num w:numId="9" w16cid:durableId="1273318434">
    <w:abstractNumId w:val="5"/>
  </w:num>
  <w:num w:numId="10" w16cid:durableId="321007143">
    <w:abstractNumId w:val="4"/>
  </w:num>
  <w:num w:numId="11" w16cid:durableId="495808598">
    <w:abstractNumId w:val="16"/>
  </w:num>
  <w:num w:numId="12" w16cid:durableId="2113696759">
    <w:abstractNumId w:val="15"/>
  </w:num>
  <w:num w:numId="13" w16cid:durableId="911626083">
    <w:abstractNumId w:val="10"/>
  </w:num>
  <w:num w:numId="14" w16cid:durableId="1944219976">
    <w:abstractNumId w:val="13"/>
  </w:num>
  <w:num w:numId="15" w16cid:durableId="1189566144">
    <w:abstractNumId w:val="17"/>
  </w:num>
  <w:num w:numId="16" w16cid:durableId="1998653359">
    <w:abstractNumId w:val="14"/>
  </w:num>
  <w:num w:numId="17" w16cid:durableId="1611090574">
    <w:abstractNumId w:val="18"/>
  </w:num>
  <w:num w:numId="18" w16cid:durableId="1079014564">
    <w:abstractNumId w:val="19"/>
  </w:num>
  <w:num w:numId="19" w16cid:durableId="161241658">
    <w:abstractNumId w:val="12"/>
  </w:num>
  <w:num w:numId="20" w16cid:durableId="29861398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832DF6"/>
    <w:rsid w:val="00002A7D"/>
    <w:rsid w:val="000038A8"/>
    <w:rsid w:val="00006790"/>
    <w:rsid w:val="00027624"/>
    <w:rsid w:val="00050F6B"/>
    <w:rsid w:val="0006539A"/>
    <w:rsid w:val="000678CD"/>
    <w:rsid w:val="00072C8C"/>
    <w:rsid w:val="00081CE0"/>
    <w:rsid w:val="000833F5"/>
    <w:rsid w:val="00084D30"/>
    <w:rsid w:val="00090320"/>
    <w:rsid w:val="000931C0"/>
    <w:rsid w:val="000A2E09"/>
    <w:rsid w:val="000B175B"/>
    <w:rsid w:val="000B3A0F"/>
    <w:rsid w:val="000E0415"/>
    <w:rsid w:val="000F7715"/>
    <w:rsid w:val="00156B99"/>
    <w:rsid w:val="00166124"/>
    <w:rsid w:val="00181BAB"/>
    <w:rsid w:val="00184DDA"/>
    <w:rsid w:val="001900CD"/>
    <w:rsid w:val="001A0452"/>
    <w:rsid w:val="001B1553"/>
    <w:rsid w:val="001B4B04"/>
    <w:rsid w:val="001B5875"/>
    <w:rsid w:val="001C4B9C"/>
    <w:rsid w:val="001C6663"/>
    <w:rsid w:val="001C7895"/>
    <w:rsid w:val="001D26DF"/>
    <w:rsid w:val="001F1599"/>
    <w:rsid w:val="001F19C4"/>
    <w:rsid w:val="00200414"/>
    <w:rsid w:val="002043F0"/>
    <w:rsid w:val="00211E0B"/>
    <w:rsid w:val="002245E3"/>
    <w:rsid w:val="00232575"/>
    <w:rsid w:val="00247258"/>
    <w:rsid w:val="00257CAC"/>
    <w:rsid w:val="0027237A"/>
    <w:rsid w:val="002971D0"/>
    <w:rsid w:val="002974E9"/>
    <w:rsid w:val="002A7F94"/>
    <w:rsid w:val="002B109A"/>
    <w:rsid w:val="002C6D45"/>
    <w:rsid w:val="002D6E53"/>
    <w:rsid w:val="002F046D"/>
    <w:rsid w:val="002F3023"/>
    <w:rsid w:val="002F5B1C"/>
    <w:rsid w:val="00301764"/>
    <w:rsid w:val="00313F91"/>
    <w:rsid w:val="003229D8"/>
    <w:rsid w:val="003236FA"/>
    <w:rsid w:val="00336C97"/>
    <w:rsid w:val="0033759A"/>
    <w:rsid w:val="00337F88"/>
    <w:rsid w:val="00342432"/>
    <w:rsid w:val="0035223F"/>
    <w:rsid w:val="00352D4B"/>
    <w:rsid w:val="0035638C"/>
    <w:rsid w:val="003A46BB"/>
    <w:rsid w:val="003A4EC7"/>
    <w:rsid w:val="003A7295"/>
    <w:rsid w:val="003B1F60"/>
    <w:rsid w:val="003C2CC4"/>
    <w:rsid w:val="003D22CC"/>
    <w:rsid w:val="003D4B23"/>
    <w:rsid w:val="003E278A"/>
    <w:rsid w:val="003F6EDE"/>
    <w:rsid w:val="00413520"/>
    <w:rsid w:val="004325CB"/>
    <w:rsid w:val="00440A07"/>
    <w:rsid w:val="00462880"/>
    <w:rsid w:val="00476F24"/>
    <w:rsid w:val="004772A4"/>
    <w:rsid w:val="004C55B0"/>
    <w:rsid w:val="004E7297"/>
    <w:rsid w:val="004F6BA0"/>
    <w:rsid w:val="00503BEA"/>
    <w:rsid w:val="00506A83"/>
    <w:rsid w:val="00533616"/>
    <w:rsid w:val="00535ABA"/>
    <w:rsid w:val="0053768B"/>
    <w:rsid w:val="005420F2"/>
    <w:rsid w:val="0054285C"/>
    <w:rsid w:val="00584173"/>
    <w:rsid w:val="00595520"/>
    <w:rsid w:val="005A44B9"/>
    <w:rsid w:val="005A7EBA"/>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B7757"/>
    <w:rsid w:val="006C5535"/>
    <w:rsid w:val="006D0589"/>
    <w:rsid w:val="006E09B4"/>
    <w:rsid w:val="006E564B"/>
    <w:rsid w:val="006E7154"/>
    <w:rsid w:val="007003CD"/>
    <w:rsid w:val="00706D1A"/>
    <w:rsid w:val="0070701E"/>
    <w:rsid w:val="007211C0"/>
    <w:rsid w:val="0072632A"/>
    <w:rsid w:val="007358E8"/>
    <w:rsid w:val="00736ECE"/>
    <w:rsid w:val="007403C6"/>
    <w:rsid w:val="0074533B"/>
    <w:rsid w:val="007643BC"/>
    <w:rsid w:val="0077762B"/>
    <w:rsid w:val="00780C68"/>
    <w:rsid w:val="00782629"/>
    <w:rsid w:val="007959FE"/>
    <w:rsid w:val="007A0CF1"/>
    <w:rsid w:val="007B6BA5"/>
    <w:rsid w:val="007C3390"/>
    <w:rsid w:val="007C42D8"/>
    <w:rsid w:val="007C4F4B"/>
    <w:rsid w:val="007D7362"/>
    <w:rsid w:val="007E227E"/>
    <w:rsid w:val="007F5CE2"/>
    <w:rsid w:val="007F6611"/>
    <w:rsid w:val="00810BAC"/>
    <w:rsid w:val="008175E9"/>
    <w:rsid w:val="008242D7"/>
    <w:rsid w:val="0082577B"/>
    <w:rsid w:val="00832DF6"/>
    <w:rsid w:val="00866893"/>
    <w:rsid w:val="00866F02"/>
    <w:rsid w:val="00867D18"/>
    <w:rsid w:val="00871F9A"/>
    <w:rsid w:val="00871FD5"/>
    <w:rsid w:val="0088172E"/>
    <w:rsid w:val="00881EFA"/>
    <w:rsid w:val="008879CB"/>
    <w:rsid w:val="008979B1"/>
    <w:rsid w:val="008A6B25"/>
    <w:rsid w:val="008A6C4F"/>
    <w:rsid w:val="008B389E"/>
    <w:rsid w:val="008C0B2F"/>
    <w:rsid w:val="008D045E"/>
    <w:rsid w:val="008D3F25"/>
    <w:rsid w:val="008D4D82"/>
    <w:rsid w:val="008E0E46"/>
    <w:rsid w:val="008E7116"/>
    <w:rsid w:val="008F143B"/>
    <w:rsid w:val="008F3882"/>
    <w:rsid w:val="008F4B7C"/>
    <w:rsid w:val="00921641"/>
    <w:rsid w:val="00926E47"/>
    <w:rsid w:val="00935840"/>
    <w:rsid w:val="0094684F"/>
    <w:rsid w:val="00947162"/>
    <w:rsid w:val="00956E75"/>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637B0"/>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21BEE"/>
    <w:rsid w:val="00B30179"/>
    <w:rsid w:val="00B33FC7"/>
    <w:rsid w:val="00B37B15"/>
    <w:rsid w:val="00B4435A"/>
    <w:rsid w:val="00B45C02"/>
    <w:rsid w:val="00B70B63"/>
    <w:rsid w:val="00B72A1E"/>
    <w:rsid w:val="00B75363"/>
    <w:rsid w:val="00B75FC3"/>
    <w:rsid w:val="00B81E12"/>
    <w:rsid w:val="00BA339B"/>
    <w:rsid w:val="00BC1E7E"/>
    <w:rsid w:val="00BC74E9"/>
    <w:rsid w:val="00BD2D96"/>
    <w:rsid w:val="00BE36A9"/>
    <w:rsid w:val="00BE618E"/>
    <w:rsid w:val="00BE7BEC"/>
    <w:rsid w:val="00BF0A5A"/>
    <w:rsid w:val="00BF0E63"/>
    <w:rsid w:val="00BF12A3"/>
    <w:rsid w:val="00BF16D7"/>
    <w:rsid w:val="00BF2373"/>
    <w:rsid w:val="00C02421"/>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0619"/>
    <w:rsid w:val="00D37DA9"/>
    <w:rsid w:val="00D406A7"/>
    <w:rsid w:val="00D43252"/>
    <w:rsid w:val="00D44D86"/>
    <w:rsid w:val="00D50B7D"/>
    <w:rsid w:val="00D518B1"/>
    <w:rsid w:val="00D52012"/>
    <w:rsid w:val="00D704E5"/>
    <w:rsid w:val="00D72727"/>
    <w:rsid w:val="00D978C6"/>
    <w:rsid w:val="00DA0956"/>
    <w:rsid w:val="00DA357F"/>
    <w:rsid w:val="00DA3E12"/>
    <w:rsid w:val="00DC18AD"/>
    <w:rsid w:val="00DF7CAE"/>
    <w:rsid w:val="00E126D4"/>
    <w:rsid w:val="00E259F7"/>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3427"/>
    <w:rsid w:val="00F04977"/>
    <w:rsid w:val="00F21786"/>
    <w:rsid w:val="00F27D88"/>
    <w:rsid w:val="00F3742B"/>
    <w:rsid w:val="00F37AE2"/>
    <w:rsid w:val="00F41FDB"/>
    <w:rsid w:val="00F56D63"/>
    <w:rsid w:val="00F609A9"/>
    <w:rsid w:val="00F80C99"/>
    <w:rsid w:val="00F867EC"/>
    <w:rsid w:val="00F91877"/>
    <w:rsid w:val="00F91B2B"/>
    <w:rsid w:val="00FC03CD"/>
    <w:rsid w:val="00FC0646"/>
    <w:rsid w:val="00FC68B7"/>
    <w:rsid w:val="00FC78DE"/>
    <w:rsid w:val="00FD0F6F"/>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B9AEF"/>
  <w15:docId w15:val="{6E925D8F-89FD-4FA3-B791-4B97DE78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paragraph" w:styleId="CommentText">
    <w:name w:val="annotation text"/>
    <w:basedOn w:val="Normal"/>
    <w:link w:val="CommentTextChar"/>
    <w:semiHidden/>
    <w:unhideWhenUsed/>
    <w:rsid w:val="00C02421"/>
    <w:pPr>
      <w:spacing w:line="240" w:lineRule="auto"/>
    </w:pPr>
  </w:style>
  <w:style w:type="character" w:customStyle="1" w:styleId="CommentTextChar">
    <w:name w:val="Comment Text Char"/>
    <w:basedOn w:val="DefaultParagraphFont"/>
    <w:link w:val="CommentText"/>
    <w:semiHidden/>
    <w:rsid w:val="00C02421"/>
    <w:rPr>
      <w:lang w:val="en-GB"/>
    </w:rPr>
  </w:style>
  <w:style w:type="character" w:styleId="CommentReference">
    <w:name w:val="annotation reference"/>
    <w:semiHidden/>
    <w:rsid w:val="00C02421"/>
    <w:rPr>
      <w:sz w:val="6"/>
    </w:rPr>
  </w:style>
  <w:style w:type="character" w:customStyle="1" w:styleId="SingleTxtGChar">
    <w:name w:val="_ Single Txt_G Char"/>
    <w:link w:val="SingleTxtG"/>
    <w:rsid w:val="003236F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environmental-policy/events/working-group-eia-and-sea-espoo-convention-12th-meeting" TargetMode="External"/><Relationship Id="rId2" Type="http://schemas.openxmlformats.org/officeDocument/2006/relationships/hyperlink" Target="file://unece-fs1.unog.un.org/data/Shares/Groups/Ehlm/Environmental%20Impact%20Assessment%20(EIA)/Working%20Group/WG.2%208th%20Mtg%20(Geneva,%2026-28%20Nov%202019)/Documents/For%20Editing/EDITED/www.unece.org/meetings/practical.html" TargetMode="External"/><Relationship Id="rId1" Type="http://schemas.openxmlformats.org/officeDocument/2006/relationships/hyperlink" Target="https://indico.un.org/event/1002170/" TargetMode="External"/><Relationship Id="rId5" Type="http://schemas.openxmlformats.org/officeDocument/2006/relationships/hyperlink" Target="https://unece.org/environmental-policy/events/meeting-parties-espoo-convention-8th-session-and-meeting-parties" TargetMode="External"/><Relationship Id="rId4" Type="http://schemas.openxmlformats.org/officeDocument/2006/relationships/hyperlink" Target="https://unece.org/info/events/event/36436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3A40EE52-8977-401D-B294-A0065FC9E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3915</Words>
  <Characters>21905</Characters>
  <Application>Microsoft Office Word</Application>
  <DocSecurity>0</DocSecurity>
  <Lines>462</Lines>
  <Paragraphs>241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ECE/MP.EIA/WG.2/2023/1</vt:lpstr>
      <vt:lpstr/>
    </vt:vector>
  </TitlesOfParts>
  <Company>CSD</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ECE/MP.EIA/WG.2/2023/1</dc:title>
  <dc:subject>2305414</dc:subject>
  <dc:creator>Maricar De_La_Cruz</dc:creator>
  <cp:keywords/>
  <dc:description/>
  <cp:lastModifiedBy>Anni Vi Tirol</cp:lastModifiedBy>
  <cp:revision>2</cp:revision>
  <cp:lastPrinted>2009-02-18T09:36:00Z</cp:lastPrinted>
  <dcterms:created xsi:type="dcterms:W3CDTF">2023-03-23T15:18:00Z</dcterms:created>
  <dcterms:modified xsi:type="dcterms:W3CDTF">2023-03-23T15:18:00Z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0x010100C351874580DE274AB11582BCB027F582</vt:lpwstr>
  </property>
  <property fmtid="{D5CDD505-2E9C-101B-9397-08002B2CF9AE}" pid="3" name="GrammarlyDocumentId">
    <vt:lpwstr>61868284-eeda-48d9-9b0c-d27989171a98</vt:lpwstr>
  </property>
  <property fmtid="{D5CDD505-2E9C-101B-9397-08002B2CF9AE}" pid="4" name="MediaServiceImageTags">
    <vt:lpwstr/>
  </property>
</Properties>
</file>