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C4DE5" w:rsidRDefault="00982036" w:rsidP="00982036">
      <w:pPr>
        <w:spacing w:before="120"/>
        <w:rPr>
          <w:b/>
          <w:sz w:val="28"/>
          <w:szCs w:val="28"/>
        </w:rPr>
      </w:pPr>
      <w:r w:rsidRPr="001C4DE5">
        <w:rPr>
          <w:b/>
          <w:sz w:val="28"/>
          <w:szCs w:val="28"/>
        </w:rPr>
        <w:t>Economic Commission for Europe</w:t>
      </w:r>
      <w:r w:rsidR="0090465E" w:rsidRPr="001C4DE5">
        <w:rPr>
          <w:b/>
          <w:sz w:val="28"/>
          <w:szCs w:val="28"/>
        </w:rPr>
        <w:t xml:space="preserve"> </w:t>
      </w:r>
    </w:p>
    <w:p w14:paraId="0EAD9853" w14:textId="77777777" w:rsidR="00982036" w:rsidRPr="001C4DE5" w:rsidRDefault="00982036" w:rsidP="00982036">
      <w:pPr>
        <w:spacing w:before="120"/>
        <w:rPr>
          <w:sz w:val="28"/>
          <w:szCs w:val="28"/>
        </w:rPr>
      </w:pPr>
      <w:r w:rsidRPr="001C4DE5">
        <w:rPr>
          <w:sz w:val="28"/>
          <w:szCs w:val="28"/>
        </w:rPr>
        <w:t>Inland Transport Committee</w:t>
      </w:r>
    </w:p>
    <w:p w14:paraId="34B956AF" w14:textId="77777777" w:rsidR="00982036" w:rsidRPr="001C4DE5" w:rsidRDefault="00982036" w:rsidP="00982036">
      <w:pPr>
        <w:spacing w:before="120"/>
        <w:rPr>
          <w:b/>
          <w:sz w:val="24"/>
          <w:szCs w:val="24"/>
        </w:rPr>
      </w:pPr>
      <w:r w:rsidRPr="001C4DE5">
        <w:rPr>
          <w:b/>
          <w:sz w:val="24"/>
          <w:szCs w:val="24"/>
        </w:rPr>
        <w:t>Working Party on the Transport of Dangerous Goods</w:t>
      </w:r>
    </w:p>
    <w:p w14:paraId="453F49B2" w14:textId="059998A7" w:rsidR="00982036" w:rsidRPr="001C4DE5" w:rsidRDefault="007851CB" w:rsidP="00084795">
      <w:pPr>
        <w:spacing w:before="120"/>
        <w:rPr>
          <w:b/>
        </w:rPr>
      </w:pPr>
      <w:r w:rsidRPr="001C4DE5">
        <w:rPr>
          <w:b/>
        </w:rPr>
        <w:t>1</w:t>
      </w:r>
      <w:r w:rsidR="009E5870" w:rsidRPr="001C4DE5">
        <w:rPr>
          <w:b/>
        </w:rPr>
        <w:t>1</w:t>
      </w:r>
      <w:r w:rsidR="008062A7" w:rsidRPr="001C4DE5">
        <w:rPr>
          <w:b/>
        </w:rPr>
        <w:t>3</w:t>
      </w:r>
      <w:r w:rsidR="00A34804" w:rsidRPr="001C4DE5">
        <w:rPr>
          <w:b/>
        </w:rPr>
        <w:t>th</w:t>
      </w:r>
      <w:r w:rsidR="00982036" w:rsidRPr="001C4DE5">
        <w:rPr>
          <w:b/>
        </w:rPr>
        <w:t xml:space="preserve"> session</w:t>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1D4954" w:rsidRPr="001C4DE5">
        <w:rPr>
          <w:b/>
        </w:rPr>
        <w:tab/>
      </w:r>
      <w:r w:rsidR="002709B0" w:rsidRPr="001C4DE5">
        <w:rPr>
          <w:b/>
        </w:rPr>
        <w:tab/>
      </w:r>
      <w:r w:rsidR="002709B0" w:rsidRPr="001C4DE5">
        <w:rPr>
          <w:b/>
        </w:rPr>
        <w:tab/>
      </w:r>
      <w:r w:rsidR="00D13D3B" w:rsidRPr="001C4DE5">
        <w:rPr>
          <w:b/>
        </w:rPr>
        <w:tab/>
      </w:r>
      <w:r w:rsidR="00FE50DE" w:rsidRPr="001C4DE5">
        <w:rPr>
          <w:b/>
        </w:rPr>
        <w:t>2</w:t>
      </w:r>
      <w:r w:rsidR="00D32264" w:rsidRPr="001C4DE5">
        <w:rPr>
          <w:b/>
        </w:rPr>
        <w:t>8</w:t>
      </w:r>
      <w:r w:rsidR="0059135D" w:rsidRPr="001C4DE5">
        <w:rPr>
          <w:b/>
        </w:rPr>
        <w:t xml:space="preserve"> April 2023</w:t>
      </w:r>
    </w:p>
    <w:p w14:paraId="7DCB8D5D" w14:textId="1204ACA8" w:rsidR="00813BFE" w:rsidRPr="001C4DE5" w:rsidRDefault="00813BFE" w:rsidP="00813BFE">
      <w:pPr>
        <w:rPr>
          <w:rFonts w:eastAsia="SimSun"/>
        </w:rPr>
      </w:pPr>
      <w:r w:rsidRPr="001C4DE5">
        <w:rPr>
          <w:rFonts w:eastAsia="SimSun"/>
        </w:rPr>
        <w:t xml:space="preserve">Geneva, </w:t>
      </w:r>
      <w:r w:rsidR="00767D48" w:rsidRPr="001C4DE5">
        <w:rPr>
          <w:rFonts w:eastAsia="SimSun"/>
        </w:rPr>
        <w:t>15-17 May 2023</w:t>
      </w:r>
    </w:p>
    <w:p w14:paraId="04FB11C3" w14:textId="703BC76F" w:rsidR="00813BFE" w:rsidRPr="001C4DE5" w:rsidRDefault="00813BFE" w:rsidP="00813BFE">
      <w:r w:rsidRPr="001C4DE5">
        <w:t xml:space="preserve">Item </w:t>
      </w:r>
      <w:r w:rsidR="00520744" w:rsidRPr="001C4DE5">
        <w:t>9</w:t>
      </w:r>
      <w:r w:rsidRPr="001C4DE5">
        <w:t xml:space="preserve"> of the provisional agenda</w:t>
      </w:r>
    </w:p>
    <w:p w14:paraId="2EE52BC0" w14:textId="414E7C3E" w:rsidR="00813BFE" w:rsidRPr="001C4DE5" w:rsidRDefault="00520744" w:rsidP="00813BFE">
      <w:pPr>
        <w:rPr>
          <w:b/>
        </w:rPr>
      </w:pPr>
      <w:r w:rsidRPr="001C4DE5">
        <w:rPr>
          <w:b/>
        </w:rPr>
        <w:t>Any other business</w:t>
      </w:r>
    </w:p>
    <w:p w14:paraId="46141561" w14:textId="77BC79CA" w:rsidR="009A658E" w:rsidRPr="001C4DE5" w:rsidRDefault="009A658E" w:rsidP="006620EF">
      <w:pPr>
        <w:pStyle w:val="HChG"/>
      </w:pPr>
      <w:r w:rsidRPr="001C4DE5">
        <w:tab/>
      </w:r>
      <w:r w:rsidRPr="001C4DE5">
        <w:tab/>
      </w:r>
      <w:r w:rsidR="006620EF">
        <w:t>Carriage of empty uncleaned packaging waste</w:t>
      </w:r>
    </w:p>
    <w:p w14:paraId="10D80DBE" w14:textId="6C8266E3" w:rsidR="009A658E" w:rsidRPr="001C4DE5" w:rsidRDefault="009A658E" w:rsidP="009A658E">
      <w:pPr>
        <w:pStyle w:val="H1G"/>
      </w:pPr>
      <w:r w:rsidRPr="001C4DE5">
        <w:tab/>
      </w:r>
      <w:r w:rsidRPr="001C4DE5">
        <w:tab/>
        <w:t>Transmitted by the</w:t>
      </w:r>
      <w:r w:rsidR="00D32264" w:rsidRPr="001C4DE5">
        <w:t xml:space="preserve"> </w:t>
      </w:r>
      <w:r w:rsidR="00D32264" w:rsidRPr="001C4DE5">
        <w:rPr>
          <w:sz w:val="22"/>
          <w:szCs w:val="22"/>
        </w:rPr>
        <w:t>Government of Ireland</w:t>
      </w:r>
    </w:p>
    <w:p w14:paraId="095EE06A" w14:textId="3F939B58" w:rsidR="009A658E" w:rsidRPr="001C4DE5" w:rsidRDefault="009A658E" w:rsidP="009A658E">
      <w:pPr>
        <w:pStyle w:val="HChG"/>
        <w:rPr>
          <w:lang w:val="en-GB"/>
        </w:rPr>
      </w:pPr>
      <w:r w:rsidRPr="001C4DE5">
        <w:rPr>
          <w:lang w:val="en-GB"/>
        </w:rPr>
        <w:tab/>
      </w:r>
      <w:r w:rsidRPr="001C4DE5">
        <w:rPr>
          <w:lang w:val="en-GB"/>
        </w:rPr>
        <w:tab/>
      </w:r>
      <w:r w:rsidRPr="001C4DE5">
        <w:rPr>
          <w:lang w:val="en-GB"/>
        </w:rPr>
        <w:tab/>
        <w:t>Introduction</w:t>
      </w:r>
    </w:p>
    <w:p w14:paraId="5C56DEC2" w14:textId="52A7C49F" w:rsidR="000E79DA" w:rsidRPr="000E79DA" w:rsidRDefault="000E79DA" w:rsidP="000E79DA">
      <w:pPr>
        <w:pStyle w:val="SingleTxtG"/>
        <w:rPr>
          <w:rFonts w:eastAsia="Calibri"/>
        </w:rPr>
      </w:pPr>
      <w:r>
        <w:rPr>
          <w:rFonts w:eastAsia="Calibri"/>
          <w:lang w:val="fr-CH"/>
        </w:rPr>
        <w:t>1.</w:t>
      </w:r>
      <w:r>
        <w:rPr>
          <w:rFonts w:eastAsia="Calibri"/>
          <w:lang w:val="fr-CH"/>
        </w:rPr>
        <w:tab/>
      </w:r>
      <w:r w:rsidRPr="000E79DA">
        <w:rPr>
          <w:rFonts w:eastAsia="Calibri"/>
        </w:rPr>
        <w:t>In Ireland, we currently have a competent authority exemption in place with respect to the carriage of specific empty uncleaned (waste) single packagings, composite packagings and composite IBCs.</w:t>
      </w:r>
    </w:p>
    <w:p w14:paraId="0BACABCB" w14:textId="53B48EC5" w:rsidR="000E79DA" w:rsidRPr="000E79DA" w:rsidRDefault="000E79DA" w:rsidP="000E79DA">
      <w:pPr>
        <w:pStyle w:val="SingleTxtG"/>
        <w:rPr>
          <w:rFonts w:eastAsia="Calibri"/>
          <w:lang w:val="en-IE"/>
        </w:rPr>
      </w:pPr>
      <w:r>
        <w:rPr>
          <w:rFonts w:eastAsia="Calibri"/>
          <w:lang w:val="en-IE"/>
        </w:rPr>
        <w:t>2.</w:t>
      </w:r>
      <w:r>
        <w:rPr>
          <w:rFonts w:eastAsia="Calibri"/>
          <w:lang w:val="en-IE"/>
        </w:rPr>
        <w:tab/>
      </w:r>
      <w:r w:rsidRPr="000E79DA">
        <w:rPr>
          <w:rFonts w:eastAsia="Calibri"/>
          <w:lang w:val="en-IE"/>
        </w:rPr>
        <w:t xml:space="preserve">The exemption permits the carriage of  certain specific empty uncleaned (waste) single packagings, composite packagings and composite IBCs from the provisions of ADR 4.1.1.1, 4.1.1.3, 4.1.1.11, 6.1.1.5, 6.1.5.8.2, 6.5.1.1.4 and 6.5.6.14.2 with respect to the sourcing of certain packaging documentation (UN certificate of approval, associated test report and instructions on use) without disproportionate cost or effort.  </w:t>
      </w:r>
    </w:p>
    <w:p w14:paraId="7A475320" w14:textId="378345E3" w:rsidR="000E79DA" w:rsidRPr="000E79DA" w:rsidRDefault="000E79DA" w:rsidP="000E79DA">
      <w:pPr>
        <w:pStyle w:val="SingleTxtG"/>
        <w:rPr>
          <w:rFonts w:eastAsia="Calibri"/>
          <w:lang w:val="en-IE"/>
        </w:rPr>
      </w:pPr>
      <w:r>
        <w:rPr>
          <w:rFonts w:eastAsia="Calibri"/>
          <w:lang w:val="en-IE"/>
        </w:rPr>
        <w:t>3.</w:t>
      </w:r>
      <w:r>
        <w:rPr>
          <w:rFonts w:eastAsia="Calibri"/>
          <w:lang w:val="en-IE"/>
        </w:rPr>
        <w:tab/>
      </w:r>
      <w:r w:rsidRPr="000E79DA">
        <w:rPr>
          <w:rFonts w:eastAsia="Calibri"/>
          <w:lang w:val="en-IE"/>
        </w:rPr>
        <w:t>The exemption applies to packaging for wastes of dangerous goods of Classes 3, 4.1, 6.1, 8 and 9 with packing instructions P001, P002, IBC02, IBC03 and IBC08.</w:t>
      </w:r>
    </w:p>
    <w:p w14:paraId="1D4CDE4D" w14:textId="1334FDDC" w:rsidR="000E79DA" w:rsidRPr="000E79DA" w:rsidRDefault="000E79DA" w:rsidP="000E79DA">
      <w:pPr>
        <w:pStyle w:val="SingleTxtG"/>
        <w:rPr>
          <w:rFonts w:eastAsia="Calibri"/>
          <w:lang w:val="en-IE"/>
        </w:rPr>
      </w:pPr>
      <w:r>
        <w:rPr>
          <w:rFonts w:eastAsia="Calibri"/>
          <w:lang w:val="en-IE"/>
        </w:rPr>
        <w:t>4.</w:t>
      </w:r>
      <w:r>
        <w:rPr>
          <w:rFonts w:eastAsia="Calibri"/>
          <w:lang w:val="en-IE"/>
        </w:rPr>
        <w:tab/>
      </w:r>
      <w:r w:rsidRPr="000E79DA">
        <w:rPr>
          <w:rFonts w:eastAsia="Calibri"/>
          <w:lang w:val="en-IE"/>
        </w:rPr>
        <w:t>It was deemed necessary because in many circumstances the provisions of UN 3509, PACKAGINGS, DISCARDED, EMPTY, UNCLEANED, cannot be utilised under the specific carriage conditions required under this entry.</w:t>
      </w:r>
    </w:p>
    <w:p w14:paraId="28F8E433" w14:textId="73D06BBF" w:rsidR="000E79DA" w:rsidRPr="000E79DA" w:rsidRDefault="000E79DA" w:rsidP="000E79DA">
      <w:pPr>
        <w:pStyle w:val="SingleTxtG"/>
        <w:rPr>
          <w:rFonts w:eastAsia="Calibri"/>
          <w:color w:val="000000"/>
          <w:lang w:val="en-IE"/>
        </w:rPr>
      </w:pPr>
      <w:r>
        <w:rPr>
          <w:rFonts w:eastAsia="Calibri"/>
          <w:color w:val="000000"/>
          <w:lang w:val="en-IE"/>
        </w:rPr>
        <w:t>5.</w:t>
      </w:r>
      <w:r>
        <w:rPr>
          <w:rFonts w:eastAsia="Calibri"/>
          <w:color w:val="000000"/>
          <w:lang w:val="en-IE"/>
        </w:rPr>
        <w:tab/>
      </w:r>
      <w:r w:rsidRPr="000E79DA">
        <w:rPr>
          <w:rFonts w:eastAsia="Calibri"/>
          <w:color w:val="000000"/>
          <w:lang w:val="en-IE"/>
        </w:rPr>
        <w:t>The purpose of the exemption is to provide participants that generate empty uncleaned packaging containing waste residues of dangerous goods with certain exemptions from the current ADR provisions.  It applies to the carriage of residues of dangerous substances of Classes 3, 4.1, 6.1, 8 and 9 in empty uncleaned packaging waste in:</w:t>
      </w:r>
    </w:p>
    <w:p w14:paraId="6F574327" w14:textId="7F12D325" w:rsidR="000E79DA" w:rsidRPr="000E79DA" w:rsidRDefault="000E79DA" w:rsidP="000E79DA">
      <w:pPr>
        <w:pStyle w:val="Bullet1G"/>
        <w:numPr>
          <w:ilvl w:val="0"/>
          <w:numId w:val="0"/>
        </w:numPr>
        <w:tabs>
          <w:tab w:val="left" w:pos="1701"/>
        </w:tabs>
        <w:ind w:left="1701" w:hanging="170"/>
        <w:rPr>
          <w:rFonts w:eastAsia="Calibri"/>
          <w:lang w:val="en-US"/>
        </w:rPr>
      </w:pPr>
      <w:r w:rsidRPr="000E79DA">
        <w:rPr>
          <w:rFonts w:eastAsia="Calibri"/>
          <w:lang w:val="en-US"/>
        </w:rPr>
        <w:t>•</w:t>
      </w:r>
      <w:r w:rsidRPr="000E79DA">
        <w:rPr>
          <w:rFonts w:eastAsia="Calibri"/>
          <w:lang w:val="en-US"/>
        </w:rPr>
        <w:tab/>
      </w:r>
      <w:r w:rsidRPr="000E79DA">
        <w:rPr>
          <w:rFonts w:eastAsia="Calibri"/>
          <w:lang w:val="en-US"/>
        </w:rPr>
        <w:t>Single packagings listed in P001 and P002, removable head drums,</w:t>
      </w:r>
    </w:p>
    <w:p w14:paraId="01B82C14" w14:textId="2A364571" w:rsidR="000E79DA" w:rsidRPr="000E79DA" w:rsidRDefault="000E79DA" w:rsidP="000E79DA">
      <w:pPr>
        <w:pStyle w:val="Bullet1G"/>
        <w:numPr>
          <w:ilvl w:val="0"/>
          <w:numId w:val="0"/>
        </w:numPr>
        <w:tabs>
          <w:tab w:val="left" w:pos="1701"/>
        </w:tabs>
        <w:ind w:left="1701" w:hanging="170"/>
        <w:rPr>
          <w:rFonts w:eastAsia="Calibri"/>
          <w:lang w:val="en-US"/>
        </w:rPr>
      </w:pPr>
      <w:r w:rsidRPr="000E79DA">
        <w:rPr>
          <w:rFonts w:eastAsia="Calibri"/>
          <w:lang w:val="en-US"/>
        </w:rPr>
        <w:t>•</w:t>
      </w:r>
      <w:r w:rsidRPr="000E79DA">
        <w:rPr>
          <w:rFonts w:eastAsia="Calibri"/>
          <w:lang w:val="en-US"/>
        </w:rPr>
        <w:tab/>
      </w:r>
      <w:r w:rsidRPr="000E79DA">
        <w:rPr>
          <w:rFonts w:eastAsia="Calibri"/>
          <w:lang w:val="en-US"/>
        </w:rPr>
        <w:t>Single packagings listed in P001 and P002, non-removable head drums and jerricans,</w:t>
      </w:r>
    </w:p>
    <w:p w14:paraId="117FA6F4" w14:textId="60FECE1E" w:rsidR="000E79DA" w:rsidRPr="000E79DA" w:rsidRDefault="000E79DA" w:rsidP="000E79DA">
      <w:pPr>
        <w:pStyle w:val="Bullet1G"/>
        <w:numPr>
          <w:ilvl w:val="0"/>
          <w:numId w:val="0"/>
        </w:numPr>
        <w:tabs>
          <w:tab w:val="left" w:pos="1701"/>
        </w:tabs>
        <w:ind w:left="1701" w:hanging="170"/>
        <w:rPr>
          <w:rFonts w:eastAsia="Calibri"/>
          <w:lang w:val="en-US"/>
        </w:rPr>
      </w:pPr>
      <w:r w:rsidRPr="000E79DA">
        <w:rPr>
          <w:rFonts w:eastAsia="Calibri"/>
          <w:lang w:val="en-US"/>
        </w:rPr>
        <w:t>•</w:t>
      </w:r>
      <w:r w:rsidRPr="000E79DA">
        <w:rPr>
          <w:rFonts w:eastAsia="Calibri"/>
          <w:lang w:val="en-US"/>
        </w:rPr>
        <w:tab/>
      </w:r>
      <w:r w:rsidRPr="000E79DA">
        <w:rPr>
          <w:rFonts w:eastAsia="Calibri"/>
          <w:lang w:val="en-US"/>
        </w:rPr>
        <w:t>Composite packagings listed in P001 and P002 of packaging code UN 6HA1,</w:t>
      </w:r>
    </w:p>
    <w:p w14:paraId="69348E25" w14:textId="1F56D38F" w:rsidR="000E79DA" w:rsidRPr="000E79DA" w:rsidRDefault="000E79DA" w:rsidP="000E79DA">
      <w:pPr>
        <w:pStyle w:val="Bullet1G"/>
        <w:numPr>
          <w:ilvl w:val="0"/>
          <w:numId w:val="0"/>
        </w:numPr>
        <w:tabs>
          <w:tab w:val="left" w:pos="1701"/>
        </w:tabs>
        <w:ind w:left="1701" w:hanging="170"/>
        <w:rPr>
          <w:rFonts w:eastAsia="Calibri"/>
          <w:lang w:val="en-US"/>
        </w:rPr>
      </w:pPr>
      <w:r w:rsidRPr="000E79DA">
        <w:rPr>
          <w:rFonts w:eastAsia="Calibri"/>
          <w:lang w:val="en-US"/>
        </w:rPr>
        <w:t>•</w:t>
      </w:r>
      <w:r w:rsidRPr="000E79DA">
        <w:rPr>
          <w:rFonts w:eastAsia="Calibri"/>
          <w:lang w:val="en-US"/>
        </w:rPr>
        <w:tab/>
      </w:r>
      <w:r w:rsidRPr="000E79DA">
        <w:rPr>
          <w:rFonts w:eastAsia="Calibri"/>
          <w:lang w:val="en-US"/>
        </w:rPr>
        <w:t>Composite IBCs listed in IBC02, IBC03 and IBC08 of packaging code UN 31HA1.</w:t>
      </w:r>
    </w:p>
    <w:p w14:paraId="203E186E" w14:textId="6FFFC1C9" w:rsidR="000E79DA" w:rsidRPr="000E79DA" w:rsidRDefault="000E79DA" w:rsidP="000E79DA">
      <w:pPr>
        <w:pStyle w:val="SingleTxtG"/>
        <w:rPr>
          <w:rFonts w:eastAsia="Calibri"/>
          <w:color w:val="000000"/>
          <w:lang w:val="en-IE"/>
        </w:rPr>
      </w:pPr>
      <w:r>
        <w:rPr>
          <w:rFonts w:eastAsia="Calibri"/>
          <w:color w:val="000000"/>
          <w:lang w:val="en-IE"/>
        </w:rPr>
        <w:t>6.</w:t>
      </w:r>
      <w:r>
        <w:rPr>
          <w:rFonts w:eastAsia="Calibri"/>
          <w:color w:val="000000"/>
          <w:lang w:val="en-IE"/>
        </w:rPr>
        <w:tab/>
      </w:r>
      <w:r w:rsidRPr="000E79DA">
        <w:rPr>
          <w:rFonts w:eastAsia="Calibri"/>
          <w:color w:val="000000"/>
          <w:lang w:val="en-IE"/>
        </w:rPr>
        <w:t xml:space="preserve">The exemption does not apply to </w:t>
      </w:r>
    </w:p>
    <w:p w14:paraId="093BF886" w14:textId="2F8513D6" w:rsidR="000E79DA" w:rsidRPr="000E79DA" w:rsidRDefault="000E79DA" w:rsidP="000E79DA">
      <w:pPr>
        <w:pStyle w:val="Bullet1G"/>
        <w:numPr>
          <w:ilvl w:val="0"/>
          <w:numId w:val="0"/>
        </w:numPr>
        <w:tabs>
          <w:tab w:val="left" w:pos="1701"/>
        </w:tabs>
        <w:ind w:left="1701" w:hanging="170"/>
        <w:rPr>
          <w:rFonts w:eastAsia="Calibri"/>
          <w:color w:val="000000"/>
          <w:lang w:val="en-IE"/>
        </w:rPr>
      </w:pPr>
      <w:r w:rsidRPr="000E79DA">
        <w:rPr>
          <w:rFonts w:eastAsia="Calibri"/>
          <w:color w:val="000000"/>
          <w:lang w:val="en-IE"/>
        </w:rPr>
        <w:t>•</w:t>
      </w:r>
      <w:r w:rsidRPr="000E79DA">
        <w:rPr>
          <w:rFonts w:eastAsia="Calibri"/>
          <w:color w:val="000000"/>
          <w:lang w:val="en-IE"/>
        </w:rPr>
        <w:tab/>
      </w:r>
      <w:r w:rsidRPr="000E79DA">
        <w:rPr>
          <w:rFonts w:eastAsia="Calibri"/>
          <w:color w:val="000000"/>
          <w:lang w:val="en-IE"/>
        </w:rPr>
        <w:t>dangerous goods with packing instructions that specify the packaging to be hermetically sealed or vented;</w:t>
      </w:r>
    </w:p>
    <w:p w14:paraId="5CB9E7DF" w14:textId="493C75EE" w:rsidR="000E79DA" w:rsidRPr="000E79DA" w:rsidRDefault="000E79DA" w:rsidP="000E79DA">
      <w:pPr>
        <w:pStyle w:val="Bullet1G"/>
        <w:numPr>
          <w:ilvl w:val="0"/>
          <w:numId w:val="0"/>
        </w:numPr>
        <w:tabs>
          <w:tab w:val="left" w:pos="1701"/>
        </w:tabs>
        <w:ind w:left="1701" w:hanging="170"/>
        <w:rPr>
          <w:rFonts w:eastAsia="Calibri"/>
          <w:color w:val="000000"/>
          <w:lang w:val="en-IE"/>
        </w:rPr>
      </w:pPr>
      <w:r w:rsidRPr="000E79DA">
        <w:rPr>
          <w:rFonts w:eastAsia="Calibri"/>
          <w:color w:val="000000"/>
          <w:lang w:val="en-IE"/>
        </w:rPr>
        <w:t>•</w:t>
      </w:r>
      <w:r w:rsidRPr="000E79DA">
        <w:rPr>
          <w:rFonts w:eastAsia="Calibri"/>
          <w:color w:val="000000"/>
          <w:lang w:val="en-IE"/>
        </w:rPr>
        <w:tab/>
      </w:r>
      <w:r w:rsidRPr="000E79DA">
        <w:rPr>
          <w:rFonts w:eastAsia="Calibri"/>
          <w:color w:val="000000"/>
          <w:lang w:val="en-IE"/>
        </w:rPr>
        <w:t xml:space="preserve">substances classified as desensitized explosives of class 3 or 4.1, self-reactive substances of class 4.1, asbestos (UN 2212, UN 2590), polychlorinated biphenyls (UN 2315, UN 3432) and polyhalogenated biphenyls, halogenated </w:t>
      </w:r>
      <w:proofErr w:type="spellStart"/>
      <w:r w:rsidRPr="000E79DA">
        <w:rPr>
          <w:rFonts w:eastAsia="Calibri"/>
          <w:color w:val="000000"/>
          <w:lang w:val="en-IE"/>
        </w:rPr>
        <w:t>monomethyldiphenylmethanes</w:t>
      </w:r>
      <w:proofErr w:type="spellEnd"/>
      <w:r w:rsidRPr="000E79DA">
        <w:rPr>
          <w:rFonts w:eastAsia="Calibri"/>
          <w:color w:val="000000"/>
          <w:lang w:val="en-IE"/>
        </w:rPr>
        <w:t xml:space="preserve"> or polyhalogenated terphenyls (UN 3151, UN 3152);</w:t>
      </w:r>
    </w:p>
    <w:p w14:paraId="630142E1" w14:textId="6E0176EE" w:rsidR="000E79DA" w:rsidRPr="000E79DA" w:rsidRDefault="000E79DA" w:rsidP="000E79DA">
      <w:pPr>
        <w:pStyle w:val="Bullet1G"/>
        <w:numPr>
          <w:ilvl w:val="0"/>
          <w:numId w:val="0"/>
        </w:numPr>
        <w:tabs>
          <w:tab w:val="left" w:pos="1701"/>
        </w:tabs>
        <w:ind w:left="1701" w:hanging="170"/>
        <w:rPr>
          <w:rFonts w:eastAsia="Calibri"/>
          <w:color w:val="000000"/>
          <w:lang w:val="en-IE"/>
        </w:rPr>
      </w:pPr>
      <w:r w:rsidRPr="000E79DA">
        <w:rPr>
          <w:rFonts w:eastAsia="Calibri"/>
          <w:color w:val="000000"/>
          <w:lang w:val="en-IE"/>
        </w:rPr>
        <w:t>•</w:t>
      </w:r>
      <w:r w:rsidRPr="000E79DA">
        <w:rPr>
          <w:rFonts w:eastAsia="Calibri"/>
          <w:color w:val="000000"/>
          <w:lang w:val="en-IE"/>
        </w:rPr>
        <w:tab/>
      </w:r>
      <w:r w:rsidRPr="000E79DA">
        <w:rPr>
          <w:rFonts w:eastAsia="Calibri"/>
          <w:color w:val="000000"/>
          <w:lang w:val="en-IE"/>
        </w:rPr>
        <w:t>Large Packagings.</w:t>
      </w:r>
    </w:p>
    <w:p w14:paraId="426FAF05" w14:textId="77777777" w:rsidR="000E79DA" w:rsidRPr="000E79DA" w:rsidRDefault="000E79DA" w:rsidP="000E79DA">
      <w:pPr>
        <w:suppressAutoHyphens w:val="0"/>
        <w:spacing w:after="160" w:line="259" w:lineRule="auto"/>
        <w:rPr>
          <w:rFonts w:eastAsia="Calibri"/>
          <w:lang w:val="en-IE"/>
        </w:rPr>
      </w:pPr>
    </w:p>
    <w:p w14:paraId="519A2144" w14:textId="77777777" w:rsidR="000E79DA" w:rsidRPr="000E79DA" w:rsidRDefault="000E79DA" w:rsidP="000E79DA">
      <w:pPr>
        <w:suppressAutoHyphens w:val="0"/>
        <w:spacing w:after="160" w:line="259" w:lineRule="auto"/>
        <w:rPr>
          <w:rFonts w:eastAsia="Calibri"/>
          <w:lang w:val="en-IE"/>
        </w:rPr>
      </w:pPr>
    </w:p>
    <w:p w14:paraId="20FB0E5D" w14:textId="77777777" w:rsidR="000E79DA" w:rsidRPr="000E79DA" w:rsidRDefault="000E79DA" w:rsidP="000E79DA">
      <w:pPr>
        <w:suppressAutoHyphens w:val="0"/>
        <w:spacing w:after="160" w:line="259" w:lineRule="auto"/>
        <w:rPr>
          <w:rFonts w:eastAsia="Calibri"/>
          <w:lang w:val="en-IE"/>
        </w:rPr>
      </w:pPr>
    </w:p>
    <w:p w14:paraId="1A3BBC10" w14:textId="5B67D7AE" w:rsidR="000E79DA" w:rsidRPr="000E79DA" w:rsidRDefault="000E79DA" w:rsidP="000E79DA">
      <w:pPr>
        <w:pStyle w:val="HChG"/>
        <w:rPr>
          <w:rFonts w:eastAsia="Calibri"/>
        </w:rPr>
      </w:pPr>
      <w:r>
        <w:rPr>
          <w:rFonts w:eastAsia="Calibri"/>
        </w:rPr>
        <w:lastRenderedPageBreak/>
        <w:tab/>
      </w:r>
      <w:r>
        <w:rPr>
          <w:rFonts w:eastAsia="Calibri"/>
        </w:rPr>
        <w:tab/>
      </w:r>
      <w:r w:rsidRPr="000E79DA">
        <w:rPr>
          <w:rFonts w:eastAsia="Calibri"/>
        </w:rPr>
        <w:t>Justification</w:t>
      </w:r>
    </w:p>
    <w:p w14:paraId="00AA7BC5" w14:textId="3F52F48E" w:rsidR="000E79DA" w:rsidRPr="000E79DA" w:rsidRDefault="000E79DA" w:rsidP="000E79DA">
      <w:pPr>
        <w:pStyle w:val="SingleTxtG"/>
        <w:rPr>
          <w:rFonts w:eastAsia="Calibri"/>
          <w:lang w:val="en-IE"/>
        </w:rPr>
      </w:pPr>
      <w:r>
        <w:rPr>
          <w:rFonts w:eastAsia="Calibri"/>
          <w:lang w:val="en-IE"/>
        </w:rPr>
        <w:t>7.</w:t>
      </w:r>
      <w:r>
        <w:rPr>
          <w:rFonts w:eastAsia="Calibri"/>
          <w:lang w:val="en-IE"/>
        </w:rPr>
        <w:tab/>
      </w:r>
      <w:r w:rsidRPr="000E79DA">
        <w:rPr>
          <w:rFonts w:eastAsia="Calibri"/>
          <w:lang w:val="en-IE"/>
        </w:rPr>
        <w:t>The relevant ADR requirements for packagings for this discussion are listed in Annex</w:t>
      </w:r>
      <w:r>
        <w:rPr>
          <w:rFonts w:eastAsia="Calibri"/>
          <w:lang w:val="en-IE"/>
        </w:rPr>
        <w:t> </w:t>
      </w:r>
      <w:r w:rsidRPr="000E79DA">
        <w:rPr>
          <w:rFonts w:eastAsia="Calibri"/>
          <w:lang w:val="en-IE"/>
        </w:rPr>
        <w:t>I.</w:t>
      </w:r>
    </w:p>
    <w:p w14:paraId="275AF2C2" w14:textId="6354D78D" w:rsidR="000E79DA" w:rsidRPr="000E79DA" w:rsidRDefault="000E79DA" w:rsidP="000E79DA">
      <w:pPr>
        <w:pStyle w:val="SingleTxtG"/>
        <w:rPr>
          <w:rFonts w:eastAsia="Calibri"/>
          <w:lang w:val="en-IE"/>
        </w:rPr>
      </w:pPr>
      <w:r>
        <w:rPr>
          <w:rFonts w:eastAsia="Calibri"/>
          <w:lang w:val="en-IE"/>
        </w:rPr>
        <w:t>8.</w:t>
      </w:r>
      <w:r>
        <w:rPr>
          <w:rFonts w:eastAsia="Calibri"/>
          <w:lang w:val="en-IE"/>
        </w:rPr>
        <w:tab/>
      </w:r>
      <w:r w:rsidRPr="000E79DA">
        <w:rPr>
          <w:rFonts w:eastAsia="Calibri"/>
          <w:lang w:val="en-IE"/>
        </w:rPr>
        <w:t>The applicant for the competent authority exemption in Ireland informed us that pharmaceutical companies in particular routinely generate waste empty uncleaned drums and IBCs with residues of dangerous goods as a by-product of the manufacturing process, which are referred to as ‘vendor packaging’.</w:t>
      </w:r>
    </w:p>
    <w:p w14:paraId="671FCD2C" w14:textId="2A139DE0" w:rsidR="000E79DA" w:rsidRPr="000E79DA" w:rsidRDefault="000E79DA" w:rsidP="000E79DA">
      <w:pPr>
        <w:pStyle w:val="SingleTxtG"/>
        <w:rPr>
          <w:rFonts w:eastAsia="Calibri"/>
          <w:lang w:val="en-IE"/>
        </w:rPr>
      </w:pPr>
      <w:r>
        <w:rPr>
          <w:rFonts w:eastAsia="Calibri"/>
          <w:lang w:val="en-IE"/>
        </w:rPr>
        <w:t>9.</w:t>
      </w:r>
      <w:r>
        <w:rPr>
          <w:rFonts w:eastAsia="Calibri"/>
          <w:lang w:val="en-IE"/>
        </w:rPr>
        <w:tab/>
      </w:r>
      <w:r w:rsidRPr="000E79DA">
        <w:rPr>
          <w:rFonts w:eastAsia="Calibri"/>
          <w:lang w:val="en-IE"/>
        </w:rPr>
        <w:t>The companies source raw material from suppliers across the globe. The waste empty uncleaned packagings are a result of using the raw materials contained in the drums and IBCs.  In many cases these raw materials are not sourced directly from the manufacturers and there are many agents / distributors in the supply chain.  There are difficulties sourcing the packaging documentation (UN certificate of approval, associated test report and instructions on use). In many cases this information is not readily available. Reasons include:</w:t>
      </w:r>
    </w:p>
    <w:p w14:paraId="4A0F0E60" w14:textId="38E616B2" w:rsidR="000E79DA" w:rsidRPr="000E79DA" w:rsidRDefault="000E79DA" w:rsidP="000E79DA">
      <w:pPr>
        <w:pStyle w:val="Bullet1G"/>
        <w:numPr>
          <w:ilvl w:val="0"/>
          <w:numId w:val="0"/>
        </w:numPr>
        <w:tabs>
          <w:tab w:val="left" w:pos="1701"/>
        </w:tabs>
        <w:ind w:left="1701" w:hanging="170"/>
        <w:rPr>
          <w:rFonts w:eastAsia="Calibri"/>
          <w:lang w:val="en-IE"/>
        </w:rPr>
      </w:pPr>
      <w:r w:rsidRPr="000E79DA">
        <w:rPr>
          <w:rFonts w:eastAsia="Calibri"/>
          <w:lang w:val="en-IE"/>
        </w:rPr>
        <w:t>•</w:t>
      </w:r>
      <w:r w:rsidRPr="000E79DA">
        <w:rPr>
          <w:rFonts w:eastAsia="Calibri"/>
          <w:lang w:val="en-IE"/>
        </w:rPr>
        <w:tab/>
      </w:r>
      <w:r w:rsidRPr="000E79DA">
        <w:rPr>
          <w:rFonts w:eastAsia="Calibri"/>
          <w:lang w:val="en-IE"/>
        </w:rPr>
        <w:t>Number of parties in the supply chain</w:t>
      </w:r>
    </w:p>
    <w:p w14:paraId="3EA764EC" w14:textId="08D39ACB" w:rsidR="000E79DA" w:rsidRPr="000E79DA" w:rsidRDefault="000E79DA" w:rsidP="000E79DA">
      <w:pPr>
        <w:pStyle w:val="Bullet1G"/>
        <w:numPr>
          <w:ilvl w:val="0"/>
          <w:numId w:val="0"/>
        </w:numPr>
        <w:tabs>
          <w:tab w:val="left" w:pos="1701"/>
        </w:tabs>
        <w:ind w:left="1701" w:hanging="170"/>
        <w:rPr>
          <w:rFonts w:eastAsia="Calibri"/>
          <w:lang w:val="en-IE"/>
        </w:rPr>
      </w:pPr>
      <w:r w:rsidRPr="000E79DA">
        <w:rPr>
          <w:rFonts w:eastAsia="Calibri"/>
          <w:lang w:val="en-IE"/>
        </w:rPr>
        <w:t>•</w:t>
      </w:r>
      <w:r w:rsidRPr="000E79DA">
        <w:rPr>
          <w:rFonts w:eastAsia="Calibri"/>
          <w:lang w:val="en-IE"/>
        </w:rPr>
        <w:tab/>
      </w:r>
      <w:r w:rsidRPr="000E79DA">
        <w:rPr>
          <w:rFonts w:eastAsia="Calibri"/>
          <w:lang w:val="en-IE"/>
        </w:rPr>
        <w:t xml:space="preserve">Resources required to source such documentation </w:t>
      </w:r>
    </w:p>
    <w:p w14:paraId="36D788BA" w14:textId="022CB976" w:rsidR="000E79DA" w:rsidRPr="000E79DA" w:rsidRDefault="000E79DA" w:rsidP="000E79DA">
      <w:pPr>
        <w:pStyle w:val="Bullet1G"/>
        <w:numPr>
          <w:ilvl w:val="0"/>
          <w:numId w:val="0"/>
        </w:numPr>
        <w:tabs>
          <w:tab w:val="left" w:pos="1701"/>
        </w:tabs>
        <w:ind w:left="1701" w:hanging="170"/>
        <w:rPr>
          <w:rFonts w:eastAsia="Calibri"/>
          <w:lang w:val="en-IE"/>
        </w:rPr>
      </w:pPr>
      <w:r w:rsidRPr="000E79DA">
        <w:rPr>
          <w:rFonts w:eastAsia="Calibri"/>
          <w:lang w:val="en-IE"/>
        </w:rPr>
        <w:t>•</w:t>
      </w:r>
      <w:r w:rsidRPr="000E79DA">
        <w:rPr>
          <w:rFonts w:eastAsia="Calibri"/>
          <w:lang w:val="en-IE"/>
        </w:rPr>
        <w:tab/>
      </w:r>
      <w:r w:rsidRPr="000E79DA">
        <w:rPr>
          <w:rFonts w:eastAsia="Calibri"/>
          <w:lang w:val="en-IE"/>
        </w:rPr>
        <w:t>Language barriers</w:t>
      </w:r>
    </w:p>
    <w:p w14:paraId="05A51CFE" w14:textId="43CF48E8" w:rsidR="000E79DA" w:rsidRPr="000E79DA" w:rsidRDefault="000E79DA" w:rsidP="000E79DA">
      <w:pPr>
        <w:pStyle w:val="Bullet1G"/>
        <w:numPr>
          <w:ilvl w:val="0"/>
          <w:numId w:val="0"/>
        </w:numPr>
        <w:tabs>
          <w:tab w:val="left" w:pos="1701"/>
        </w:tabs>
        <w:ind w:left="1701" w:hanging="170"/>
        <w:rPr>
          <w:rFonts w:eastAsia="Calibri"/>
          <w:lang w:val="en-IE"/>
        </w:rPr>
      </w:pPr>
      <w:r w:rsidRPr="000E79DA">
        <w:rPr>
          <w:rFonts w:eastAsia="Calibri"/>
          <w:lang w:val="en-IE"/>
        </w:rPr>
        <w:t>•</w:t>
      </w:r>
      <w:r w:rsidRPr="000E79DA">
        <w:rPr>
          <w:rFonts w:eastAsia="Calibri"/>
          <w:lang w:val="en-IE"/>
        </w:rPr>
        <w:tab/>
      </w:r>
      <w:r w:rsidRPr="000E79DA">
        <w:rPr>
          <w:rFonts w:eastAsia="Calibri"/>
          <w:lang w:val="en-IE"/>
        </w:rPr>
        <w:t>Lack of understanding from suppliers as to why these documents are required.</w:t>
      </w:r>
    </w:p>
    <w:p w14:paraId="2A55F273" w14:textId="56603FC4" w:rsidR="000E79DA" w:rsidRPr="000E79DA" w:rsidRDefault="000E79DA" w:rsidP="000E79DA">
      <w:pPr>
        <w:pStyle w:val="SingleTxtG"/>
        <w:rPr>
          <w:b/>
          <w:lang w:val="en-IE" w:eastAsia="en-IE"/>
        </w:rPr>
      </w:pPr>
      <w:r>
        <w:rPr>
          <w:rFonts w:eastAsia="Calibri"/>
          <w:lang w:val="en-IE"/>
        </w:rPr>
        <w:t>10.</w:t>
      </w:r>
      <w:r>
        <w:rPr>
          <w:rFonts w:eastAsia="Calibri"/>
          <w:lang w:val="en-IE"/>
        </w:rPr>
        <w:tab/>
      </w:r>
      <w:r w:rsidRPr="000E79DA">
        <w:rPr>
          <w:rFonts w:eastAsia="Calibri"/>
          <w:lang w:val="en-IE"/>
        </w:rPr>
        <w:t>In addition, subsequent to sourcing the packaging documentation, the raw material supplier may without consultation to the end user use an alternative packaging, with different packaging documentation associated with it.</w:t>
      </w:r>
    </w:p>
    <w:p w14:paraId="3E42E5C4" w14:textId="3BC0CACD" w:rsidR="000E79DA" w:rsidRPr="000E79DA" w:rsidRDefault="000E79DA" w:rsidP="000E79DA">
      <w:pPr>
        <w:pStyle w:val="SingleTxtG"/>
        <w:rPr>
          <w:rFonts w:eastAsia="Calibri"/>
          <w:color w:val="000000"/>
          <w:lang w:val="en-IE"/>
        </w:rPr>
      </w:pPr>
      <w:r>
        <w:rPr>
          <w:rFonts w:eastAsia="Calibri"/>
          <w:color w:val="000000"/>
          <w:lang w:val="en-IE"/>
        </w:rPr>
        <w:t>11.</w:t>
      </w:r>
      <w:r>
        <w:rPr>
          <w:rFonts w:eastAsia="Calibri"/>
          <w:color w:val="000000"/>
          <w:lang w:val="en-IE"/>
        </w:rPr>
        <w:tab/>
      </w:r>
      <w:r w:rsidRPr="000E79DA">
        <w:rPr>
          <w:rFonts w:eastAsia="Calibri"/>
          <w:color w:val="000000"/>
          <w:lang w:val="en-IE"/>
        </w:rPr>
        <w:t xml:space="preserve">Without having sourced the documentation listed above, Ireland’s competent authority exemption permits the carriage of empty uncleaned packagings listed above which contained substances of Classes 3, 4.1, 6.1, 8 and 9 to be carried by road nationally on condition that the carriage complies with the following supplementary provisions: </w:t>
      </w:r>
    </w:p>
    <w:p w14:paraId="27756EB1" w14:textId="5B9549AC" w:rsidR="000E79DA" w:rsidRPr="000E79DA" w:rsidRDefault="000E79DA" w:rsidP="000E79DA">
      <w:pPr>
        <w:pStyle w:val="SingleTxtG"/>
        <w:ind w:left="2268" w:hanging="567"/>
        <w:rPr>
          <w:rFonts w:eastAsia="Calibri"/>
        </w:rPr>
      </w:pPr>
      <w:r>
        <w:rPr>
          <w:rFonts w:eastAsia="Calibri"/>
        </w:rPr>
        <w:t>(1)</w:t>
      </w:r>
      <w:r>
        <w:rPr>
          <w:rFonts w:eastAsia="Calibri"/>
        </w:rPr>
        <w:tab/>
      </w:r>
      <w:r w:rsidRPr="000E79DA">
        <w:rPr>
          <w:rFonts w:eastAsia="Calibri"/>
        </w:rPr>
        <w:t xml:space="preserve">Consignor or packer to develop written procedures and provide training on alternative packaging closure methods. </w:t>
      </w:r>
    </w:p>
    <w:p w14:paraId="5F2431A6" w14:textId="2A08ED08" w:rsidR="000E79DA" w:rsidRPr="000E79DA" w:rsidRDefault="000E79DA" w:rsidP="000E79DA">
      <w:pPr>
        <w:pStyle w:val="SingleTxtG"/>
        <w:ind w:left="2268" w:hanging="567"/>
        <w:rPr>
          <w:rFonts w:eastAsia="Calibri"/>
          <w:color w:val="000000"/>
        </w:rPr>
      </w:pPr>
      <w:r>
        <w:rPr>
          <w:rFonts w:eastAsia="Calibri"/>
          <w:color w:val="000000"/>
          <w:lang w:val="fr-CH"/>
        </w:rPr>
        <w:t>(2)</w:t>
      </w:r>
      <w:r>
        <w:rPr>
          <w:rFonts w:eastAsia="Calibri"/>
          <w:color w:val="000000"/>
          <w:lang w:val="fr-CH"/>
        </w:rPr>
        <w:tab/>
      </w:r>
      <w:r w:rsidRPr="000E79DA">
        <w:rPr>
          <w:rFonts w:eastAsia="Calibri"/>
          <w:color w:val="000000"/>
        </w:rPr>
        <w:t>Packagings empty, uncleaned, with minimal residue of free liquid or solids.</w:t>
      </w:r>
    </w:p>
    <w:p w14:paraId="0A9193BC" w14:textId="73467C36" w:rsidR="000E79DA" w:rsidRPr="000E79DA" w:rsidRDefault="000E79DA" w:rsidP="000E79DA">
      <w:pPr>
        <w:pStyle w:val="SingleTxtG"/>
        <w:ind w:left="2268" w:hanging="567"/>
        <w:rPr>
          <w:rFonts w:eastAsia="Calibri"/>
          <w:color w:val="000000"/>
        </w:rPr>
      </w:pPr>
      <w:r>
        <w:rPr>
          <w:rFonts w:eastAsia="Calibri"/>
          <w:color w:val="000000"/>
          <w:lang w:val="fr-CH"/>
        </w:rPr>
        <w:t>(3)</w:t>
      </w:r>
      <w:r>
        <w:rPr>
          <w:rFonts w:eastAsia="Calibri"/>
          <w:color w:val="000000"/>
          <w:lang w:val="fr-CH"/>
        </w:rPr>
        <w:tab/>
      </w:r>
      <w:r w:rsidRPr="000E79DA">
        <w:rPr>
          <w:rFonts w:eastAsia="Calibri"/>
          <w:color w:val="000000"/>
        </w:rPr>
        <w:t>Alternative packaging closure methods to address the requirements for:</w:t>
      </w:r>
    </w:p>
    <w:p w14:paraId="0DDD5264" w14:textId="768A4C8B" w:rsidR="000E79DA" w:rsidRPr="000E79DA" w:rsidRDefault="000E79DA" w:rsidP="000E79DA">
      <w:pPr>
        <w:pStyle w:val="SingleTxtG"/>
        <w:ind w:left="2694" w:hanging="426"/>
        <w:rPr>
          <w:rFonts w:eastAsia="Calibri"/>
        </w:rPr>
      </w:pPr>
      <w:r>
        <w:rPr>
          <w:rFonts w:eastAsia="Calibri"/>
          <w:lang w:val="fr-CH"/>
        </w:rPr>
        <w:t>(a)</w:t>
      </w:r>
      <w:r w:rsidRPr="000E79DA">
        <w:rPr>
          <w:rFonts w:eastAsia="Calibri"/>
        </w:rPr>
        <w:tab/>
      </w:r>
      <w:r w:rsidRPr="000E79DA">
        <w:rPr>
          <w:rFonts w:eastAsia="Calibri"/>
        </w:rPr>
        <w:t>All packaging original component parts to be used including the packaging closure devices;</w:t>
      </w:r>
    </w:p>
    <w:p w14:paraId="7EAE778D" w14:textId="08BA83A5" w:rsidR="000E79DA" w:rsidRPr="000E79DA" w:rsidRDefault="000E79DA" w:rsidP="000E79DA">
      <w:pPr>
        <w:pStyle w:val="SingleTxtG"/>
        <w:ind w:left="2694" w:hanging="426"/>
        <w:rPr>
          <w:rFonts w:eastAsia="Calibri"/>
          <w:lang w:val="en-IE"/>
        </w:rPr>
      </w:pPr>
      <w:r>
        <w:rPr>
          <w:rFonts w:eastAsia="Calibri"/>
          <w:lang w:val="en-IE"/>
        </w:rPr>
        <w:t>(b)</w:t>
      </w:r>
      <w:r w:rsidRPr="000E79DA">
        <w:rPr>
          <w:rFonts w:eastAsia="Calibri"/>
          <w:lang w:val="en-IE"/>
        </w:rPr>
        <w:tab/>
      </w:r>
      <w:r w:rsidRPr="000E79DA">
        <w:rPr>
          <w:rFonts w:eastAsia="Calibri"/>
          <w:lang w:val="en-IE"/>
        </w:rPr>
        <w:t>All removable head drums, with original drum body to have the lid clamp band correctly and securely fitted;</w:t>
      </w:r>
    </w:p>
    <w:p w14:paraId="062D6964" w14:textId="5227C48F" w:rsidR="000E79DA" w:rsidRPr="000E79DA" w:rsidRDefault="000E79DA" w:rsidP="000E79DA">
      <w:pPr>
        <w:pStyle w:val="SingleTxtG"/>
        <w:ind w:left="2694" w:hanging="426"/>
        <w:rPr>
          <w:rFonts w:eastAsia="Calibri"/>
        </w:rPr>
      </w:pPr>
      <w:r>
        <w:rPr>
          <w:rFonts w:eastAsia="Calibri"/>
          <w:lang w:val="fr-CH"/>
        </w:rPr>
        <w:t>(</w:t>
      </w:r>
      <w:r w:rsidRPr="000E79DA">
        <w:rPr>
          <w:rFonts w:eastAsia="Calibri"/>
        </w:rPr>
        <w:t>c</w:t>
      </w:r>
      <w:r>
        <w:rPr>
          <w:rFonts w:eastAsia="Calibri"/>
          <w:lang w:val="fr-CH"/>
        </w:rPr>
        <w:t>)</w:t>
      </w:r>
      <w:r w:rsidRPr="000E79DA">
        <w:rPr>
          <w:rFonts w:eastAsia="Calibri"/>
        </w:rPr>
        <w:tab/>
      </w:r>
      <w:r w:rsidRPr="000E79DA">
        <w:rPr>
          <w:rFonts w:eastAsia="Calibri"/>
        </w:rPr>
        <w:t xml:space="preserve">All non-removable head packaging secured to a recommended appropriate tightness using a calibrated torque wrench so it remains firmly closed and the packaging remains leakproof during the normal conditions of carriage (appropriate closing torques for the different types of packaging are provided in Annex </w:t>
      </w:r>
      <w:r>
        <w:rPr>
          <w:rFonts w:eastAsia="Calibri"/>
          <w:lang w:val="fr-CH"/>
        </w:rPr>
        <w:t>II</w:t>
      </w:r>
      <w:r w:rsidRPr="000E79DA">
        <w:rPr>
          <w:rFonts w:eastAsia="Calibri"/>
        </w:rPr>
        <w:t>);</w:t>
      </w:r>
    </w:p>
    <w:p w14:paraId="1730DCE6" w14:textId="3DAAE8FF" w:rsidR="000E79DA" w:rsidRPr="000E79DA" w:rsidRDefault="000E79DA" w:rsidP="000E79DA">
      <w:pPr>
        <w:pStyle w:val="SingleTxtG"/>
        <w:ind w:left="2694" w:hanging="426"/>
        <w:rPr>
          <w:rFonts w:eastAsia="Calibri"/>
        </w:rPr>
      </w:pPr>
      <w:r>
        <w:rPr>
          <w:rFonts w:eastAsia="Calibri"/>
          <w:lang w:val="fr-CH"/>
        </w:rPr>
        <w:t>(</w:t>
      </w:r>
      <w:r w:rsidRPr="000E79DA">
        <w:rPr>
          <w:rFonts w:eastAsia="Calibri"/>
        </w:rPr>
        <w:t>d</w:t>
      </w:r>
      <w:r>
        <w:rPr>
          <w:rFonts w:eastAsia="Calibri"/>
          <w:lang w:val="fr-CH"/>
        </w:rPr>
        <w:t>)</w:t>
      </w:r>
      <w:r w:rsidRPr="000E79DA">
        <w:rPr>
          <w:rFonts w:eastAsia="Calibri"/>
        </w:rPr>
        <w:tab/>
      </w:r>
      <w:r w:rsidRPr="000E79DA">
        <w:rPr>
          <w:rFonts w:eastAsia="Calibri"/>
        </w:rPr>
        <w:t>Damaged packaging and packaging missing original component parts not to be permitted for transport.</w:t>
      </w:r>
    </w:p>
    <w:p w14:paraId="69AE64CE" w14:textId="10D8F495" w:rsidR="000E79DA" w:rsidRPr="000E79DA" w:rsidRDefault="000E79DA" w:rsidP="000E79DA">
      <w:pPr>
        <w:pStyle w:val="HChG"/>
        <w:rPr>
          <w:lang w:eastAsia="en-IE"/>
        </w:rPr>
      </w:pPr>
      <w:r>
        <w:rPr>
          <w:lang w:eastAsia="en-IE"/>
        </w:rPr>
        <w:tab/>
      </w:r>
      <w:r>
        <w:rPr>
          <w:lang w:eastAsia="en-IE"/>
        </w:rPr>
        <w:tab/>
      </w:r>
      <w:r w:rsidRPr="000E79DA">
        <w:rPr>
          <w:lang w:eastAsia="en-IE"/>
        </w:rPr>
        <w:t>Request</w:t>
      </w:r>
    </w:p>
    <w:p w14:paraId="625E2985" w14:textId="1E38A1CC" w:rsidR="000E79DA" w:rsidRPr="000E79DA" w:rsidRDefault="000E79DA" w:rsidP="000E79DA">
      <w:pPr>
        <w:pStyle w:val="SingleTxtG"/>
        <w:rPr>
          <w:lang w:val="en-IE" w:eastAsia="en-IE"/>
        </w:rPr>
      </w:pPr>
      <w:r>
        <w:rPr>
          <w:lang w:val="en-IE" w:eastAsia="en-IE"/>
        </w:rPr>
        <w:t>12.</w:t>
      </w:r>
      <w:r>
        <w:rPr>
          <w:lang w:val="en-IE" w:eastAsia="en-IE"/>
        </w:rPr>
        <w:tab/>
      </w:r>
      <w:r w:rsidRPr="000E79DA">
        <w:rPr>
          <w:lang w:val="en-IE" w:eastAsia="en-IE"/>
        </w:rPr>
        <w:t>The Irish delegation considered the option of making a request in relation to this issue for a national derogation under Directive 2008/68/EC to the EU Committee on the Transport of Dangerous Goods.</w:t>
      </w:r>
    </w:p>
    <w:p w14:paraId="516BC8BA" w14:textId="425C0201" w:rsidR="000E79DA" w:rsidRPr="000E79DA" w:rsidRDefault="000E79DA" w:rsidP="000E79DA">
      <w:pPr>
        <w:pStyle w:val="SingleTxtG"/>
        <w:rPr>
          <w:lang w:val="en-IE" w:eastAsia="en-IE"/>
        </w:rPr>
      </w:pPr>
      <w:r>
        <w:rPr>
          <w:lang w:val="en-IE" w:eastAsia="en-IE"/>
        </w:rPr>
        <w:t>13.</w:t>
      </w:r>
      <w:r>
        <w:rPr>
          <w:lang w:val="en-IE" w:eastAsia="en-IE"/>
        </w:rPr>
        <w:tab/>
      </w:r>
      <w:r w:rsidRPr="000E79DA">
        <w:rPr>
          <w:lang w:val="en-IE" w:eastAsia="en-IE"/>
        </w:rPr>
        <w:t>However, we expect this issue may also be experienced in other Contracting Parties to the ADR, and potentially other modes of dangerous goods carriage, and it would therefore be preferable if a regulatory solution could be found that is available to all.</w:t>
      </w:r>
    </w:p>
    <w:p w14:paraId="2F00799D" w14:textId="26285FD6" w:rsidR="000E79DA" w:rsidRPr="000E79DA" w:rsidRDefault="000E79DA" w:rsidP="000E79DA">
      <w:pPr>
        <w:pStyle w:val="SingleTxtG"/>
        <w:rPr>
          <w:lang w:val="en-IE" w:eastAsia="en-IE"/>
        </w:rPr>
      </w:pPr>
      <w:r>
        <w:rPr>
          <w:lang w:val="en-IE" w:eastAsia="en-IE"/>
        </w:rPr>
        <w:lastRenderedPageBreak/>
        <w:t>14.</w:t>
      </w:r>
      <w:r>
        <w:rPr>
          <w:lang w:val="en-IE" w:eastAsia="en-IE"/>
        </w:rPr>
        <w:tab/>
      </w:r>
      <w:r w:rsidRPr="000E79DA">
        <w:rPr>
          <w:lang w:val="en-IE" w:eastAsia="en-IE"/>
        </w:rPr>
        <w:t xml:space="preserve">The Irish delegation would thus be interested to hear the opinions of other delegations in relation to this difficulty and to hear initial suggestions for a possible long-term solution in the regulations.  </w:t>
      </w:r>
    </w:p>
    <w:p w14:paraId="4046410B" w14:textId="77777777" w:rsidR="000E79DA" w:rsidRPr="000E79DA" w:rsidRDefault="000E79DA" w:rsidP="000E79DA">
      <w:pPr>
        <w:suppressAutoHyphens w:val="0"/>
        <w:spacing w:before="100" w:beforeAutospacing="1" w:after="100" w:afterAutospacing="1" w:line="240" w:lineRule="auto"/>
        <w:rPr>
          <w:lang w:val="en-IE" w:eastAsia="en-IE"/>
        </w:rPr>
      </w:pPr>
    </w:p>
    <w:p w14:paraId="623A27FF" w14:textId="77777777" w:rsidR="000E79DA" w:rsidRPr="000E79DA" w:rsidRDefault="000E79DA" w:rsidP="000E79DA">
      <w:pPr>
        <w:suppressAutoHyphens w:val="0"/>
        <w:spacing w:after="160" w:line="259" w:lineRule="auto"/>
        <w:rPr>
          <w:lang w:val="en-IE" w:eastAsia="en-IE"/>
        </w:rPr>
      </w:pPr>
      <w:r w:rsidRPr="000E79DA">
        <w:rPr>
          <w:rFonts w:ascii="Calibri" w:eastAsia="Calibri" w:hAnsi="Calibri" w:cs="Arial"/>
          <w:lang w:val="en-IE"/>
        </w:rPr>
        <w:br w:type="page"/>
      </w:r>
    </w:p>
    <w:p w14:paraId="6C1D5C24" w14:textId="77777777" w:rsidR="000E79DA" w:rsidRPr="000E79DA" w:rsidRDefault="000E79DA" w:rsidP="000E79DA">
      <w:pPr>
        <w:pStyle w:val="HChG"/>
        <w:rPr>
          <w:lang w:eastAsia="en-IE"/>
        </w:rPr>
      </w:pPr>
      <w:r w:rsidRPr="000E79DA">
        <w:rPr>
          <w:lang w:eastAsia="en-IE"/>
        </w:rPr>
        <w:lastRenderedPageBreak/>
        <w:t>Annex I</w:t>
      </w:r>
    </w:p>
    <w:p w14:paraId="5FA3AA24" w14:textId="77777777" w:rsidR="000E79DA" w:rsidRPr="000E79DA" w:rsidRDefault="000E79DA" w:rsidP="000E79DA">
      <w:pPr>
        <w:pStyle w:val="SingleTxtG"/>
        <w:rPr>
          <w:rFonts w:eastAsia="Calibri"/>
          <w:i/>
          <w:lang w:val="en-IE"/>
        </w:rPr>
      </w:pPr>
      <w:r w:rsidRPr="000E79DA">
        <w:rPr>
          <w:rFonts w:eastAsia="Calibri"/>
          <w:i/>
          <w:lang w:val="en-IE"/>
        </w:rPr>
        <w:t>ADR 4.1.1.1: ‘Packagings, including IBCs and large packagings, shall be closed in accordance with the information provided by the manufacturer.’</w:t>
      </w:r>
    </w:p>
    <w:p w14:paraId="24C30D22" w14:textId="77777777" w:rsidR="000E79DA" w:rsidRPr="000E79DA" w:rsidRDefault="000E79DA" w:rsidP="000E79DA">
      <w:pPr>
        <w:pStyle w:val="SingleTxtG"/>
        <w:rPr>
          <w:rFonts w:eastAsia="Calibri"/>
          <w:i/>
          <w:lang w:val="en-IE"/>
        </w:rPr>
      </w:pPr>
      <w:r w:rsidRPr="000E79DA">
        <w:rPr>
          <w:rFonts w:eastAsia="Calibri"/>
          <w:i/>
          <w:lang w:val="en-IE"/>
        </w:rPr>
        <w:t>ADR 4.1.1.3: ‘Unless otherwise provided elsewhere in ADR, each packaging, including IBCs and large packagings, except inner packagings, shall conform to a design type successfully tested in accordance with the requirements of 6.1.5, 6.3.5, 6.5.6 or 6.6.5, as applicable.’</w:t>
      </w:r>
    </w:p>
    <w:p w14:paraId="69DB93F6" w14:textId="77777777" w:rsidR="000E79DA" w:rsidRPr="000E79DA" w:rsidRDefault="000E79DA" w:rsidP="000E79DA">
      <w:pPr>
        <w:pStyle w:val="SingleTxtG"/>
        <w:rPr>
          <w:rFonts w:eastAsia="Calibri"/>
          <w:i/>
          <w:lang w:val="en-IE"/>
        </w:rPr>
      </w:pPr>
      <w:r w:rsidRPr="000E79DA">
        <w:rPr>
          <w:rFonts w:eastAsia="Calibri"/>
          <w:i/>
          <w:lang w:val="en-IE"/>
        </w:rPr>
        <w:t>ADR 4.1.1.11: Empty packagings, including IBCs and large packagings, that have contained a dangerous substance are subject to the same requirements as those for a filled packaging, unless adequate measures have been taken to nullify any hazard.</w:t>
      </w:r>
    </w:p>
    <w:p w14:paraId="27C83091" w14:textId="77777777" w:rsidR="000E79DA" w:rsidRPr="000E79DA" w:rsidRDefault="000E79DA" w:rsidP="000E79DA">
      <w:pPr>
        <w:pStyle w:val="SingleTxtG"/>
        <w:rPr>
          <w:rFonts w:eastAsia="Calibri"/>
          <w:i/>
          <w:lang w:val="en-IE"/>
        </w:rPr>
      </w:pPr>
      <w:r w:rsidRPr="000E79DA">
        <w:rPr>
          <w:rFonts w:eastAsia="Calibri"/>
          <w:b/>
          <w:i/>
          <w:lang w:val="en-IE"/>
        </w:rPr>
        <w:t>NOTE:</w:t>
      </w:r>
      <w:r w:rsidRPr="000E79DA">
        <w:rPr>
          <w:rFonts w:eastAsia="Calibri"/>
          <w:i/>
          <w:lang w:val="en-IE"/>
        </w:rPr>
        <w:t xml:space="preserve"> </w:t>
      </w:r>
      <w:r w:rsidRPr="000E79DA">
        <w:rPr>
          <w:rFonts w:eastAsia="Calibri"/>
          <w:i/>
          <w:lang w:val="en-IE"/>
        </w:rPr>
        <w:tab/>
        <w:t>When such packagings are carried for disposal, recycling or recovery of their material, they may also be carried under UN 3509 provided the conditions of special provision 663 of Chapter 3.3 are met.</w:t>
      </w:r>
    </w:p>
    <w:p w14:paraId="45FBE93E" w14:textId="77777777" w:rsidR="000E79DA" w:rsidRPr="000E79DA" w:rsidRDefault="000E79DA" w:rsidP="000E79DA">
      <w:pPr>
        <w:pStyle w:val="SingleTxtG"/>
        <w:rPr>
          <w:rFonts w:eastAsia="Calibri"/>
          <w:i/>
          <w:lang w:val="en-IE"/>
        </w:rPr>
      </w:pPr>
      <w:r w:rsidRPr="000E79DA">
        <w:rPr>
          <w:rFonts w:eastAsia="Calibri"/>
          <w:i/>
          <w:lang w:val="en-IE"/>
        </w:rPr>
        <w:t xml:space="preserve">ADR 6.1.1.5: ‘Manufacturers and subsequent distributors of packagings shall provide information regarding procedures to be followed and a description of the types and dimensions of closures (including required gaskets)and any other components needed to ensure that packages as presented for carriage are capable of passing the applicable performance tests of this chapter.’ </w:t>
      </w:r>
    </w:p>
    <w:p w14:paraId="6C2FBCB2" w14:textId="77777777" w:rsidR="000E79DA" w:rsidRPr="000E79DA" w:rsidRDefault="000E79DA" w:rsidP="000E79DA">
      <w:pPr>
        <w:pStyle w:val="SingleTxtG"/>
        <w:rPr>
          <w:rFonts w:eastAsia="Calibri"/>
          <w:i/>
          <w:lang w:val="en-IE"/>
        </w:rPr>
      </w:pPr>
      <w:r w:rsidRPr="000E79DA">
        <w:rPr>
          <w:rFonts w:eastAsia="Calibri"/>
          <w:i/>
          <w:lang w:val="en-IE"/>
        </w:rPr>
        <w:t>6.1.5.8.2 ‘The test report shall contain statements that the packaging prepared as for carriage was tested in accordance with the appropriate requirements of this section and that the use of other packaging methods or components may render it invalid. A copy of the test report shall be available to the competent authority.’</w:t>
      </w:r>
    </w:p>
    <w:p w14:paraId="7E66FC4F" w14:textId="77777777" w:rsidR="000E79DA" w:rsidRPr="000E79DA" w:rsidRDefault="000E79DA" w:rsidP="000E79DA">
      <w:pPr>
        <w:pStyle w:val="SingleTxtG"/>
        <w:rPr>
          <w:rFonts w:eastAsia="Calibri"/>
          <w:i/>
          <w:lang w:val="en-IE"/>
        </w:rPr>
      </w:pPr>
      <w:r w:rsidRPr="000E79DA">
        <w:rPr>
          <w:rFonts w:eastAsia="Calibri"/>
          <w:i/>
          <w:lang w:val="en-IE"/>
        </w:rPr>
        <w:t>ADR 6.5.1.1.4: ‘Manufacturers and subsequent distributors of IBCs shall provide information regarding procedures to be followed and a description of the types and dimensions of closures (including required gaskets)and any other components needed to ensure that IBCs as presented for carriage are capable of passing the applicable performance tests of this chapter.’</w:t>
      </w:r>
    </w:p>
    <w:p w14:paraId="4FEA6872" w14:textId="77777777" w:rsidR="000E79DA" w:rsidRPr="000E79DA" w:rsidRDefault="000E79DA" w:rsidP="000E79DA">
      <w:pPr>
        <w:pStyle w:val="SingleTxtG"/>
        <w:rPr>
          <w:rFonts w:eastAsia="Calibri"/>
          <w:i/>
          <w:lang w:val="en-IE"/>
        </w:rPr>
      </w:pPr>
      <w:r w:rsidRPr="000E79DA">
        <w:rPr>
          <w:rFonts w:eastAsia="Calibri"/>
          <w:i/>
          <w:lang w:val="en-IE"/>
        </w:rPr>
        <w:t>6.5.6.14.2 The test report shall contain statements that the IBC prepared as for carriage was tested in accordance with the appropriate requirements of this Chapter and that the use of other packaging methods or components may render it invalid. A copy of the test report shall be available to the competent authority.</w:t>
      </w:r>
    </w:p>
    <w:p w14:paraId="6EB5C018" w14:textId="77777777" w:rsidR="000E79DA" w:rsidRPr="000E79DA" w:rsidRDefault="000E79DA" w:rsidP="000E79DA">
      <w:pPr>
        <w:suppressAutoHyphens w:val="0"/>
        <w:spacing w:before="100" w:beforeAutospacing="1" w:after="100" w:afterAutospacing="1" w:line="240" w:lineRule="auto"/>
        <w:rPr>
          <w:lang w:val="en-IE" w:eastAsia="en-IE"/>
        </w:rPr>
      </w:pPr>
    </w:p>
    <w:p w14:paraId="4D973B06" w14:textId="77777777" w:rsidR="000E79DA" w:rsidRPr="000E79DA" w:rsidRDefault="000E79DA" w:rsidP="000E79DA">
      <w:pPr>
        <w:suppressAutoHyphens w:val="0"/>
        <w:spacing w:after="160" w:line="259" w:lineRule="auto"/>
        <w:rPr>
          <w:lang w:val="en-IE" w:eastAsia="en-IE"/>
        </w:rPr>
      </w:pPr>
      <w:r w:rsidRPr="000E79DA">
        <w:rPr>
          <w:rFonts w:ascii="Calibri" w:eastAsia="Calibri" w:hAnsi="Calibri" w:cs="Arial"/>
          <w:lang w:val="en-IE"/>
        </w:rPr>
        <w:br w:type="page"/>
      </w:r>
    </w:p>
    <w:p w14:paraId="3DC03B02" w14:textId="7F827F7B" w:rsidR="000E79DA" w:rsidRPr="000E79DA" w:rsidRDefault="000E79DA" w:rsidP="000E79DA">
      <w:pPr>
        <w:pStyle w:val="HChG"/>
        <w:rPr>
          <w:rFonts w:eastAsia="Calibri"/>
          <w:lang w:val="fr-CH"/>
        </w:rPr>
      </w:pPr>
      <w:r w:rsidRPr="000E79DA">
        <w:rPr>
          <w:rFonts w:eastAsia="Calibri"/>
        </w:rPr>
        <w:lastRenderedPageBreak/>
        <w:t xml:space="preserve">Annex </w:t>
      </w:r>
      <w:r>
        <w:rPr>
          <w:rFonts w:eastAsia="Calibri"/>
          <w:lang w:val="fr-CH"/>
        </w:rPr>
        <w:t>II</w:t>
      </w:r>
    </w:p>
    <w:p w14:paraId="4E2D574E" w14:textId="77777777" w:rsidR="000E79DA" w:rsidRPr="000E79DA" w:rsidRDefault="000E79DA" w:rsidP="000E79DA">
      <w:pPr>
        <w:pStyle w:val="SingleTxtG"/>
        <w:rPr>
          <w:rFonts w:eastAsia="Calibri"/>
          <w:lang w:val="en-IE" w:eastAsia="en-IE"/>
        </w:rPr>
      </w:pPr>
      <w:r w:rsidRPr="000E79DA">
        <w:rPr>
          <w:rFonts w:eastAsia="Calibri"/>
          <w:lang w:val="en-IE" w:eastAsia="en-IE"/>
        </w:rPr>
        <w:t>The closing torque to be used for closures of different sizes are provided by manufacturers of new packagings (drums, jerricans and IBCs).</w:t>
      </w:r>
    </w:p>
    <w:p w14:paraId="5CCC4FD1" w14:textId="77777777" w:rsidR="000E79DA" w:rsidRPr="000E79DA" w:rsidRDefault="000E79DA" w:rsidP="000E79DA">
      <w:pPr>
        <w:pStyle w:val="SingleTxtG"/>
        <w:rPr>
          <w:rFonts w:eastAsia="Calibri"/>
          <w:lang w:val="en-IE" w:eastAsia="en-IE"/>
        </w:rPr>
      </w:pPr>
      <w:r w:rsidRPr="000E79DA">
        <w:rPr>
          <w:rFonts w:eastAsia="Calibri"/>
          <w:lang w:val="en-IE" w:eastAsia="en-IE"/>
        </w:rPr>
        <w:t>If such closing torques are not available, the tables below provide reference examples of the torques available in the instructions from manufacturers provided with new UN approved packagings.</w:t>
      </w:r>
    </w:p>
    <w:p w14:paraId="305CC873" w14:textId="77777777" w:rsidR="000E79DA" w:rsidRPr="000E79DA" w:rsidRDefault="000E79DA" w:rsidP="000E79DA">
      <w:pPr>
        <w:pStyle w:val="SingleTxtG"/>
        <w:rPr>
          <w:rFonts w:eastAsia="Calibri"/>
          <w:lang w:val="en-IE" w:eastAsia="en-IE"/>
        </w:rPr>
      </w:pPr>
      <w:r w:rsidRPr="000E79DA">
        <w:rPr>
          <w:rFonts w:eastAsia="Calibri"/>
          <w:lang w:val="en-IE" w:eastAsia="en-IE"/>
        </w:rPr>
        <w:t>Appropriate tightness for non-removable head single and composite packaging:</w:t>
      </w:r>
    </w:p>
    <w:p w14:paraId="19612E39" w14:textId="77777777" w:rsidR="000E79DA" w:rsidRPr="000E79DA" w:rsidRDefault="000E79DA" w:rsidP="000E79DA">
      <w:pPr>
        <w:suppressAutoHyphens w:val="0"/>
        <w:overflowPunct w:val="0"/>
        <w:spacing w:before="6" w:after="160" w:line="259" w:lineRule="auto"/>
        <w:contextualSpacing/>
        <w:rPr>
          <w:rFonts w:eastAsia="Calibri"/>
          <w:lang w:val="en-IE" w:eastAsia="en-IE"/>
        </w:rPr>
      </w:pPr>
    </w:p>
    <w:tbl>
      <w:tblPr>
        <w:tblStyle w:val="TableGrid20"/>
        <w:tblW w:w="0" w:type="auto"/>
        <w:tblLook w:val="04A0" w:firstRow="1" w:lastRow="0" w:firstColumn="1" w:lastColumn="0" w:noHBand="0" w:noVBand="1"/>
      </w:tblPr>
      <w:tblGrid>
        <w:gridCol w:w="4531"/>
        <w:gridCol w:w="1701"/>
        <w:gridCol w:w="1701"/>
      </w:tblGrid>
      <w:tr w:rsidR="000E79DA" w:rsidRPr="000E79DA" w14:paraId="3175567B" w14:textId="77777777" w:rsidTr="00FC057C">
        <w:trPr>
          <w:trHeight w:val="113"/>
        </w:trPr>
        <w:tc>
          <w:tcPr>
            <w:tcW w:w="4531" w:type="dxa"/>
            <w:hideMark/>
          </w:tcPr>
          <w:p w14:paraId="40370E42" w14:textId="77777777" w:rsidR="000E79DA" w:rsidRPr="000E79DA" w:rsidRDefault="000E79DA" w:rsidP="000E79DA">
            <w:pPr>
              <w:suppressAutoHyphens w:val="0"/>
              <w:overflowPunct w:val="0"/>
              <w:spacing w:line="274" w:lineRule="exact"/>
              <w:ind w:left="102"/>
              <w:rPr>
                <w:b/>
                <w:bCs/>
                <w:sz w:val="20"/>
                <w:szCs w:val="20"/>
                <w:lang w:eastAsia="en-IE"/>
              </w:rPr>
            </w:pPr>
            <w:r w:rsidRPr="000E79DA">
              <w:rPr>
                <w:b/>
                <w:bCs/>
                <w:spacing w:val="-1"/>
                <w:sz w:val="20"/>
                <w:szCs w:val="20"/>
                <w:lang w:eastAsia="en-IE"/>
              </w:rPr>
              <w:t>Steel</w:t>
            </w:r>
            <w:r w:rsidRPr="000E79DA">
              <w:rPr>
                <w:b/>
                <w:bCs/>
                <w:sz w:val="20"/>
                <w:szCs w:val="20"/>
                <w:lang w:eastAsia="en-IE"/>
              </w:rPr>
              <w:t xml:space="preserve"> and plastic</w:t>
            </w:r>
            <w:r w:rsidRPr="000E79DA">
              <w:rPr>
                <w:b/>
                <w:bCs/>
                <w:spacing w:val="-1"/>
                <w:sz w:val="20"/>
                <w:szCs w:val="20"/>
                <w:lang w:eastAsia="en-IE"/>
              </w:rPr>
              <w:t xml:space="preserve"> </w:t>
            </w:r>
            <w:r w:rsidRPr="000E79DA">
              <w:rPr>
                <w:b/>
                <w:bCs/>
                <w:sz w:val="20"/>
                <w:szCs w:val="20"/>
                <w:lang w:eastAsia="en-IE"/>
              </w:rPr>
              <w:t>drums and jerricans, and c</w:t>
            </w:r>
            <w:r w:rsidRPr="000E79DA">
              <w:rPr>
                <w:b/>
                <w:bCs/>
                <w:spacing w:val="-1"/>
                <w:sz w:val="20"/>
                <w:szCs w:val="20"/>
                <w:lang w:eastAsia="en-IE"/>
              </w:rPr>
              <w:t>omposite packaging (UN 6HA1)</w:t>
            </w:r>
          </w:p>
          <w:p w14:paraId="1B2AD3BE" w14:textId="77777777" w:rsidR="000E79DA" w:rsidRPr="000E79DA" w:rsidRDefault="000E79DA" w:rsidP="000E79DA">
            <w:pPr>
              <w:suppressAutoHyphens w:val="0"/>
              <w:overflowPunct w:val="0"/>
              <w:spacing w:line="274" w:lineRule="exact"/>
              <w:ind w:left="102"/>
              <w:rPr>
                <w:sz w:val="20"/>
                <w:szCs w:val="20"/>
                <w:lang w:eastAsia="en-IE"/>
              </w:rPr>
            </w:pPr>
          </w:p>
        </w:tc>
        <w:tc>
          <w:tcPr>
            <w:tcW w:w="1701" w:type="dxa"/>
            <w:hideMark/>
          </w:tcPr>
          <w:p w14:paraId="5509EABA" w14:textId="77777777" w:rsidR="000E79DA" w:rsidRPr="000E79DA" w:rsidRDefault="000E79DA" w:rsidP="000E79DA">
            <w:pPr>
              <w:suppressAutoHyphens w:val="0"/>
              <w:overflowPunct w:val="0"/>
              <w:spacing w:line="274" w:lineRule="exact"/>
              <w:ind w:left="102"/>
              <w:rPr>
                <w:sz w:val="20"/>
                <w:szCs w:val="20"/>
                <w:lang w:eastAsia="en-IE"/>
              </w:rPr>
            </w:pPr>
            <w:r w:rsidRPr="000E79DA">
              <w:rPr>
                <w:b/>
                <w:bCs/>
                <w:sz w:val="20"/>
                <w:szCs w:val="20"/>
                <w:lang w:eastAsia="en-IE"/>
              </w:rPr>
              <w:t>3/4"</w:t>
            </w:r>
            <w:r w:rsidRPr="000E79DA">
              <w:rPr>
                <w:b/>
                <w:bCs/>
                <w:spacing w:val="1"/>
                <w:sz w:val="20"/>
                <w:szCs w:val="20"/>
                <w:lang w:eastAsia="en-IE"/>
              </w:rPr>
              <w:t xml:space="preserve"> </w:t>
            </w:r>
            <w:r w:rsidRPr="000E79DA">
              <w:rPr>
                <w:b/>
                <w:bCs/>
                <w:spacing w:val="-1"/>
                <w:sz w:val="20"/>
                <w:szCs w:val="20"/>
                <w:lang w:eastAsia="en-IE"/>
              </w:rPr>
              <w:t>Closure</w:t>
            </w:r>
          </w:p>
        </w:tc>
        <w:tc>
          <w:tcPr>
            <w:tcW w:w="1701" w:type="dxa"/>
            <w:hideMark/>
          </w:tcPr>
          <w:p w14:paraId="787EBF14" w14:textId="77777777" w:rsidR="000E79DA" w:rsidRPr="000E79DA" w:rsidRDefault="000E79DA" w:rsidP="000E79DA">
            <w:pPr>
              <w:suppressAutoHyphens w:val="0"/>
              <w:overflowPunct w:val="0"/>
              <w:spacing w:line="274" w:lineRule="exact"/>
              <w:ind w:left="102"/>
              <w:rPr>
                <w:sz w:val="20"/>
                <w:szCs w:val="20"/>
                <w:lang w:eastAsia="en-IE"/>
              </w:rPr>
            </w:pPr>
            <w:r w:rsidRPr="000E79DA">
              <w:rPr>
                <w:b/>
                <w:bCs/>
                <w:sz w:val="20"/>
                <w:szCs w:val="20"/>
                <w:lang w:eastAsia="en-IE"/>
              </w:rPr>
              <w:t xml:space="preserve">2" </w:t>
            </w:r>
            <w:r w:rsidRPr="000E79DA">
              <w:rPr>
                <w:b/>
                <w:bCs/>
                <w:spacing w:val="-1"/>
                <w:sz w:val="20"/>
                <w:szCs w:val="20"/>
                <w:lang w:eastAsia="en-IE"/>
              </w:rPr>
              <w:t>Closure</w:t>
            </w:r>
          </w:p>
        </w:tc>
      </w:tr>
      <w:tr w:rsidR="000E79DA" w:rsidRPr="000E79DA" w14:paraId="797784F9" w14:textId="77777777" w:rsidTr="00FC057C">
        <w:trPr>
          <w:trHeight w:val="113"/>
        </w:trPr>
        <w:tc>
          <w:tcPr>
            <w:tcW w:w="4531" w:type="dxa"/>
            <w:hideMark/>
          </w:tcPr>
          <w:p w14:paraId="7D837C07"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 xml:space="preserve">Closing </w:t>
            </w:r>
            <w:r w:rsidRPr="000E79DA">
              <w:rPr>
                <w:spacing w:val="-1"/>
                <w:sz w:val="20"/>
                <w:szCs w:val="20"/>
                <w:lang w:eastAsia="en-IE"/>
              </w:rPr>
              <w:t xml:space="preserve">torque </w:t>
            </w:r>
            <w:r w:rsidRPr="000E79DA">
              <w:rPr>
                <w:sz w:val="20"/>
                <w:szCs w:val="20"/>
                <w:lang w:eastAsia="en-IE"/>
              </w:rPr>
              <w:t>for</w:t>
            </w:r>
            <w:r w:rsidRPr="000E79DA">
              <w:rPr>
                <w:spacing w:val="-2"/>
                <w:sz w:val="20"/>
                <w:szCs w:val="20"/>
                <w:lang w:eastAsia="en-IE"/>
              </w:rPr>
              <w:t xml:space="preserve"> </w:t>
            </w:r>
            <w:r w:rsidRPr="000E79DA">
              <w:rPr>
                <w:spacing w:val="-1"/>
                <w:sz w:val="20"/>
                <w:szCs w:val="20"/>
                <w:lang w:eastAsia="en-IE"/>
              </w:rPr>
              <w:t>steel</w:t>
            </w:r>
            <w:r w:rsidRPr="000E79DA">
              <w:rPr>
                <w:spacing w:val="2"/>
                <w:sz w:val="20"/>
                <w:szCs w:val="20"/>
                <w:lang w:eastAsia="en-IE"/>
              </w:rPr>
              <w:t xml:space="preserve"> </w:t>
            </w:r>
            <w:r w:rsidRPr="000E79DA">
              <w:rPr>
                <w:sz w:val="20"/>
                <w:szCs w:val="20"/>
                <w:lang w:eastAsia="en-IE"/>
              </w:rPr>
              <w:t>drums and jerricans</w:t>
            </w:r>
          </w:p>
          <w:p w14:paraId="383A2675" w14:textId="77777777" w:rsidR="000E79DA" w:rsidRPr="000E79DA" w:rsidRDefault="000E79DA" w:rsidP="000E79DA">
            <w:pPr>
              <w:suppressAutoHyphens w:val="0"/>
              <w:overflowPunct w:val="0"/>
              <w:spacing w:line="274" w:lineRule="exact"/>
              <w:ind w:left="102"/>
              <w:rPr>
                <w:sz w:val="20"/>
                <w:szCs w:val="20"/>
                <w:lang w:eastAsia="en-IE"/>
              </w:rPr>
            </w:pPr>
          </w:p>
          <w:p w14:paraId="29E2318B" w14:textId="77777777" w:rsidR="000E79DA" w:rsidRPr="000E79DA" w:rsidRDefault="000E79DA" w:rsidP="000E79DA">
            <w:pPr>
              <w:suppressAutoHyphens w:val="0"/>
              <w:overflowPunct w:val="0"/>
              <w:spacing w:line="274" w:lineRule="exact"/>
              <w:ind w:left="102"/>
              <w:rPr>
                <w:sz w:val="20"/>
                <w:szCs w:val="20"/>
                <w:lang w:eastAsia="en-IE"/>
              </w:rPr>
            </w:pPr>
          </w:p>
        </w:tc>
        <w:tc>
          <w:tcPr>
            <w:tcW w:w="1701" w:type="dxa"/>
            <w:hideMark/>
          </w:tcPr>
          <w:p w14:paraId="65936F92"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15Nm</w:t>
            </w:r>
          </w:p>
          <w:p w14:paraId="642C1837" w14:textId="77777777" w:rsidR="000E79DA" w:rsidRPr="000E79DA" w:rsidRDefault="000E79DA" w:rsidP="000E79DA">
            <w:pPr>
              <w:suppressAutoHyphens w:val="0"/>
              <w:overflowPunct w:val="0"/>
              <w:spacing w:line="274" w:lineRule="exact"/>
              <w:ind w:left="102"/>
              <w:rPr>
                <w:sz w:val="20"/>
                <w:szCs w:val="20"/>
                <w:lang w:eastAsia="en-IE"/>
              </w:rPr>
            </w:pPr>
          </w:p>
        </w:tc>
        <w:tc>
          <w:tcPr>
            <w:tcW w:w="1701" w:type="dxa"/>
            <w:hideMark/>
          </w:tcPr>
          <w:p w14:paraId="0AA9F091"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20Nm</w:t>
            </w:r>
          </w:p>
          <w:p w14:paraId="347EA472" w14:textId="77777777" w:rsidR="000E79DA" w:rsidRPr="000E79DA" w:rsidRDefault="000E79DA" w:rsidP="000E79DA">
            <w:pPr>
              <w:suppressAutoHyphens w:val="0"/>
              <w:overflowPunct w:val="0"/>
              <w:spacing w:line="274" w:lineRule="exact"/>
              <w:ind w:left="102"/>
              <w:rPr>
                <w:sz w:val="20"/>
                <w:szCs w:val="20"/>
                <w:lang w:eastAsia="en-IE"/>
              </w:rPr>
            </w:pPr>
          </w:p>
        </w:tc>
      </w:tr>
      <w:tr w:rsidR="000E79DA" w:rsidRPr="000E79DA" w14:paraId="38B314B8" w14:textId="77777777" w:rsidTr="00FC057C">
        <w:trPr>
          <w:trHeight w:val="113"/>
        </w:trPr>
        <w:tc>
          <w:tcPr>
            <w:tcW w:w="4531" w:type="dxa"/>
            <w:hideMark/>
          </w:tcPr>
          <w:p w14:paraId="7935434F" w14:textId="77777777" w:rsidR="000E79DA" w:rsidRPr="000E79DA" w:rsidRDefault="000E79DA" w:rsidP="000E79DA">
            <w:pPr>
              <w:suppressAutoHyphens w:val="0"/>
              <w:overflowPunct w:val="0"/>
              <w:spacing w:line="240" w:lineRule="auto"/>
              <w:ind w:left="102"/>
              <w:rPr>
                <w:sz w:val="20"/>
                <w:szCs w:val="20"/>
                <w:lang w:eastAsia="en-IE"/>
              </w:rPr>
            </w:pPr>
            <w:r w:rsidRPr="000E79DA">
              <w:rPr>
                <w:sz w:val="20"/>
                <w:szCs w:val="20"/>
                <w:lang w:eastAsia="en-IE"/>
              </w:rPr>
              <w:t xml:space="preserve">Closing </w:t>
            </w:r>
            <w:r w:rsidRPr="000E79DA">
              <w:rPr>
                <w:spacing w:val="-1"/>
                <w:sz w:val="20"/>
                <w:szCs w:val="20"/>
                <w:lang w:eastAsia="en-IE"/>
              </w:rPr>
              <w:t xml:space="preserve">torque </w:t>
            </w:r>
            <w:r w:rsidRPr="000E79DA">
              <w:rPr>
                <w:sz w:val="20"/>
                <w:szCs w:val="20"/>
                <w:lang w:eastAsia="en-IE"/>
              </w:rPr>
              <w:t>for</w:t>
            </w:r>
            <w:r w:rsidRPr="000E79DA">
              <w:rPr>
                <w:spacing w:val="-2"/>
                <w:sz w:val="20"/>
                <w:szCs w:val="20"/>
                <w:lang w:eastAsia="en-IE"/>
              </w:rPr>
              <w:t xml:space="preserve"> </w:t>
            </w:r>
            <w:r w:rsidRPr="000E79DA">
              <w:rPr>
                <w:sz w:val="20"/>
                <w:szCs w:val="20"/>
                <w:lang w:eastAsia="en-IE"/>
              </w:rPr>
              <w:t>plastic</w:t>
            </w:r>
            <w:r w:rsidRPr="000E79DA">
              <w:rPr>
                <w:spacing w:val="-1"/>
                <w:sz w:val="20"/>
                <w:szCs w:val="20"/>
                <w:lang w:eastAsia="en-IE"/>
              </w:rPr>
              <w:t xml:space="preserve"> </w:t>
            </w:r>
            <w:r w:rsidRPr="000E79DA">
              <w:rPr>
                <w:sz w:val="20"/>
                <w:szCs w:val="20"/>
                <w:lang w:eastAsia="en-IE"/>
              </w:rPr>
              <w:t>drums and jerricans and composite UN 6HA1 drums</w:t>
            </w:r>
          </w:p>
          <w:p w14:paraId="0B641B79" w14:textId="77777777" w:rsidR="000E79DA" w:rsidRPr="000E79DA" w:rsidRDefault="000E79DA" w:rsidP="000E79DA">
            <w:pPr>
              <w:suppressAutoHyphens w:val="0"/>
              <w:overflowPunct w:val="0"/>
              <w:spacing w:line="240" w:lineRule="auto"/>
              <w:ind w:left="102"/>
              <w:rPr>
                <w:sz w:val="20"/>
                <w:szCs w:val="20"/>
                <w:lang w:eastAsia="en-IE"/>
              </w:rPr>
            </w:pPr>
          </w:p>
          <w:p w14:paraId="1A7EA87B" w14:textId="77777777" w:rsidR="000E79DA" w:rsidRPr="000E79DA" w:rsidRDefault="000E79DA" w:rsidP="000E79DA">
            <w:pPr>
              <w:suppressAutoHyphens w:val="0"/>
              <w:overflowPunct w:val="0"/>
              <w:spacing w:line="240" w:lineRule="auto"/>
              <w:ind w:left="102"/>
              <w:rPr>
                <w:sz w:val="20"/>
                <w:szCs w:val="20"/>
                <w:lang w:eastAsia="en-IE"/>
              </w:rPr>
            </w:pPr>
          </w:p>
        </w:tc>
        <w:tc>
          <w:tcPr>
            <w:tcW w:w="1701" w:type="dxa"/>
            <w:hideMark/>
          </w:tcPr>
          <w:p w14:paraId="08124104" w14:textId="77777777" w:rsidR="000E79DA" w:rsidRPr="000E79DA" w:rsidRDefault="000E79DA" w:rsidP="000E79DA">
            <w:pPr>
              <w:suppressAutoHyphens w:val="0"/>
              <w:overflowPunct w:val="0"/>
              <w:spacing w:line="240" w:lineRule="auto"/>
              <w:ind w:left="102"/>
              <w:rPr>
                <w:sz w:val="20"/>
                <w:szCs w:val="20"/>
                <w:lang w:eastAsia="en-IE"/>
              </w:rPr>
            </w:pPr>
            <w:r w:rsidRPr="000E79DA">
              <w:rPr>
                <w:sz w:val="20"/>
                <w:szCs w:val="20"/>
                <w:lang w:eastAsia="en-IE"/>
              </w:rPr>
              <w:t>10Nm</w:t>
            </w:r>
          </w:p>
        </w:tc>
        <w:tc>
          <w:tcPr>
            <w:tcW w:w="1701" w:type="dxa"/>
            <w:hideMark/>
          </w:tcPr>
          <w:p w14:paraId="3F54F11F" w14:textId="77777777" w:rsidR="000E79DA" w:rsidRPr="000E79DA" w:rsidRDefault="000E79DA" w:rsidP="000E79DA">
            <w:pPr>
              <w:suppressAutoHyphens w:val="0"/>
              <w:overflowPunct w:val="0"/>
              <w:spacing w:line="240" w:lineRule="auto"/>
              <w:ind w:left="102"/>
              <w:rPr>
                <w:sz w:val="20"/>
                <w:szCs w:val="20"/>
                <w:lang w:eastAsia="en-IE"/>
              </w:rPr>
            </w:pPr>
            <w:r w:rsidRPr="000E79DA">
              <w:rPr>
                <w:sz w:val="20"/>
                <w:szCs w:val="20"/>
                <w:lang w:eastAsia="en-IE"/>
              </w:rPr>
              <w:t>12Nm</w:t>
            </w:r>
          </w:p>
        </w:tc>
      </w:tr>
    </w:tbl>
    <w:p w14:paraId="7FD6CF6C" w14:textId="77777777" w:rsidR="000E79DA" w:rsidRPr="000E79DA" w:rsidRDefault="000E79DA" w:rsidP="000E79DA">
      <w:pPr>
        <w:suppressAutoHyphens w:val="0"/>
        <w:overflowPunct w:val="0"/>
        <w:spacing w:before="6" w:after="160" w:line="259" w:lineRule="auto"/>
        <w:contextualSpacing/>
        <w:rPr>
          <w:rFonts w:eastAsia="Calibri"/>
          <w:lang w:val="en-IE" w:eastAsia="en-IE"/>
        </w:rPr>
      </w:pPr>
    </w:p>
    <w:p w14:paraId="6EE0655B" w14:textId="77777777" w:rsidR="000E79DA" w:rsidRPr="000E79DA" w:rsidRDefault="000E79DA" w:rsidP="000E79DA">
      <w:pPr>
        <w:pStyle w:val="SingleTxtG"/>
        <w:rPr>
          <w:rFonts w:eastAsia="Calibri"/>
          <w:lang w:val="en-IE" w:eastAsia="en-IE"/>
        </w:rPr>
      </w:pPr>
      <w:r w:rsidRPr="000E79DA">
        <w:rPr>
          <w:rFonts w:eastAsia="Calibri"/>
          <w:lang w:val="en-IE" w:eastAsia="en-IE"/>
        </w:rPr>
        <w:t>Appropriate tightness for IBCs:</w:t>
      </w:r>
    </w:p>
    <w:tbl>
      <w:tblPr>
        <w:tblStyle w:val="TableGrid20"/>
        <w:tblW w:w="0" w:type="auto"/>
        <w:tblLook w:val="04A0" w:firstRow="1" w:lastRow="0" w:firstColumn="1" w:lastColumn="0" w:noHBand="0" w:noVBand="1"/>
      </w:tblPr>
      <w:tblGrid>
        <w:gridCol w:w="3964"/>
        <w:gridCol w:w="1985"/>
        <w:gridCol w:w="1984"/>
      </w:tblGrid>
      <w:tr w:rsidR="000E79DA" w:rsidRPr="000E79DA" w14:paraId="680B1C2B" w14:textId="77777777" w:rsidTr="00FC057C">
        <w:trPr>
          <w:trHeight w:val="113"/>
        </w:trPr>
        <w:tc>
          <w:tcPr>
            <w:tcW w:w="3964" w:type="dxa"/>
            <w:hideMark/>
          </w:tcPr>
          <w:p w14:paraId="7AFE685C" w14:textId="77777777" w:rsidR="000E79DA" w:rsidRPr="000E79DA" w:rsidRDefault="000E79DA" w:rsidP="000E79DA">
            <w:pPr>
              <w:suppressAutoHyphens w:val="0"/>
              <w:overflowPunct w:val="0"/>
              <w:spacing w:line="274" w:lineRule="exact"/>
              <w:ind w:left="102"/>
              <w:rPr>
                <w:b/>
                <w:bCs/>
                <w:sz w:val="20"/>
                <w:szCs w:val="20"/>
                <w:lang w:eastAsia="en-IE"/>
              </w:rPr>
            </w:pPr>
            <w:r w:rsidRPr="000E79DA">
              <w:rPr>
                <w:b/>
                <w:bCs/>
                <w:sz w:val="20"/>
                <w:szCs w:val="20"/>
                <w:lang w:eastAsia="en-IE"/>
              </w:rPr>
              <w:t>IBCs</w:t>
            </w:r>
          </w:p>
          <w:p w14:paraId="0CF6935A" w14:textId="77777777" w:rsidR="000E79DA" w:rsidRPr="000E79DA" w:rsidRDefault="000E79DA" w:rsidP="000E79DA">
            <w:pPr>
              <w:suppressAutoHyphens w:val="0"/>
              <w:overflowPunct w:val="0"/>
              <w:spacing w:line="274" w:lineRule="exact"/>
              <w:ind w:left="102"/>
              <w:rPr>
                <w:sz w:val="20"/>
                <w:szCs w:val="20"/>
                <w:lang w:eastAsia="en-IE"/>
              </w:rPr>
            </w:pPr>
          </w:p>
        </w:tc>
        <w:tc>
          <w:tcPr>
            <w:tcW w:w="1985" w:type="dxa"/>
            <w:hideMark/>
          </w:tcPr>
          <w:p w14:paraId="6A7F95F8" w14:textId="77777777" w:rsidR="000E79DA" w:rsidRPr="000E79DA" w:rsidRDefault="000E79DA" w:rsidP="000E79DA">
            <w:pPr>
              <w:suppressAutoHyphens w:val="0"/>
              <w:overflowPunct w:val="0"/>
              <w:spacing w:line="274" w:lineRule="exact"/>
              <w:ind w:left="102"/>
              <w:rPr>
                <w:sz w:val="20"/>
                <w:szCs w:val="20"/>
                <w:lang w:eastAsia="en-IE"/>
              </w:rPr>
            </w:pPr>
            <w:r w:rsidRPr="000E79DA">
              <w:rPr>
                <w:b/>
                <w:bCs/>
                <w:sz w:val="20"/>
                <w:szCs w:val="20"/>
                <w:lang w:eastAsia="en-IE"/>
              </w:rPr>
              <w:t>6"</w:t>
            </w:r>
            <w:r w:rsidRPr="000E79DA">
              <w:rPr>
                <w:b/>
                <w:bCs/>
                <w:spacing w:val="1"/>
                <w:sz w:val="20"/>
                <w:szCs w:val="20"/>
                <w:lang w:eastAsia="en-IE"/>
              </w:rPr>
              <w:t xml:space="preserve"> </w:t>
            </w:r>
            <w:r w:rsidRPr="000E79DA">
              <w:rPr>
                <w:b/>
                <w:bCs/>
                <w:spacing w:val="-1"/>
                <w:sz w:val="20"/>
                <w:szCs w:val="20"/>
                <w:lang w:eastAsia="en-IE"/>
              </w:rPr>
              <w:t>Closure</w:t>
            </w:r>
          </w:p>
        </w:tc>
        <w:tc>
          <w:tcPr>
            <w:tcW w:w="1984" w:type="dxa"/>
            <w:hideMark/>
          </w:tcPr>
          <w:p w14:paraId="3BA946BA" w14:textId="77777777" w:rsidR="000E79DA" w:rsidRPr="000E79DA" w:rsidRDefault="000E79DA" w:rsidP="000E79DA">
            <w:pPr>
              <w:suppressAutoHyphens w:val="0"/>
              <w:overflowPunct w:val="0"/>
              <w:spacing w:line="274" w:lineRule="exact"/>
              <w:ind w:left="102"/>
              <w:rPr>
                <w:sz w:val="20"/>
                <w:szCs w:val="20"/>
                <w:lang w:eastAsia="en-IE"/>
              </w:rPr>
            </w:pPr>
            <w:r w:rsidRPr="000E79DA">
              <w:rPr>
                <w:b/>
                <w:bCs/>
                <w:sz w:val="20"/>
                <w:szCs w:val="20"/>
                <w:lang w:eastAsia="en-IE"/>
              </w:rPr>
              <w:t xml:space="preserve">2" </w:t>
            </w:r>
            <w:r w:rsidRPr="000E79DA">
              <w:rPr>
                <w:b/>
                <w:bCs/>
                <w:spacing w:val="-1"/>
                <w:sz w:val="20"/>
                <w:szCs w:val="20"/>
                <w:lang w:eastAsia="en-IE"/>
              </w:rPr>
              <w:t>Closure</w:t>
            </w:r>
          </w:p>
        </w:tc>
      </w:tr>
      <w:tr w:rsidR="000E79DA" w:rsidRPr="000E79DA" w14:paraId="6713593E" w14:textId="77777777" w:rsidTr="00FC057C">
        <w:trPr>
          <w:trHeight w:val="113"/>
        </w:trPr>
        <w:tc>
          <w:tcPr>
            <w:tcW w:w="3964" w:type="dxa"/>
            <w:hideMark/>
          </w:tcPr>
          <w:p w14:paraId="0D448C38" w14:textId="77777777" w:rsidR="000E79DA" w:rsidRPr="000E79DA" w:rsidRDefault="000E79DA" w:rsidP="000E79DA">
            <w:pPr>
              <w:suppressAutoHyphens w:val="0"/>
              <w:overflowPunct w:val="0"/>
              <w:spacing w:line="274" w:lineRule="exact"/>
              <w:ind w:left="102"/>
              <w:rPr>
                <w:spacing w:val="-1"/>
                <w:sz w:val="20"/>
                <w:szCs w:val="20"/>
                <w:lang w:eastAsia="en-IE"/>
              </w:rPr>
            </w:pPr>
            <w:r w:rsidRPr="000E79DA">
              <w:rPr>
                <w:sz w:val="20"/>
                <w:szCs w:val="20"/>
                <w:lang w:eastAsia="en-IE"/>
              </w:rPr>
              <w:t>Closing torque</w:t>
            </w:r>
            <w:r w:rsidRPr="000E79DA">
              <w:rPr>
                <w:spacing w:val="-1"/>
                <w:sz w:val="20"/>
                <w:szCs w:val="20"/>
                <w:lang w:eastAsia="en-IE"/>
              </w:rPr>
              <w:t xml:space="preserve"> </w:t>
            </w:r>
            <w:r w:rsidRPr="000E79DA">
              <w:rPr>
                <w:sz w:val="20"/>
                <w:szCs w:val="20"/>
                <w:lang w:eastAsia="en-IE"/>
              </w:rPr>
              <w:t xml:space="preserve">for </w:t>
            </w:r>
            <w:r w:rsidRPr="000E79DA">
              <w:rPr>
                <w:spacing w:val="-1"/>
                <w:sz w:val="20"/>
                <w:szCs w:val="20"/>
                <w:lang w:eastAsia="en-IE"/>
              </w:rPr>
              <w:t>IBCs</w:t>
            </w:r>
            <w:r w:rsidRPr="000E79DA">
              <w:rPr>
                <w:sz w:val="20"/>
                <w:szCs w:val="20"/>
                <w:lang w:eastAsia="en-IE"/>
              </w:rPr>
              <w:t xml:space="preserve"> (</w:t>
            </w:r>
            <w:r w:rsidRPr="000E79DA">
              <w:rPr>
                <w:spacing w:val="-1"/>
                <w:sz w:val="20"/>
                <w:szCs w:val="20"/>
                <w:lang w:eastAsia="en-IE"/>
              </w:rPr>
              <w:t>UN 31HA1)</w:t>
            </w:r>
          </w:p>
          <w:p w14:paraId="19C3F7B8" w14:textId="77777777" w:rsidR="000E79DA" w:rsidRPr="000E79DA" w:rsidRDefault="000E79DA" w:rsidP="000E79DA">
            <w:pPr>
              <w:suppressAutoHyphens w:val="0"/>
              <w:overflowPunct w:val="0"/>
              <w:spacing w:line="274" w:lineRule="exact"/>
              <w:ind w:left="102"/>
              <w:rPr>
                <w:sz w:val="20"/>
                <w:szCs w:val="20"/>
                <w:lang w:eastAsia="en-IE"/>
              </w:rPr>
            </w:pPr>
          </w:p>
        </w:tc>
        <w:tc>
          <w:tcPr>
            <w:tcW w:w="1985" w:type="dxa"/>
            <w:hideMark/>
          </w:tcPr>
          <w:p w14:paraId="0E030A3D"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75Nm</w:t>
            </w:r>
          </w:p>
        </w:tc>
        <w:tc>
          <w:tcPr>
            <w:tcW w:w="1984" w:type="dxa"/>
            <w:hideMark/>
          </w:tcPr>
          <w:p w14:paraId="25AC8913"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14Nm</w:t>
            </w:r>
          </w:p>
        </w:tc>
      </w:tr>
      <w:tr w:rsidR="000E79DA" w:rsidRPr="000E79DA" w14:paraId="3975DB60" w14:textId="77777777" w:rsidTr="00FC057C">
        <w:trPr>
          <w:trHeight w:val="113"/>
        </w:trPr>
        <w:tc>
          <w:tcPr>
            <w:tcW w:w="3964" w:type="dxa"/>
          </w:tcPr>
          <w:p w14:paraId="6C539A54"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Bottom openings</w:t>
            </w:r>
          </w:p>
          <w:p w14:paraId="5E547D8D" w14:textId="77777777" w:rsidR="000E79DA" w:rsidRPr="000E79DA" w:rsidRDefault="000E79DA" w:rsidP="000E79DA">
            <w:pPr>
              <w:suppressAutoHyphens w:val="0"/>
              <w:overflowPunct w:val="0"/>
              <w:spacing w:line="274" w:lineRule="exact"/>
              <w:ind w:left="102"/>
              <w:rPr>
                <w:sz w:val="20"/>
                <w:szCs w:val="20"/>
                <w:lang w:eastAsia="en-IE"/>
              </w:rPr>
            </w:pPr>
          </w:p>
        </w:tc>
        <w:tc>
          <w:tcPr>
            <w:tcW w:w="3969" w:type="dxa"/>
            <w:gridSpan w:val="2"/>
          </w:tcPr>
          <w:p w14:paraId="6A617FEF" w14:textId="77777777" w:rsidR="000E79DA" w:rsidRPr="000E79DA" w:rsidRDefault="000E79DA" w:rsidP="000E79DA">
            <w:pPr>
              <w:suppressAutoHyphens w:val="0"/>
              <w:overflowPunct w:val="0"/>
              <w:spacing w:line="274" w:lineRule="exact"/>
              <w:ind w:left="102"/>
              <w:rPr>
                <w:sz w:val="20"/>
                <w:szCs w:val="20"/>
                <w:lang w:eastAsia="en-IE"/>
              </w:rPr>
            </w:pPr>
            <w:r w:rsidRPr="000E79DA">
              <w:rPr>
                <w:sz w:val="20"/>
                <w:szCs w:val="20"/>
                <w:lang w:eastAsia="en-IE"/>
              </w:rPr>
              <w:t>Hand tight closure</w:t>
            </w:r>
          </w:p>
        </w:tc>
      </w:tr>
    </w:tbl>
    <w:p w14:paraId="64D088CD" w14:textId="353F43FD" w:rsidR="00BC4834" w:rsidRPr="001C4DE5" w:rsidRDefault="00BC4834" w:rsidP="00BC4834">
      <w:pPr>
        <w:spacing w:before="240"/>
        <w:jc w:val="center"/>
        <w:rPr>
          <w:rFonts w:eastAsia="Calibri"/>
          <w:u w:val="single"/>
        </w:rPr>
      </w:pPr>
      <w:r w:rsidRPr="001C4DE5">
        <w:rPr>
          <w:u w:val="single"/>
        </w:rPr>
        <w:tab/>
      </w:r>
      <w:r w:rsidRPr="001C4DE5">
        <w:rPr>
          <w:u w:val="single"/>
        </w:rPr>
        <w:tab/>
      </w:r>
      <w:r w:rsidRPr="001C4DE5">
        <w:rPr>
          <w:u w:val="single"/>
        </w:rPr>
        <w:tab/>
      </w:r>
    </w:p>
    <w:sectPr w:rsidR="00BC4834" w:rsidRPr="001C4DE5"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5EAF0D23" w:rsidR="0092434D" w:rsidRPr="00617E96" w:rsidRDefault="0092434D">
    <w:pPr>
      <w:pStyle w:val="Header"/>
      <w:rPr>
        <w:lang w:val="fr-CH"/>
      </w:rPr>
    </w:pPr>
    <w:r>
      <w:rPr>
        <w:lang w:val="fr-CH"/>
      </w:rPr>
      <w:t>INF</w:t>
    </w:r>
    <w:r w:rsidR="004740A8">
      <w:rPr>
        <w:lang w:val="fr-CH"/>
      </w:rPr>
      <w:t>.</w:t>
    </w:r>
    <w:r w:rsidR="00444795">
      <w:rPr>
        <w:lang w:val="fr-CH"/>
      </w:rPr>
      <w:t>1</w:t>
    </w:r>
    <w:r w:rsidR="0021784B">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D6E6F8E" w:rsidR="0092434D" w:rsidRPr="00F71BEF" w:rsidRDefault="0092434D" w:rsidP="00982036">
    <w:pPr>
      <w:pStyle w:val="Header"/>
      <w:jc w:val="right"/>
      <w:rPr>
        <w:lang w:val="fr-CH"/>
      </w:rPr>
    </w:pPr>
    <w:r w:rsidRPr="00F71BEF">
      <w:rPr>
        <w:lang w:val="fr-CH"/>
      </w:rPr>
      <w:t>INF.</w:t>
    </w:r>
    <w:r w:rsidR="00444795">
      <w:rPr>
        <w:lang w:val="fr-CH"/>
      </w:rPr>
      <w:t>1</w:t>
    </w:r>
    <w:r w:rsidR="0021784B">
      <w:rPr>
        <w:lang w:val="fr-CH"/>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6712A8F9" w:rsidR="0092434D" w:rsidRPr="00617E96" w:rsidRDefault="00B170C8" w:rsidP="00617E96">
    <w:pPr>
      <w:pStyle w:val="Header"/>
      <w:jc w:val="right"/>
      <w:rPr>
        <w:sz w:val="28"/>
        <w:szCs w:val="28"/>
        <w:lang w:val="fr-CH"/>
      </w:rPr>
    </w:pPr>
    <w:r>
      <w:rPr>
        <w:sz w:val="28"/>
        <w:szCs w:val="28"/>
        <w:lang w:val="fr-CH"/>
      </w:rPr>
      <w:t>INF.</w:t>
    </w:r>
    <w:r w:rsidR="00D32264">
      <w:rPr>
        <w:sz w:val="28"/>
        <w:szCs w:val="28"/>
        <w:lang w:val="fr-CH"/>
      </w:rPr>
      <w:t>1</w:t>
    </w:r>
    <w:r w:rsidR="0021784B">
      <w:rPr>
        <w:sz w:val="28"/>
        <w:szCs w:val="28"/>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8"/>
  </w:num>
  <w:num w:numId="15" w16cid:durableId="1163938294">
    <w:abstractNumId w:val="31"/>
  </w:num>
  <w:num w:numId="16" w16cid:durableId="787316553">
    <w:abstractNumId w:val="26"/>
  </w:num>
  <w:num w:numId="17" w16cid:durableId="221596714">
    <w:abstractNumId w:val="25"/>
  </w:num>
  <w:num w:numId="18" w16cid:durableId="828638849">
    <w:abstractNumId w:val="29"/>
  </w:num>
  <w:num w:numId="19" w16cid:durableId="344946330">
    <w:abstractNumId w:val="19"/>
  </w:num>
  <w:num w:numId="20" w16cid:durableId="826819380">
    <w:abstractNumId w:val="15"/>
  </w:num>
  <w:num w:numId="21" w16cid:durableId="168520538">
    <w:abstractNumId w:val="13"/>
  </w:num>
  <w:num w:numId="22" w16cid:durableId="1780030957">
    <w:abstractNumId w:val="28"/>
  </w:num>
  <w:num w:numId="23" w16cid:durableId="979843655">
    <w:abstractNumId w:val="28"/>
  </w:num>
  <w:num w:numId="24" w16cid:durableId="315644329">
    <w:abstractNumId w:val="28"/>
  </w:num>
  <w:num w:numId="25" w16cid:durableId="224223912">
    <w:abstractNumId w:val="22"/>
  </w:num>
  <w:num w:numId="26" w16cid:durableId="875701309">
    <w:abstractNumId w:val="30"/>
  </w:num>
  <w:num w:numId="27" w16cid:durableId="2114158351">
    <w:abstractNumId w:val="21"/>
  </w:num>
  <w:num w:numId="28" w16cid:durableId="731079716">
    <w:abstractNumId w:val="20"/>
  </w:num>
  <w:num w:numId="29" w16cid:durableId="779757561">
    <w:abstractNumId w:val="14"/>
  </w:num>
  <w:num w:numId="30" w16cid:durableId="1225948748">
    <w:abstractNumId w:val="32"/>
  </w:num>
  <w:num w:numId="31" w16cid:durableId="1447694037">
    <w:abstractNumId w:val="16"/>
  </w:num>
  <w:num w:numId="32" w16cid:durableId="1246382102">
    <w:abstractNumId w:val="33"/>
  </w:num>
  <w:num w:numId="33" w16cid:durableId="903293777">
    <w:abstractNumId w:val="18"/>
  </w:num>
  <w:num w:numId="34" w16cid:durableId="135340848">
    <w:abstractNumId w:val="23"/>
  </w:num>
  <w:num w:numId="35" w16cid:durableId="742488274">
    <w:abstractNumId w:val="10"/>
  </w:num>
  <w:num w:numId="36" w16cid:durableId="1862166158">
    <w:abstractNumId w:val="28"/>
  </w:num>
  <w:num w:numId="37" w16cid:durableId="642468496">
    <w:abstractNumId w:val="28"/>
  </w:num>
  <w:num w:numId="38" w16cid:durableId="258175837">
    <w:abstractNumId w:val="28"/>
  </w:num>
  <w:num w:numId="39" w16cid:durableId="20858229">
    <w:abstractNumId w:val="24"/>
  </w:num>
  <w:num w:numId="40" w16cid:durableId="1201161537">
    <w:abstractNumId w:val="34"/>
  </w:num>
  <w:num w:numId="41" w16cid:durableId="1738699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4DE5"/>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84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5965"/>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4795"/>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40C7C"/>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cccb6d4-dbe5-46d2-b4d3-5733603d8cc6"/>
    <ds:schemaRef ds:uri="985ec44e-1bab-4c0b-9df0-6ba128686fc9"/>
    <ds:schemaRef ds:uri="http://purl.org/dc/elements/1.1/"/>
    <ds:schemaRef ds:uri="4b4a1c0d-4a69-4996-a84a-fc699b9f49d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1314</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ECE-TRANS-WP15-113-GE-inf10e</vt:lpstr>
      <vt:lpstr>United Nations</vt:lpstr>
    </vt:vector>
  </TitlesOfParts>
  <Company>CSD</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ECE-TRANS-WP15-113-GE-inf11e</dc:title>
  <dc:subject/>
  <dc:creator>Mansion</dc:creator>
  <cp:keywords/>
  <cp:lastModifiedBy>Editorial</cp:lastModifiedBy>
  <cp:revision>42</cp:revision>
  <cp:lastPrinted>2018-05-09T18:23:00Z</cp:lastPrinted>
  <dcterms:created xsi:type="dcterms:W3CDTF">2023-03-29T06:40:00Z</dcterms:created>
  <dcterms:modified xsi:type="dcterms:W3CDTF">2023-04-28T14:32:00Z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