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AEBE94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C298E65" w14:textId="77777777" w:rsidR="002D5AAC" w:rsidRDefault="002D5AAC" w:rsidP="008A16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1487E3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51F4020" w14:textId="5D8F0CF2" w:rsidR="002D5AAC" w:rsidRDefault="008A16DC" w:rsidP="008A16DC">
            <w:pPr>
              <w:jc w:val="right"/>
            </w:pPr>
            <w:r w:rsidRPr="008A16DC">
              <w:rPr>
                <w:sz w:val="40"/>
              </w:rPr>
              <w:t>ECE</w:t>
            </w:r>
            <w:r>
              <w:t>/TRANS/WP.29/GRVA/2023/9</w:t>
            </w:r>
          </w:p>
        </w:tc>
      </w:tr>
      <w:tr w:rsidR="002D5AAC" w14:paraId="36EED79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61714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6EEDA28" wp14:editId="44342B0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44AAC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CC4AEFC" w14:textId="77777777" w:rsidR="002D5AAC" w:rsidRDefault="008A16D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C57D4CE" w14:textId="77777777" w:rsidR="008A16DC" w:rsidRDefault="008A16DC" w:rsidP="008A16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March 2023</w:t>
            </w:r>
          </w:p>
          <w:p w14:paraId="0C2DF273" w14:textId="77777777" w:rsidR="008A16DC" w:rsidRDefault="008A16DC" w:rsidP="008A16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5598922" w14:textId="730D432D" w:rsidR="008A16DC" w:rsidRPr="008D53B6" w:rsidRDefault="008A16DC" w:rsidP="008A16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3D07AF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9DC070E" w14:textId="77777777" w:rsidR="008A16DC" w:rsidRPr="00C4469D" w:rsidRDefault="008A16DC" w:rsidP="008A16DC">
      <w:pPr>
        <w:spacing w:before="120"/>
        <w:rPr>
          <w:sz w:val="28"/>
          <w:szCs w:val="28"/>
        </w:rPr>
      </w:pPr>
      <w:r w:rsidRPr="00C4469D">
        <w:rPr>
          <w:sz w:val="28"/>
          <w:szCs w:val="28"/>
        </w:rPr>
        <w:t>Комитет по внутреннему транспорту</w:t>
      </w:r>
    </w:p>
    <w:p w14:paraId="6907851E" w14:textId="77777777" w:rsidR="008A16DC" w:rsidRPr="00C4469D" w:rsidRDefault="008A16DC" w:rsidP="008A16DC">
      <w:pPr>
        <w:spacing w:before="120"/>
        <w:rPr>
          <w:b/>
          <w:sz w:val="24"/>
          <w:szCs w:val="24"/>
        </w:rPr>
      </w:pPr>
      <w:r w:rsidRPr="00C4469D">
        <w:rPr>
          <w:b/>
          <w:bCs/>
          <w:sz w:val="24"/>
          <w:szCs w:val="24"/>
        </w:rPr>
        <w:t>Всемирный форум для согласования правил</w:t>
      </w:r>
      <w:r w:rsidRPr="00C4469D">
        <w:rPr>
          <w:b/>
          <w:bCs/>
          <w:sz w:val="24"/>
          <w:szCs w:val="24"/>
        </w:rPr>
        <w:br/>
        <w:t>в области транспортных средств</w:t>
      </w:r>
    </w:p>
    <w:p w14:paraId="608AB25A" w14:textId="36C6D70F" w:rsidR="008A16DC" w:rsidRPr="00C4469D" w:rsidRDefault="008A16DC" w:rsidP="008A16DC">
      <w:pPr>
        <w:spacing w:before="120"/>
        <w:rPr>
          <w:b/>
        </w:rPr>
      </w:pPr>
      <w:r>
        <w:rPr>
          <w:b/>
          <w:bCs/>
        </w:rPr>
        <w:t>Рабочая группа по автоматизированным/</w:t>
      </w:r>
      <w:r>
        <w:rPr>
          <w:b/>
          <w:bCs/>
        </w:rPr>
        <w:br/>
      </w:r>
      <w:r>
        <w:rPr>
          <w:b/>
          <w:bCs/>
        </w:rPr>
        <w:t>автономным и подключенным транспортным средствам</w:t>
      </w:r>
    </w:p>
    <w:p w14:paraId="43E91A76" w14:textId="77777777" w:rsidR="008A16DC" w:rsidRPr="00C4469D" w:rsidRDefault="008A16DC" w:rsidP="008A16DC">
      <w:pPr>
        <w:spacing w:before="120"/>
        <w:rPr>
          <w:b/>
        </w:rPr>
      </w:pPr>
      <w:bookmarkStart w:id="0" w:name="OLE_LINK2"/>
      <w:r>
        <w:rPr>
          <w:b/>
          <w:bCs/>
        </w:rPr>
        <w:t>Шестнадцатая сессия</w:t>
      </w:r>
    </w:p>
    <w:p w14:paraId="60A8ECB1" w14:textId="77777777" w:rsidR="008A16DC" w:rsidRPr="00C4469D" w:rsidRDefault="008A16DC" w:rsidP="008A16DC">
      <w:r>
        <w:t>Женева, 22–26 мая 2023 года</w:t>
      </w:r>
    </w:p>
    <w:p w14:paraId="4B8D3B9C" w14:textId="77777777" w:rsidR="008A16DC" w:rsidRPr="00C4469D" w:rsidRDefault="008A16DC" w:rsidP="008A16DC">
      <w:r>
        <w:t>Пункт 8 a) предварительной повестки дня</w:t>
      </w:r>
    </w:p>
    <w:p w14:paraId="0434AC70" w14:textId="77777777" w:rsidR="008A16DC" w:rsidRPr="00C4469D" w:rsidRDefault="008A16DC" w:rsidP="008A16DC">
      <w:pPr>
        <w:rPr>
          <w:b/>
          <w:bCs/>
        </w:rPr>
      </w:pPr>
      <w:r>
        <w:rPr>
          <w:b/>
          <w:bCs/>
        </w:rPr>
        <w:t>Правила ООН №№ 13, 13-H, 139, 140 и ГТП № 8 ООН:</w:t>
      </w:r>
    </w:p>
    <w:p w14:paraId="73C7F337" w14:textId="77777777" w:rsidR="008A16DC" w:rsidRPr="00C4469D" w:rsidRDefault="008A16DC" w:rsidP="008A16DC">
      <w:pPr>
        <w:rPr>
          <w:b/>
          <w:bCs/>
        </w:rPr>
      </w:pPr>
      <w:r>
        <w:rPr>
          <w:b/>
          <w:bCs/>
        </w:rPr>
        <w:t>Электронный контроль устойчивости</w:t>
      </w:r>
    </w:p>
    <w:p w14:paraId="58CA7D77" w14:textId="77777777" w:rsidR="008A16DC" w:rsidRPr="00C4469D" w:rsidRDefault="008A16DC" w:rsidP="008A16DC">
      <w:pPr>
        <w:pStyle w:val="HChG"/>
      </w:pPr>
      <w:r>
        <w:tab/>
      </w:r>
      <w:r>
        <w:tab/>
      </w:r>
      <w:r>
        <w:rPr>
          <w:bCs/>
        </w:rPr>
        <w:t>Предложение по поправкам к Правилам № 140 ООН (системы электронного контроля устойчивости (ЭКУ))</w:t>
      </w:r>
      <w:bookmarkEnd w:id="0"/>
    </w:p>
    <w:p w14:paraId="6B3C1B10" w14:textId="77777777" w:rsidR="008A16DC" w:rsidRPr="00C4469D" w:rsidRDefault="008A16DC" w:rsidP="008A16DC">
      <w:pPr>
        <w:pStyle w:val="H1G"/>
      </w:pPr>
      <w:r>
        <w:tab/>
      </w:r>
      <w:r>
        <w:tab/>
      </w:r>
      <w:r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8A16DC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7BE73709" w14:textId="17CFD44B" w:rsidR="008A16DC" w:rsidRPr="000F49ED" w:rsidRDefault="008A16DC" w:rsidP="008A16DC">
      <w:pPr>
        <w:pStyle w:val="SingleTxtG"/>
        <w:rPr>
          <w:b/>
          <w:sz w:val="28"/>
        </w:rPr>
      </w:pPr>
      <w:r>
        <w:tab/>
        <w:t>Воспроизведенный ниже текст был подготовлен экспертом от Международной организации предприятий автомобильной промышленности (МОПАП), и в его основу положен неофициальный документ GRVA-</w:t>
      </w:r>
      <w:proofErr w:type="gramStart"/>
      <w:r>
        <w:t>15-55</w:t>
      </w:r>
      <w:proofErr w:type="gramEnd"/>
      <w:r>
        <w:t>. Изменения к существующему тексту Правил выделены</w:t>
      </w:r>
      <w:r>
        <w:rPr>
          <w:b/>
          <w:bCs/>
        </w:rPr>
        <w:t xml:space="preserve"> жирным шрифтом</w:t>
      </w:r>
      <w:r>
        <w:t xml:space="preserve"> в случае новых положений или </w:t>
      </w:r>
      <w:r>
        <w:rPr>
          <w:strike/>
        </w:rPr>
        <w:t xml:space="preserve">зачеркиванием </w:t>
      </w:r>
      <w:r>
        <w:t>в случае исключенных элементов.</w:t>
      </w:r>
    </w:p>
    <w:p w14:paraId="703748C8" w14:textId="77777777" w:rsidR="008A16DC" w:rsidRPr="000F49ED" w:rsidRDefault="008A16DC" w:rsidP="008A16DC">
      <w:pPr>
        <w:suppressAutoHyphens w:val="0"/>
        <w:spacing w:after="160" w:line="259" w:lineRule="auto"/>
        <w:rPr>
          <w:b/>
          <w:color w:val="000000"/>
          <w:sz w:val="28"/>
          <w:lang w:eastAsia="fr-FR"/>
        </w:rPr>
      </w:pPr>
      <w:r w:rsidRPr="000F49ED">
        <w:br w:type="page"/>
      </w:r>
    </w:p>
    <w:p w14:paraId="13F00BE2" w14:textId="77777777" w:rsidR="008A16DC" w:rsidRPr="00C4469D" w:rsidRDefault="008A16DC" w:rsidP="008A16DC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7B048DE0" w14:textId="77777777" w:rsidR="008A16DC" w:rsidRPr="00C4469D" w:rsidRDefault="008A16DC" w:rsidP="008A16DC">
      <w:pPr>
        <w:spacing w:after="114" w:line="256" w:lineRule="auto"/>
        <w:ind w:left="1133"/>
      </w:pPr>
      <w:r>
        <w:rPr>
          <w:i/>
          <w:iCs/>
        </w:rPr>
        <w:t>Пункт 9.9.4</w:t>
      </w:r>
      <w:r>
        <w:t xml:space="preserve"> изменить следующим образом:</w:t>
      </w:r>
    </w:p>
    <w:p w14:paraId="78C3D417" w14:textId="5A6848A0" w:rsidR="008A16DC" w:rsidRPr="00C4469D" w:rsidRDefault="008A16DC" w:rsidP="008A16DC">
      <w:pPr>
        <w:pStyle w:val="SingleTxtG"/>
        <w:ind w:left="2268" w:hanging="1134"/>
      </w:pPr>
      <w:r>
        <w:t>«9.9.4</w:t>
      </w:r>
      <w:r>
        <w:tab/>
      </w:r>
      <w:r>
        <w:tab/>
      </w:r>
      <w:r>
        <w:t>Амплитуда поворота рулевого колеса на конечном прогоне каждой серии должна составлять более 6,5 А или 270 градусов при условии, что расчетная амплитуда на уровне 6,5 А меньше или равна 300 градусам. Если любое увеличение на 0,5 А до достижения 6,5 А больше 300</w:t>
      </w:r>
      <w:r>
        <w:rPr>
          <w:lang w:val="en-US"/>
        </w:rPr>
        <w:t> </w:t>
      </w:r>
      <w:r>
        <w:t xml:space="preserve">градусов, то амплитуда поворота рулевого колеса на конечном прогоне должна составлять 300 градусов. </w:t>
      </w:r>
    </w:p>
    <w:p w14:paraId="0BAC712B" w14:textId="77777777" w:rsidR="008A16DC" w:rsidRPr="00C4469D" w:rsidRDefault="008A16DC" w:rsidP="008A16DC">
      <w:pPr>
        <w:pStyle w:val="SingleTxtG"/>
        <w:ind w:left="2268"/>
        <w:rPr>
          <w:bCs/>
        </w:rPr>
      </w:pPr>
      <w:r>
        <w:t>Если вышеуказанная расчетная амплитуда поворота рулевого колеса на конечном прогоне превышает максимальный эксплуатационный угол поворота рулевого колеса, задаваемый конструкцией системы рулевого управления, то применительно к серии испытаний амплитуда угла поворота на конечном прогоне должна превышать 98 % максимального эксплуатационного угла поворота рулевого колеса.</w:t>
      </w:r>
    </w:p>
    <w:p w14:paraId="717E2701" w14:textId="77777777" w:rsidR="008A16DC" w:rsidRPr="00C4469D" w:rsidRDefault="008A16DC" w:rsidP="008A16DC">
      <w:pPr>
        <w:pStyle w:val="SingleTxtG"/>
        <w:ind w:left="2268"/>
        <w:rPr>
          <w:bCs/>
        </w:rPr>
      </w:pPr>
      <w:r w:rsidRPr="00F97811">
        <w:rPr>
          <w:b/>
          <w:bCs/>
        </w:rPr>
        <w:t>В случае, если перегрузка передних шин происходит до достижения вышеуказанного расчетного угла, этот угол может использова</w:t>
      </w:r>
      <w:r>
        <w:rPr>
          <w:b/>
          <w:bCs/>
        </w:rPr>
        <w:t>ться</w:t>
      </w:r>
      <w:r w:rsidRPr="00F97811">
        <w:rPr>
          <w:b/>
          <w:bCs/>
        </w:rPr>
        <w:t xml:space="preserve"> в качестве амплитуды поворота рулевого колеса на конечном прогоне, но только если он составляет не менее 6,5 A</w:t>
      </w:r>
      <w:r>
        <w:t>».</w:t>
      </w:r>
    </w:p>
    <w:p w14:paraId="0FAB4DE6" w14:textId="77777777" w:rsidR="008A16DC" w:rsidRPr="00C4469D" w:rsidRDefault="008A16DC" w:rsidP="008A16DC">
      <w:pPr>
        <w:pStyle w:val="HChG"/>
        <w:jc w:val="both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  <w:r>
        <w:t xml:space="preserve"> </w:t>
      </w:r>
    </w:p>
    <w:p w14:paraId="39D81FD6" w14:textId="6DB6FA17" w:rsidR="008A16DC" w:rsidRPr="00C4469D" w:rsidRDefault="008A16DC" w:rsidP="008A16DC">
      <w:pPr>
        <w:pStyle w:val="SingleTxtG"/>
      </w:pPr>
      <w:r>
        <w:t>1.</w:t>
      </w:r>
      <w:r>
        <w:tab/>
        <w:t>Крутящий момент рулевого колеса, необходимый для проведения испытания и достижения фиксированной амплитуды, т.</w:t>
      </w:r>
      <w:r w:rsidRPr="008A16DC">
        <w:t xml:space="preserve"> </w:t>
      </w:r>
      <w:r>
        <w:t>е. фиксированной угловой скорости рулевого колеса, соответствующей синусоиде с частотой 0,7 Гц, значительно выше в случае систем рулевого управления с низким передаточным числом, чем в случае систем рулевого управления с высоким передаточным числом. Соответствие критериям также приводит к значительному увеличению угла поворота колес.</w:t>
      </w:r>
    </w:p>
    <w:p w14:paraId="334A1FD2" w14:textId="77777777" w:rsidR="008A16DC" w:rsidRPr="00C4469D" w:rsidRDefault="008A16DC" w:rsidP="008A16DC">
      <w:pPr>
        <w:pStyle w:val="SingleTxtG"/>
      </w:pPr>
      <w:r>
        <w:t>2.</w:t>
      </w:r>
      <w:r>
        <w:tab/>
        <w:t>Поведение автомобиля (скорость рысканья, боковое ускорение и, следовательно, траектория движения) одинаково при всех амплитудах, которые превышают уровень примерно семи-восьми A (т. е. более чем в семь раз превышают угол поворота рулевого колеса, соответствующего 0,3 g), поскольку передние шины «перегружаются» (т. е. теряют сцепление). Увеличение угла поворота шин не дает увеличения боковой силы, поэтому скорость рысканья и боковое ускорение не увеличиваются. После того как была достигнута максимальная нагрузка на передние шины, дальнейшее увеличение амплитуды поворота рулевого колеса не дает дополнительной информации о поведении автомобиля.</w:t>
      </w:r>
    </w:p>
    <w:p w14:paraId="3DB39547" w14:textId="076591A3" w:rsidR="008A16DC" w:rsidRPr="00C4469D" w:rsidRDefault="008A16DC" w:rsidP="008A16DC">
      <w:pPr>
        <w:pStyle w:val="SingleTxtG"/>
      </w:pPr>
      <w:r>
        <w:t>3.</w:t>
      </w:r>
      <w:r>
        <w:tab/>
        <w:t>В ближайшее время ожидается появление на рынке автомобилей, оснащенных системами рулевого управления со значительно меньшим передаточным числом рулевого механизма. Если в вышеуказанные пункты не будут внесены поправки, то применяемое значение крутящего момента рулевого колеса может оказаться чрезмерно высоким для достижения амплитуды в 270 градусов при движени</w:t>
      </w:r>
      <w:r>
        <w:t>и</w:t>
      </w:r>
      <w:r>
        <w:t xml:space="preserve"> по синусоиде с частотой 0,7 Гц (что недостижимо в случае обычных роботов, управляющих рулевым механизмом).</w:t>
      </w:r>
    </w:p>
    <w:p w14:paraId="05296D65" w14:textId="03150145" w:rsidR="00E12C5F" w:rsidRPr="008A16DC" w:rsidRDefault="008A16DC" w:rsidP="008A16D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A16DC" w:rsidSect="008A16D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1D88" w14:textId="77777777" w:rsidR="00233BF8" w:rsidRPr="00A312BC" w:rsidRDefault="00233BF8" w:rsidP="00A312BC"/>
  </w:endnote>
  <w:endnote w:type="continuationSeparator" w:id="0">
    <w:p w14:paraId="39B27AB3" w14:textId="77777777" w:rsidR="00233BF8" w:rsidRPr="00A312BC" w:rsidRDefault="00233BF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71A7" w14:textId="2DD47AED" w:rsidR="008A16DC" w:rsidRPr="008A16DC" w:rsidRDefault="008A16DC">
    <w:pPr>
      <w:pStyle w:val="a8"/>
    </w:pPr>
    <w:r w:rsidRPr="008A16DC">
      <w:rPr>
        <w:b/>
        <w:sz w:val="18"/>
      </w:rPr>
      <w:fldChar w:fldCharType="begin"/>
    </w:r>
    <w:r w:rsidRPr="008A16DC">
      <w:rPr>
        <w:b/>
        <w:sz w:val="18"/>
      </w:rPr>
      <w:instrText xml:space="preserve"> PAGE  \* MERGEFORMAT </w:instrText>
    </w:r>
    <w:r w:rsidRPr="008A16DC">
      <w:rPr>
        <w:b/>
        <w:sz w:val="18"/>
      </w:rPr>
      <w:fldChar w:fldCharType="separate"/>
    </w:r>
    <w:r w:rsidRPr="008A16DC">
      <w:rPr>
        <w:b/>
        <w:noProof/>
        <w:sz w:val="18"/>
      </w:rPr>
      <w:t>2</w:t>
    </w:r>
    <w:r w:rsidRPr="008A16DC">
      <w:rPr>
        <w:b/>
        <w:sz w:val="18"/>
      </w:rPr>
      <w:fldChar w:fldCharType="end"/>
    </w:r>
    <w:r>
      <w:rPr>
        <w:b/>
        <w:sz w:val="18"/>
      </w:rPr>
      <w:tab/>
    </w:r>
    <w:r>
      <w:t>GE.23-04212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966A" w14:textId="0E420226" w:rsidR="008A16DC" w:rsidRPr="008A16DC" w:rsidRDefault="008A16DC" w:rsidP="008A16DC">
    <w:pPr>
      <w:pStyle w:val="a8"/>
      <w:tabs>
        <w:tab w:val="clear" w:pos="9639"/>
        <w:tab w:val="right" w:pos="9638"/>
      </w:tabs>
      <w:rPr>
        <w:b/>
        <w:sz w:val="18"/>
      </w:rPr>
    </w:pPr>
    <w:r>
      <w:t>GE.23-04212</w:t>
    </w:r>
    <w:r>
      <w:tab/>
    </w:r>
    <w:r w:rsidRPr="008A16DC">
      <w:rPr>
        <w:b/>
        <w:sz w:val="18"/>
      </w:rPr>
      <w:fldChar w:fldCharType="begin"/>
    </w:r>
    <w:r w:rsidRPr="008A16DC">
      <w:rPr>
        <w:b/>
        <w:sz w:val="18"/>
      </w:rPr>
      <w:instrText xml:space="preserve"> PAGE  \* MERGEFORMAT </w:instrText>
    </w:r>
    <w:r w:rsidRPr="008A16DC">
      <w:rPr>
        <w:b/>
        <w:sz w:val="18"/>
      </w:rPr>
      <w:fldChar w:fldCharType="separate"/>
    </w:r>
    <w:r w:rsidRPr="008A16DC">
      <w:rPr>
        <w:b/>
        <w:noProof/>
        <w:sz w:val="18"/>
      </w:rPr>
      <w:t>3</w:t>
    </w:r>
    <w:r w:rsidRPr="008A16D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4257" w14:textId="431CE80B" w:rsidR="00042B72" w:rsidRPr="008A16DC" w:rsidRDefault="008A16DC" w:rsidP="008A16D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8243D53" wp14:editId="3B06E11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04212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748FE77" wp14:editId="1B36912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200323  210323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F7E0" w14:textId="77777777" w:rsidR="00233BF8" w:rsidRPr="001075E9" w:rsidRDefault="00233BF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D7A9C0" w14:textId="77777777" w:rsidR="00233BF8" w:rsidRDefault="00233BF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219D491" w14:textId="2603687F" w:rsidR="008A16DC" w:rsidRPr="006C5434" w:rsidRDefault="008A16DC" w:rsidP="008A16DC">
      <w:pPr>
        <w:pStyle w:val="ad"/>
      </w:pPr>
      <w:r>
        <w:tab/>
      </w:r>
      <w:r w:rsidRPr="008A16DC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(часть V, разд. 20), п.</w:t>
      </w:r>
      <w:r>
        <w:rPr>
          <w:lang w:val="en-US"/>
        </w:rPr>
        <w:t> </w:t>
      </w:r>
      <w:r>
        <w:t>20.6), Всемирный форум будет разрабатывать, согласовывать и обновлять правила ООН в</w:t>
      </w:r>
      <w:r>
        <w:rPr>
          <w:lang w:val="en-US"/>
        </w:rPr>
        <w:t> </w:t>
      </w:r>
      <w:r>
        <w:t>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38DB" w14:textId="2AB37CBA" w:rsidR="008A16DC" w:rsidRPr="008A16DC" w:rsidRDefault="008A16DC">
    <w:pPr>
      <w:pStyle w:val="a5"/>
    </w:pPr>
    <w:fldSimple w:instr=" TITLE  \* MERGEFORMAT ">
      <w:r w:rsidR="003562CA">
        <w:t>ECE/TRANS/WP.29/GRVA/2023/9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2DA2" w14:textId="10BC6B7E" w:rsidR="008A16DC" w:rsidRPr="008A16DC" w:rsidRDefault="008A16DC" w:rsidP="008A16DC">
    <w:pPr>
      <w:pStyle w:val="a5"/>
      <w:jc w:val="right"/>
    </w:pPr>
    <w:fldSimple w:instr=" TITLE  \* MERGEFORMAT ">
      <w:r w:rsidR="003562CA">
        <w:t>ECE/TRANS/WP.29/GRVA/2023/9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144150722">
    <w:abstractNumId w:val="16"/>
  </w:num>
  <w:num w:numId="2" w16cid:durableId="2047174227">
    <w:abstractNumId w:val="11"/>
  </w:num>
  <w:num w:numId="3" w16cid:durableId="1637762423">
    <w:abstractNumId w:val="10"/>
  </w:num>
  <w:num w:numId="4" w16cid:durableId="6061804">
    <w:abstractNumId w:val="17"/>
  </w:num>
  <w:num w:numId="5" w16cid:durableId="1323314890">
    <w:abstractNumId w:val="13"/>
  </w:num>
  <w:num w:numId="6" w16cid:durableId="1101337539">
    <w:abstractNumId w:val="8"/>
  </w:num>
  <w:num w:numId="7" w16cid:durableId="1752115248">
    <w:abstractNumId w:val="3"/>
  </w:num>
  <w:num w:numId="8" w16cid:durableId="1957370084">
    <w:abstractNumId w:val="2"/>
  </w:num>
  <w:num w:numId="9" w16cid:durableId="1710301724">
    <w:abstractNumId w:val="1"/>
  </w:num>
  <w:num w:numId="10" w16cid:durableId="2040012335">
    <w:abstractNumId w:val="0"/>
  </w:num>
  <w:num w:numId="11" w16cid:durableId="983121642">
    <w:abstractNumId w:val="9"/>
  </w:num>
  <w:num w:numId="12" w16cid:durableId="886141825">
    <w:abstractNumId w:val="7"/>
  </w:num>
  <w:num w:numId="13" w16cid:durableId="1869567581">
    <w:abstractNumId w:val="6"/>
  </w:num>
  <w:num w:numId="14" w16cid:durableId="869807291">
    <w:abstractNumId w:val="5"/>
  </w:num>
  <w:num w:numId="15" w16cid:durableId="1840194938">
    <w:abstractNumId w:val="4"/>
  </w:num>
  <w:num w:numId="16" w16cid:durableId="444272822">
    <w:abstractNumId w:val="15"/>
  </w:num>
  <w:num w:numId="17" w16cid:durableId="1859536914">
    <w:abstractNumId w:val="12"/>
  </w:num>
  <w:num w:numId="18" w16cid:durableId="1758669450">
    <w:abstractNumId w:val="14"/>
  </w:num>
  <w:num w:numId="19" w16cid:durableId="1693148521">
    <w:abstractNumId w:val="15"/>
  </w:num>
  <w:num w:numId="20" w16cid:durableId="1871868877">
    <w:abstractNumId w:val="12"/>
  </w:num>
  <w:num w:numId="21" w16cid:durableId="93941297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F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3BF8"/>
    <w:rsid w:val="00255343"/>
    <w:rsid w:val="0027151D"/>
    <w:rsid w:val="002A2EFC"/>
    <w:rsid w:val="002B0106"/>
    <w:rsid w:val="002B74B1"/>
    <w:rsid w:val="002C0E18"/>
    <w:rsid w:val="002C2E06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62CA"/>
    <w:rsid w:val="00381C24"/>
    <w:rsid w:val="00387CD4"/>
    <w:rsid w:val="003958D0"/>
    <w:rsid w:val="003A0D43"/>
    <w:rsid w:val="003A48CE"/>
    <w:rsid w:val="003B00E5"/>
    <w:rsid w:val="003C5269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16DC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8D797"/>
  <w15:docId w15:val="{58AFCB9F-C180-4D9D-A79B-CC3CD106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Footnote symbol,Footnote,Footnote Reference Superscript,SUPERS, BVI fn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List Paragraph"/>
    <w:basedOn w:val="a"/>
    <w:uiPriority w:val="34"/>
    <w:qFormat/>
    <w:rsid w:val="008A16DC"/>
    <w:pPr>
      <w:ind w:left="720"/>
      <w:contextualSpacing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rsid w:val="008A16DC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8A16DC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8A16D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476</Words>
  <Characters>3219</Characters>
  <Application>Microsoft Office Word</Application>
  <DocSecurity>0</DocSecurity>
  <Lines>73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ECE/TRANS/WP.29/GRVA/2023/9</dc:title>
  <dc:subject/>
  <dc:creator>Uliana ANTIPOVA</dc:creator>
  <cp:keywords/>
  <cp:lastModifiedBy>Uliana Antipova</cp:lastModifiedBy>
  <cp:revision>3</cp:revision>
  <cp:lastPrinted>2023-03-21T14:41:00Z</cp:lastPrinted>
  <dcterms:created xsi:type="dcterms:W3CDTF">2023-03-21T14:41:00Z</dcterms:created>
  <dcterms:modified xsi:type="dcterms:W3CDTF">2023-03-21T14:41:00Z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