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2EC1859" w14:textId="77777777" w:rsidTr="00C97039">
        <w:trPr>
          <w:trHeight w:hRule="exact" w:val="851"/>
        </w:trPr>
        <w:tc>
          <w:tcPr>
            <w:tcW w:w="1276" w:type="dxa"/>
            <w:tcBorders>
              <w:bottom w:val="single" w:sz="4" w:space="0" w:color="auto"/>
            </w:tcBorders>
          </w:tcPr>
          <w:p w14:paraId="542A10D5" w14:textId="77777777" w:rsidR="00F35BAF" w:rsidRPr="00DB58B5" w:rsidRDefault="00F35BAF" w:rsidP="000846F8"/>
        </w:tc>
        <w:tc>
          <w:tcPr>
            <w:tcW w:w="2268" w:type="dxa"/>
            <w:tcBorders>
              <w:bottom w:val="single" w:sz="4" w:space="0" w:color="auto"/>
            </w:tcBorders>
            <w:vAlign w:val="bottom"/>
          </w:tcPr>
          <w:p w14:paraId="6CD4A2A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46FDFDE" w14:textId="10CAE9CA" w:rsidR="00F35BAF" w:rsidRPr="00DB58B5" w:rsidRDefault="000846F8" w:rsidP="000846F8">
            <w:pPr>
              <w:jc w:val="right"/>
            </w:pPr>
            <w:r w:rsidRPr="000846F8">
              <w:rPr>
                <w:sz w:val="40"/>
              </w:rPr>
              <w:t>ECE</w:t>
            </w:r>
            <w:r>
              <w:t>/TRANS/WP.29/GRVA/2023/9</w:t>
            </w:r>
          </w:p>
        </w:tc>
      </w:tr>
      <w:tr w:rsidR="00F35BAF" w:rsidRPr="00DB58B5" w14:paraId="42112D9A" w14:textId="77777777" w:rsidTr="00C97039">
        <w:trPr>
          <w:trHeight w:hRule="exact" w:val="2835"/>
        </w:trPr>
        <w:tc>
          <w:tcPr>
            <w:tcW w:w="1276" w:type="dxa"/>
            <w:tcBorders>
              <w:top w:val="single" w:sz="4" w:space="0" w:color="auto"/>
              <w:bottom w:val="single" w:sz="12" w:space="0" w:color="auto"/>
            </w:tcBorders>
          </w:tcPr>
          <w:p w14:paraId="766ED9DB" w14:textId="77777777" w:rsidR="00F35BAF" w:rsidRPr="00DB58B5" w:rsidRDefault="00F35BAF" w:rsidP="00C97039">
            <w:pPr>
              <w:spacing w:before="120"/>
              <w:jc w:val="center"/>
            </w:pPr>
            <w:r>
              <w:rPr>
                <w:noProof/>
                <w:lang w:eastAsia="fr-CH"/>
              </w:rPr>
              <w:drawing>
                <wp:inline distT="0" distB="0" distL="0" distR="0" wp14:anchorId="72D40831" wp14:editId="4B4B22D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A8AA5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96D960" w14:textId="77777777" w:rsidR="00F35BAF" w:rsidRDefault="000846F8" w:rsidP="00C97039">
            <w:pPr>
              <w:spacing w:before="240"/>
            </w:pPr>
            <w:r>
              <w:t>Distr. générale</w:t>
            </w:r>
          </w:p>
          <w:p w14:paraId="10A920D1" w14:textId="77777777" w:rsidR="000846F8" w:rsidRDefault="000846F8" w:rsidP="000846F8">
            <w:pPr>
              <w:spacing w:line="240" w:lineRule="exact"/>
            </w:pPr>
            <w:r>
              <w:t>8 mars 2023</w:t>
            </w:r>
          </w:p>
          <w:p w14:paraId="5F1C61F3" w14:textId="77777777" w:rsidR="000846F8" w:rsidRDefault="000846F8" w:rsidP="000846F8">
            <w:pPr>
              <w:spacing w:line="240" w:lineRule="exact"/>
            </w:pPr>
            <w:r>
              <w:t>Français</w:t>
            </w:r>
          </w:p>
          <w:p w14:paraId="029C5262" w14:textId="4D305F58" w:rsidR="000846F8" w:rsidRPr="00DB58B5" w:rsidRDefault="000846F8" w:rsidP="000846F8">
            <w:pPr>
              <w:spacing w:line="240" w:lineRule="exact"/>
            </w:pPr>
            <w:r>
              <w:t>Original : anglais</w:t>
            </w:r>
          </w:p>
        </w:tc>
      </w:tr>
    </w:tbl>
    <w:p w14:paraId="280F4909" w14:textId="77777777" w:rsidR="007F20FA" w:rsidRPr="000312C0" w:rsidRDefault="007F20FA" w:rsidP="007F20FA">
      <w:pPr>
        <w:spacing w:before="120"/>
        <w:rPr>
          <w:b/>
          <w:sz w:val="28"/>
          <w:szCs w:val="28"/>
        </w:rPr>
      </w:pPr>
      <w:r w:rsidRPr="000312C0">
        <w:rPr>
          <w:b/>
          <w:sz w:val="28"/>
          <w:szCs w:val="28"/>
        </w:rPr>
        <w:t>Commission économique pour l’Europe</w:t>
      </w:r>
    </w:p>
    <w:p w14:paraId="6D71B1D0" w14:textId="77777777" w:rsidR="007F20FA" w:rsidRDefault="007F20FA" w:rsidP="007F20FA">
      <w:pPr>
        <w:spacing w:before="120"/>
        <w:rPr>
          <w:sz w:val="28"/>
          <w:szCs w:val="28"/>
        </w:rPr>
      </w:pPr>
      <w:r w:rsidRPr="00685843">
        <w:rPr>
          <w:sz w:val="28"/>
          <w:szCs w:val="28"/>
        </w:rPr>
        <w:t>Comité des transports intérieurs</w:t>
      </w:r>
    </w:p>
    <w:p w14:paraId="2473E413" w14:textId="6A41B118" w:rsidR="000846F8" w:rsidRPr="000846F8" w:rsidRDefault="000846F8" w:rsidP="00721F8D">
      <w:pPr>
        <w:kinsoku/>
        <w:overflowPunct/>
        <w:autoSpaceDE/>
        <w:autoSpaceDN/>
        <w:adjustRightInd/>
        <w:snapToGrid/>
        <w:spacing w:before="120"/>
        <w:rPr>
          <w:rFonts w:eastAsia="Times New Roman"/>
          <w:b/>
          <w:sz w:val="24"/>
          <w:szCs w:val="24"/>
          <w:lang w:val="en-GB"/>
        </w:rPr>
      </w:pPr>
      <w:r w:rsidRPr="000846F8">
        <w:rPr>
          <w:rFonts w:eastAsia="Times New Roman"/>
          <w:b/>
          <w:sz w:val="24"/>
          <w:szCs w:val="24"/>
          <w:lang w:val="en-GB"/>
        </w:rPr>
        <w:t xml:space="preserve">Forum mondial de l’harmonisation des Règlements </w:t>
      </w:r>
      <w:r w:rsidR="00721F8D" w:rsidRPr="00721F8D">
        <w:rPr>
          <w:rFonts w:eastAsia="Times New Roman"/>
          <w:b/>
          <w:sz w:val="24"/>
          <w:szCs w:val="24"/>
          <w:lang w:val="en-GB"/>
        </w:rPr>
        <w:br/>
      </w:r>
      <w:r w:rsidRPr="000846F8">
        <w:rPr>
          <w:rFonts w:eastAsia="Times New Roman"/>
          <w:b/>
          <w:sz w:val="24"/>
          <w:szCs w:val="24"/>
          <w:lang w:val="en-GB"/>
        </w:rPr>
        <w:t>concernant les véhicules</w:t>
      </w:r>
    </w:p>
    <w:p w14:paraId="0D017117" w14:textId="7533DF66" w:rsidR="000846F8" w:rsidRPr="000846F8" w:rsidRDefault="000846F8" w:rsidP="00721F8D">
      <w:pPr>
        <w:spacing w:before="120" w:after="120"/>
        <w:rPr>
          <w:b/>
          <w:lang w:val="fr-CA"/>
        </w:rPr>
      </w:pPr>
      <w:bookmarkStart w:id="0" w:name="_Hlk518466992"/>
      <w:r w:rsidRPr="000846F8">
        <w:rPr>
          <w:b/>
          <w:bCs/>
          <w:lang w:val="fr-FR"/>
        </w:rPr>
        <w:t>Groupe de travail des véhicules automatisés/</w:t>
      </w:r>
      <w:r w:rsidR="00721F8D">
        <w:rPr>
          <w:b/>
          <w:bCs/>
          <w:lang w:val="fr-FR"/>
        </w:rPr>
        <w:br/>
      </w:r>
      <w:r w:rsidRPr="000846F8">
        <w:rPr>
          <w:b/>
          <w:bCs/>
          <w:lang w:val="fr-FR"/>
        </w:rPr>
        <w:t>autonomes et connectés</w:t>
      </w:r>
      <w:bookmarkEnd w:id="0"/>
    </w:p>
    <w:p w14:paraId="0B5C3E13" w14:textId="77777777" w:rsidR="000846F8" w:rsidRPr="000846F8" w:rsidRDefault="000846F8" w:rsidP="000846F8">
      <w:pPr>
        <w:rPr>
          <w:b/>
          <w:lang w:val="fr-CA"/>
        </w:rPr>
      </w:pPr>
      <w:bookmarkStart w:id="1" w:name="OLE_LINK2"/>
      <w:r w:rsidRPr="000846F8">
        <w:rPr>
          <w:b/>
          <w:bCs/>
          <w:lang w:val="fr-FR"/>
        </w:rPr>
        <w:t>Seizième session</w:t>
      </w:r>
    </w:p>
    <w:p w14:paraId="6CC613A6" w14:textId="77777777" w:rsidR="000846F8" w:rsidRPr="000846F8" w:rsidRDefault="000846F8" w:rsidP="000846F8">
      <w:pPr>
        <w:rPr>
          <w:lang w:val="fr-CA"/>
        </w:rPr>
      </w:pPr>
      <w:r w:rsidRPr="000846F8">
        <w:rPr>
          <w:lang w:val="fr-FR"/>
        </w:rPr>
        <w:t>Genève, 22-26 mai 2023</w:t>
      </w:r>
    </w:p>
    <w:p w14:paraId="05ECC2B7" w14:textId="77777777" w:rsidR="000846F8" w:rsidRPr="000846F8" w:rsidRDefault="000846F8" w:rsidP="000846F8">
      <w:pPr>
        <w:rPr>
          <w:lang w:val="fr-CA"/>
        </w:rPr>
      </w:pPr>
      <w:r w:rsidRPr="000846F8">
        <w:rPr>
          <w:lang w:val="fr-FR"/>
        </w:rPr>
        <w:t>Point 8 a) de l’ordre du jour provisoire</w:t>
      </w:r>
    </w:p>
    <w:p w14:paraId="1E6E92D1" w14:textId="04A52928" w:rsidR="000846F8" w:rsidRPr="000846F8" w:rsidRDefault="000846F8" w:rsidP="000846F8">
      <w:pPr>
        <w:rPr>
          <w:b/>
          <w:bCs/>
          <w:lang w:val="fr-CA"/>
        </w:rPr>
      </w:pPr>
      <w:r w:rsidRPr="000846F8">
        <w:rPr>
          <w:b/>
          <w:bCs/>
          <w:lang w:val="fr-FR"/>
        </w:rPr>
        <w:t xml:space="preserve">Règlements ONU </w:t>
      </w:r>
      <w:r w:rsidR="00001D53" w:rsidRPr="00001D53">
        <w:rPr>
          <w:rFonts w:eastAsia="MS Mincho"/>
          <w:b/>
          <w:bCs/>
          <w:szCs w:val="22"/>
          <w:lang w:val="fr-FR"/>
        </w:rPr>
        <w:t>n</w:t>
      </w:r>
      <w:r w:rsidR="00001D53" w:rsidRPr="00001D53">
        <w:rPr>
          <w:rFonts w:eastAsia="MS Mincho"/>
          <w:b/>
          <w:bCs/>
          <w:szCs w:val="22"/>
          <w:vertAlign w:val="superscript"/>
          <w:lang w:val="fr-FR"/>
        </w:rPr>
        <w:t>o</w:t>
      </w:r>
      <w:r w:rsidR="00001D53">
        <w:rPr>
          <w:rFonts w:eastAsia="MS Mincho"/>
          <w:b/>
          <w:bCs/>
          <w:szCs w:val="22"/>
          <w:vertAlign w:val="superscript"/>
          <w:lang w:val="fr-FR"/>
        </w:rPr>
        <w:t>s</w:t>
      </w:r>
      <w:r w:rsidR="00001D53">
        <w:rPr>
          <w:b/>
          <w:bCs/>
          <w:lang w:val="fr-FR"/>
        </w:rPr>
        <w:t> </w:t>
      </w:r>
      <w:r w:rsidRPr="000846F8">
        <w:rPr>
          <w:b/>
          <w:bCs/>
          <w:lang w:val="fr-FR"/>
        </w:rPr>
        <w:t xml:space="preserve">13, 13-H, 139 et 140 et RTM ONU </w:t>
      </w:r>
      <w:r w:rsidR="00721F8D" w:rsidRPr="00721F8D">
        <w:rPr>
          <w:rFonts w:eastAsia="MS Mincho"/>
          <w:b/>
          <w:bCs/>
          <w:szCs w:val="22"/>
          <w:lang w:val="fr-FR"/>
        </w:rPr>
        <w:t>n</w:t>
      </w:r>
      <w:r w:rsidR="00721F8D" w:rsidRPr="00721F8D">
        <w:rPr>
          <w:rFonts w:eastAsia="MS Mincho"/>
          <w:b/>
          <w:bCs/>
          <w:szCs w:val="22"/>
          <w:vertAlign w:val="superscript"/>
          <w:lang w:val="fr-FR"/>
        </w:rPr>
        <w:t>o</w:t>
      </w:r>
      <w:r w:rsidR="00721F8D">
        <w:rPr>
          <w:b/>
          <w:bCs/>
          <w:lang w:val="fr-FR"/>
        </w:rPr>
        <w:t> </w:t>
      </w:r>
      <w:r w:rsidRPr="000846F8">
        <w:rPr>
          <w:b/>
          <w:bCs/>
          <w:lang w:val="fr-FR"/>
        </w:rPr>
        <w:t>8</w:t>
      </w:r>
      <w:r w:rsidR="00001D53">
        <w:rPr>
          <w:b/>
          <w:bCs/>
          <w:lang w:val="fr-FR"/>
        </w:rPr>
        <w:t> </w:t>
      </w:r>
      <w:r w:rsidRPr="000846F8">
        <w:rPr>
          <w:b/>
          <w:bCs/>
          <w:lang w:val="fr-FR"/>
        </w:rPr>
        <w:t>:</w:t>
      </w:r>
      <w:r w:rsidR="00721F8D">
        <w:rPr>
          <w:b/>
          <w:bCs/>
          <w:lang w:val="fr-CA"/>
        </w:rPr>
        <w:br/>
      </w:r>
      <w:r w:rsidRPr="000846F8">
        <w:rPr>
          <w:b/>
          <w:bCs/>
          <w:lang w:val="fr-FR"/>
        </w:rPr>
        <w:t>Systèmes de contrôle électronique de la stabilité</w:t>
      </w:r>
    </w:p>
    <w:p w14:paraId="13030E0E" w14:textId="3F6397C4" w:rsidR="000846F8" w:rsidRPr="000846F8" w:rsidRDefault="000846F8" w:rsidP="00721F8D">
      <w:pPr>
        <w:pStyle w:val="HChG"/>
        <w:rPr>
          <w:lang w:val="fr-CA"/>
        </w:rPr>
      </w:pPr>
      <w:r w:rsidRPr="000846F8">
        <w:rPr>
          <w:lang w:val="fr-FR"/>
        </w:rPr>
        <w:tab/>
      </w:r>
      <w:r w:rsidRPr="000846F8">
        <w:rPr>
          <w:lang w:val="fr-FR"/>
        </w:rPr>
        <w:tab/>
        <w:t xml:space="preserve">Proposition d’amendements au Règlement ONU </w:t>
      </w:r>
      <w:r w:rsidR="00721F8D" w:rsidRPr="00721F8D">
        <w:rPr>
          <w:rFonts w:eastAsia="MS Mincho"/>
          <w:szCs w:val="22"/>
          <w:lang w:val="fr-FR"/>
        </w:rPr>
        <w:t>n</w:t>
      </w:r>
      <w:r w:rsidR="00721F8D" w:rsidRPr="00721F8D">
        <w:rPr>
          <w:rFonts w:eastAsia="MS Mincho"/>
          <w:szCs w:val="22"/>
          <w:vertAlign w:val="superscript"/>
          <w:lang w:val="fr-FR"/>
        </w:rPr>
        <w:t>o</w:t>
      </w:r>
      <w:r w:rsidR="00721F8D">
        <w:rPr>
          <w:lang w:val="fr-FR"/>
        </w:rPr>
        <w:t> </w:t>
      </w:r>
      <w:r w:rsidRPr="000846F8">
        <w:rPr>
          <w:lang w:val="fr-FR"/>
        </w:rPr>
        <w:t>140 (Systèmes de contrôle électronique de la stabilité)</w:t>
      </w:r>
      <w:bookmarkEnd w:id="1"/>
    </w:p>
    <w:p w14:paraId="773EF66A" w14:textId="0242B195" w:rsidR="000846F8" w:rsidRPr="000846F8" w:rsidRDefault="000846F8" w:rsidP="00721F8D">
      <w:pPr>
        <w:pStyle w:val="H1G"/>
        <w:rPr>
          <w:lang w:val="fr-CA"/>
        </w:rPr>
      </w:pPr>
      <w:r w:rsidRPr="000846F8">
        <w:rPr>
          <w:lang w:val="fr-FR"/>
        </w:rPr>
        <w:tab/>
      </w:r>
      <w:r w:rsidRPr="000846F8">
        <w:rPr>
          <w:lang w:val="fr-FR"/>
        </w:rPr>
        <w:tab/>
        <w:t xml:space="preserve">Communication de l’expert de l’Organisation internationale </w:t>
      </w:r>
      <w:r w:rsidR="00721F8D">
        <w:rPr>
          <w:lang w:val="fr-FR"/>
        </w:rPr>
        <w:br/>
      </w:r>
      <w:r w:rsidRPr="000846F8">
        <w:rPr>
          <w:lang w:val="fr-FR"/>
        </w:rPr>
        <w:t>des constructeurs d’automobiles</w:t>
      </w:r>
      <w:r w:rsidRPr="00721F8D">
        <w:rPr>
          <w:b w:val="0"/>
          <w:bCs/>
          <w:sz w:val="20"/>
          <w:lang w:val="fr-FR"/>
        </w:rPr>
        <w:footnoteReference w:customMarkFollows="1" w:id="2"/>
        <w:t>*</w:t>
      </w:r>
    </w:p>
    <w:p w14:paraId="45803DB7" w14:textId="6D50ABA5" w:rsidR="000846F8" w:rsidRPr="000846F8" w:rsidRDefault="000846F8" w:rsidP="00721F8D">
      <w:pPr>
        <w:pStyle w:val="SingleTxtG"/>
        <w:ind w:firstLine="567"/>
        <w:rPr>
          <w:b/>
          <w:sz w:val="28"/>
          <w:lang w:val="fr-CA"/>
        </w:rPr>
      </w:pPr>
      <w:r w:rsidRPr="000846F8">
        <w:rPr>
          <w:lang w:val="fr-FR"/>
        </w:rPr>
        <w:tab/>
        <w:t xml:space="preserve">Le texte ci-après, établi par l’expert de l’Organisation internationale des constructeurs d’automobiles (OICA), est fondé sur le document informel GRVA-15-55. Les modifications qu’il est proposé d’apporter au texte actuel du Règlement figurent en caractères </w:t>
      </w:r>
      <w:r w:rsidRPr="00721F8D">
        <w:rPr>
          <w:b/>
          <w:lang w:val="fr-FR"/>
        </w:rPr>
        <w:t>gras</w:t>
      </w:r>
      <w:r w:rsidRPr="000846F8">
        <w:rPr>
          <w:lang w:val="fr-FR"/>
        </w:rPr>
        <w:t xml:space="preserve"> pour les ajouts et </w:t>
      </w:r>
      <w:r w:rsidRPr="00721F8D">
        <w:rPr>
          <w:strike/>
          <w:lang w:val="fr-FR"/>
        </w:rPr>
        <w:t>biffés</w:t>
      </w:r>
      <w:r w:rsidRPr="000846F8">
        <w:rPr>
          <w:lang w:val="fr-FR"/>
        </w:rPr>
        <w:t xml:space="preserve"> pour les suppressions.</w:t>
      </w:r>
    </w:p>
    <w:p w14:paraId="63CC5D09" w14:textId="77777777" w:rsidR="000846F8" w:rsidRPr="000846F8" w:rsidRDefault="000846F8" w:rsidP="000846F8">
      <w:pPr>
        <w:rPr>
          <w:b/>
          <w:color w:val="000000"/>
          <w:sz w:val="28"/>
          <w:szCs w:val="22"/>
          <w:lang w:val="fr-CA" w:eastAsia="fr-FR"/>
        </w:rPr>
      </w:pPr>
      <w:r w:rsidRPr="000846F8">
        <w:rPr>
          <w:lang w:val="fr-CA"/>
        </w:rPr>
        <w:br w:type="page"/>
      </w:r>
    </w:p>
    <w:p w14:paraId="321A0E05" w14:textId="77777777" w:rsidR="000846F8" w:rsidRPr="000846F8" w:rsidRDefault="000846F8" w:rsidP="00721F8D">
      <w:pPr>
        <w:pStyle w:val="HChG"/>
        <w:rPr>
          <w:lang w:val="fr-CA"/>
        </w:rPr>
      </w:pPr>
      <w:r w:rsidRPr="000846F8">
        <w:rPr>
          <w:lang w:val="fr-FR"/>
        </w:rPr>
        <w:lastRenderedPageBreak/>
        <w:tab/>
        <w:t>I.</w:t>
      </w:r>
      <w:r w:rsidRPr="000846F8">
        <w:rPr>
          <w:lang w:val="fr-FR"/>
        </w:rPr>
        <w:tab/>
        <w:t>Proposition</w:t>
      </w:r>
    </w:p>
    <w:p w14:paraId="2C9890F0" w14:textId="77777777" w:rsidR="000846F8" w:rsidRPr="000846F8" w:rsidRDefault="000846F8" w:rsidP="00721F8D">
      <w:pPr>
        <w:pStyle w:val="SingleTxtG"/>
        <w:rPr>
          <w:lang w:val="fr-CA"/>
        </w:rPr>
      </w:pPr>
      <w:r w:rsidRPr="00721F8D">
        <w:rPr>
          <w:i/>
          <w:iCs/>
          <w:lang w:val="fr-FR"/>
        </w:rPr>
        <w:t>Paragraphe 9.9.4</w:t>
      </w:r>
      <w:r w:rsidRPr="000846F8">
        <w:rPr>
          <w:lang w:val="fr-FR"/>
        </w:rPr>
        <w:t>, lire :</w:t>
      </w:r>
    </w:p>
    <w:p w14:paraId="73FD06B9" w14:textId="2B46DAC8" w:rsidR="000846F8" w:rsidRPr="000846F8" w:rsidRDefault="000846F8" w:rsidP="00721F8D">
      <w:pPr>
        <w:pStyle w:val="SingleTxtG"/>
        <w:ind w:left="2268" w:hanging="1134"/>
        <w:rPr>
          <w:lang w:val="fr-CA"/>
        </w:rPr>
      </w:pPr>
      <w:r w:rsidRPr="000846F8">
        <w:rPr>
          <w:lang w:val="fr-FR"/>
        </w:rPr>
        <w:t>«</w:t>
      </w:r>
      <w:r w:rsidR="00001D53">
        <w:rPr>
          <w:lang w:val="fr-FR"/>
        </w:rPr>
        <w:t> </w:t>
      </w:r>
      <w:r w:rsidRPr="000846F8">
        <w:rPr>
          <w:lang w:val="fr-FR"/>
        </w:rPr>
        <w:t>9.9.4.</w:t>
      </w:r>
      <w:r w:rsidRPr="000846F8">
        <w:rPr>
          <w:lang w:val="fr-FR"/>
        </w:rPr>
        <w:tab/>
        <w:t>L’amplitude de braquage lors du parcours final de chaque série doit être égale à la plus grande des deux valeurs suivantes</w:t>
      </w:r>
      <w:r w:rsidR="00001D53">
        <w:rPr>
          <w:lang w:val="fr-FR"/>
        </w:rPr>
        <w:t> </w:t>
      </w:r>
      <w:r w:rsidRPr="000846F8">
        <w:rPr>
          <w:lang w:val="fr-FR"/>
        </w:rPr>
        <w:t>: 6,5 A ou 270°, à la condition que la valeur calculée de 6,5 A ne dépasse pas 300°. Si un accroissement quelconque de 0,5 A, jusqu’à 6,5 A, donne une valeur de plus de 300°, l’amplitude de braquage pour le parcours final doit être de 300°.</w:t>
      </w:r>
    </w:p>
    <w:p w14:paraId="4CF7E89C" w14:textId="3F4E88C8" w:rsidR="000846F8" w:rsidRPr="000846F8" w:rsidRDefault="000846F8" w:rsidP="00721F8D">
      <w:pPr>
        <w:pStyle w:val="SingleTxtG"/>
        <w:ind w:left="2268"/>
        <w:rPr>
          <w:bCs/>
          <w:lang w:val="fr-CA"/>
        </w:rPr>
      </w:pPr>
      <w:r w:rsidRPr="000846F8">
        <w:rPr>
          <w:lang w:val="fr-FR"/>
        </w:rPr>
        <w:t>Si, lors du parcours final, l’amplitude de braquage du volant calculée ci-dessus est supérieure à l’angle maximal de braquage du volant déterminé par la conception du système de direction du véhicule d’essai, l’amplitude de braquage pour la série d’essais doit être supérieure à 98</w:t>
      </w:r>
      <w:r w:rsidR="00001D53">
        <w:rPr>
          <w:lang w:val="fr-FR"/>
        </w:rPr>
        <w:t> </w:t>
      </w:r>
      <w:r w:rsidRPr="000846F8">
        <w:rPr>
          <w:lang w:val="fr-FR"/>
        </w:rPr>
        <w:t>% de l’angle maximal de braquage.</w:t>
      </w:r>
    </w:p>
    <w:p w14:paraId="5DA376D2" w14:textId="7BC2AD9E" w:rsidR="000846F8" w:rsidRPr="000846F8" w:rsidRDefault="000846F8" w:rsidP="00721F8D">
      <w:pPr>
        <w:pStyle w:val="SingleTxtG"/>
        <w:ind w:left="2268"/>
        <w:rPr>
          <w:bCs/>
          <w:lang w:val="fr-CA"/>
        </w:rPr>
      </w:pPr>
      <w:r w:rsidRPr="000846F8">
        <w:rPr>
          <w:b/>
          <w:bCs/>
          <w:lang w:val="fr-FR"/>
        </w:rPr>
        <w:t>Si la saturation des pneumatiques avant se produit avant l’angle calculé ci-dessus, cet angle peut être utilisé comme amplitude de braquage lors du parcours final, mais seulement s’il est supérieur ou égal à 6,5 A.</w:t>
      </w:r>
      <w:r w:rsidR="00001D53">
        <w:rPr>
          <w:lang w:val="fr-FR"/>
        </w:rPr>
        <w:t> </w:t>
      </w:r>
      <w:r w:rsidRPr="000846F8">
        <w:rPr>
          <w:lang w:val="fr-FR"/>
        </w:rPr>
        <w:t>»</w:t>
      </w:r>
    </w:p>
    <w:p w14:paraId="6312416F" w14:textId="768B731E" w:rsidR="000846F8" w:rsidRPr="000846F8" w:rsidRDefault="000846F8" w:rsidP="00721F8D">
      <w:pPr>
        <w:pStyle w:val="HChG"/>
        <w:rPr>
          <w:lang w:val="fr-CA"/>
        </w:rPr>
      </w:pPr>
      <w:r w:rsidRPr="000846F8">
        <w:rPr>
          <w:lang w:val="fr-FR"/>
        </w:rPr>
        <w:tab/>
        <w:t>II.</w:t>
      </w:r>
      <w:r w:rsidRPr="000846F8">
        <w:rPr>
          <w:lang w:val="fr-FR"/>
        </w:rPr>
        <w:tab/>
        <w:t>Justification</w:t>
      </w:r>
    </w:p>
    <w:p w14:paraId="4E6535C9" w14:textId="77777777" w:rsidR="000846F8" w:rsidRPr="000846F8" w:rsidRDefault="000846F8" w:rsidP="00721F8D">
      <w:pPr>
        <w:pStyle w:val="SingleTxtG"/>
        <w:rPr>
          <w:lang w:val="fr-CA"/>
        </w:rPr>
      </w:pPr>
      <w:r w:rsidRPr="000846F8">
        <w:rPr>
          <w:lang w:val="fr-FR"/>
        </w:rPr>
        <w:t>1.</w:t>
      </w:r>
      <w:r w:rsidRPr="000846F8">
        <w:rPr>
          <w:lang w:val="fr-FR"/>
        </w:rPr>
        <w:tab/>
        <w:t>Le couple à appliquer au volant pour effectuer l’essai et atteindre l’amplitude définie, c’est-à-dire l’amplitude correspondant à un signal de direction en forme d’onde sinusoïdale de 0,7 Hz, est beaucoup plus élevé pour les systèmes de direction à faible rapport de démultiplication que pour les systèmes de direction à rapport de démultiplication élevé. Le respect de ces critères se traduit également par un braquage beaucoup plus important des roues.</w:t>
      </w:r>
    </w:p>
    <w:p w14:paraId="1BCD4088" w14:textId="77777777" w:rsidR="000846F8" w:rsidRPr="000846F8" w:rsidRDefault="000846F8" w:rsidP="00721F8D">
      <w:pPr>
        <w:pStyle w:val="SingleTxtG"/>
        <w:rPr>
          <w:lang w:val="fr-CA"/>
        </w:rPr>
      </w:pPr>
      <w:r w:rsidRPr="000846F8">
        <w:rPr>
          <w:lang w:val="fr-FR"/>
        </w:rPr>
        <w:t>2.</w:t>
      </w:r>
      <w:r w:rsidRPr="000846F8">
        <w:rPr>
          <w:lang w:val="fr-FR"/>
        </w:rPr>
        <w:tab/>
        <w:t>Le comportement du véhicule (vitesse angulaire de lacet, accélération transversale et donc trajectoire) est similaire pour toutes les amplitudes supérieures à environ sept à huit A (c’est-à-dire plus de sept fois l’angle de braquage du volant correspondant à 0,3 g), car les pneumatiques arrivent à saturation (c’est-à-dire qu’ils perdent de l’adhérence). L’augmentation du braquage des roues n’entraîne pas une augmentation de la force transversale, de sorte que la vitesse angulaire de lacet et l’accélération transversale n’augmentent pas. Le fait d’augmenter l’angle de braquage du volant après la saturation des pneumatiques avant ne fournit pas plus d’informations sur le comportement du véhicule.</w:t>
      </w:r>
    </w:p>
    <w:p w14:paraId="41624F00" w14:textId="29507275" w:rsidR="00F9573C" w:rsidRDefault="000846F8" w:rsidP="00721F8D">
      <w:pPr>
        <w:pStyle w:val="SingleTxtG"/>
        <w:rPr>
          <w:lang w:val="fr-FR"/>
        </w:rPr>
      </w:pPr>
      <w:r w:rsidRPr="000846F8">
        <w:rPr>
          <w:lang w:val="fr-FR"/>
        </w:rPr>
        <w:t>3.</w:t>
      </w:r>
      <w:r w:rsidRPr="000846F8">
        <w:rPr>
          <w:lang w:val="fr-FR"/>
        </w:rPr>
        <w:tab/>
        <w:t>Des véhicules équipés d’un dispositif de direction doté d’un rapport de démultiplication nettement inférieur devraient être lancés prochainement sur le marché. Si les paragraphes ci-dessus ne sont pas modifiés, il se pourrait qu’un couple excessif soit appliqué au volant pour atteindre l’amplitude de 270° correspondant à un signal de direction en forme d’onde sinusoïdale de 0,7 Hz (amplitude que les appareils de braquage classiques ne peuvent atteindre).</w:t>
      </w:r>
    </w:p>
    <w:p w14:paraId="0E43AA7B" w14:textId="1041FF64" w:rsidR="000846F8" w:rsidRPr="000846F8" w:rsidRDefault="000846F8" w:rsidP="000846F8">
      <w:pPr>
        <w:pStyle w:val="SingleTxtG"/>
        <w:spacing w:before="240" w:after="0"/>
        <w:jc w:val="center"/>
        <w:rPr>
          <w:u w:val="single"/>
        </w:rPr>
      </w:pPr>
      <w:r>
        <w:rPr>
          <w:u w:val="single"/>
        </w:rPr>
        <w:tab/>
      </w:r>
      <w:r>
        <w:rPr>
          <w:u w:val="single"/>
        </w:rPr>
        <w:tab/>
      </w:r>
      <w:r>
        <w:rPr>
          <w:u w:val="single"/>
        </w:rPr>
        <w:tab/>
      </w:r>
      <w:r>
        <w:rPr>
          <w:u w:val="single"/>
        </w:rPr>
        <w:tab/>
      </w:r>
    </w:p>
    <w:sectPr w:rsidR="000846F8" w:rsidRPr="000846F8" w:rsidSect="000846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5994" w14:textId="77777777" w:rsidR="0006021D" w:rsidRDefault="0006021D" w:rsidP="00F95C08">
      <w:pPr>
        <w:spacing w:line="240" w:lineRule="auto"/>
      </w:pPr>
    </w:p>
  </w:endnote>
  <w:endnote w:type="continuationSeparator" w:id="0">
    <w:p w14:paraId="50B09407" w14:textId="77777777" w:rsidR="0006021D" w:rsidRPr="00AC3823" w:rsidRDefault="0006021D" w:rsidP="00AC3823">
      <w:pPr>
        <w:pStyle w:val="Pieddepage"/>
      </w:pPr>
    </w:p>
  </w:endnote>
  <w:endnote w:type="continuationNotice" w:id="1">
    <w:p w14:paraId="23EC3B00" w14:textId="77777777" w:rsidR="0006021D" w:rsidRDefault="000602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6AFD" w14:textId="65E0B99B" w:rsidR="000846F8" w:rsidRPr="000846F8" w:rsidRDefault="000846F8" w:rsidP="000846F8">
    <w:pPr>
      <w:pStyle w:val="Pieddepage"/>
      <w:tabs>
        <w:tab w:val="right" w:pos="9638"/>
      </w:tabs>
    </w:pPr>
    <w:r w:rsidRPr="000846F8">
      <w:rPr>
        <w:b/>
        <w:sz w:val="18"/>
      </w:rPr>
      <w:fldChar w:fldCharType="begin"/>
    </w:r>
    <w:r w:rsidRPr="000846F8">
      <w:rPr>
        <w:b/>
        <w:sz w:val="18"/>
      </w:rPr>
      <w:instrText xml:space="preserve"> PAGE  \* MERGEFORMAT </w:instrText>
    </w:r>
    <w:r w:rsidRPr="000846F8">
      <w:rPr>
        <w:b/>
        <w:sz w:val="18"/>
      </w:rPr>
      <w:fldChar w:fldCharType="separate"/>
    </w:r>
    <w:r w:rsidRPr="000846F8">
      <w:rPr>
        <w:b/>
        <w:noProof/>
        <w:sz w:val="18"/>
      </w:rPr>
      <w:t>2</w:t>
    </w:r>
    <w:r w:rsidRPr="000846F8">
      <w:rPr>
        <w:b/>
        <w:sz w:val="18"/>
      </w:rPr>
      <w:fldChar w:fldCharType="end"/>
    </w:r>
    <w:r>
      <w:rPr>
        <w:b/>
        <w:sz w:val="18"/>
      </w:rPr>
      <w:tab/>
    </w:r>
    <w:r>
      <w:t>GE.23-04212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141F" w14:textId="79E35777" w:rsidR="000846F8" w:rsidRPr="000846F8" w:rsidRDefault="000846F8" w:rsidP="000846F8">
    <w:pPr>
      <w:pStyle w:val="Pieddepage"/>
      <w:tabs>
        <w:tab w:val="right" w:pos="9638"/>
      </w:tabs>
      <w:rPr>
        <w:b/>
        <w:sz w:val="18"/>
      </w:rPr>
    </w:pPr>
    <w:r>
      <w:t>GE.23-04212</w:t>
    </w:r>
    <w:r>
      <w:tab/>
    </w:r>
    <w:r w:rsidRPr="000846F8">
      <w:rPr>
        <w:b/>
        <w:sz w:val="18"/>
      </w:rPr>
      <w:fldChar w:fldCharType="begin"/>
    </w:r>
    <w:r w:rsidRPr="000846F8">
      <w:rPr>
        <w:b/>
        <w:sz w:val="18"/>
      </w:rPr>
      <w:instrText xml:space="preserve"> PAGE  \* MERGEFORMAT </w:instrText>
    </w:r>
    <w:r w:rsidRPr="000846F8">
      <w:rPr>
        <w:b/>
        <w:sz w:val="18"/>
      </w:rPr>
      <w:fldChar w:fldCharType="separate"/>
    </w:r>
    <w:r w:rsidRPr="000846F8">
      <w:rPr>
        <w:b/>
        <w:noProof/>
        <w:sz w:val="18"/>
      </w:rPr>
      <w:t>3</w:t>
    </w:r>
    <w:r w:rsidRPr="000846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2C7D" w14:textId="7ECDB664" w:rsidR="007F20FA" w:rsidRPr="000846F8" w:rsidRDefault="000846F8" w:rsidP="000846F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5A33592" wp14:editId="58D6F94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23-04212  (F)</w:t>
    </w:r>
    <w:r>
      <w:rPr>
        <w:noProof/>
        <w:sz w:val="20"/>
      </w:rPr>
      <w:drawing>
        <wp:anchor distT="0" distB="0" distL="114300" distR="114300" simplePos="0" relativeHeight="251660288" behindDoc="0" locked="0" layoutInCell="1" allowOverlap="1" wp14:anchorId="1F447007" wp14:editId="05F80BC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270323    270323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0A7F" w14:textId="77777777" w:rsidR="0006021D" w:rsidRPr="00AC3823" w:rsidRDefault="0006021D" w:rsidP="00AC3823">
      <w:pPr>
        <w:pStyle w:val="Pieddepage"/>
        <w:tabs>
          <w:tab w:val="right" w:pos="2155"/>
        </w:tabs>
        <w:spacing w:after="80" w:line="240" w:lineRule="atLeast"/>
        <w:ind w:left="680"/>
        <w:rPr>
          <w:u w:val="single"/>
        </w:rPr>
      </w:pPr>
      <w:r>
        <w:rPr>
          <w:u w:val="single"/>
        </w:rPr>
        <w:tab/>
      </w:r>
    </w:p>
  </w:footnote>
  <w:footnote w:type="continuationSeparator" w:id="0">
    <w:p w14:paraId="3F103886" w14:textId="77777777" w:rsidR="0006021D" w:rsidRPr="00AC3823" w:rsidRDefault="0006021D" w:rsidP="00AC3823">
      <w:pPr>
        <w:pStyle w:val="Pieddepage"/>
        <w:tabs>
          <w:tab w:val="right" w:pos="2155"/>
        </w:tabs>
        <w:spacing w:after="80" w:line="240" w:lineRule="atLeast"/>
        <w:ind w:left="680"/>
        <w:rPr>
          <w:u w:val="single"/>
        </w:rPr>
      </w:pPr>
      <w:r>
        <w:rPr>
          <w:u w:val="single"/>
        </w:rPr>
        <w:tab/>
      </w:r>
    </w:p>
  </w:footnote>
  <w:footnote w:type="continuationNotice" w:id="1">
    <w:p w14:paraId="2092F611" w14:textId="77777777" w:rsidR="0006021D" w:rsidRPr="00AC3823" w:rsidRDefault="0006021D">
      <w:pPr>
        <w:spacing w:line="240" w:lineRule="auto"/>
        <w:rPr>
          <w:sz w:val="2"/>
          <w:szCs w:val="2"/>
        </w:rPr>
      </w:pPr>
    </w:p>
  </w:footnote>
  <w:footnote w:id="2">
    <w:p w14:paraId="7B4D36E0" w14:textId="77777777" w:rsidR="000846F8" w:rsidRPr="00B9366A" w:rsidRDefault="000846F8" w:rsidP="000846F8">
      <w:pPr>
        <w:pStyle w:val="Notedebasdepage"/>
        <w:rPr>
          <w:lang w:val="fr-CA"/>
        </w:rPr>
      </w:pPr>
      <w:r>
        <w:rPr>
          <w:lang w:val="fr-FR"/>
        </w:rPr>
        <w:tab/>
      </w:r>
      <w:r w:rsidRPr="00721F8D">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86B6" w14:textId="093D05A2" w:rsidR="000846F8" w:rsidRPr="000846F8" w:rsidRDefault="000846F8">
    <w:pPr>
      <w:pStyle w:val="En-tte"/>
    </w:pPr>
    <w:fldSimple w:instr=" TITLE  \* MERGEFORMAT ">
      <w:r>
        <w:t>ECE/TRANS/WP.29/GRVA/2023/9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F129" w14:textId="667E942E" w:rsidR="000846F8" w:rsidRPr="000846F8" w:rsidRDefault="000846F8" w:rsidP="000846F8">
    <w:pPr>
      <w:pStyle w:val="En-tte"/>
      <w:jc w:val="right"/>
    </w:pPr>
    <w:fldSimple w:instr=" TITLE  \* MERGEFORMAT ">
      <w:r>
        <w:t>ECE/TRANS/WP.29/GRVA/2023/9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96853050">
    <w:abstractNumId w:val="12"/>
  </w:num>
  <w:num w:numId="2" w16cid:durableId="1528373215">
    <w:abstractNumId w:val="11"/>
  </w:num>
  <w:num w:numId="3" w16cid:durableId="1310786617">
    <w:abstractNumId w:val="10"/>
  </w:num>
  <w:num w:numId="4" w16cid:durableId="1280719212">
    <w:abstractNumId w:val="8"/>
  </w:num>
  <w:num w:numId="5" w16cid:durableId="1450736241">
    <w:abstractNumId w:val="3"/>
  </w:num>
  <w:num w:numId="6" w16cid:durableId="1295987948">
    <w:abstractNumId w:val="2"/>
  </w:num>
  <w:num w:numId="7" w16cid:durableId="1944654176">
    <w:abstractNumId w:val="1"/>
  </w:num>
  <w:num w:numId="8" w16cid:durableId="2072844165">
    <w:abstractNumId w:val="0"/>
  </w:num>
  <w:num w:numId="9" w16cid:durableId="1234513875">
    <w:abstractNumId w:val="9"/>
  </w:num>
  <w:num w:numId="10" w16cid:durableId="1845701769">
    <w:abstractNumId w:val="7"/>
  </w:num>
  <w:num w:numId="11" w16cid:durableId="1404719751">
    <w:abstractNumId w:val="6"/>
  </w:num>
  <w:num w:numId="12" w16cid:durableId="1821070897">
    <w:abstractNumId w:val="5"/>
  </w:num>
  <w:num w:numId="13" w16cid:durableId="1740205266">
    <w:abstractNumId w:val="4"/>
  </w:num>
  <w:num w:numId="14" w16cid:durableId="516046021">
    <w:abstractNumId w:val="12"/>
  </w:num>
  <w:num w:numId="15" w16cid:durableId="1073354603">
    <w:abstractNumId w:val="11"/>
  </w:num>
  <w:num w:numId="16" w16cid:durableId="5782542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1D"/>
    <w:rsid w:val="00001D53"/>
    <w:rsid w:val="00017F94"/>
    <w:rsid w:val="00023842"/>
    <w:rsid w:val="000334F9"/>
    <w:rsid w:val="00045FEB"/>
    <w:rsid w:val="0006021D"/>
    <w:rsid w:val="0007796D"/>
    <w:rsid w:val="000846F8"/>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21F8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801B"/>
  <w15:docId w15:val="{659E4661-D3D6-490D-86EE-A4D7E01D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455</Words>
  <Characters>3189</Characters>
  <Application>Microsoft Office Word</Application>
  <DocSecurity>0</DocSecurity>
  <Lines>265</Lines>
  <Paragraphs>145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ECE/TRANS/WP.29/GRVA/2023/9</dc:title>
  <dc:subject/>
  <dc:creator>Valerie BERTIN</dc:creator>
  <cp:keywords/>
  <cp:lastModifiedBy>Valerie Bertin</cp:lastModifiedBy>
  <cp:revision>2</cp:revision>
  <cp:lastPrinted>2014-05-14T10:59:00Z</cp:lastPrinted>
  <dcterms:created xsi:type="dcterms:W3CDTF">2023-03-27T12:42:00Z</dcterms:created>
  <dcterms:modified xsi:type="dcterms:W3CDTF">2023-03-27T12:42:00Z</dcterms:modified>
</cp:coreProperties>
</file>