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6637B39" w14:textId="77777777" w:rsidTr="00C97039">
        <w:trPr>
          <w:trHeight w:hRule="exact" w:val="851"/>
        </w:trPr>
        <w:tc>
          <w:tcPr>
            <w:tcW w:w="1276" w:type="dxa"/>
            <w:tcBorders>
              <w:bottom w:val="single" w:sz="4" w:space="0" w:color="auto"/>
            </w:tcBorders>
          </w:tcPr>
          <w:p w14:paraId="74B1481F" w14:textId="77777777" w:rsidR="00F35BAF" w:rsidRPr="00DB58B5" w:rsidRDefault="00F35BAF" w:rsidP="0015147A"/>
        </w:tc>
        <w:tc>
          <w:tcPr>
            <w:tcW w:w="2268" w:type="dxa"/>
            <w:tcBorders>
              <w:bottom w:val="single" w:sz="4" w:space="0" w:color="auto"/>
            </w:tcBorders>
            <w:vAlign w:val="bottom"/>
          </w:tcPr>
          <w:p w14:paraId="5028CB4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0BC3CD" w14:textId="7D6FFC6D" w:rsidR="00F35BAF" w:rsidRPr="00DB58B5" w:rsidRDefault="0015147A" w:rsidP="0015147A">
            <w:pPr>
              <w:jc w:val="right"/>
            </w:pPr>
            <w:r w:rsidRPr="0015147A">
              <w:rPr>
                <w:sz w:val="40"/>
              </w:rPr>
              <w:t>ECE</w:t>
            </w:r>
            <w:r>
              <w:t>/TRANS/WP.29/GRSP/2023/18</w:t>
            </w:r>
          </w:p>
        </w:tc>
      </w:tr>
      <w:tr w:rsidR="00F35BAF" w:rsidRPr="00DB58B5" w14:paraId="59058A33" w14:textId="77777777" w:rsidTr="00C97039">
        <w:trPr>
          <w:trHeight w:hRule="exact" w:val="2835"/>
        </w:trPr>
        <w:tc>
          <w:tcPr>
            <w:tcW w:w="1276" w:type="dxa"/>
            <w:tcBorders>
              <w:top w:val="single" w:sz="4" w:space="0" w:color="auto"/>
              <w:bottom w:val="single" w:sz="12" w:space="0" w:color="auto"/>
            </w:tcBorders>
          </w:tcPr>
          <w:p w14:paraId="317AF4D4" w14:textId="77777777" w:rsidR="00F35BAF" w:rsidRPr="00DB58B5" w:rsidRDefault="00F35BAF" w:rsidP="00C97039">
            <w:pPr>
              <w:spacing w:before="120"/>
              <w:jc w:val="center"/>
            </w:pPr>
            <w:r>
              <w:rPr>
                <w:noProof/>
                <w:lang w:eastAsia="fr-CH"/>
              </w:rPr>
              <w:drawing>
                <wp:inline distT="0" distB="0" distL="0" distR="0" wp14:anchorId="5EF6097E" wp14:editId="1FD7063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0F288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DCF9943" w14:textId="77777777" w:rsidR="00F35BAF" w:rsidRDefault="0015147A" w:rsidP="00C97039">
            <w:pPr>
              <w:spacing w:before="240"/>
            </w:pPr>
            <w:r>
              <w:t xml:space="preserve">Distr. </w:t>
            </w:r>
            <w:proofErr w:type="gramStart"/>
            <w:r>
              <w:t>générale</w:t>
            </w:r>
            <w:proofErr w:type="gramEnd"/>
          </w:p>
          <w:p w14:paraId="05C73988" w14:textId="77777777" w:rsidR="0015147A" w:rsidRDefault="0015147A" w:rsidP="0015147A">
            <w:pPr>
              <w:spacing w:line="240" w:lineRule="exact"/>
            </w:pPr>
            <w:r>
              <w:t>3 mars 2023</w:t>
            </w:r>
          </w:p>
          <w:p w14:paraId="2F25FC00" w14:textId="77777777" w:rsidR="0015147A" w:rsidRDefault="0015147A" w:rsidP="0015147A">
            <w:pPr>
              <w:spacing w:line="240" w:lineRule="exact"/>
            </w:pPr>
            <w:r>
              <w:t>Français</w:t>
            </w:r>
          </w:p>
          <w:p w14:paraId="4193AAA0" w14:textId="66FBDF2C" w:rsidR="0015147A" w:rsidRPr="00DB58B5" w:rsidRDefault="0015147A" w:rsidP="0015147A">
            <w:pPr>
              <w:spacing w:line="240" w:lineRule="exact"/>
            </w:pPr>
            <w:r>
              <w:t>Original : anglais</w:t>
            </w:r>
          </w:p>
        </w:tc>
      </w:tr>
    </w:tbl>
    <w:p w14:paraId="4493AAB5" w14:textId="77777777" w:rsidR="007F20FA" w:rsidRPr="000312C0" w:rsidRDefault="007F20FA" w:rsidP="007F20FA">
      <w:pPr>
        <w:spacing w:before="120"/>
        <w:rPr>
          <w:b/>
          <w:sz w:val="28"/>
          <w:szCs w:val="28"/>
        </w:rPr>
      </w:pPr>
      <w:r w:rsidRPr="000312C0">
        <w:rPr>
          <w:b/>
          <w:sz w:val="28"/>
          <w:szCs w:val="28"/>
        </w:rPr>
        <w:t>Commission économique pour l’Europe</w:t>
      </w:r>
    </w:p>
    <w:p w14:paraId="7008B5F8" w14:textId="77777777" w:rsidR="007F20FA" w:rsidRDefault="007F20FA" w:rsidP="007F20FA">
      <w:pPr>
        <w:spacing w:before="120"/>
        <w:rPr>
          <w:sz w:val="28"/>
          <w:szCs w:val="28"/>
        </w:rPr>
      </w:pPr>
      <w:r w:rsidRPr="00685843">
        <w:rPr>
          <w:sz w:val="28"/>
          <w:szCs w:val="28"/>
        </w:rPr>
        <w:t>Comité des transports intérieurs</w:t>
      </w:r>
    </w:p>
    <w:p w14:paraId="5290837C" w14:textId="77777777" w:rsidR="0015147A" w:rsidRDefault="0015147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D110B6F" w14:textId="77777777" w:rsidR="0015147A" w:rsidRDefault="0015147A" w:rsidP="00257168">
      <w:pPr>
        <w:spacing w:before="120" w:after="120" w:line="240" w:lineRule="exact"/>
        <w:rPr>
          <w:b/>
        </w:rPr>
      </w:pPr>
      <w:r>
        <w:rPr>
          <w:b/>
        </w:rPr>
        <w:t>Groupe de travail de la sécurité passive</w:t>
      </w:r>
    </w:p>
    <w:p w14:paraId="58E53B9F" w14:textId="77777777" w:rsidR="0015147A" w:rsidRPr="00B84558" w:rsidRDefault="0015147A" w:rsidP="0015147A">
      <w:pPr>
        <w:spacing w:before="120"/>
        <w:rPr>
          <w:rFonts w:asciiTheme="majorBidi" w:hAnsiTheme="majorBidi" w:cstheme="majorBidi"/>
          <w:b/>
          <w:lang w:val="fr-FR"/>
        </w:rPr>
      </w:pPr>
      <w:r>
        <w:rPr>
          <w:b/>
          <w:bCs/>
          <w:lang w:val="fr-FR"/>
        </w:rPr>
        <w:t>Soixante-treizième session</w:t>
      </w:r>
    </w:p>
    <w:p w14:paraId="6D2D169B" w14:textId="2E0DF84A" w:rsidR="0015147A" w:rsidRPr="00B84558" w:rsidRDefault="0015147A" w:rsidP="0015147A">
      <w:pPr>
        <w:rPr>
          <w:rFonts w:asciiTheme="majorBidi" w:hAnsiTheme="majorBidi" w:cstheme="majorBidi"/>
          <w:lang w:val="fr-FR"/>
        </w:rPr>
      </w:pPr>
      <w:r>
        <w:rPr>
          <w:lang w:val="fr-FR"/>
        </w:rPr>
        <w:t>Genève, 15-19 mai 2023</w:t>
      </w:r>
    </w:p>
    <w:p w14:paraId="75C91BF6" w14:textId="77777777" w:rsidR="0015147A" w:rsidRPr="00B84558" w:rsidRDefault="0015147A" w:rsidP="0015147A">
      <w:pPr>
        <w:rPr>
          <w:rFonts w:asciiTheme="majorBidi" w:hAnsiTheme="majorBidi" w:cstheme="majorBidi"/>
          <w:lang w:val="fr-FR"/>
        </w:rPr>
      </w:pPr>
      <w:r>
        <w:rPr>
          <w:lang w:val="fr-FR"/>
        </w:rPr>
        <w:t>Point 9 de l’ordre du jour provisoire</w:t>
      </w:r>
    </w:p>
    <w:p w14:paraId="3F429CAF" w14:textId="77777777" w:rsidR="0015147A" w:rsidRPr="00B84558" w:rsidRDefault="0015147A" w:rsidP="0015147A">
      <w:pPr>
        <w:rPr>
          <w:lang w:val="fr-FR"/>
        </w:rPr>
      </w:pPr>
      <w:r>
        <w:rPr>
          <w:b/>
          <w:bCs/>
          <w:lang w:val="fr-FR"/>
        </w:rPr>
        <w:t>Règlement ONU n</w:t>
      </w:r>
      <w:r>
        <w:rPr>
          <w:b/>
          <w:bCs/>
          <w:vertAlign w:val="superscript"/>
          <w:lang w:val="fr-FR"/>
        </w:rPr>
        <w:t>o</w:t>
      </w:r>
      <w:r>
        <w:rPr>
          <w:b/>
          <w:bCs/>
          <w:lang w:val="fr-FR"/>
        </w:rPr>
        <w:t> 95 (Collision latérale)</w:t>
      </w:r>
    </w:p>
    <w:p w14:paraId="7981CA33" w14:textId="67FFF800" w:rsidR="0015147A" w:rsidRDefault="0015147A" w:rsidP="0015147A">
      <w:pPr>
        <w:pStyle w:val="HChG"/>
        <w:rPr>
          <w:sz w:val="24"/>
          <w:lang w:val="fr-FR"/>
        </w:rPr>
      </w:pPr>
      <w:r>
        <w:rPr>
          <w:lang w:val="fr-FR"/>
        </w:rPr>
        <w:tab/>
      </w:r>
      <w:r>
        <w:rPr>
          <w:lang w:val="fr-FR"/>
        </w:rPr>
        <w:tab/>
        <w:t xml:space="preserve">Proposition de série 06 d’amendements au Règlement ONU </w:t>
      </w:r>
      <w:proofErr w:type="gramStart"/>
      <w:r>
        <w:rPr>
          <w:lang w:val="fr-FR"/>
        </w:rPr>
        <w:t>n</w:t>
      </w:r>
      <w:r>
        <w:rPr>
          <w:vertAlign w:val="superscript"/>
          <w:lang w:val="fr-FR"/>
        </w:rPr>
        <w:t>o</w:t>
      </w:r>
      <w:proofErr w:type="gramEnd"/>
      <w:r>
        <w:rPr>
          <w:lang w:val="fr-FR"/>
        </w:rPr>
        <w:t> 95 (Collision latérale)</w:t>
      </w:r>
      <w:r w:rsidRPr="0015147A">
        <w:rPr>
          <w:rStyle w:val="FootnoteReference"/>
          <w:b w:val="0"/>
          <w:bCs/>
          <w:sz w:val="20"/>
          <w:vertAlign w:val="baseline"/>
        </w:rPr>
        <w:footnoteReference w:customMarkFollows="1" w:id="2"/>
        <w:t>*</w:t>
      </w:r>
      <w:r w:rsidRPr="0015147A">
        <w:rPr>
          <w:b w:val="0"/>
          <w:bCs/>
          <w:sz w:val="20"/>
          <w:vertAlign w:val="superscript"/>
          <w:lang w:val="fr-FR"/>
        </w:rPr>
        <w:t>,</w:t>
      </w:r>
      <w:r>
        <w:rPr>
          <w:b w:val="0"/>
          <w:bCs/>
          <w:sz w:val="20"/>
          <w:lang w:val="fr-FR"/>
        </w:rPr>
        <w:t xml:space="preserve"> </w:t>
      </w:r>
      <w:r w:rsidRPr="0015147A">
        <w:rPr>
          <w:rStyle w:val="FootnoteReference"/>
          <w:b w:val="0"/>
          <w:bCs/>
          <w:sz w:val="20"/>
          <w:vertAlign w:val="baseline"/>
          <w:lang w:val="fr-FR"/>
        </w:rPr>
        <w:footnoteReference w:customMarkFollows="1" w:id="3"/>
        <w:t>**</w:t>
      </w:r>
    </w:p>
    <w:p w14:paraId="03370490" w14:textId="2C4BD1EC" w:rsidR="0015147A" w:rsidRPr="00B84558" w:rsidRDefault="0015147A" w:rsidP="0015147A">
      <w:pPr>
        <w:pStyle w:val="H1G"/>
        <w:rPr>
          <w:lang w:val="fr-FR"/>
        </w:rPr>
      </w:pPr>
      <w:r>
        <w:rPr>
          <w:bCs/>
          <w:lang w:val="fr-FR"/>
        </w:rPr>
        <w:tab/>
      </w:r>
      <w:r>
        <w:rPr>
          <w:bCs/>
          <w:lang w:val="fr-FR"/>
        </w:rPr>
        <w:tab/>
      </w:r>
      <w:r w:rsidRPr="00B84558">
        <w:rPr>
          <w:lang w:val="fr-FR"/>
        </w:rPr>
        <w:t>Communication de l</w:t>
      </w:r>
      <w:r>
        <w:rPr>
          <w:lang w:val="fr-FR"/>
        </w:rPr>
        <w:t>’</w:t>
      </w:r>
      <w:r w:rsidRPr="00B84558">
        <w:rPr>
          <w:lang w:val="fr-FR"/>
        </w:rPr>
        <w:t>expert de l</w:t>
      </w:r>
      <w:r>
        <w:rPr>
          <w:lang w:val="fr-FR"/>
        </w:rPr>
        <w:t>’</w:t>
      </w:r>
      <w:r w:rsidRPr="00B84558">
        <w:rPr>
          <w:lang w:val="fr-FR"/>
        </w:rPr>
        <w:t xml:space="preserve">Organisation internationale </w:t>
      </w:r>
      <w:r>
        <w:rPr>
          <w:lang w:val="fr-FR"/>
        </w:rPr>
        <w:br/>
      </w:r>
      <w:r w:rsidRPr="00B84558">
        <w:rPr>
          <w:lang w:val="fr-FR"/>
        </w:rPr>
        <w:t>des constructeurs d</w:t>
      </w:r>
      <w:r>
        <w:rPr>
          <w:lang w:val="fr-FR"/>
        </w:rPr>
        <w:t>’</w:t>
      </w:r>
      <w:r w:rsidRPr="00B84558">
        <w:rPr>
          <w:lang w:val="fr-FR"/>
        </w:rPr>
        <w:t>automobiles</w:t>
      </w:r>
    </w:p>
    <w:p w14:paraId="70B6A981" w14:textId="364D4549" w:rsidR="0015147A" w:rsidRPr="00B84558" w:rsidRDefault="0015147A" w:rsidP="0015147A">
      <w:pPr>
        <w:pStyle w:val="SingleTxtG"/>
        <w:rPr>
          <w:lang w:val="fr-FR"/>
        </w:rPr>
      </w:pPr>
      <w:r>
        <w:rPr>
          <w:lang w:val="fr-FR"/>
        </w:rPr>
        <w:tab/>
      </w:r>
      <w:r>
        <w:rPr>
          <w:lang w:val="fr-FR"/>
        </w:rPr>
        <w:tab/>
        <w:t>Le texte ci-après, établi par l’expert de l’Organisation internationale des constructeurs d’automobiles (OICA), vise à établir des prescriptions concernant la sécurité des véhicules à hydrogène après un choc, inspirées de l’amendement 1 au RTM ONU n</w:t>
      </w:r>
      <w:r>
        <w:rPr>
          <w:vertAlign w:val="superscript"/>
          <w:lang w:val="fr-FR"/>
        </w:rPr>
        <w:t>o</w:t>
      </w:r>
      <w:r>
        <w:rPr>
          <w:lang w:val="fr-FR"/>
        </w:rPr>
        <w:t> 13 (Véhicules HFCV). Il est fondé sur le document informel GRSP-72-29, distribué à la soixante-douzième session du Groupe de travail de la sécurité passive (GRSP). Les modifications qu’il est proposé d’apporter au texte actuel du Règlement ONU figurent en caractères gras pour les ajouts et biffés pour les suppressions.</w:t>
      </w:r>
    </w:p>
    <w:p w14:paraId="2A91A59D" w14:textId="77777777" w:rsidR="0015147A" w:rsidRPr="00B84558" w:rsidRDefault="0015147A" w:rsidP="0015147A">
      <w:pPr>
        <w:suppressAutoHyphens w:val="0"/>
        <w:spacing w:line="240" w:lineRule="auto"/>
        <w:rPr>
          <w:lang w:val="fr-FR"/>
        </w:rPr>
      </w:pPr>
      <w:r w:rsidRPr="00B84558">
        <w:rPr>
          <w:sz w:val="24"/>
          <w:szCs w:val="24"/>
          <w:lang w:val="fr-FR" w:eastAsia="zh-CN"/>
        </w:rPr>
        <w:br w:type="page"/>
      </w:r>
    </w:p>
    <w:p w14:paraId="308B4A3C" w14:textId="77777777" w:rsidR="0015147A" w:rsidRPr="00B84558" w:rsidRDefault="0015147A" w:rsidP="0015147A">
      <w:pPr>
        <w:pStyle w:val="HChG"/>
        <w:rPr>
          <w:lang w:val="fr-FR"/>
        </w:rPr>
      </w:pPr>
      <w:r>
        <w:rPr>
          <w:lang w:val="fr-FR"/>
        </w:rPr>
        <w:lastRenderedPageBreak/>
        <w:tab/>
        <w:t>I.</w:t>
      </w:r>
      <w:r>
        <w:rPr>
          <w:lang w:val="fr-FR"/>
        </w:rPr>
        <w:tab/>
        <w:t>Proposition</w:t>
      </w:r>
    </w:p>
    <w:p w14:paraId="6AAB9D3C" w14:textId="01FA8DD7" w:rsidR="0015147A" w:rsidRPr="00B84558" w:rsidRDefault="0015147A" w:rsidP="0015147A">
      <w:pPr>
        <w:pStyle w:val="SingleTxtG"/>
        <w:rPr>
          <w:lang w:val="fr-FR"/>
        </w:rPr>
      </w:pPr>
      <w:r w:rsidRPr="0015147A">
        <w:rPr>
          <w:i/>
          <w:iCs/>
          <w:lang w:val="fr-FR"/>
        </w:rPr>
        <w:t>Ajouter le nouveau paragraphe 2.2.9</w:t>
      </w:r>
      <w:r>
        <w:rPr>
          <w:lang w:val="fr-FR"/>
        </w:rPr>
        <w:t>, libellé comme suit :</w:t>
      </w:r>
    </w:p>
    <w:p w14:paraId="54BC04E6" w14:textId="77777777" w:rsidR="0015147A" w:rsidRPr="00B84558" w:rsidRDefault="0015147A" w:rsidP="00256B84">
      <w:pPr>
        <w:pStyle w:val="SingleTxtG"/>
        <w:ind w:left="2268" w:hanging="1134"/>
        <w:rPr>
          <w:b/>
          <w:lang w:val="fr-FR"/>
        </w:rPr>
      </w:pPr>
      <w:r>
        <w:rPr>
          <w:lang w:val="fr-FR"/>
        </w:rPr>
        <w:t>« </w:t>
      </w:r>
      <w:r>
        <w:rPr>
          <w:b/>
          <w:bCs/>
          <w:lang w:val="fr-FR"/>
        </w:rPr>
        <w:t>2.2.9</w:t>
      </w:r>
      <w:r>
        <w:rPr>
          <w:lang w:val="fr-FR"/>
        </w:rPr>
        <w:tab/>
      </w:r>
      <w:r>
        <w:rPr>
          <w:b/>
          <w:bCs/>
          <w:lang w:val="fr-FR"/>
        </w:rPr>
        <w:t>La configuration de base et les caractéristiques principales du système d’alimentation en carburant du véhicule.</w:t>
      </w:r>
      <w:r>
        <w:rPr>
          <w:lang w:val="fr-FR"/>
        </w:rPr>
        <w:t> ».</w:t>
      </w:r>
    </w:p>
    <w:p w14:paraId="4C14E04B" w14:textId="5F00271F" w:rsidR="0015147A" w:rsidRPr="00B84558" w:rsidRDefault="0015147A" w:rsidP="00256B84">
      <w:pPr>
        <w:pStyle w:val="SingleTxtG"/>
        <w:rPr>
          <w:lang w:val="fr-FR"/>
        </w:rPr>
      </w:pPr>
      <w:r>
        <w:rPr>
          <w:i/>
          <w:iCs/>
          <w:lang w:val="fr-FR"/>
        </w:rPr>
        <w:t>Ajouter les nouveaux paragraphes 2.49 à 2.53</w:t>
      </w:r>
      <w:r>
        <w:rPr>
          <w:lang w:val="fr-FR"/>
        </w:rPr>
        <w:t>, libellés comme suit :</w:t>
      </w:r>
    </w:p>
    <w:p w14:paraId="57ED76EF" w14:textId="77777777" w:rsidR="0015147A" w:rsidRPr="00B84558" w:rsidRDefault="0015147A" w:rsidP="0015147A">
      <w:pPr>
        <w:pStyle w:val="SingleTxtG"/>
        <w:ind w:left="2268" w:hanging="1134"/>
        <w:rPr>
          <w:b/>
          <w:lang w:val="fr-FR"/>
        </w:rPr>
      </w:pPr>
      <w:r>
        <w:rPr>
          <w:lang w:val="fr-FR"/>
        </w:rPr>
        <w:t>« </w:t>
      </w:r>
      <w:r>
        <w:rPr>
          <w:b/>
          <w:bCs/>
          <w:lang w:val="fr-FR"/>
        </w:rPr>
        <w:t>2.49</w:t>
      </w:r>
      <w:r>
        <w:rPr>
          <w:lang w:val="fr-FR"/>
        </w:rPr>
        <w:tab/>
      </w:r>
      <w:r>
        <w:rPr>
          <w:b/>
          <w:bCs/>
          <w:lang w:val="fr-FR"/>
        </w:rPr>
        <w:t>“</w:t>
      </w:r>
      <w:r>
        <w:rPr>
          <w:b/>
          <w:bCs/>
          <w:i/>
          <w:iCs/>
          <w:lang w:val="fr-FR"/>
        </w:rPr>
        <w:t>Système de stockage d’hydrogène comprimé</w:t>
      </w:r>
      <w:r>
        <w:rPr>
          <w:b/>
          <w:bCs/>
          <w:lang w:val="fr-FR"/>
        </w:rPr>
        <w:t>”, un système conçu pour stocker l’hydrogène comprimé alimentant le véhicule à hydrogène et composé d’un réservoir, éventuellement muni de fixations, et de tous les dispositifs de fermeture primaires qui sont nécessaires pour isoler l’hydrogène stocké du reste du système d’alimentation en carburant ainsi que du milieu ambiant ;</w:t>
      </w:r>
    </w:p>
    <w:p w14:paraId="4BF898EC" w14:textId="77777777" w:rsidR="0015147A" w:rsidRPr="00B84558" w:rsidRDefault="0015147A" w:rsidP="0015147A">
      <w:pPr>
        <w:pStyle w:val="SingleTxtG"/>
        <w:ind w:left="2268" w:hanging="1134"/>
        <w:rPr>
          <w:b/>
          <w:bCs/>
          <w:lang w:val="fr-FR"/>
        </w:rPr>
      </w:pPr>
      <w:r>
        <w:rPr>
          <w:b/>
          <w:bCs/>
          <w:lang w:val="fr-FR"/>
        </w:rPr>
        <w:t>2.50</w:t>
      </w:r>
      <w:r>
        <w:rPr>
          <w:lang w:val="fr-FR"/>
        </w:rPr>
        <w:tab/>
      </w:r>
      <w:r>
        <w:rPr>
          <w:b/>
          <w:bCs/>
          <w:lang w:val="fr-FR"/>
        </w:rPr>
        <w:t>“</w:t>
      </w:r>
      <w:r>
        <w:rPr>
          <w:b/>
          <w:bCs/>
          <w:i/>
          <w:iCs/>
          <w:lang w:val="fr-FR"/>
        </w:rPr>
        <w:t>Réservoir</w:t>
      </w:r>
      <w:r>
        <w:rPr>
          <w:b/>
          <w:bCs/>
          <w:lang w:val="fr-FR"/>
        </w:rPr>
        <w:t>” (de stockage d’hydrogène), le composant sous pression du véhicule qui stocke le volume primaire d’hydrogène carburant dans une seule chambre ou dans plusieurs chambres raccordées en permanence ;</w:t>
      </w:r>
    </w:p>
    <w:p w14:paraId="1B0F775E" w14:textId="77777777" w:rsidR="0015147A" w:rsidRPr="00B84558" w:rsidRDefault="0015147A" w:rsidP="0015147A">
      <w:pPr>
        <w:pStyle w:val="SingleTxtG"/>
        <w:ind w:left="2268" w:hanging="1134"/>
        <w:rPr>
          <w:b/>
          <w:lang w:val="fr-FR"/>
        </w:rPr>
      </w:pPr>
      <w:r>
        <w:rPr>
          <w:b/>
          <w:bCs/>
          <w:lang w:val="fr-FR"/>
        </w:rPr>
        <w:t>2.51</w:t>
      </w:r>
      <w:r>
        <w:rPr>
          <w:lang w:val="fr-FR"/>
        </w:rPr>
        <w:tab/>
      </w:r>
      <w:r>
        <w:rPr>
          <w:b/>
          <w:bCs/>
          <w:lang w:val="fr-FR"/>
        </w:rPr>
        <w:t>“</w:t>
      </w:r>
      <w:r>
        <w:rPr>
          <w:b/>
          <w:bCs/>
          <w:i/>
          <w:iCs/>
          <w:lang w:val="fr-FR"/>
        </w:rPr>
        <w:t>Fixations du réservoir</w:t>
      </w:r>
      <w:r>
        <w:rPr>
          <w:b/>
          <w:bCs/>
          <w:lang w:val="fr-FR"/>
        </w:rPr>
        <w:t>”, les pièces non soumises à la pression qui sont fixées au réservoir, lui fournissent un appui ou une protection supplémentaire et ne peuvent être retirées que temporairement à des fins d’entretien ou d’inspection et à l’aide d’outils ;</w:t>
      </w:r>
    </w:p>
    <w:p w14:paraId="3B631EA0" w14:textId="77777777" w:rsidR="0015147A" w:rsidRPr="00B84558" w:rsidRDefault="0015147A" w:rsidP="0015147A">
      <w:pPr>
        <w:pStyle w:val="SingleTxtG"/>
        <w:ind w:left="2268" w:hanging="1134"/>
        <w:rPr>
          <w:b/>
          <w:lang w:val="fr-FR"/>
        </w:rPr>
      </w:pPr>
      <w:r>
        <w:rPr>
          <w:b/>
          <w:bCs/>
          <w:lang w:val="fr-FR"/>
        </w:rPr>
        <w:t>2.52</w:t>
      </w:r>
      <w:r>
        <w:rPr>
          <w:lang w:val="fr-FR"/>
        </w:rPr>
        <w:tab/>
      </w:r>
      <w:r>
        <w:rPr>
          <w:b/>
          <w:bCs/>
          <w:lang w:val="fr-FR"/>
        </w:rPr>
        <w:t>“</w:t>
      </w:r>
      <w:r>
        <w:rPr>
          <w:b/>
          <w:bCs/>
          <w:i/>
          <w:iCs/>
          <w:lang w:val="fr-FR"/>
        </w:rPr>
        <w:t>Véhicule à hydrogène</w:t>
      </w:r>
      <w:r>
        <w:rPr>
          <w:b/>
          <w:bCs/>
          <w:lang w:val="fr-FR"/>
        </w:rPr>
        <w:t xml:space="preserve">”, tout véhicule à moteur qui utilise comme moyen de propulsion de l’hydrogène gazeux comprimé, y compris les véhicules à pile à combustible et à moteur à combustion interne. L’hydrogène servant de carburant à ces véhicules est défini dans les normes ISO </w:t>
      </w:r>
      <w:proofErr w:type="gramStart"/>
      <w:r>
        <w:rPr>
          <w:b/>
          <w:bCs/>
          <w:lang w:val="fr-FR"/>
        </w:rPr>
        <w:t>14687:</w:t>
      </w:r>
      <w:proofErr w:type="gramEnd"/>
      <w:r>
        <w:rPr>
          <w:b/>
          <w:bCs/>
          <w:lang w:val="fr-FR"/>
        </w:rPr>
        <w:t>2019 et SAE J2719_202003 ;</w:t>
      </w:r>
      <w:r>
        <w:rPr>
          <w:lang w:val="fr-FR"/>
        </w:rPr>
        <w:t xml:space="preserve"> </w:t>
      </w:r>
    </w:p>
    <w:p w14:paraId="649AB2EB" w14:textId="77777777" w:rsidR="0015147A" w:rsidRPr="00B84558" w:rsidRDefault="0015147A" w:rsidP="0015147A">
      <w:pPr>
        <w:pStyle w:val="SingleTxtG"/>
        <w:ind w:left="2268" w:hanging="1134"/>
        <w:rPr>
          <w:b/>
          <w:lang w:val="fr-FR"/>
        </w:rPr>
      </w:pPr>
      <w:r>
        <w:rPr>
          <w:b/>
          <w:bCs/>
          <w:lang w:val="fr-FR"/>
        </w:rPr>
        <w:t>2.53</w:t>
      </w:r>
      <w:r>
        <w:rPr>
          <w:lang w:val="fr-FR"/>
        </w:rPr>
        <w:tab/>
      </w:r>
      <w:r>
        <w:rPr>
          <w:b/>
          <w:bCs/>
          <w:lang w:val="fr-FR"/>
        </w:rPr>
        <w:t>“</w:t>
      </w:r>
      <w:r>
        <w:rPr>
          <w:b/>
          <w:bCs/>
          <w:i/>
          <w:iCs/>
          <w:lang w:val="fr-FR"/>
        </w:rPr>
        <w:t xml:space="preserve">Vanne d’arrêt (pour véhicule à </w:t>
      </w:r>
      <w:proofErr w:type="gramStart"/>
      <w:r>
        <w:rPr>
          <w:b/>
          <w:bCs/>
          <w:i/>
          <w:iCs/>
          <w:lang w:val="fr-FR"/>
        </w:rPr>
        <w:t>hydrogène)</w:t>
      </w:r>
      <w:r>
        <w:rPr>
          <w:b/>
          <w:bCs/>
          <w:lang w:val="fr-FR"/>
        </w:rPr>
        <w:t>ˮ</w:t>
      </w:r>
      <w:proofErr w:type="gramEnd"/>
      <w:r>
        <w:rPr>
          <w:b/>
          <w:bCs/>
          <w:lang w:val="fr-FR"/>
        </w:rPr>
        <w:t>, une vanne située entre le réservoir de stockage et le système d’alimentation en carburant du véhicule, qui peut être actionnée automatiquement ;</w:t>
      </w:r>
      <w:r>
        <w:rPr>
          <w:lang w:val="fr-FR"/>
        </w:rPr>
        <w:t xml:space="preserve"> </w:t>
      </w:r>
      <w:r>
        <w:rPr>
          <w:b/>
          <w:bCs/>
          <w:lang w:val="fr-FR"/>
        </w:rPr>
        <w:t>cette vanne doit par défaut revenir en position fermée lorsqu’elle n’est pas alimentée par une source électrique.</w:t>
      </w:r>
      <w:r>
        <w:rPr>
          <w:lang w:val="fr-FR"/>
        </w:rPr>
        <w:t> ».</w:t>
      </w:r>
    </w:p>
    <w:p w14:paraId="1DCED690" w14:textId="77777777" w:rsidR="0015147A" w:rsidRPr="00B84558" w:rsidRDefault="0015147A" w:rsidP="00256B84">
      <w:pPr>
        <w:pStyle w:val="SingleTxtG"/>
        <w:rPr>
          <w:i/>
          <w:lang w:val="fr-FR"/>
        </w:rPr>
      </w:pPr>
      <w:r>
        <w:rPr>
          <w:i/>
          <w:iCs/>
          <w:lang w:val="fr-FR"/>
        </w:rPr>
        <w:t>Paragraphe 5.2</w:t>
      </w:r>
      <w:r>
        <w:rPr>
          <w:lang w:val="fr-FR"/>
        </w:rPr>
        <w:t>, lire :</w:t>
      </w:r>
    </w:p>
    <w:p w14:paraId="230A0916" w14:textId="2BBFC451" w:rsidR="0015147A" w:rsidRPr="00B84558" w:rsidRDefault="0015147A" w:rsidP="0015147A">
      <w:pPr>
        <w:pStyle w:val="SingleTxtG"/>
        <w:ind w:left="2268" w:hanging="1134"/>
        <w:rPr>
          <w:iCs/>
          <w:lang w:val="fr-FR"/>
        </w:rPr>
      </w:pPr>
      <w:r>
        <w:rPr>
          <w:lang w:val="fr-FR"/>
        </w:rPr>
        <w:t>« 5.2</w:t>
      </w:r>
      <w:r>
        <w:rPr>
          <w:lang w:val="fr-FR"/>
        </w:rPr>
        <w:tab/>
        <w:t>Critères d’efficacité</w:t>
      </w:r>
    </w:p>
    <w:p w14:paraId="530B625D" w14:textId="77777777" w:rsidR="0015147A" w:rsidRPr="00B84558" w:rsidRDefault="0015147A" w:rsidP="0015147A">
      <w:pPr>
        <w:pStyle w:val="SingleTxtG"/>
        <w:ind w:left="2268"/>
        <w:rPr>
          <w:lang w:val="fr-FR"/>
        </w:rPr>
      </w:pPr>
      <w:r>
        <w:rPr>
          <w:lang w:val="fr-FR"/>
        </w:rPr>
        <w:t>Les véhicules équipés d’une chaîne de traction électrique doivent en outre satisfaire aux prescriptions du paragraphe 5.3.</w:t>
      </w:r>
      <w:r>
        <w:rPr>
          <w:b/>
          <w:bCs/>
          <w:lang w:val="fr-FR"/>
        </w:rPr>
        <w:t>8</w:t>
      </w:r>
      <w:r>
        <w:rPr>
          <w:strike/>
          <w:lang w:val="fr-FR"/>
        </w:rPr>
        <w:t>7</w:t>
      </w:r>
      <w:r>
        <w:rPr>
          <w:lang w:val="fr-FR"/>
        </w:rPr>
        <w:t xml:space="preserve"> ci-dessous. …</w:t>
      </w:r>
    </w:p>
    <w:p w14:paraId="76C96DA9" w14:textId="23E9C31F" w:rsidR="0015147A" w:rsidRPr="00B84558" w:rsidRDefault="0015147A" w:rsidP="0015147A">
      <w:pPr>
        <w:pStyle w:val="SingleTxtG"/>
        <w:ind w:left="2268"/>
        <w:rPr>
          <w:iCs/>
          <w:lang w:val="fr-FR"/>
        </w:rPr>
      </w:pPr>
      <w:r>
        <w:rPr>
          <w:lang w:val="fr-FR"/>
        </w:rPr>
        <w:t>Si tel est le cas, le respect des prescriptions énoncées au paragraphe 5.3.</w:t>
      </w:r>
      <w:r>
        <w:rPr>
          <w:b/>
          <w:bCs/>
          <w:lang w:val="fr-FR"/>
        </w:rPr>
        <w:t>8</w:t>
      </w:r>
      <w:r>
        <w:rPr>
          <w:strike/>
          <w:lang w:val="fr-FR"/>
        </w:rPr>
        <w:t>7</w:t>
      </w:r>
      <w:r>
        <w:rPr>
          <w:lang w:val="fr-FR"/>
        </w:rPr>
        <w:t xml:space="preserve"> doit être vérifié conformément aux méthodes décrites à l’annexe 4 du présent Règlement, à l’exception… ».</w:t>
      </w:r>
    </w:p>
    <w:p w14:paraId="2880F178" w14:textId="485A9395" w:rsidR="0015147A" w:rsidRPr="00B84558" w:rsidRDefault="0015147A" w:rsidP="00256B84">
      <w:pPr>
        <w:pStyle w:val="SingleTxtG"/>
        <w:rPr>
          <w:lang w:val="fr-FR"/>
        </w:rPr>
      </w:pPr>
      <w:r>
        <w:rPr>
          <w:i/>
          <w:iCs/>
          <w:lang w:val="fr-FR"/>
        </w:rPr>
        <w:t>Ajouter les nouveaux paragraphes 5.3.7 à 5.3.7.3</w:t>
      </w:r>
      <w:r>
        <w:rPr>
          <w:lang w:val="fr-FR"/>
        </w:rPr>
        <w:t>, libellés comme suit :</w:t>
      </w:r>
    </w:p>
    <w:p w14:paraId="75BC52D8" w14:textId="6A5B1EB3" w:rsidR="0015147A" w:rsidRPr="00B84558" w:rsidRDefault="0015147A" w:rsidP="0015147A">
      <w:pPr>
        <w:pStyle w:val="SingleTxtG"/>
        <w:ind w:left="2250" w:hanging="1116"/>
        <w:rPr>
          <w:lang w:val="fr-FR"/>
        </w:rPr>
      </w:pPr>
      <w:r>
        <w:rPr>
          <w:lang w:val="fr-FR"/>
        </w:rPr>
        <w:t>« </w:t>
      </w:r>
      <w:r>
        <w:rPr>
          <w:b/>
          <w:bCs/>
          <w:lang w:val="fr-FR"/>
        </w:rPr>
        <w:t>5.3.7</w:t>
      </w:r>
      <w:r>
        <w:rPr>
          <w:lang w:val="fr-FR"/>
        </w:rPr>
        <w:tab/>
      </w:r>
      <w:r>
        <w:rPr>
          <w:b/>
          <w:bCs/>
          <w:lang w:val="fr-FR"/>
        </w:rPr>
        <w:t>Dans le cas d’un véhicule à hydrogène comprimé, le respect des dispositions des paragraphes 5.3.7.1 à 5.3.7.3 doit être démontré.</w:t>
      </w:r>
    </w:p>
    <w:p w14:paraId="54C328E5" w14:textId="0990E82D" w:rsidR="0015147A" w:rsidRPr="00B84558" w:rsidRDefault="0015147A" w:rsidP="0015147A">
      <w:pPr>
        <w:pStyle w:val="SingleTxtG"/>
        <w:ind w:left="2268" w:hanging="1134"/>
        <w:rPr>
          <w:b/>
          <w:lang w:val="fr-FR"/>
        </w:rPr>
      </w:pPr>
      <w:r>
        <w:rPr>
          <w:b/>
          <w:bCs/>
          <w:lang w:val="fr-FR"/>
        </w:rPr>
        <w:t>5.3.7.1</w:t>
      </w:r>
      <w:r>
        <w:rPr>
          <w:lang w:val="fr-FR"/>
        </w:rPr>
        <w:tab/>
      </w:r>
      <w:r>
        <w:rPr>
          <w:b/>
          <w:bCs/>
          <w:lang w:val="fr-FR"/>
        </w:rPr>
        <w:t>Le débit de la fuite (V</w:t>
      </w:r>
      <w:r w:rsidRPr="000679BD">
        <w:rPr>
          <w:b/>
          <w:bCs/>
          <w:vertAlign w:val="subscript"/>
          <w:lang w:val="fr-FR"/>
        </w:rPr>
        <w:t>H2</w:t>
      </w:r>
      <w:r>
        <w:rPr>
          <w:b/>
          <w:bCs/>
          <w:lang w:val="fr-FR"/>
        </w:rPr>
        <w:t xml:space="preserve">), déterminé conformément soit au paragraphe 4 de l’annexe 12 s’il s’agit d’hydrogène, soit au paragraphe 5 de l’annexe 12 s’il s’agit d’hélium, ne doit pas dépasser en moyenne </w:t>
      </w:r>
      <w:r w:rsidRPr="00B139FA">
        <w:rPr>
          <w:b/>
          <w:bCs/>
          <w:lang w:val="fr-FR"/>
        </w:rPr>
        <w:t>118 </w:t>
      </w:r>
      <w:proofErr w:type="spellStart"/>
      <w:r w:rsidRPr="00B139FA">
        <w:rPr>
          <w:b/>
          <w:bCs/>
          <w:lang w:val="fr-FR"/>
        </w:rPr>
        <w:t>Nl</w:t>
      </w:r>
      <w:proofErr w:type="spellEnd"/>
      <w:r>
        <w:rPr>
          <w:b/>
          <w:bCs/>
          <w:lang w:val="fr-FR"/>
        </w:rPr>
        <w:t xml:space="preserve"> par minute pendant l’intervalle de temps prévu (</w:t>
      </w:r>
      <w:proofErr w:type="spellStart"/>
      <w:r>
        <w:rPr>
          <w:b/>
          <w:bCs/>
          <w:lang w:val="fr-FR"/>
        </w:rPr>
        <w:t>Δt</w:t>
      </w:r>
      <w:proofErr w:type="spellEnd"/>
      <w:r>
        <w:rPr>
          <w:b/>
          <w:bCs/>
          <w:lang w:val="fr-FR"/>
        </w:rPr>
        <w:t>, en min) après le choc.</w:t>
      </w:r>
    </w:p>
    <w:p w14:paraId="5E04BFEB" w14:textId="1C0605C0" w:rsidR="0015147A" w:rsidRPr="00B84558" w:rsidRDefault="0015147A" w:rsidP="0015147A">
      <w:pPr>
        <w:pStyle w:val="SingleTxtG"/>
        <w:ind w:left="2268" w:hanging="1134"/>
        <w:rPr>
          <w:b/>
          <w:lang w:val="fr-FR"/>
        </w:rPr>
      </w:pPr>
      <w:r>
        <w:rPr>
          <w:b/>
          <w:bCs/>
          <w:lang w:val="fr-FR"/>
        </w:rPr>
        <w:t>5.3.7.2</w:t>
      </w:r>
      <w:r>
        <w:rPr>
          <w:lang w:val="fr-FR"/>
        </w:rPr>
        <w:tab/>
      </w:r>
      <w:r>
        <w:rPr>
          <w:b/>
          <w:bCs/>
          <w:lang w:val="fr-FR"/>
        </w:rPr>
        <w:t>La concentration de gaz (hydrogène ou hélium) en volume dans l’air, déterminée pour l’habitacle et le coffre à bagages conformément au paragraphe 6 de l’annexe 12, ne doit pas dépasser 4,0 % pour l’hydrogène et 3,0 % pour l’hélium, à tout moment pendant les 60 min que dure la période de mesure faisant suite au choc.</w:t>
      </w:r>
      <w:r>
        <w:rPr>
          <w:lang w:val="fr-FR"/>
        </w:rPr>
        <w:t xml:space="preserve"> </w:t>
      </w:r>
      <w:r>
        <w:rPr>
          <w:b/>
          <w:bCs/>
          <w:lang w:val="fr-FR"/>
        </w:rPr>
        <w:t xml:space="preserve">Cette prescription est remplie s’il est confirmé que la vanne d’arrêt de chaque système de stockage d’hydrogène s’est fermée dans les 5 s suivant le premier contact du </w:t>
      </w:r>
      <w:r>
        <w:rPr>
          <w:b/>
          <w:bCs/>
          <w:lang w:val="fr-FR"/>
        </w:rPr>
        <w:lastRenderedPageBreak/>
        <w:t>véhicule avec l’élément de frappe et que le ou les systèmes de stockage d’hydrogène ne présentent pas de fuite.</w:t>
      </w:r>
      <w:r>
        <w:rPr>
          <w:lang w:val="fr-FR"/>
        </w:rPr>
        <w:t xml:space="preserve"> </w:t>
      </w:r>
    </w:p>
    <w:p w14:paraId="77437555" w14:textId="77777777" w:rsidR="0015147A" w:rsidRPr="00B84558" w:rsidRDefault="0015147A" w:rsidP="0015147A">
      <w:pPr>
        <w:pStyle w:val="SingleTxtG"/>
        <w:ind w:left="2268" w:hanging="1134"/>
        <w:rPr>
          <w:b/>
          <w:lang w:val="fr-FR"/>
        </w:rPr>
      </w:pPr>
      <w:r>
        <w:rPr>
          <w:b/>
          <w:bCs/>
          <w:lang w:val="fr-FR"/>
        </w:rPr>
        <w:t>5.3.7.3</w:t>
      </w:r>
      <w:r>
        <w:rPr>
          <w:lang w:val="fr-FR"/>
        </w:rPr>
        <w:tab/>
      </w:r>
      <w:r>
        <w:rPr>
          <w:b/>
          <w:bCs/>
          <w:lang w:val="fr-FR"/>
        </w:rPr>
        <w:t>Le ou les réservoirs (de stockage d’hydrogène) doivent rester fixés au véhicule par au moins un point.</w:t>
      </w:r>
      <w:r>
        <w:rPr>
          <w:lang w:val="fr-FR"/>
        </w:rPr>
        <w:t> ».</w:t>
      </w:r>
    </w:p>
    <w:p w14:paraId="71F92B59" w14:textId="77777777" w:rsidR="0015147A" w:rsidRPr="00B84558" w:rsidRDefault="0015147A" w:rsidP="00256B84">
      <w:pPr>
        <w:pStyle w:val="SingleTxtG"/>
        <w:rPr>
          <w:iCs/>
          <w:lang w:val="fr-FR"/>
        </w:rPr>
      </w:pPr>
      <w:r>
        <w:rPr>
          <w:i/>
          <w:iCs/>
          <w:lang w:val="fr-FR"/>
        </w:rPr>
        <w:t>Les paragraphes 5.3.7 et 5.3.8</w:t>
      </w:r>
      <w:r>
        <w:rPr>
          <w:lang w:val="fr-FR"/>
        </w:rPr>
        <w:t xml:space="preserve"> deviennent les paragraphes 5.3.8 et 5.3.9. </w:t>
      </w:r>
    </w:p>
    <w:p w14:paraId="7F00DDB4" w14:textId="511F66DE" w:rsidR="0015147A" w:rsidRPr="00B84558" w:rsidRDefault="0015147A" w:rsidP="0015147A">
      <w:pPr>
        <w:pStyle w:val="SingleTxtG"/>
        <w:ind w:left="2268" w:hanging="1134"/>
        <w:rPr>
          <w:i/>
          <w:lang w:val="fr-FR"/>
        </w:rPr>
      </w:pPr>
      <w:r>
        <w:rPr>
          <w:i/>
          <w:iCs/>
          <w:lang w:val="fr-FR"/>
        </w:rPr>
        <w:t>Paragraphe 11</w:t>
      </w:r>
      <w:r>
        <w:rPr>
          <w:lang w:val="fr-FR"/>
        </w:rPr>
        <w:t>, lire :</w:t>
      </w:r>
    </w:p>
    <w:p w14:paraId="5F4643A4" w14:textId="77777777" w:rsidR="0015147A" w:rsidRPr="00B84558" w:rsidRDefault="0015147A" w:rsidP="00256B84">
      <w:pPr>
        <w:pStyle w:val="SingleTxtG"/>
        <w:ind w:left="2268" w:hanging="1134"/>
        <w:rPr>
          <w:b/>
          <w:lang w:val="fr-FR"/>
        </w:rPr>
      </w:pPr>
      <w:r>
        <w:rPr>
          <w:lang w:val="fr-FR"/>
        </w:rPr>
        <w:t>« </w:t>
      </w:r>
      <w:r>
        <w:rPr>
          <w:b/>
          <w:bCs/>
          <w:lang w:val="fr-FR"/>
        </w:rPr>
        <w:t>11.</w:t>
      </w:r>
      <w:r>
        <w:rPr>
          <w:lang w:val="fr-FR"/>
        </w:rPr>
        <w:tab/>
      </w:r>
      <w:r>
        <w:rPr>
          <w:lang w:val="fr-FR"/>
        </w:rPr>
        <w:tab/>
      </w:r>
      <w:r>
        <w:rPr>
          <w:b/>
          <w:bCs/>
          <w:lang w:val="fr-FR"/>
        </w:rPr>
        <w:t>Dispositions transitoires</w:t>
      </w:r>
    </w:p>
    <w:p w14:paraId="259DD128" w14:textId="77777777" w:rsidR="0015147A" w:rsidRPr="00B84558" w:rsidRDefault="0015147A" w:rsidP="00256B84">
      <w:pPr>
        <w:pStyle w:val="SingleTxtG"/>
        <w:ind w:left="2268" w:hanging="1134"/>
        <w:rPr>
          <w:bCs/>
          <w:lang w:val="fr-FR"/>
        </w:rPr>
      </w:pPr>
      <w:r>
        <w:rPr>
          <w:lang w:val="fr-FR"/>
        </w:rPr>
        <w:t>11.1</w:t>
      </w:r>
      <w:r>
        <w:rPr>
          <w:lang w:val="fr-FR"/>
        </w:rPr>
        <w:tab/>
        <w:t>À compter de la date officielle d’entrée en vigueur de la série </w:t>
      </w:r>
      <w:r>
        <w:rPr>
          <w:b/>
          <w:bCs/>
          <w:lang w:val="fr-FR"/>
        </w:rPr>
        <w:t>06</w:t>
      </w:r>
      <w:r>
        <w:rPr>
          <w:strike/>
          <w:lang w:val="fr-FR"/>
        </w:rPr>
        <w:t>05</w:t>
      </w:r>
      <w:r>
        <w:rPr>
          <w:lang w:val="fr-FR"/>
        </w:rPr>
        <w:t xml:space="preserve"> d’amendements, aucune Partie contractante appliquant le présent Règlement ne pourra refuser d’accorder ou d’accepter une homologation de type en vertu dudit Règlement tel que modifié par la série </w:t>
      </w:r>
      <w:r>
        <w:rPr>
          <w:b/>
          <w:bCs/>
          <w:lang w:val="fr-FR"/>
        </w:rPr>
        <w:t>06</w:t>
      </w:r>
      <w:r>
        <w:rPr>
          <w:strike/>
          <w:lang w:val="fr-FR"/>
        </w:rPr>
        <w:t>05</w:t>
      </w:r>
      <w:r>
        <w:rPr>
          <w:lang w:val="fr-FR"/>
        </w:rPr>
        <w:t xml:space="preserve"> d’amendements.</w:t>
      </w:r>
    </w:p>
    <w:p w14:paraId="326DB88F" w14:textId="2520A417" w:rsidR="0015147A" w:rsidRPr="00B84558" w:rsidRDefault="0015147A" w:rsidP="00256B84">
      <w:pPr>
        <w:pStyle w:val="SingleTxtG"/>
        <w:ind w:left="2268" w:hanging="1134"/>
        <w:rPr>
          <w:bCs/>
          <w:lang w:val="fr-FR"/>
        </w:rPr>
      </w:pPr>
      <w:r>
        <w:rPr>
          <w:lang w:val="fr-FR"/>
        </w:rPr>
        <w:t>11.2</w:t>
      </w:r>
      <w:r>
        <w:rPr>
          <w:lang w:val="fr-FR"/>
        </w:rPr>
        <w:tab/>
        <w:t>À compter du 1</w:t>
      </w:r>
      <w:r>
        <w:rPr>
          <w:vertAlign w:val="superscript"/>
          <w:lang w:val="fr-FR"/>
        </w:rPr>
        <w:t>er</w:t>
      </w:r>
      <w:r>
        <w:rPr>
          <w:lang w:val="fr-FR"/>
        </w:rPr>
        <w:t xml:space="preserve"> septembre </w:t>
      </w:r>
      <w:r>
        <w:rPr>
          <w:b/>
          <w:bCs/>
          <w:lang w:val="fr-FR"/>
        </w:rPr>
        <w:t>[2027]</w:t>
      </w:r>
      <w:r>
        <w:rPr>
          <w:strike/>
          <w:lang w:val="fr-FR"/>
        </w:rPr>
        <w:t>2023</w:t>
      </w:r>
      <w:r>
        <w:rPr>
          <w:lang w:val="fr-FR"/>
        </w:rPr>
        <w:t>, les Parties contractantes appliquant le présent Règlement ne seront plus tenues d’accepter les homologations de type pour des véhicules établies conformément aux précédentes séries d’amendements, délivrées pour la première fois après le 1</w:t>
      </w:r>
      <w:r>
        <w:rPr>
          <w:vertAlign w:val="superscript"/>
          <w:lang w:val="fr-FR"/>
        </w:rPr>
        <w:t>er</w:t>
      </w:r>
      <w:r>
        <w:rPr>
          <w:lang w:val="fr-FR"/>
        </w:rPr>
        <w:t xml:space="preserve"> septembre </w:t>
      </w:r>
      <w:r>
        <w:rPr>
          <w:b/>
          <w:bCs/>
          <w:lang w:val="fr-FR"/>
        </w:rPr>
        <w:t>[2027]</w:t>
      </w:r>
      <w:r>
        <w:rPr>
          <w:strike/>
          <w:lang w:val="fr-FR"/>
        </w:rPr>
        <w:t>2023</w:t>
      </w:r>
      <w:r>
        <w:rPr>
          <w:lang w:val="fr-FR"/>
        </w:rPr>
        <w:t>.</w:t>
      </w:r>
    </w:p>
    <w:p w14:paraId="364E154D" w14:textId="73E91345" w:rsidR="0015147A" w:rsidRPr="00B84558" w:rsidRDefault="0015147A" w:rsidP="00256B84">
      <w:pPr>
        <w:pStyle w:val="SingleTxtG"/>
        <w:ind w:left="2268" w:hanging="1134"/>
        <w:rPr>
          <w:lang w:val="fr-FR"/>
        </w:rPr>
      </w:pPr>
      <w:r>
        <w:rPr>
          <w:lang w:val="fr-FR"/>
        </w:rPr>
        <w:t>11.3</w:t>
      </w:r>
      <w:r>
        <w:rPr>
          <w:lang w:val="fr-FR"/>
        </w:rPr>
        <w:tab/>
        <w:t>Les Parties contractantes appliquant le présent Règlement continueront de reconnaître les homologations de type pour des véhicules établies conformément aux précédentes séries d’amendements, délivrées pour la première fois avant le 1</w:t>
      </w:r>
      <w:r>
        <w:rPr>
          <w:vertAlign w:val="superscript"/>
          <w:lang w:val="fr-FR"/>
        </w:rPr>
        <w:t>er</w:t>
      </w:r>
      <w:r>
        <w:rPr>
          <w:lang w:val="fr-FR"/>
        </w:rPr>
        <w:t xml:space="preserve"> septembre </w:t>
      </w:r>
      <w:r>
        <w:rPr>
          <w:b/>
          <w:bCs/>
          <w:lang w:val="fr-FR"/>
        </w:rPr>
        <w:t>[2027]</w:t>
      </w:r>
      <w:r>
        <w:rPr>
          <w:strike/>
          <w:lang w:val="fr-FR"/>
        </w:rPr>
        <w:t>2023</w:t>
      </w:r>
      <w:r>
        <w:rPr>
          <w:lang w:val="fr-FR"/>
        </w:rPr>
        <w:t xml:space="preserve">, sous réserve que les dispositions transitoires énoncées dans lesdites séries d’amendements prévoient cette possibilité. </w:t>
      </w:r>
    </w:p>
    <w:p w14:paraId="6C93EC28" w14:textId="77777777" w:rsidR="0015147A" w:rsidRPr="00B84558" w:rsidRDefault="0015147A" w:rsidP="00256B84">
      <w:pPr>
        <w:pStyle w:val="SingleTxtG"/>
        <w:ind w:left="2268" w:hanging="1134"/>
        <w:rPr>
          <w:lang w:val="fr-FR"/>
        </w:rPr>
      </w:pPr>
      <w:r>
        <w:rPr>
          <w:lang w:val="fr-FR"/>
        </w:rPr>
        <w:t>11.4</w:t>
      </w:r>
      <w:r>
        <w:rPr>
          <w:lang w:val="fr-FR"/>
        </w:rPr>
        <w:tab/>
      </w:r>
      <w:r>
        <w:rPr>
          <w:b/>
          <w:bCs/>
          <w:lang w:val="fr-FR"/>
        </w:rPr>
        <w:t>Les Parties contractantes appliquant le présent Règlement peuvent accorder des homologations de type en vertu de l’une quelconque des précédentes séries d’amendements audit Règlement.</w:t>
      </w:r>
      <w:r>
        <w:rPr>
          <w:lang w:val="fr-FR"/>
        </w:rPr>
        <w:t xml:space="preserve"> </w:t>
      </w:r>
      <w:r>
        <w:rPr>
          <w:strike/>
          <w:lang w:val="fr-FR"/>
        </w:rPr>
        <w:t>Les Parties contractantes appliquant le présent Règlement ne pourront refuser d’accorder des homologations de type en vertu de l’une quelconque des précédentes séries d’amendements audit Règlement, ou d’accorder des extensions pour les homologations en question.</w:t>
      </w:r>
      <w:r>
        <w:rPr>
          <w:lang w:val="fr-FR"/>
        </w:rPr>
        <w:t> ».</w:t>
      </w:r>
    </w:p>
    <w:p w14:paraId="01D7BBC9" w14:textId="282FD518" w:rsidR="0015147A" w:rsidRPr="00B84558" w:rsidRDefault="0015147A" w:rsidP="0015147A">
      <w:pPr>
        <w:pStyle w:val="SingleTxtG"/>
        <w:rPr>
          <w:lang w:val="fr-FR"/>
        </w:rPr>
      </w:pPr>
      <w:r>
        <w:rPr>
          <w:i/>
          <w:iCs/>
          <w:lang w:val="fr-FR"/>
        </w:rPr>
        <w:t>Ajouter le nouveau paragraphe 11.5</w:t>
      </w:r>
      <w:r>
        <w:rPr>
          <w:lang w:val="fr-FR"/>
        </w:rPr>
        <w:t>, libellé comme suit :</w:t>
      </w:r>
    </w:p>
    <w:p w14:paraId="4C4BCE3C" w14:textId="77777777" w:rsidR="0015147A" w:rsidRPr="00B84558" w:rsidRDefault="0015147A" w:rsidP="00256B84">
      <w:pPr>
        <w:pStyle w:val="SingleTxtG"/>
        <w:ind w:left="2268" w:hanging="1134"/>
        <w:rPr>
          <w:lang w:val="fr-FR"/>
        </w:rPr>
      </w:pPr>
      <w:r>
        <w:rPr>
          <w:lang w:val="fr-FR"/>
        </w:rPr>
        <w:t>« </w:t>
      </w:r>
      <w:r>
        <w:rPr>
          <w:b/>
          <w:bCs/>
          <w:lang w:val="fr-FR"/>
        </w:rPr>
        <w:t>11.5</w:t>
      </w:r>
      <w:r>
        <w:rPr>
          <w:lang w:val="fr-FR"/>
        </w:rPr>
        <w:tab/>
      </w:r>
      <w:r>
        <w:rPr>
          <w:b/>
          <w:bCs/>
          <w:lang w:val="fr-FR"/>
        </w:rPr>
        <w:t>Les Parties contractantes appliquant le présent Règlement continueront d’accorder des extensions pour les homologations délivrées au titre de l’une quelconque des précédentes séries d’amendements audit Règlement.</w:t>
      </w:r>
      <w:r>
        <w:rPr>
          <w:lang w:val="fr-FR"/>
        </w:rPr>
        <w:t> ».</w:t>
      </w:r>
    </w:p>
    <w:p w14:paraId="1333A0D4" w14:textId="29A608D2" w:rsidR="0015147A" w:rsidRPr="00B84558" w:rsidRDefault="0015147A" w:rsidP="0015147A">
      <w:pPr>
        <w:pStyle w:val="SingleTxtG"/>
        <w:ind w:left="2268" w:hanging="1134"/>
        <w:rPr>
          <w:i/>
          <w:lang w:val="fr-FR"/>
        </w:rPr>
      </w:pPr>
      <w:r>
        <w:rPr>
          <w:i/>
          <w:iCs/>
          <w:lang w:val="fr-FR"/>
        </w:rPr>
        <w:t>Le paragraphe 11.5</w:t>
      </w:r>
      <w:r>
        <w:rPr>
          <w:lang w:val="fr-FR"/>
        </w:rPr>
        <w:t xml:space="preserve"> devient le paragraphe 11.6 : </w:t>
      </w:r>
    </w:p>
    <w:p w14:paraId="3EADA501" w14:textId="3874FC1C" w:rsidR="0015147A" w:rsidRPr="00B84558" w:rsidRDefault="0015147A" w:rsidP="00256B84">
      <w:pPr>
        <w:pStyle w:val="SingleTxtG"/>
        <w:ind w:left="2268" w:hanging="1134"/>
        <w:rPr>
          <w:lang w:val="fr-FR"/>
        </w:rPr>
      </w:pPr>
      <w:r>
        <w:rPr>
          <w:lang w:val="fr-FR"/>
        </w:rPr>
        <w:t>« 11.</w:t>
      </w:r>
      <w:r>
        <w:rPr>
          <w:strike/>
          <w:lang w:val="fr-FR"/>
        </w:rPr>
        <w:t>5</w:t>
      </w:r>
      <w:r>
        <w:rPr>
          <w:b/>
          <w:bCs/>
          <w:lang w:val="fr-FR"/>
        </w:rPr>
        <w:t>6</w:t>
      </w:r>
      <w:r>
        <w:rPr>
          <w:lang w:val="fr-FR"/>
        </w:rPr>
        <w:tab/>
        <w:t>Nonobstant les dispositions transitoires ci-dessus, les Parties contractantes qui commencent à appliquer le présent Règlement après la date d’entrée en vigueur de la série d’amendements la plus récente ne sont pas tenues de reconnaître les homologations de type qui ont été accordées en application de l’une quelconque des précédentes séries d’amendements audit Règlement.</w:t>
      </w:r>
      <w:r w:rsidR="00256B84">
        <w:rPr>
          <w:lang w:val="fr-FR"/>
        </w:rPr>
        <w:t> </w:t>
      </w:r>
      <w:r>
        <w:rPr>
          <w:lang w:val="fr-FR"/>
        </w:rPr>
        <w:t>».</w:t>
      </w:r>
    </w:p>
    <w:p w14:paraId="75C7F49C" w14:textId="77777777" w:rsidR="00205F5C" w:rsidRDefault="00205F5C">
      <w:pPr>
        <w:suppressAutoHyphens w:val="0"/>
        <w:kinsoku/>
        <w:overflowPunct/>
        <w:autoSpaceDE/>
        <w:autoSpaceDN/>
        <w:adjustRightInd/>
        <w:snapToGrid/>
        <w:spacing w:after="200" w:line="276" w:lineRule="auto"/>
        <w:rPr>
          <w:i/>
          <w:iCs/>
          <w:lang w:val="fr-FR"/>
        </w:rPr>
      </w:pPr>
      <w:bookmarkStart w:id="0" w:name="_Toc367432802"/>
      <w:r>
        <w:rPr>
          <w:i/>
          <w:iCs/>
          <w:lang w:val="fr-FR"/>
        </w:rPr>
        <w:br w:type="page"/>
      </w:r>
    </w:p>
    <w:p w14:paraId="269FF5DA" w14:textId="73649C2A" w:rsidR="0015147A" w:rsidRPr="000679BD" w:rsidRDefault="0015147A" w:rsidP="00256B84">
      <w:pPr>
        <w:pStyle w:val="SingleTxtG"/>
        <w:ind w:left="2268" w:hanging="1134"/>
        <w:rPr>
          <w:b/>
          <w:lang w:val="fr-FR"/>
        </w:rPr>
      </w:pPr>
      <w:r w:rsidRPr="000679BD">
        <w:rPr>
          <w:i/>
          <w:iCs/>
          <w:lang w:val="fr-FR"/>
        </w:rPr>
        <w:lastRenderedPageBreak/>
        <w:t>Annexe 2</w:t>
      </w:r>
      <w:r w:rsidRPr="000679BD">
        <w:rPr>
          <w:lang w:val="fr-FR"/>
        </w:rPr>
        <w:t>, lire</w:t>
      </w:r>
      <w:r>
        <w:rPr>
          <w:b/>
          <w:lang w:val="fr-FR"/>
        </w:rPr>
        <w:t> </w:t>
      </w:r>
      <w:r w:rsidRPr="000679BD">
        <w:rPr>
          <w:lang w:val="fr-FR"/>
        </w:rPr>
        <w:t>:</w:t>
      </w:r>
    </w:p>
    <w:p w14:paraId="61A7618B" w14:textId="1CCDEDE7" w:rsidR="0015147A" w:rsidRPr="00B84558" w:rsidRDefault="0015147A" w:rsidP="0015147A">
      <w:pPr>
        <w:pStyle w:val="HChG"/>
        <w:rPr>
          <w:lang w:val="fr-FR"/>
        </w:rPr>
      </w:pPr>
      <w:r w:rsidRPr="000679BD">
        <w:rPr>
          <w:b w:val="0"/>
          <w:bCs/>
          <w:sz w:val="20"/>
          <w:szCs w:val="14"/>
          <w:lang w:val="fr-FR"/>
        </w:rPr>
        <w:t>«</w:t>
      </w:r>
      <w:r w:rsidR="00205F5C">
        <w:rPr>
          <w:b w:val="0"/>
          <w:bCs/>
          <w:sz w:val="20"/>
          <w:szCs w:val="14"/>
          <w:lang w:val="fr-FR"/>
        </w:rPr>
        <w:t> </w:t>
      </w:r>
      <w:r>
        <w:rPr>
          <w:bCs/>
          <w:lang w:val="fr-FR"/>
        </w:rPr>
        <w:t>Annexe 2</w:t>
      </w:r>
      <w:bookmarkEnd w:id="0"/>
    </w:p>
    <w:p w14:paraId="6D55F7EC" w14:textId="77777777" w:rsidR="0015147A" w:rsidRPr="00B84558" w:rsidRDefault="0015147A" w:rsidP="0015147A">
      <w:pPr>
        <w:pStyle w:val="HChG"/>
        <w:rPr>
          <w:lang w:val="fr-FR"/>
        </w:rPr>
      </w:pPr>
      <w:r>
        <w:rPr>
          <w:lang w:val="fr-FR"/>
        </w:rPr>
        <w:tab/>
      </w:r>
      <w:r>
        <w:rPr>
          <w:lang w:val="fr-FR"/>
        </w:rPr>
        <w:tab/>
      </w:r>
      <w:r>
        <w:rPr>
          <w:bCs/>
          <w:lang w:val="fr-FR"/>
        </w:rPr>
        <w:t>Exemples de marques d’homologation</w:t>
      </w:r>
      <w:bookmarkStart w:id="1" w:name="_Toc367432803"/>
      <w:bookmarkEnd w:id="1"/>
    </w:p>
    <w:p w14:paraId="1614FE31" w14:textId="77777777" w:rsidR="0015147A" w:rsidRPr="00B84558" w:rsidRDefault="0015147A" w:rsidP="00205F5C">
      <w:pPr>
        <w:pStyle w:val="SingleTxtG"/>
        <w:spacing w:after="0"/>
        <w:ind w:left="2268" w:hanging="1134"/>
        <w:rPr>
          <w:lang w:val="fr-FR"/>
        </w:rPr>
      </w:pPr>
      <w:r>
        <w:rPr>
          <w:lang w:val="fr-FR"/>
        </w:rPr>
        <w:t>Modèle A</w:t>
      </w:r>
    </w:p>
    <w:p w14:paraId="3E684F2E" w14:textId="77777777" w:rsidR="0015147A" w:rsidRPr="00B84558" w:rsidRDefault="0015147A" w:rsidP="00205F5C">
      <w:pPr>
        <w:pStyle w:val="SingleTxtG"/>
        <w:ind w:left="2268" w:hanging="1134"/>
        <w:rPr>
          <w:lang w:val="fr-FR"/>
        </w:rPr>
      </w:pPr>
      <w:r>
        <w:rPr>
          <w:lang w:val="fr-FR"/>
        </w:rPr>
        <w:t>(</w:t>
      </w:r>
      <w:proofErr w:type="gramStart"/>
      <w:r>
        <w:rPr>
          <w:lang w:val="fr-FR"/>
        </w:rPr>
        <w:t>voir</w:t>
      </w:r>
      <w:proofErr w:type="gramEnd"/>
      <w:r>
        <w:rPr>
          <w:lang w:val="fr-FR"/>
        </w:rPr>
        <w:t xml:space="preserve"> par. 4.5 du présent Règlement)</w:t>
      </w:r>
    </w:p>
    <w:p w14:paraId="42B26616" w14:textId="77777777" w:rsidR="0015147A" w:rsidRDefault="0015147A" w:rsidP="00205F5C">
      <w:pPr>
        <w:widowControl w:val="0"/>
        <w:ind w:left="1134"/>
        <w:rPr>
          <w:b/>
          <w:bCs/>
          <w:lang w:val="fr-FR"/>
        </w:rPr>
      </w:pPr>
      <w:r w:rsidRPr="00EB5607">
        <w:rPr>
          <w:noProof/>
        </w:rPr>
        <mc:AlternateContent>
          <mc:Choice Requires="wpg">
            <w:drawing>
              <wp:inline distT="0" distB="0" distL="0" distR="0" wp14:anchorId="7001518A" wp14:editId="19130389">
                <wp:extent cx="5182870" cy="741680"/>
                <wp:effectExtent l="0" t="57150" r="0" b="5842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741680"/>
                          <a:chOff x="1771" y="9615"/>
                          <a:chExt cx="8877" cy="1375"/>
                        </a:xfrm>
                      </wpg:grpSpPr>
                      <wps:wsp>
                        <wps:cNvPr id="7" name="Oval 3"/>
                        <wps:cNvSpPr>
                          <a:spLocks noChangeArrowheads="1"/>
                        </wps:cNvSpPr>
                        <wps:spPr bwMode="auto">
                          <a:xfrm>
                            <a:off x="3693" y="9631"/>
                            <a:ext cx="1260" cy="1260"/>
                          </a:xfrm>
                          <a:prstGeom prst="ellipse">
                            <a:avLst/>
                          </a:prstGeom>
                          <a:solidFill>
                            <a:srgbClr val="FFFFFF"/>
                          </a:solidFill>
                          <a:ln w="38100">
                            <a:solidFill>
                              <a:srgbClr val="000000"/>
                            </a:solidFill>
                            <a:round/>
                            <a:headEnd/>
                            <a:tailEnd/>
                          </a:ln>
                        </wps:spPr>
                        <wps:txbx>
                          <w:txbxContent>
                            <w:p w14:paraId="09777537" w14:textId="77777777" w:rsidR="0015147A" w:rsidRDefault="0015147A" w:rsidP="0015147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8" name="Line 4"/>
                        <wps:cNvCnPr>
                          <a:cxnSpLocks noChangeShapeType="1"/>
                        </wps:cNvCnPr>
                        <wps:spPr bwMode="auto">
                          <a:xfrm flipH="1">
                            <a:off x="3031" y="10090"/>
                            <a:ext cx="900" cy="0"/>
                          </a:xfrm>
                          <a:prstGeom prst="line">
                            <a:avLst/>
                          </a:prstGeom>
                          <a:noFill/>
                          <a:ln w="9525">
                            <a:solidFill>
                              <a:srgbClr val="000000"/>
                            </a:solidFill>
                            <a:round/>
                            <a:headEnd/>
                            <a:tailEnd/>
                          </a:ln>
                        </wps:spPr>
                        <wps:bodyPr/>
                      </wps:wsp>
                      <wps:wsp>
                        <wps:cNvPr id="9" name="Line 5"/>
                        <wps:cNvCnPr>
                          <a:cxnSpLocks noChangeShapeType="1"/>
                        </wps:cNvCnPr>
                        <wps:spPr bwMode="auto">
                          <a:xfrm flipH="1">
                            <a:off x="3031" y="10630"/>
                            <a:ext cx="900" cy="0"/>
                          </a:xfrm>
                          <a:prstGeom prst="line">
                            <a:avLst/>
                          </a:prstGeom>
                          <a:noFill/>
                          <a:ln w="9525">
                            <a:solidFill>
                              <a:srgbClr val="000000"/>
                            </a:solidFill>
                            <a:round/>
                            <a:headEnd/>
                            <a:tailEnd/>
                          </a:ln>
                        </wps:spPr>
                        <wps:bodyPr/>
                      </wps:wsp>
                      <wps:wsp>
                        <wps:cNvPr id="10" name="Line 6"/>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wps:spPr>
                        <wps:bodyPr/>
                      </wps:wsp>
                      <wps:wsp>
                        <wps:cNvPr id="11" name="Line 7"/>
                        <wps:cNvCnPr>
                          <a:cxnSpLocks noChangeShapeType="1"/>
                        </wps:cNvCnPr>
                        <wps:spPr bwMode="auto">
                          <a:xfrm flipH="1">
                            <a:off x="2263" y="9615"/>
                            <a:ext cx="1800" cy="0"/>
                          </a:xfrm>
                          <a:prstGeom prst="line">
                            <a:avLst/>
                          </a:prstGeom>
                          <a:noFill/>
                          <a:ln w="9525">
                            <a:solidFill>
                              <a:srgbClr val="000000"/>
                            </a:solidFill>
                            <a:round/>
                            <a:headEnd/>
                            <a:tailEnd/>
                          </a:ln>
                        </wps:spPr>
                        <wps:bodyPr/>
                      </wps:wsp>
                      <wps:wsp>
                        <wps:cNvPr id="12" name="Line 8"/>
                        <wps:cNvCnPr>
                          <a:cxnSpLocks noChangeShapeType="1"/>
                        </wps:cNvCnPr>
                        <wps:spPr bwMode="auto">
                          <a:xfrm flipH="1">
                            <a:off x="2311" y="10938"/>
                            <a:ext cx="1800" cy="0"/>
                          </a:xfrm>
                          <a:prstGeom prst="line">
                            <a:avLst/>
                          </a:prstGeom>
                          <a:noFill/>
                          <a:ln w="9525">
                            <a:solidFill>
                              <a:srgbClr val="000000"/>
                            </a:solidFill>
                            <a:round/>
                            <a:headEnd/>
                            <a:tailEnd/>
                          </a:ln>
                        </wps:spPr>
                        <wps:bodyPr/>
                      </wps:wsp>
                      <wps:wsp>
                        <wps:cNvPr id="13" name="Line 9"/>
                        <wps:cNvCnPr>
                          <a:cxnSpLocks noChangeShapeType="1"/>
                        </wps:cNvCnPr>
                        <wps:spPr bwMode="auto">
                          <a:xfrm>
                            <a:off x="2268" y="9678"/>
                            <a:ext cx="0" cy="1260"/>
                          </a:xfrm>
                          <a:prstGeom prst="line">
                            <a:avLst/>
                          </a:prstGeom>
                          <a:noFill/>
                          <a:ln w="9525">
                            <a:solidFill>
                              <a:srgbClr val="000000"/>
                            </a:solidFill>
                            <a:round/>
                            <a:headEnd type="arrow" w="med" len="med"/>
                            <a:tailEnd type="arrow" w="med" len="med"/>
                          </a:ln>
                        </wps:spPr>
                        <wps:bodyPr/>
                      </wps:wsp>
                      <wps:wsp>
                        <wps:cNvPr id="14" name="Text Box 10"/>
                        <wps:cNvSpPr txBox="1">
                          <a:spLocks noChangeArrowheads="1"/>
                        </wps:cNvSpPr>
                        <wps:spPr bwMode="auto">
                          <a:xfrm>
                            <a:off x="1771" y="10030"/>
                            <a:ext cx="540" cy="600"/>
                          </a:xfrm>
                          <a:prstGeom prst="rect">
                            <a:avLst/>
                          </a:prstGeom>
                          <a:solidFill>
                            <a:srgbClr val="FFFFFF"/>
                          </a:solidFill>
                          <a:ln>
                            <a:noFill/>
                          </a:ln>
                        </wps:spPr>
                        <wps:txbx>
                          <w:txbxContent>
                            <w:p w14:paraId="786F66E3" w14:textId="77777777" w:rsidR="0015147A" w:rsidRDefault="0015147A" w:rsidP="0015147A">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5" name="Line 11"/>
                        <wps:cNvCnPr>
                          <a:cxnSpLocks noChangeShapeType="1"/>
                        </wps:cNvCnPr>
                        <wps:spPr bwMode="auto">
                          <a:xfrm>
                            <a:off x="4651" y="10270"/>
                            <a:ext cx="1080" cy="0"/>
                          </a:xfrm>
                          <a:prstGeom prst="line">
                            <a:avLst/>
                          </a:prstGeom>
                          <a:noFill/>
                          <a:ln w="9525">
                            <a:solidFill>
                              <a:srgbClr val="000000"/>
                            </a:solidFill>
                            <a:round/>
                            <a:headEnd/>
                            <a:tailEnd/>
                          </a:ln>
                        </wps:spPr>
                        <wps:bodyPr/>
                      </wps:wsp>
                      <wps:wsp>
                        <wps:cNvPr id="16" name="Line 12"/>
                        <wps:cNvCnPr>
                          <a:cxnSpLocks noChangeShapeType="1"/>
                        </wps:cNvCnPr>
                        <wps:spPr bwMode="auto">
                          <a:xfrm>
                            <a:off x="4651" y="10630"/>
                            <a:ext cx="1080" cy="0"/>
                          </a:xfrm>
                          <a:prstGeom prst="line">
                            <a:avLst/>
                          </a:prstGeom>
                          <a:noFill/>
                          <a:ln w="9525">
                            <a:solidFill>
                              <a:srgbClr val="000000"/>
                            </a:solidFill>
                            <a:round/>
                            <a:headEnd/>
                            <a:tailEnd/>
                          </a:ln>
                        </wps:spPr>
                        <wps:bodyPr/>
                      </wps:wsp>
                      <wps:wsp>
                        <wps:cNvPr id="17" name="Line 13"/>
                        <wps:cNvCnPr>
                          <a:cxnSpLocks noChangeShapeType="1"/>
                        </wps:cNvCnPr>
                        <wps:spPr bwMode="auto">
                          <a:xfrm flipV="1">
                            <a:off x="5551" y="10630"/>
                            <a:ext cx="0" cy="360"/>
                          </a:xfrm>
                          <a:prstGeom prst="line">
                            <a:avLst/>
                          </a:prstGeom>
                          <a:noFill/>
                          <a:ln w="9525">
                            <a:solidFill>
                              <a:srgbClr val="000000"/>
                            </a:solidFill>
                            <a:round/>
                            <a:headEnd/>
                            <a:tailEnd type="arrow" w="med" len="med"/>
                          </a:ln>
                        </wps:spPr>
                        <wps:bodyPr/>
                      </wps:wsp>
                      <wps:wsp>
                        <wps:cNvPr id="18" name="Line 14"/>
                        <wps:cNvCnPr>
                          <a:cxnSpLocks noChangeShapeType="1"/>
                        </wps:cNvCnPr>
                        <wps:spPr bwMode="auto">
                          <a:xfrm>
                            <a:off x="5551" y="9910"/>
                            <a:ext cx="0" cy="360"/>
                          </a:xfrm>
                          <a:prstGeom prst="line">
                            <a:avLst/>
                          </a:prstGeom>
                          <a:noFill/>
                          <a:ln w="9525">
                            <a:solidFill>
                              <a:srgbClr val="000000"/>
                            </a:solidFill>
                            <a:round/>
                            <a:headEnd/>
                            <a:tailEnd type="arrow" w="med" len="med"/>
                          </a:ln>
                        </wps:spPr>
                        <wps:bodyPr/>
                      </wps:wsp>
                      <wps:wsp>
                        <wps:cNvPr id="19" name="Line 15"/>
                        <wps:cNvCnPr>
                          <a:cxnSpLocks noChangeShapeType="1"/>
                        </wps:cNvCnPr>
                        <wps:spPr bwMode="auto">
                          <a:xfrm>
                            <a:off x="5551" y="10270"/>
                            <a:ext cx="0" cy="360"/>
                          </a:xfrm>
                          <a:prstGeom prst="line">
                            <a:avLst/>
                          </a:prstGeom>
                          <a:noFill/>
                          <a:ln w="9525">
                            <a:solidFill>
                              <a:srgbClr val="000000"/>
                            </a:solidFill>
                            <a:round/>
                            <a:headEnd/>
                            <a:tailEnd/>
                          </a:ln>
                        </wps:spPr>
                        <wps:bodyPr/>
                      </wps:wsp>
                      <wps:wsp>
                        <wps:cNvPr id="20" name="Text Box 16"/>
                        <wps:cNvSpPr txBox="1">
                          <a:spLocks noChangeArrowheads="1"/>
                        </wps:cNvSpPr>
                        <wps:spPr bwMode="auto">
                          <a:xfrm>
                            <a:off x="5734" y="10202"/>
                            <a:ext cx="390" cy="535"/>
                          </a:xfrm>
                          <a:prstGeom prst="rect">
                            <a:avLst/>
                          </a:prstGeom>
                          <a:solidFill>
                            <a:srgbClr val="FFFFFF"/>
                          </a:solidFill>
                          <a:ln>
                            <a:noFill/>
                          </a:ln>
                        </wps:spPr>
                        <wps:txbx>
                          <w:txbxContent>
                            <w:p w14:paraId="5EFF4BA0" w14:textId="77777777" w:rsidR="0015147A" w:rsidRDefault="0015147A" w:rsidP="0015147A">
                              <w:pPr>
                                <w:rPr>
                                  <w:rFonts w:ascii="Arial" w:hAnsi="Arial" w:cs="Arial"/>
                                  <w:u w:val="single"/>
                                </w:rPr>
                              </w:pPr>
                              <w:r>
                                <w:rPr>
                                  <w:rFonts w:ascii="Arial" w:hAnsi="Arial" w:cs="Arial"/>
                                  <w:u w:val="single"/>
                                </w:rPr>
                                <w:t>a</w:t>
                              </w:r>
                            </w:p>
                            <w:p w14:paraId="03052879" w14:textId="77777777" w:rsidR="0015147A" w:rsidRDefault="0015147A" w:rsidP="0015147A">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1" name="Text Box 17"/>
                        <wps:cNvSpPr txBox="1">
                          <a:spLocks noChangeArrowheads="1"/>
                        </wps:cNvSpPr>
                        <wps:spPr bwMode="auto">
                          <a:xfrm>
                            <a:off x="6234" y="10090"/>
                            <a:ext cx="4414" cy="791"/>
                          </a:xfrm>
                          <a:prstGeom prst="rect">
                            <a:avLst/>
                          </a:prstGeom>
                          <a:solidFill>
                            <a:srgbClr val="FFFFFF"/>
                          </a:solidFill>
                          <a:ln>
                            <a:noFill/>
                          </a:ln>
                        </wps:spPr>
                        <wps:txbx>
                          <w:txbxContent>
                            <w:p w14:paraId="0E0A826F" w14:textId="77777777" w:rsidR="0015147A" w:rsidRDefault="0015147A" w:rsidP="0015147A">
                              <w:pPr>
                                <w:pStyle w:val="Heading5"/>
                                <w:rPr>
                                  <w:rFonts w:ascii="Arial" w:hAnsi="Arial" w:cs="Arial"/>
                                  <w:sz w:val="52"/>
                                </w:rPr>
                              </w:pPr>
                              <w:r>
                                <w:rPr>
                                  <w:rFonts w:ascii="Arial" w:hAnsi="Arial" w:cs="Arial"/>
                                  <w:sz w:val="52"/>
                                </w:rPr>
                                <w:t>95R – 0</w:t>
                              </w:r>
                              <w:r w:rsidRPr="00E862D4">
                                <w:rPr>
                                  <w:rFonts w:ascii="Arial" w:hAnsi="Arial" w:cs="Arial"/>
                                  <w:b/>
                                  <w:bCs/>
                                  <w:sz w:val="52"/>
                                </w:rPr>
                                <w:t>6</w:t>
                              </w:r>
                              <w:r>
                                <w:rPr>
                                  <w:rFonts w:ascii="Arial" w:hAnsi="Arial" w:cs="Arial"/>
                                  <w:sz w:val="52"/>
                                </w:rPr>
                                <w:t>1424</w:t>
                              </w:r>
                            </w:p>
                          </w:txbxContent>
                        </wps:txbx>
                        <wps:bodyPr rot="0" vert="horz" wrap="square" lIns="0" tIns="0" rIns="0" bIns="0" anchor="t" anchorCtr="0" upright="1">
                          <a:noAutofit/>
                        </wps:bodyPr>
                      </wps:wsp>
                      <wps:wsp>
                        <wps:cNvPr id="22" name="Text Box 18"/>
                        <wps:cNvSpPr txBox="1">
                          <a:spLocks noChangeArrowheads="1"/>
                        </wps:cNvSpPr>
                        <wps:spPr bwMode="auto">
                          <a:xfrm>
                            <a:off x="10231" y="10202"/>
                            <a:ext cx="417" cy="535"/>
                          </a:xfrm>
                          <a:prstGeom prst="rect">
                            <a:avLst/>
                          </a:prstGeom>
                          <a:solidFill>
                            <a:srgbClr val="FFFFFF"/>
                          </a:solidFill>
                          <a:ln>
                            <a:noFill/>
                          </a:ln>
                        </wps:spPr>
                        <wps:txbx>
                          <w:txbxContent>
                            <w:p w14:paraId="1640F66C" w14:textId="77777777" w:rsidR="0015147A" w:rsidRDefault="0015147A" w:rsidP="0015147A">
                              <w:pPr>
                                <w:rPr>
                                  <w:rFonts w:ascii="Arial" w:hAnsi="Arial" w:cs="Arial"/>
                                  <w:u w:val="single"/>
                                </w:rPr>
                              </w:pPr>
                              <w:r>
                                <w:rPr>
                                  <w:rFonts w:ascii="Arial" w:hAnsi="Arial" w:cs="Arial"/>
                                  <w:u w:val="single"/>
                                </w:rPr>
                                <w:t>a</w:t>
                              </w:r>
                            </w:p>
                            <w:p w14:paraId="553A5025" w14:textId="77777777" w:rsidR="0015147A" w:rsidRDefault="0015147A" w:rsidP="0015147A">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3" name="Line 19"/>
                        <wps:cNvCnPr>
                          <a:cxnSpLocks noChangeShapeType="1"/>
                        </wps:cNvCnPr>
                        <wps:spPr bwMode="auto">
                          <a:xfrm>
                            <a:off x="10051" y="9910"/>
                            <a:ext cx="0" cy="360"/>
                          </a:xfrm>
                          <a:prstGeom prst="line">
                            <a:avLst/>
                          </a:prstGeom>
                          <a:noFill/>
                          <a:ln w="9525">
                            <a:solidFill>
                              <a:srgbClr val="000000"/>
                            </a:solidFill>
                            <a:round/>
                            <a:headEnd/>
                            <a:tailEnd type="arrow" w="med" len="med"/>
                          </a:ln>
                        </wps:spPr>
                        <wps:bodyPr/>
                      </wps:wsp>
                      <wps:wsp>
                        <wps:cNvPr id="24" name="Line 20"/>
                        <wps:cNvCnPr>
                          <a:cxnSpLocks noChangeShapeType="1"/>
                        </wps:cNvCnPr>
                        <wps:spPr bwMode="auto">
                          <a:xfrm>
                            <a:off x="10051" y="10270"/>
                            <a:ext cx="0" cy="360"/>
                          </a:xfrm>
                          <a:prstGeom prst="line">
                            <a:avLst/>
                          </a:prstGeom>
                          <a:noFill/>
                          <a:ln w="9525">
                            <a:solidFill>
                              <a:srgbClr val="000000"/>
                            </a:solidFill>
                            <a:round/>
                            <a:headEnd/>
                            <a:tailEnd/>
                          </a:ln>
                        </wps:spPr>
                        <wps:bodyPr/>
                      </wps:wsp>
                      <wps:wsp>
                        <wps:cNvPr id="25" name="Line 21"/>
                        <wps:cNvCnPr>
                          <a:cxnSpLocks noChangeShapeType="1"/>
                        </wps:cNvCnPr>
                        <wps:spPr bwMode="auto">
                          <a:xfrm flipV="1">
                            <a:off x="10051" y="10630"/>
                            <a:ext cx="0" cy="360"/>
                          </a:xfrm>
                          <a:prstGeom prst="line">
                            <a:avLst/>
                          </a:prstGeom>
                          <a:noFill/>
                          <a:ln w="9525">
                            <a:solidFill>
                              <a:srgbClr val="000000"/>
                            </a:solidFill>
                            <a:round/>
                            <a:headEnd/>
                            <a:tailEnd type="arrow" w="med" len="med"/>
                          </a:ln>
                        </wps:spPr>
                        <wps:bodyPr/>
                      </wps:wsp>
                      <wps:wsp>
                        <wps:cNvPr id="26" name="Line 22"/>
                        <wps:cNvCnPr>
                          <a:cxnSpLocks noChangeShapeType="1"/>
                        </wps:cNvCnPr>
                        <wps:spPr bwMode="auto">
                          <a:xfrm>
                            <a:off x="9691" y="10270"/>
                            <a:ext cx="540" cy="0"/>
                          </a:xfrm>
                          <a:prstGeom prst="line">
                            <a:avLst/>
                          </a:prstGeom>
                          <a:noFill/>
                          <a:ln w="9525">
                            <a:solidFill>
                              <a:srgbClr val="000000"/>
                            </a:solidFill>
                            <a:round/>
                            <a:headEnd/>
                            <a:tailEnd/>
                          </a:ln>
                        </wps:spPr>
                        <wps:bodyPr/>
                      </wps:wsp>
                      <wps:wsp>
                        <wps:cNvPr id="27" name="Line 23"/>
                        <wps:cNvCnPr>
                          <a:cxnSpLocks noChangeShapeType="1"/>
                        </wps:cNvCnPr>
                        <wps:spPr bwMode="auto">
                          <a:xfrm>
                            <a:off x="9691" y="10630"/>
                            <a:ext cx="540" cy="0"/>
                          </a:xfrm>
                          <a:prstGeom prst="line">
                            <a:avLst/>
                          </a:prstGeom>
                          <a:noFill/>
                          <a:ln w="9525">
                            <a:solidFill>
                              <a:srgbClr val="000000"/>
                            </a:solidFill>
                            <a:round/>
                            <a:headEnd/>
                            <a:tailEnd/>
                          </a:ln>
                        </wps:spPr>
                        <wps:bodyPr/>
                      </wps:wsp>
                      <wps:wsp>
                        <wps:cNvPr id="28" name="Text Box 24"/>
                        <wps:cNvSpPr txBox="1">
                          <a:spLocks noChangeArrowheads="1"/>
                        </wps:cNvSpPr>
                        <wps:spPr bwMode="auto">
                          <a:xfrm>
                            <a:off x="2491" y="9934"/>
                            <a:ext cx="540" cy="720"/>
                          </a:xfrm>
                          <a:prstGeom prst="rect">
                            <a:avLst/>
                          </a:prstGeom>
                          <a:solidFill>
                            <a:srgbClr val="FFFFFF"/>
                          </a:solidFill>
                          <a:ln>
                            <a:noFill/>
                          </a:ln>
                        </wps:spPr>
                        <wps:txbx>
                          <w:txbxContent>
                            <w:p w14:paraId="54CAEF3F" w14:textId="77777777" w:rsidR="0015147A" w:rsidRDefault="0015147A" w:rsidP="0015147A">
                              <w:pPr>
                                <w:rPr>
                                  <w:u w:val="single"/>
                                </w:rPr>
                              </w:pPr>
                              <w:r>
                                <w:rPr>
                                  <w:u w:val="single"/>
                                </w:rPr>
                                <w:t>a</w:t>
                              </w:r>
                            </w:p>
                            <w:p w14:paraId="084938EE" w14:textId="77777777" w:rsidR="0015147A" w:rsidRDefault="0015147A" w:rsidP="0015147A">
                              <w:r>
                                <w:t>2</w:t>
                              </w:r>
                            </w:p>
                          </w:txbxContent>
                        </wps:txbx>
                        <wps:bodyPr rot="0" vert="horz" wrap="square" lIns="91440" tIns="45720" rIns="91440" bIns="45720" anchor="t" anchorCtr="0" upright="1">
                          <a:noAutofit/>
                        </wps:bodyPr>
                      </wps:wsp>
                    </wpg:wgp>
                  </a:graphicData>
                </a:graphic>
              </wp:inline>
            </w:drawing>
          </mc:Choice>
          <mc:Fallback>
            <w:pict>
              <v:group w14:anchorId="7001518A" id="Group 6" o:spid="_x0000_s1026" style="width:408.1pt;height:58.4pt;mso-position-horizontal-relative:char;mso-position-vertical-relative:line" coordorigin="1771,9615" coordsize="8877,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">
                <v:oval id="Oval 3" o:spid="_x0000_s1027" style="position:absolute;left:3693;top:9631;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" strokeweight="3pt">
                  <v:textbox inset="0,0,0,0">
                    <w:txbxContent>
                      <w:p w14:paraId="09777537" w14:textId="77777777" w:rsidR="0015147A" w:rsidRDefault="0015147A" w:rsidP="0015147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4"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5"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6"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">
                  <v:stroke startarrow="open" endarrow="open"/>
                </v:line>
                <v:line id="Line 7" o:spid="_x0000_s1031" style="position:absolute;flip:x;visibility:visible;mso-wrap-style:square" from="2263,9615" to="4063,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8" o:spid="_x0000_s1032" style="position:absolute;flip:x;visibility:visible;mso-wrap-style:square" from="2311,10938" to="4111,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9" o:spid="_x0000_s1033" style="position:absolute;visibility:visible;mso-wrap-style:square" from="2268,9678" to="2268,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">
                  <v:stroke startarrow="open" endarrow="open"/>
                </v:line>
                <v:shapetype id="_x0000_t202" coordsize="21600,21600" o:spt="202" path="m,l,21600r21600,l21600,xe">
                  <v:stroke joinstyle="miter"/>
                  <v:path gradientshapeok="t" o:connecttype="rect"/>
                </v:shapetype>
                <v:shape id="Text Box 10"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786F66E3" w14:textId="77777777" w:rsidR="0015147A" w:rsidRDefault="0015147A" w:rsidP="0015147A">
                        <w:pPr>
                          <w:spacing w:before="160"/>
                          <w:ind w:right="-539" w:firstLine="181"/>
                          <w:rPr>
                            <w:rFonts w:ascii="Arial" w:hAnsi="Arial" w:cs="Arial"/>
                          </w:rPr>
                        </w:pPr>
                        <w:r>
                          <w:rPr>
                            <w:rFonts w:ascii="Arial" w:hAnsi="Arial" w:cs="Arial"/>
                          </w:rPr>
                          <w:t>a</w:t>
                        </w:r>
                      </w:p>
                    </w:txbxContent>
                  </v:textbox>
                </v:shape>
                <v:line id="Line 11"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2"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3"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">
                  <v:stroke endarrow="open"/>
                </v:line>
                <v:line id="Line 14"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">
                  <v:stroke endarrow="open"/>
                </v:line>
                <v:line id="Line 15"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16"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5EFF4BA0" w14:textId="77777777" w:rsidR="0015147A" w:rsidRDefault="0015147A" w:rsidP="0015147A">
                        <w:pPr>
                          <w:rPr>
                            <w:rFonts w:ascii="Arial" w:hAnsi="Arial" w:cs="Arial"/>
                            <w:u w:val="single"/>
                          </w:rPr>
                        </w:pPr>
                        <w:r>
                          <w:rPr>
                            <w:rFonts w:ascii="Arial" w:hAnsi="Arial" w:cs="Arial"/>
                            <w:u w:val="single"/>
                          </w:rPr>
                          <w:t>a</w:t>
                        </w:r>
                      </w:p>
                      <w:p w14:paraId="03052879" w14:textId="77777777" w:rsidR="0015147A" w:rsidRDefault="0015147A" w:rsidP="0015147A">
                        <w:pPr>
                          <w:rPr>
                            <w:rFonts w:ascii="Arial" w:hAnsi="Arial" w:cs="Arial"/>
                          </w:rPr>
                        </w:pPr>
                        <w:r>
                          <w:rPr>
                            <w:rFonts w:ascii="Arial" w:hAnsi="Arial" w:cs="Arial"/>
                          </w:rPr>
                          <w:t>3</w:t>
                        </w:r>
                      </w:p>
                    </w:txbxContent>
                  </v:textbox>
                </v:shape>
                <v:shape id="Text Box 17" o:spid="_x0000_s1041" type="#_x0000_t202" style="position:absolute;left:6234;top:10090;width:4414;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0E0A826F" w14:textId="77777777" w:rsidR="0015147A" w:rsidRDefault="0015147A" w:rsidP="0015147A">
                        <w:pPr>
                          <w:pStyle w:val="Heading5"/>
                          <w:rPr>
                            <w:rFonts w:ascii="Arial" w:hAnsi="Arial" w:cs="Arial"/>
                            <w:sz w:val="52"/>
                          </w:rPr>
                        </w:pPr>
                        <w:r>
                          <w:rPr>
                            <w:rFonts w:ascii="Arial" w:hAnsi="Arial" w:cs="Arial"/>
                            <w:sz w:val="52"/>
                          </w:rPr>
                          <w:t>95R – 0</w:t>
                        </w:r>
                        <w:r w:rsidRPr="00E862D4">
                          <w:rPr>
                            <w:rFonts w:ascii="Arial" w:hAnsi="Arial" w:cs="Arial"/>
                            <w:b/>
                            <w:bCs/>
                            <w:sz w:val="52"/>
                          </w:rPr>
                          <w:t>6</w:t>
                        </w:r>
                        <w:r>
                          <w:rPr>
                            <w:rFonts w:ascii="Arial" w:hAnsi="Arial" w:cs="Arial"/>
                            <w:sz w:val="52"/>
                          </w:rPr>
                          <w:t>1424</w:t>
                        </w:r>
                      </w:p>
                    </w:txbxContent>
                  </v:textbox>
                </v:shape>
                <v:shape id="Text Box 18"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1640F66C" w14:textId="77777777" w:rsidR="0015147A" w:rsidRDefault="0015147A" w:rsidP="0015147A">
                        <w:pPr>
                          <w:rPr>
                            <w:rFonts w:ascii="Arial" w:hAnsi="Arial" w:cs="Arial"/>
                            <w:u w:val="single"/>
                          </w:rPr>
                        </w:pPr>
                        <w:r>
                          <w:rPr>
                            <w:rFonts w:ascii="Arial" w:hAnsi="Arial" w:cs="Arial"/>
                            <w:u w:val="single"/>
                          </w:rPr>
                          <w:t>a</w:t>
                        </w:r>
                      </w:p>
                      <w:p w14:paraId="553A5025" w14:textId="77777777" w:rsidR="0015147A" w:rsidRDefault="0015147A" w:rsidP="0015147A">
                        <w:pPr>
                          <w:rPr>
                            <w:rFonts w:ascii="Arial" w:hAnsi="Arial" w:cs="Arial"/>
                          </w:rPr>
                        </w:pPr>
                        <w:r>
                          <w:rPr>
                            <w:rFonts w:ascii="Arial" w:hAnsi="Arial" w:cs="Arial"/>
                          </w:rPr>
                          <w:t>3</w:t>
                        </w:r>
                      </w:p>
                    </w:txbxContent>
                  </v:textbox>
                </v:shape>
                <v:line id="Line 19"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">
                  <v:stroke endarrow="open"/>
                </v:line>
                <v:line id="Line 20"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1"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">
                  <v:stroke endarrow="open"/>
                </v:line>
                <v:line id="Line 22"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3"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Text Box 24"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4CAEF3F" w14:textId="77777777" w:rsidR="0015147A" w:rsidRDefault="0015147A" w:rsidP="0015147A">
                        <w:pPr>
                          <w:rPr>
                            <w:u w:val="single"/>
                          </w:rPr>
                        </w:pPr>
                        <w:r>
                          <w:rPr>
                            <w:u w:val="single"/>
                          </w:rPr>
                          <w:t>a</w:t>
                        </w:r>
                      </w:p>
                      <w:p w14:paraId="084938EE" w14:textId="77777777" w:rsidR="0015147A" w:rsidRDefault="0015147A" w:rsidP="0015147A">
                        <w:r>
                          <w:t>2</w:t>
                        </w:r>
                      </w:p>
                    </w:txbxContent>
                  </v:textbox>
                </v:shape>
                <w10:anchorlock/>
              </v:group>
            </w:pict>
          </mc:Fallback>
        </mc:AlternateContent>
      </w:r>
    </w:p>
    <w:p w14:paraId="46FAAC55" w14:textId="4FDA62FB" w:rsidR="0015147A" w:rsidRDefault="0015147A" w:rsidP="0015147A">
      <w:pPr>
        <w:widowControl w:val="0"/>
        <w:ind w:left="6804"/>
        <w:jc w:val="both"/>
        <w:rPr>
          <w:bCs/>
          <w:lang w:val="fr-FR"/>
        </w:rPr>
      </w:pPr>
      <w:proofErr w:type="gramStart"/>
      <w:r>
        <w:rPr>
          <w:lang w:val="fr-FR"/>
        </w:rPr>
        <w:t>a</w:t>
      </w:r>
      <w:proofErr w:type="gramEnd"/>
      <w:r>
        <w:rPr>
          <w:lang w:val="fr-FR"/>
        </w:rPr>
        <w:t xml:space="preserve"> = 8 mm min.</w:t>
      </w:r>
    </w:p>
    <w:p w14:paraId="19B2065C" w14:textId="77777777" w:rsidR="0015147A" w:rsidRPr="00B84558" w:rsidRDefault="0015147A" w:rsidP="00205F5C">
      <w:pPr>
        <w:pStyle w:val="SingleTxtG"/>
        <w:spacing w:before="240"/>
        <w:ind w:firstLine="567"/>
        <w:rPr>
          <w:lang w:val="fr-FR"/>
        </w:rPr>
      </w:pPr>
      <w:r>
        <w:rPr>
          <w:lang w:val="fr-FR"/>
        </w:rPr>
        <w:t>La marque d’homologation ci-dessus, apposée sur un véhicule, indique que le type de ce véhicule a été homologué au Royaume des Pays-Bas (E 4), en ce qui concerne la protection des occupants en cas de collision latérale, en application du Règlement ONU n</w:t>
      </w:r>
      <w:r>
        <w:rPr>
          <w:vertAlign w:val="superscript"/>
          <w:lang w:val="fr-FR"/>
        </w:rPr>
        <w:t>o</w:t>
      </w:r>
      <w:r>
        <w:rPr>
          <w:lang w:val="fr-FR"/>
        </w:rPr>
        <w:t xml:space="preserve"> 95 sous le numéro d’homologation 0</w:t>
      </w:r>
      <w:r>
        <w:rPr>
          <w:b/>
          <w:bCs/>
          <w:lang w:val="fr-FR"/>
        </w:rPr>
        <w:t>6</w:t>
      </w:r>
      <w:r>
        <w:rPr>
          <w:lang w:val="fr-FR"/>
        </w:rPr>
        <w:t>1424. Le numéro d’homologation indique que l’homologation a été délivrée conformément aux prescriptions du Règlement ONU n</w:t>
      </w:r>
      <w:r>
        <w:rPr>
          <w:vertAlign w:val="superscript"/>
          <w:lang w:val="fr-FR"/>
        </w:rPr>
        <w:t>o</w:t>
      </w:r>
      <w:r>
        <w:rPr>
          <w:lang w:val="fr-FR"/>
        </w:rPr>
        <w:t xml:space="preserve"> 95 tel que modifié par la série 0</w:t>
      </w:r>
      <w:r>
        <w:rPr>
          <w:b/>
          <w:bCs/>
          <w:lang w:val="fr-FR"/>
        </w:rPr>
        <w:t>6</w:t>
      </w:r>
      <w:r>
        <w:rPr>
          <w:lang w:val="fr-FR"/>
        </w:rPr>
        <w:t xml:space="preserve"> d’amendements.</w:t>
      </w:r>
    </w:p>
    <w:p w14:paraId="5DAABADB" w14:textId="77777777" w:rsidR="0015147A" w:rsidRPr="00B84558" w:rsidRDefault="0015147A" w:rsidP="00205F5C">
      <w:pPr>
        <w:pStyle w:val="SingleTxtG"/>
        <w:spacing w:after="0"/>
        <w:ind w:left="2268" w:hanging="1134"/>
        <w:rPr>
          <w:lang w:val="fr-FR"/>
        </w:rPr>
      </w:pPr>
      <w:r>
        <w:rPr>
          <w:lang w:val="fr-FR"/>
        </w:rPr>
        <w:t>Modèle B</w:t>
      </w:r>
    </w:p>
    <w:p w14:paraId="79CF4FAD" w14:textId="77777777" w:rsidR="0015147A" w:rsidRPr="00B84558" w:rsidRDefault="0015147A" w:rsidP="00205F5C">
      <w:pPr>
        <w:pStyle w:val="SingleTxtG"/>
        <w:ind w:left="2268" w:hanging="1134"/>
        <w:rPr>
          <w:lang w:val="fr-FR"/>
        </w:rPr>
      </w:pPr>
      <w:r>
        <w:rPr>
          <w:lang w:val="fr-FR"/>
        </w:rPr>
        <w:t>(</w:t>
      </w:r>
      <w:proofErr w:type="gramStart"/>
      <w:r>
        <w:rPr>
          <w:lang w:val="fr-FR"/>
        </w:rPr>
        <w:t>voir</w:t>
      </w:r>
      <w:proofErr w:type="gramEnd"/>
      <w:r>
        <w:rPr>
          <w:lang w:val="fr-FR"/>
        </w:rPr>
        <w:t xml:space="preserve"> par. 4.6 du présent Règlement)</w:t>
      </w:r>
    </w:p>
    <w:p w14:paraId="64461B80" w14:textId="5290CB09" w:rsidR="00205F5C" w:rsidRDefault="00205F5C" w:rsidP="00205F5C">
      <w:pPr>
        <w:widowControl w:val="0"/>
        <w:tabs>
          <w:tab w:val="left" w:pos="3400"/>
          <w:tab w:val="left" w:pos="7400"/>
        </w:tabs>
        <w:ind w:left="1134"/>
        <w:jc w:val="both"/>
      </w:pPr>
      <w:r w:rsidRPr="00EB5607">
        <w:rPr>
          <w:noProof/>
        </w:rPr>
        <w:drawing>
          <wp:anchor distT="0" distB="0" distL="114300" distR="114300" simplePos="0" relativeHeight="251661312" behindDoc="0" locked="0" layoutInCell="1" allowOverlap="1" wp14:anchorId="16DDA8F5" wp14:editId="668945AE">
            <wp:simplePos x="0" y="0"/>
            <wp:positionH relativeFrom="column">
              <wp:posOffset>5006975</wp:posOffset>
            </wp:positionH>
            <wp:positionV relativeFrom="paragraph">
              <wp:posOffset>142875</wp:posOffset>
            </wp:positionV>
            <wp:extent cx="400050" cy="6445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pic:spPr>
                </pic:pic>
              </a:graphicData>
            </a:graphic>
            <wp14:sizeRelH relativeFrom="page">
              <wp14:pctWidth>0</wp14:pctWidth>
            </wp14:sizeRelH>
            <wp14:sizeRelV relativeFrom="page">
              <wp14:pctHeight>0</wp14:pctHeight>
            </wp14:sizeRelV>
          </wp:anchor>
        </w:drawing>
      </w:r>
      <w:r w:rsidRPr="00EB5607">
        <w:rPr>
          <w:noProof/>
        </w:rPr>
        <mc:AlternateContent>
          <mc:Choice Requires="wps">
            <w:drawing>
              <wp:anchor distT="0" distB="0" distL="114300" distR="114300" simplePos="0" relativeHeight="251660288" behindDoc="0" locked="0" layoutInCell="1" allowOverlap="1" wp14:anchorId="4DD49170" wp14:editId="6BDF3D5A">
                <wp:simplePos x="0" y="0"/>
                <wp:positionH relativeFrom="column">
                  <wp:posOffset>2664790</wp:posOffset>
                </wp:positionH>
                <wp:positionV relativeFrom="paragraph">
                  <wp:posOffset>91440</wp:posOffset>
                </wp:positionV>
                <wp:extent cx="27305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15147A" w14:paraId="394CCC92"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7FCD5C38" w14:textId="77777777" w:rsidR="0015147A" w:rsidRDefault="0015147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95</w:t>
                                  </w:r>
                                </w:p>
                              </w:tc>
                              <w:tc>
                                <w:tcPr>
                                  <w:tcW w:w="1843" w:type="dxa"/>
                                  <w:tcBorders>
                                    <w:top w:val="single" w:sz="4" w:space="0" w:color="auto"/>
                                    <w:left w:val="single" w:sz="4" w:space="0" w:color="auto"/>
                                    <w:bottom w:val="single" w:sz="4" w:space="0" w:color="auto"/>
                                    <w:right w:val="single" w:sz="4" w:space="0" w:color="auto"/>
                                  </w:tcBorders>
                                  <w:hideMark/>
                                </w:tcPr>
                                <w:p w14:paraId="0457D9D7" w14:textId="77777777" w:rsidR="0015147A" w:rsidRDefault="0015147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w:t>
                                  </w:r>
                                  <w:r w:rsidRPr="00A82090">
                                    <w:rPr>
                                      <w:rFonts w:ascii="Arial" w:hAnsi="Arial" w:cs="Arial"/>
                                      <w:b/>
                                      <w:sz w:val="36"/>
                                      <w:szCs w:val="36"/>
                                    </w:rPr>
                                    <w:t>6</w:t>
                                  </w:r>
                                  <w:r>
                                    <w:rPr>
                                      <w:rFonts w:ascii="Arial" w:hAnsi="Arial" w:cs="Arial"/>
                                      <w:b/>
                                      <w:sz w:val="36"/>
                                      <w:szCs w:val="36"/>
                                    </w:rPr>
                                    <w:t xml:space="preserve"> 2492</w:t>
                                  </w:r>
                                </w:p>
                              </w:tc>
                            </w:tr>
                            <w:tr w:rsidR="0015147A" w14:paraId="31A286F4"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5250D11C" w14:textId="77777777" w:rsidR="0015147A" w:rsidRDefault="0015147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24</w:t>
                                  </w:r>
                                </w:p>
                              </w:tc>
                              <w:tc>
                                <w:tcPr>
                                  <w:tcW w:w="1843" w:type="dxa"/>
                                  <w:tcBorders>
                                    <w:top w:val="single" w:sz="4" w:space="0" w:color="auto"/>
                                    <w:left w:val="single" w:sz="4" w:space="0" w:color="auto"/>
                                    <w:bottom w:val="single" w:sz="4" w:space="0" w:color="auto"/>
                                    <w:right w:val="single" w:sz="4" w:space="0" w:color="auto"/>
                                  </w:tcBorders>
                                  <w:hideMark/>
                                </w:tcPr>
                                <w:p w14:paraId="0172F15F" w14:textId="77777777" w:rsidR="0015147A" w:rsidRDefault="0015147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03 1628</w:t>
                                  </w:r>
                                </w:p>
                              </w:tc>
                            </w:tr>
                          </w:tbl>
                          <w:p w14:paraId="43201662" w14:textId="77777777" w:rsidR="0015147A" w:rsidRDefault="0015147A" w:rsidP="001514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49170" id="Text Box 5" o:spid="_x0000_s1049" type="#_x0000_t202" style="position:absolute;left:0;text-align:left;margin-left:209.85pt;margin-top:7.2pt;width:2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15147A" w14:paraId="394CCC92"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7FCD5C38" w14:textId="77777777" w:rsidR="0015147A" w:rsidRDefault="0015147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95</w:t>
                            </w:r>
                          </w:p>
                        </w:tc>
                        <w:tc>
                          <w:tcPr>
                            <w:tcW w:w="1843" w:type="dxa"/>
                            <w:tcBorders>
                              <w:top w:val="single" w:sz="4" w:space="0" w:color="auto"/>
                              <w:left w:val="single" w:sz="4" w:space="0" w:color="auto"/>
                              <w:bottom w:val="single" w:sz="4" w:space="0" w:color="auto"/>
                              <w:right w:val="single" w:sz="4" w:space="0" w:color="auto"/>
                            </w:tcBorders>
                            <w:hideMark/>
                          </w:tcPr>
                          <w:p w14:paraId="0457D9D7" w14:textId="77777777" w:rsidR="0015147A" w:rsidRDefault="0015147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w:t>
                            </w:r>
                            <w:r w:rsidRPr="00A82090">
                              <w:rPr>
                                <w:rFonts w:ascii="Arial" w:hAnsi="Arial" w:cs="Arial"/>
                                <w:b/>
                                <w:sz w:val="36"/>
                                <w:szCs w:val="36"/>
                              </w:rPr>
                              <w:t>6</w:t>
                            </w:r>
                            <w:r>
                              <w:rPr>
                                <w:rFonts w:ascii="Arial" w:hAnsi="Arial" w:cs="Arial"/>
                                <w:b/>
                                <w:sz w:val="36"/>
                                <w:szCs w:val="36"/>
                              </w:rPr>
                              <w:t xml:space="preserve"> 2492</w:t>
                            </w:r>
                          </w:p>
                        </w:tc>
                      </w:tr>
                      <w:tr w:rsidR="0015147A" w14:paraId="31A286F4"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5250D11C" w14:textId="77777777" w:rsidR="0015147A" w:rsidRDefault="0015147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24</w:t>
                            </w:r>
                          </w:p>
                        </w:tc>
                        <w:tc>
                          <w:tcPr>
                            <w:tcW w:w="1843" w:type="dxa"/>
                            <w:tcBorders>
                              <w:top w:val="single" w:sz="4" w:space="0" w:color="auto"/>
                              <w:left w:val="single" w:sz="4" w:space="0" w:color="auto"/>
                              <w:bottom w:val="single" w:sz="4" w:space="0" w:color="auto"/>
                              <w:right w:val="single" w:sz="4" w:space="0" w:color="auto"/>
                            </w:tcBorders>
                            <w:hideMark/>
                          </w:tcPr>
                          <w:p w14:paraId="0172F15F" w14:textId="77777777" w:rsidR="0015147A" w:rsidRDefault="0015147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03 1628</w:t>
                            </w:r>
                          </w:p>
                        </w:tc>
                      </w:tr>
                    </w:tbl>
                    <w:p w14:paraId="43201662" w14:textId="77777777" w:rsidR="0015147A" w:rsidRDefault="0015147A" w:rsidP="0015147A"/>
                  </w:txbxContent>
                </v:textbox>
              </v:shape>
            </w:pict>
          </mc:Fallback>
        </mc:AlternateContent>
      </w:r>
      <w:r w:rsidR="0015147A" w:rsidRPr="00EB5607">
        <w:rPr>
          <w:noProof/>
        </w:rPr>
        <w:drawing>
          <wp:inline distT="0" distB="0" distL="0" distR="0" wp14:anchorId="435E24AA" wp14:editId="0DB171A4">
            <wp:extent cx="1626870" cy="90233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870" cy="902335"/>
                    </a:xfrm>
                    <a:prstGeom prst="rect">
                      <a:avLst/>
                    </a:prstGeom>
                    <a:noFill/>
                    <a:ln>
                      <a:noFill/>
                    </a:ln>
                  </pic:spPr>
                </pic:pic>
              </a:graphicData>
            </a:graphic>
          </wp:inline>
        </w:drawing>
      </w:r>
    </w:p>
    <w:p w14:paraId="27054FCF" w14:textId="6DF17C9A" w:rsidR="0015147A" w:rsidRPr="00B84558" w:rsidRDefault="0015147A" w:rsidP="00205F5C">
      <w:pPr>
        <w:widowControl w:val="0"/>
        <w:ind w:left="6804"/>
        <w:jc w:val="both"/>
        <w:rPr>
          <w:lang w:val="fr-FR"/>
        </w:rPr>
      </w:pPr>
      <w:proofErr w:type="gramStart"/>
      <w:r>
        <w:rPr>
          <w:lang w:val="fr-FR"/>
        </w:rPr>
        <w:t>a</w:t>
      </w:r>
      <w:proofErr w:type="gramEnd"/>
      <w:r>
        <w:rPr>
          <w:lang w:val="fr-FR"/>
        </w:rPr>
        <w:t xml:space="preserve"> = 8 mm min.</w:t>
      </w:r>
    </w:p>
    <w:p w14:paraId="11D392CA" w14:textId="682F9B4F" w:rsidR="0015147A" w:rsidRPr="00205F5C" w:rsidRDefault="0015147A" w:rsidP="00205F5C">
      <w:pPr>
        <w:pStyle w:val="SingleTxtG"/>
        <w:spacing w:before="240"/>
        <w:ind w:firstLine="567"/>
        <w:rPr>
          <w:lang w:val="fr-FR"/>
        </w:rPr>
      </w:pPr>
      <w:r>
        <w:rPr>
          <w:lang w:val="fr-FR"/>
        </w:rPr>
        <w:t>La marque d’homologation ci-dessus, apposée sur un véhicule, indique que le type de ce véhicule a été homologué au Royaume des Pays-Bas (E</w:t>
      </w:r>
      <w:r w:rsidR="00205F5C">
        <w:rPr>
          <w:lang w:val="fr-FR"/>
        </w:rPr>
        <w:t xml:space="preserve"> </w:t>
      </w:r>
      <w:r>
        <w:rPr>
          <w:lang w:val="fr-FR"/>
        </w:rPr>
        <w:t>4) en application des Règlements ONU n</w:t>
      </w:r>
      <w:r>
        <w:rPr>
          <w:vertAlign w:val="superscript"/>
          <w:lang w:val="fr-FR"/>
        </w:rPr>
        <w:t>os</w:t>
      </w:r>
      <w:r>
        <w:rPr>
          <w:lang w:val="fr-FR"/>
        </w:rPr>
        <w:t xml:space="preserve"> 95 et 24</w:t>
      </w:r>
      <w:r>
        <w:rPr>
          <w:rStyle w:val="FootnoteReference"/>
          <w:lang w:val="fr-FR"/>
        </w:rPr>
        <w:footnoteReference w:id="4"/>
      </w:r>
      <w:r>
        <w:rPr>
          <w:lang w:val="fr-FR"/>
        </w:rPr>
        <w:t>. Les deux premiers chiffres des numéros d’homologation signifient qu’aux dates où les homologations respectives ont été délivrées, le Règlement ONU n</w:t>
      </w:r>
      <w:r>
        <w:rPr>
          <w:vertAlign w:val="superscript"/>
          <w:lang w:val="fr-FR"/>
        </w:rPr>
        <w:t>o</w:t>
      </w:r>
      <w:r>
        <w:rPr>
          <w:lang w:val="fr-FR"/>
        </w:rPr>
        <w:t xml:space="preserve"> 95 comprenait la série 0</w:t>
      </w:r>
      <w:r>
        <w:rPr>
          <w:b/>
          <w:bCs/>
          <w:lang w:val="fr-FR"/>
        </w:rPr>
        <w:t>6</w:t>
      </w:r>
      <w:r>
        <w:rPr>
          <w:lang w:val="fr-FR"/>
        </w:rPr>
        <w:t xml:space="preserve"> d’amendements et le Règlement ONU n</w:t>
      </w:r>
      <w:r>
        <w:rPr>
          <w:vertAlign w:val="superscript"/>
          <w:lang w:val="fr-FR"/>
        </w:rPr>
        <w:t>o</w:t>
      </w:r>
      <w:r>
        <w:rPr>
          <w:lang w:val="fr-FR"/>
        </w:rPr>
        <w:t xml:space="preserve"> 24 la série 03 d’amendements. ». </w:t>
      </w:r>
    </w:p>
    <w:p w14:paraId="7CB31A02" w14:textId="0F35F1DB" w:rsidR="0015147A" w:rsidRPr="00B84558" w:rsidRDefault="0015147A" w:rsidP="0015147A">
      <w:pPr>
        <w:pStyle w:val="SingleTxtG"/>
        <w:rPr>
          <w:rFonts w:eastAsia="SimSun"/>
          <w:lang w:val="fr-FR"/>
        </w:rPr>
      </w:pPr>
      <w:r>
        <w:rPr>
          <w:i/>
          <w:iCs/>
          <w:lang w:val="fr-FR"/>
        </w:rPr>
        <w:t>Ajouter la nouvelle annexe 10</w:t>
      </w:r>
      <w:r>
        <w:rPr>
          <w:lang w:val="fr-FR"/>
        </w:rPr>
        <w:t>, libellée comme suit :</w:t>
      </w:r>
    </w:p>
    <w:p w14:paraId="7DF9BBA1" w14:textId="4FB3B3E8" w:rsidR="0015147A" w:rsidRPr="00537090" w:rsidRDefault="0015147A" w:rsidP="00205F5C">
      <w:pPr>
        <w:pStyle w:val="HChG"/>
        <w:rPr>
          <w:b w:val="0"/>
          <w:sz w:val="40"/>
          <w:szCs w:val="28"/>
          <w:lang w:val="fr-FR"/>
        </w:rPr>
      </w:pPr>
      <w:r w:rsidRPr="00205F5C">
        <w:rPr>
          <w:b w:val="0"/>
          <w:bCs/>
          <w:sz w:val="20"/>
          <w:lang w:val="fr-FR"/>
        </w:rPr>
        <w:t>«</w:t>
      </w:r>
      <w:r>
        <w:rPr>
          <w:lang w:val="fr-FR"/>
        </w:rPr>
        <w:t> </w:t>
      </w:r>
      <w:r w:rsidRPr="00537090">
        <w:rPr>
          <w:bCs/>
          <w:szCs w:val="28"/>
          <w:lang w:val="fr-FR"/>
        </w:rPr>
        <w:t>Annexe 10</w:t>
      </w:r>
    </w:p>
    <w:p w14:paraId="70A007E5" w14:textId="77777777" w:rsidR="0015147A" w:rsidRPr="00537090" w:rsidRDefault="0015147A" w:rsidP="00205F5C">
      <w:pPr>
        <w:pStyle w:val="HChG"/>
        <w:rPr>
          <w:sz w:val="40"/>
          <w:lang w:val="fr-FR"/>
        </w:rPr>
      </w:pPr>
      <w:r>
        <w:rPr>
          <w:lang w:val="fr-FR"/>
        </w:rPr>
        <w:tab/>
      </w:r>
      <w:r>
        <w:rPr>
          <w:lang w:val="fr-FR"/>
        </w:rPr>
        <w:tab/>
      </w:r>
      <w:r w:rsidRPr="00537090">
        <w:rPr>
          <w:lang w:val="fr-FR"/>
        </w:rPr>
        <w:t>Modalité des essais visant à évaluer l</w:t>
      </w:r>
      <w:r>
        <w:rPr>
          <w:lang w:val="fr-FR"/>
        </w:rPr>
        <w:t>’</w:t>
      </w:r>
      <w:r w:rsidRPr="00537090">
        <w:rPr>
          <w:lang w:val="fr-FR"/>
        </w:rPr>
        <w:t>intégrité du système d</w:t>
      </w:r>
      <w:r>
        <w:rPr>
          <w:lang w:val="fr-FR"/>
        </w:rPr>
        <w:t>’</w:t>
      </w:r>
      <w:r w:rsidRPr="00537090">
        <w:rPr>
          <w:lang w:val="fr-FR"/>
        </w:rPr>
        <w:t>alimentation en hydrogène en cas de choc</w:t>
      </w:r>
    </w:p>
    <w:p w14:paraId="465BD87F" w14:textId="77777777" w:rsidR="0015147A" w:rsidRPr="00B84558" w:rsidRDefault="0015147A" w:rsidP="0015147A">
      <w:pPr>
        <w:pStyle w:val="HChG"/>
        <w:ind w:left="2268"/>
        <w:rPr>
          <w:lang w:val="fr-FR"/>
        </w:rPr>
      </w:pPr>
      <w:r>
        <w:rPr>
          <w:bCs/>
          <w:lang w:val="fr-FR"/>
        </w:rPr>
        <w:t>1.</w:t>
      </w:r>
      <w:r>
        <w:rPr>
          <w:lang w:val="fr-FR"/>
        </w:rPr>
        <w:tab/>
      </w:r>
      <w:r>
        <w:rPr>
          <w:lang w:val="fr-FR"/>
        </w:rPr>
        <w:tab/>
      </w:r>
      <w:r>
        <w:rPr>
          <w:bCs/>
          <w:lang w:val="fr-FR"/>
        </w:rPr>
        <w:t>Objet</w:t>
      </w:r>
    </w:p>
    <w:p w14:paraId="4C8D672A" w14:textId="77777777" w:rsidR="0015147A" w:rsidRPr="00205F5C" w:rsidRDefault="0015147A" w:rsidP="00205F5C">
      <w:pPr>
        <w:pStyle w:val="SingleTxtG"/>
        <w:ind w:left="2268"/>
        <w:rPr>
          <w:rFonts w:eastAsia="Calibri"/>
          <w:b/>
          <w:bCs/>
          <w:lang w:val="fr-FR"/>
        </w:rPr>
      </w:pPr>
      <w:r w:rsidRPr="00205F5C">
        <w:rPr>
          <w:b/>
          <w:bCs/>
          <w:lang w:val="fr-FR"/>
        </w:rPr>
        <w:t>Détermination de la conformité avec les prescriptions du paragraphe 5.3.7 du présent Règlement.</w:t>
      </w:r>
    </w:p>
    <w:p w14:paraId="67BB86BB" w14:textId="77777777" w:rsidR="0015147A" w:rsidRPr="00B84558" w:rsidRDefault="0015147A" w:rsidP="0015147A">
      <w:pPr>
        <w:pStyle w:val="HChG"/>
        <w:ind w:left="2268"/>
        <w:rPr>
          <w:lang w:val="fr-FR"/>
        </w:rPr>
      </w:pPr>
      <w:r>
        <w:rPr>
          <w:bCs/>
          <w:lang w:val="fr-FR"/>
        </w:rPr>
        <w:lastRenderedPageBreak/>
        <w:t>2.</w:t>
      </w:r>
      <w:r>
        <w:rPr>
          <w:lang w:val="fr-FR"/>
        </w:rPr>
        <w:tab/>
      </w:r>
      <w:r>
        <w:rPr>
          <w:lang w:val="fr-FR"/>
        </w:rPr>
        <w:tab/>
      </w:r>
      <w:r>
        <w:rPr>
          <w:bCs/>
          <w:lang w:val="fr-FR"/>
        </w:rPr>
        <w:t>Définitions</w:t>
      </w:r>
    </w:p>
    <w:p w14:paraId="202C90EC" w14:textId="59CE1F66" w:rsidR="0015147A" w:rsidRPr="00B84558" w:rsidRDefault="0015147A" w:rsidP="00205F5C">
      <w:pPr>
        <w:pStyle w:val="SingleTxtG"/>
        <w:ind w:left="2268"/>
        <w:rPr>
          <w:rFonts w:eastAsia="Calibri"/>
          <w:b/>
          <w:lang w:val="fr-FR"/>
        </w:rPr>
      </w:pPr>
      <w:r>
        <w:rPr>
          <w:b/>
          <w:bCs/>
          <w:lang w:val="fr-FR"/>
        </w:rPr>
        <w:t>Aux fins de la présente annexe, on entend par :</w:t>
      </w:r>
    </w:p>
    <w:p w14:paraId="68C0712B" w14:textId="77777777" w:rsidR="0015147A" w:rsidRPr="00B84558" w:rsidRDefault="0015147A" w:rsidP="00205F5C">
      <w:pPr>
        <w:pStyle w:val="SingleTxtG"/>
        <w:ind w:left="2268" w:hanging="1134"/>
        <w:rPr>
          <w:rFonts w:eastAsiaTheme="minorEastAsia"/>
          <w:b/>
          <w:lang w:val="fr-FR"/>
        </w:rPr>
      </w:pPr>
      <w:r>
        <w:rPr>
          <w:b/>
          <w:bCs/>
          <w:lang w:val="fr-FR"/>
        </w:rPr>
        <w:t>2.1</w:t>
      </w:r>
      <w:r>
        <w:rPr>
          <w:lang w:val="fr-FR"/>
        </w:rPr>
        <w:tab/>
      </w:r>
      <w:r>
        <w:rPr>
          <w:b/>
          <w:bCs/>
          <w:lang w:val="fr-FR"/>
        </w:rPr>
        <w:t>“</w:t>
      </w:r>
      <w:r>
        <w:rPr>
          <w:b/>
          <w:bCs/>
          <w:i/>
          <w:iCs/>
          <w:lang w:val="fr-FR"/>
        </w:rPr>
        <w:t>Espaces fermés</w:t>
      </w:r>
      <w:r>
        <w:rPr>
          <w:b/>
          <w:bCs/>
          <w:lang w:val="fr-FR"/>
        </w:rPr>
        <w:t>”, les volumes se trouvant à l’intérieur du véhicule (ou du contour du véhicule traversant des ouvertures) mais qui sont extérieurs au système hydrogène (système de stockage, système de pile à combustible, moteur à combustion interne et système de gestion du débit).</w:t>
      </w:r>
    </w:p>
    <w:p w14:paraId="39C26ABE" w14:textId="77777777" w:rsidR="0015147A" w:rsidRPr="00B84558" w:rsidRDefault="0015147A" w:rsidP="00205F5C">
      <w:pPr>
        <w:pStyle w:val="SingleTxtG"/>
        <w:ind w:left="2268" w:hanging="1134"/>
        <w:rPr>
          <w:rFonts w:eastAsiaTheme="minorEastAsia"/>
          <w:b/>
          <w:lang w:val="fr-FR"/>
        </w:rPr>
      </w:pPr>
      <w:r>
        <w:rPr>
          <w:b/>
          <w:bCs/>
          <w:lang w:val="fr-FR"/>
        </w:rPr>
        <w:t>2.2</w:t>
      </w:r>
      <w:r>
        <w:rPr>
          <w:lang w:val="fr-FR"/>
        </w:rPr>
        <w:tab/>
      </w:r>
      <w:r>
        <w:rPr>
          <w:b/>
          <w:bCs/>
          <w:lang w:val="fr-FR"/>
        </w:rPr>
        <w:t>“</w:t>
      </w:r>
      <w:r>
        <w:rPr>
          <w:b/>
          <w:bCs/>
          <w:i/>
          <w:iCs/>
          <w:lang w:val="fr-FR"/>
        </w:rPr>
        <w:t>Compartiment à bagages</w:t>
      </w:r>
      <w:r>
        <w:rPr>
          <w:b/>
          <w:bCs/>
          <w:lang w:val="fr-FR"/>
        </w:rPr>
        <w:t>”, l’espace réservé dans le véhicule aux bagages ou aux marchandises, délimité par le toit, le capot, le plancher et les parois latérales, et séparé de l’habitacle par la cloison avant ou la cloison arrière.</w:t>
      </w:r>
    </w:p>
    <w:p w14:paraId="7285D8FB" w14:textId="71975A96" w:rsidR="0015147A" w:rsidRPr="00B84558" w:rsidRDefault="0015147A" w:rsidP="00205F5C">
      <w:pPr>
        <w:pStyle w:val="SingleTxtG"/>
        <w:ind w:left="2268" w:hanging="1134"/>
        <w:rPr>
          <w:rFonts w:eastAsiaTheme="minorEastAsia"/>
          <w:b/>
          <w:lang w:val="fr-FR"/>
        </w:rPr>
      </w:pPr>
      <w:r>
        <w:rPr>
          <w:b/>
          <w:bCs/>
          <w:lang w:val="fr-FR"/>
        </w:rPr>
        <w:t>2.3</w:t>
      </w:r>
      <w:r>
        <w:rPr>
          <w:lang w:val="fr-FR"/>
        </w:rPr>
        <w:tab/>
      </w:r>
      <w:r>
        <w:rPr>
          <w:b/>
          <w:bCs/>
          <w:lang w:val="fr-FR"/>
        </w:rPr>
        <w:t>“</w:t>
      </w:r>
      <w:r>
        <w:rPr>
          <w:b/>
          <w:bCs/>
          <w:i/>
          <w:iCs/>
          <w:lang w:val="fr-FR"/>
        </w:rPr>
        <w:t>Pression de service nominale (PSN)</w:t>
      </w:r>
      <w:r>
        <w:rPr>
          <w:b/>
          <w:bCs/>
          <w:lang w:val="fr-FR"/>
        </w:rPr>
        <w:t>ˮ, la pression manométrique qui caractérise les conditions d’utilisation habituelles d’un système.</w:t>
      </w:r>
      <w:r>
        <w:rPr>
          <w:lang w:val="fr-FR"/>
        </w:rPr>
        <w:t xml:space="preserve"> </w:t>
      </w:r>
      <w:r>
        <w:rPr>
          <w:b/>
          <w:bCs/>
          <w:lang w:val="fr-FR"/>
        </w:rPr>
        <w:t>Dans le cas de réservoirs à hydrogène gazeux comprimé, la PSN est la pression stabilisée du gaz comprimé dans un réservoir ou un système de stockage complètement rempli, à une température uniforme de 15 °C.</w:t>
      </w:r>
    </w:p>
    <w:p w14:paraId="13E20CD9" w14:textId="7C73B13E" w:rsidR="0015147A" w:rsidRPr="00B84558" w:rsidRDefault="0015147A" w:rsidP="00205F5C">
      <w:pPr>
        <w:pStyle w:val="SingleTxtG"/>
        <w:ind w:left="2268" w:hanging="1134"/>
        <w:rPr>
          <w:rFonts w:eastAsiaTheme="minorEastAsia"/>
          <w:b/>
          <w:lang w:val="fr-FR"/>
        </w:rPr>
      </w:pPr>
      <w:r>
        <w:rPr>
          <w:b/>
          <w:bCs/>
          <w:lang w:val="fr-FR"/>
        </w:rPr>
        <w:t>2.4</w:t>
      </w:r>
      <w:r>
        <w:rPr>
          <w:lang w:val="fr-FR"/>
        </w:rPr>
        <w:tab/>
      </w:r>
      <w:r>
        <w:rPr>
          <w:b/>
          <w:bCs/>
          <w:lang w:val="fr-FR"/>
        </w:rPr>
        <w:t>“Habitacle”, l’espace réservé aux occupants, délimité par le toit, le plancher, les parois latérales, les portes, les vitres extérieures, la cloison</w:t>
      </w:r>
      <w:r w:rsidR="00C24808">
        <w:rPr>
          <w:b/>
          <w:bCs/>
          <w:lang w:val="fr-FR"/>
        </w:rPr>
        <w:noBreakHyphen/>
      </w:r>
      <w:r>
        <w:rPr>
          <w:b/>
          <w:bCs/>
          <w:lang w:val="fr-FR"/>
        </w:rPr>
        <w:t>moteur et le plan de la cloison du compartiment arrière ou celui du support du dossier du siège arrière, ainsi que par les barrières et les carters servant à protéger les occupants de tout contact direct avec les éléments à haute tension.</w:t>
      </w:r>
    </w:p>
    <w:p w14:paraId="62139774" w14:textId="7D63A0A4" w:rsidR="0015147A" w:rsidRPr="00B84558" w:rsidRDefault="0015147A" w:rsidP="0015147A">
      <w:pPr>
        <w:pStyle w:val="HChG"/>
        <w:ind w:left="2268"/>
        <w:rPr>
          <w:lang w:val="fr-FR"/>
        </w:rPr>
      </w:pPr>
      <w:r>
        <w:rPr>
          <w:bCs/>
          <w:lang w:val="fr-FR"/>
        </w:rPr>
        <w:t>3.</w:t>
      </w:r>
      <w:r>
        <w:rPr>
          <w:lang w:val="fr-FR"/>
        </w:rPr>
        <w:tab/>
      </w:r>
      <w:r>
        <w:rPr>
          <w:lang w:val="fr-FR"/>
        </w:rPr>
        <w:tab/>
      </w:r>
      <w:r>
        <w:rPr>
          <w:bCs/>
          <w:lang w:val="fr-FR"/>
        </w:rPr>
        <w:t xml:space="preserve">Préparation, mise en place des instruments </w:t>
      </w:r>
      <w:r w:rsidR="00C24808">
        <w:rPr>
          <w:bCs/>
          <w:lang w:val="fr-FR"/>
        </w:rPr>
        <w:br/>
      </w:r>
      <w:r>
        <w:rPr>
          <w:bCs/>
          <w:lang w:val="fr-FR"/>
        </w:rPr>
        <w:t>de mesure et conditions d’essai</w:t>
      </w:r>
    </w:p>
    <w:p w14:paraId="24A626F1" w14:textId="77777777" w:rsidR="0015147A" w:rsidRPr="00B84558" w:rsidRDefault="0015147A" w:rsidP="00205F5C">
      <w:pPr>
        <w:pStyle w:val="SingleTxtG"/>
        <w:ind w:left="2268" w:hanging="1134"/>
        <w:rPr>
          <w:rFonts w:eastAsiaTheme="minorEastAsia"/>
          <w:b/>
          <w:lang w:val="fr-FR"/>
        </w:rPr>
      </w:pPr>
      <w:r>
        <w:rPr>
          <w:b/>
          <w:bCs/>
          <w:lang w:val="fr-FR"/>
        </w:rPr>
        <w:t>3.1</w:t>
      </w:r>
      <w:r>
        <w:rPr>
          <w:lang w:val="fr-FR"/>
        </w:rPr>
        <w:tab/>
      </w:r>
      <w:r>
        <w:rPr>
          <w:b/>
          <w:bCs/>
          <w:lang w:val="fr-FR"/>
        </w:rPr>
        <w:t>Systèmes de stockage d’hydrogène comprimé et tuyauteries aval</w:t>
      </w:r>
    </w:p>
    <w:p w14:paraId="1530B150" w14:textId="77777777" w:rsidR="0015147A" w:rsidRPr="00B84558" w:rsidRDefault="0015147A" w:rsidP="00205F5C">
      <w:pPr>
        <w:pStyle w:val="SingleTxtG"/>
        <w:ind w:left="2268" w:hanging="1134"/>
        <w:rPr>
          <w:rFonts w:eastAsiaTheme="minorEastAsia"/>
          <w:b/>
          <w:lang w:val="fr-FR"/>
        </w:rPr>
      </w:pPr>
      <w:r>
        <w:rPr>
          <w:b/>
          <w:bCs/>
          <w:lang w:val="fr-FR"/>
        </w:rPr>
        <w:t>3.1.1</w:t>
      </w:r>
      <w:r>
        <w:rPr>
          <w:lang w:val="fr-FR"/>
        </w:rPr>
        <w:tab/>
      </w:r>
      <w:r>
        <w:rPr>
          <w:b/>
          <w:bCs/>
          <w:lang w:val="fr-FR"/>
        </w:rPr>
        <w:t>Avant de subir l’essai de choc, le système de stockage de l’hydrogène est équipé d’instruments de mesure de la pression et de la température, sauf si le véhicule est déjà équipé d’instruments de mesure de la précision requise.</w:t>
      </w:r>
    </w:p>
    <w:p w14:paraId="080F01AA" w14:textId="4BFBD69A" w:rsidR="0015147A" w:rsidRPr="00B84558" w:rsidRDefault="0015147A" w:rsidP="00205F5C">
      <w:pPr>
        <w:pStyle w:val="SingleTxtG"/>
        <w:ind w:left="2268" w:hanging="1134"/>
        <w:rPr>
          <w:rFonts w:eastAsiaTheme="minorEastAsia"/>
          <w:b/>
          <w:lang w:val="fr-FR"/>
        </w:rPr>
      </w:pPr>
      <w:r>
        <w:rPr>
          <w:b/>
          <w:bCs/>
          <w:lang w:val="fr-FR"/>
        </w:rPr>
        <w:t>3.1.2</w:t>
      </w:r>
      <w:r>
        <w:rPr>
          <w:lang w:val="fr-FR"/>
        </w:rPr>
        <w:tab/>
      </w:r>
      <w:r>
        <w:rPr>
          <w:b/>
          <w:bCs/>
          <w:lang w:val="fr-FR"/>
        </w:rPr>
        <w:t>Si nécessaire, le système de stockage de l’hydrogène est ensuite purgé conformément aux instructions du constructeur afin que le réservoir soit débarrassé de ses impuretés avant d’être rempli d’hydrogène ou d’hélium comprimés.</w:t>
      </w:r>
      <w:r>
        <w:rPr>
          <w:lang w:val="fr-FR"/>
        </w:rPr>
        <w:t xml:space="preserve"> </w:t>
      </w:r>
      <w:r>
        <w:rPr>
          <w:b/>
          <w:bCs/>
          <w:lang w:val="fr-FR"/>
        </w:rPr>
        <w:t>Étant donné que la pression dans le système de stockage varie en fonction de la température, la pression que doit atteindre le réservoir une fois rempli dépend de la température ambiante.</w:t>
      </w:r>
      <w:r>
        <w:rPr>
          <w:lang w:val="fr-FR"/>
        </w:rPr>
        <w:t xml:space="preserve"> </w:t>
      </w:r>
      <w:r>
        <w:rPr>
          <w:b/>
          <w:bCs/>
          <w:lang w:val="fr-FR"/>
        </w:rPr>
        <w:t>La pression recherchée est déterminée au moyen de l’équation ci-dessous :</w:t>
      </w:r>
    </w:p>
    <w:p w14:paraId="42BF81B1" w14:textId="29A79423" w:rsidR="0015147A" w:rsidRPr="00B84558" w:rsidRDefault="0015147A" w:rsidP="00C24808">
      <w:pPr>
        <w:pStyle w:val="SingleTxtG"/>
        <w:ind w:left="2268"/>
        <w:rPr>
          <w:rFonts w:eastAsiaTheme="minorEastAsia"/>
          <w:b/>
          <w:lang w:val="fr-FR"/>
        </w:rPr>
      </w:pPr>
      <w:proofErr w:type="spellStart"/>
      <w:r>
        <w:rPr>
          <w:b/>
          <w:bCs/>
          <w:lang w:val="fr-FR"/>
        </w:rPr>
        <w:t>P</w:t>
      </w:r>
      <w:r>
        <w:rPr>
          <w:b/>
          <w:bCs/>
          <w:vertAlign w:val="subscript"/>
          <w:lang w:val="fr-FR"/>
        </w:rPr>
        <w:t>target</w:t>
      </w:r>
      <w:proofErr w:type="spellEnd"/>
      <w:r>
        <w:rPr>
          <w:b/>
          <w:bCs/>
          <w:lang w:val="fr-FR"/>
        </w:rPr>
        <w:t xml:space="preserve"> = PSN × (273 + T</w:t>
      </w:r>
      <w:r>
        <w:rPr>
          <w:b/>
          <w:bCs/>
          <w:vertAlign w:val="subscript"/>
          <w:lang w:val="fr-FR"/>
        </w:rPr>
        <w:t>0</w:t>
      </w:r>
      <w:r>
        <w:rPr>
          <w:b/>
          <w:bCs/>
          <w:lang w:val="fr-FR"/>
        </w:rPr>
        <w:t>)</w:t>
      </w:r>
      <w:r w:rsidR="00873176">
        <w:rPr>
          <w:b/>
          <w:bCs/>
          <w:lang w:val="fr-FR"/>
        </w:rPr>
        <w:t xml:space="preserve"> </w:t>
      </w:r>
      <w:r>
        <w:rPr>
          <w:b/>
          <w:bCs/>
          <w:lang w:val="fr-FR"/>
        </w:rPr>
        <w:t>/</w:t>
      </w:r>
      <w:r w:rsidR="00873176">
        <w:rPr>
          <w:b/>
          <w:bCs/>
          <w:lang w:val="fr-FR"/>
        </w:rPr>
        <w:t xml:space="preserve"> </w:t>
      </w:r>
      <w:r>
        <w:rPr>
          <w:b/>
          <w:bCs/>
          <w:lang w:val="fr-FR"/>
        </w:rPr>
        <w:t>288</w:t>
      </w:r>
    </w:p>
    <w:p w14:paraId="47DF4036" w14:textId="77777777" w:rsidR="0015147A" w:rsidRPr="00B84558" w:rsidRDefault="0015147A" w:rsidP="00C24808">
      <w:pPr>
        <w:pStyle w:val="SingleTxtG"/>
        <w:ind w:left="2268"/>
        <w:rPr>
          <w:rFonts w:eastAsiaTheme="minorEastAsia"/>
          <w:b/>
          <w:lang w:val="fr-FR"/>
        </w:rPr>
      </w:pPr>
      <w:proofErr w:type="gramStart"/>
      <w:r>
        <w:rPr>
          <w:b/>
          <w:bCs/>
          <w:lang w:val="fr-FR"/>
        </w:rPr>
        <w:t>où</w:t>
      </w:r>
      <w:proofErr w:type="gramEnd"/>
      <w:r>
        <w:rPr>
          <w:b/>
          <w:bCs/>
          <w:lang w:val="fr-FR"/>
        </w:rPr>
        <w:t xml:space="preserve"> PSN est la pression de service nominale (MPa), T</w:t>
      </w:r>
      <w:r>
        <w:rPr>
          <w:b/>
          <w:bCs/>
          <w:vertAlign w:val="subscript"/>
          <w:lang w:val="fr-FR"/>
        </w:rPr>
        <w:t>0</w:t>
      </w:r>
      <w:r>
        <w:rPr>
          <w:b/>
          <w:bCs/>
          <w:lang w:val="fr-FR"/>
        </w:rPr>
        <w:t xml:space="preserve"> est la température ambiante à laquelle le système de stockage est censé se stabiliser et </w:t>
      </w:r>
      <w:proofErr w:type="spellStart"/>
      <w:r>
        <w:rPr>
          <w:b/>
          <w:bCs/>
          <w:lang w:val="fr-FR"/>
        </w:rPr>
        <w:t>P</w:t>
      </w:r>
      <w:r>
        <w:rPr>
          <w:b/>
          <w:bCs/>
          <w:vertAlign w:val="subscript"/>
          <w:lang w:val="fr-FR"/>
        </w:rPr>
        <w:t>target</w:t>
      </w:r>
      <w:proofErr w:type="spellEnd"/>
      <w:r>
        <w:rPr>
          <w:b/>
          <w:bCs/>
          <w:lang w:val="fr-FR"/>
        </w:rPr>
        <w:t xml:space="preserve"> est la pression de remplissage recherchée une fois la température stabilisée.</w:t>
      </w:r>
    </w:p>
    <w:p w14:paraId="5AAF3A72" w14:textId="54BEEB8F" w:rsidR="0015147A" w:rsidRPr="00B84558" w:rsidRDefault="0015147A" w:rsidP="00205F5C">
      <w:pPr>
        <w:pStyle w:val="SingleTxtG"/>
        <w:ind w:left="2268" w:hanging="1134"/>
        <w:rPr>
          <w:rFonts w:eastAsiaTheme="minorEastAsia"/>
          <w:b/>
          <w:lang w:val="fr-FR"/>
        </w:rPr>
      </w:pPr>
      <w:r>
        <w:rPr>
          <w:b/>
          <w:bCs/>
          <w:lang w:val="fr-FR"/>
        </w:rPr>
        <w:t>3.1.3</w:t>
      </w:r>
      <w:r>
        <w:rPr>
          <w:lang w:val="fr-FR"/>
        </w:rPr>
        <w:tab/>
      </w:r>
      <w:r>
        <w:rPr>
          <w:b/>
          <w:bCs/>
          <w:lang w:val="fr-FR"/>
        </w:rPr>
        <w:t>Le réservoir est rempli de façon à atteindre au minimum 95 % de la pression recherchée puis laissé au repos afin de se stabiliser avant l’essai de choc.</w:t>
      </w:r>
    </w:p>
    <w:p w14:paraId="0F6217A9" w14:textId="77777777" w:rsidR="0015147A" w:rsidRPr="00B84558" w:rsidRDefault="0015147A" w:rsidP="00205F5C">
      <w:pPr>
        <w:pStyle w:val="SingleTxtG"/>
        <w:ind w:left="2268" w:hanging="1134"/>
        <w:rPr>
          <w:rFonts w:eastAsiaTheme="minorEastAsia"/>
          <w:b/>
          <w:lang w:val="fr-FR"/>
        </w:rPr>
      </w:pPr>
      <w:r>
        <w:rPr>
          <w:b/>
          <w:bCs/>
          <w:lang w:val="fr-FR"/>
        </w:rPr>
        <w:t>3.1.4</w:t>
      </w:r>
      <w:r>
        <w:rPr>
          <w:lang w:val="fr-FR"/>
        </w:rPr>
        <w:tab/>
      </w:r>
      <w:r>
        <w:rPr>
          <w:b/>
          <w:bCs/>
          <w:lang w:val="fr-FR"/>
        </w:rPr>
        <w:t>La vanne d’arrêt principale et les autres vannes d’arrêt de l’hydrogène, qui sont placées dans la tuyauterie aval, sont maintenues ouvertes (conditions normales de conduite) immédiatement avant le choc.</w:t>
      </w:r>
    </w:p>
    <w:p w14:paraId="4132659E" w14:textId="77777777" w:rsidR="0015147A" w:rsidRPr="00B84558" w:rsidRDefault="0015147A" w:rsidP="00205F5C">
      <w:pPr>
        <w:pStyle w:val="SingleTxtG"/>
        <w:ind w:left="2268" w:hanging="1134"/>
        <w:rPr>
          <w:rFonts w:eastAsiaTheme="minorEastAsia"/>
          <w:b/>
          <w:lang w:val="fr-FR"/>
        </w:rPr>
      </w:pPr>
      <w:r>
        <w:rPr>
          <w:b/>
          <w:bCs/>
          <w:lang w:val="fr-FR"/>
        </w:rPr>
        <w:t>3.2</w:t>
      </w:r>
      <w:r>
        <w:rPr>
          <w:lang w:val="fr-FR"/>
        </w:rPr>
        <w:tab/>
      </w:r>
      <w:r>
        <w:rPr>
          <w:b/>
          <w:bCs/>
          <w:lang w:val="fr-FR"/>
        </w:rPr>
        <w:t>Espaces fermés</w:t>
      </w:r>
    </w:p>
    <w:p w14:paraId="45713338" w14:textId="77777777" w:rsidR="0015147A" w:rsidRPr="00B84558" w:rsidRDefault="0015147A" w:rsidP="00205F5C">
      <w:pPr>
        <w:pStyle w:val="SingleTxtG"/>
        <w:ind w:left="2268" w:hanging="1134"/>
        <w:rPr>
          <w:rFonts w:eastAsiaTheme="minorEastAsia"/>
          <w:b/>
          <w:lang w:val="fr-FR"/>
        </w:rPr>
      </w:pPr>
      <w:r>
        <w:rPr>
          <w:b/>
          <w:bCs/>
          <w:lang w:val="fr-FR"/>
        </w:rPr>
        <w:t>3.2.1</w:t>
      </w:r>
      <w:r>
        <w:rPr>
          <w:lang w:val="fr-FR"/>
        </w:rPr>
        <w:tab/>
      </w:r>
      <w:r>
        <w:rPr>
          <w:b/>
          <w:bCs/>
          <w:lang w:val="fr-FR"/>
        </w:rPr>
        <w:t xml:space="preserve">Des capteurs sont sélectionnés pour mesurer soit l’augmentation de la pression de l’hydrogène ou de l’hélium, soit la raréfaction de l’oxygène (en </w:t>
      </w:r>
      <w:r>
        <w:rPr>
          <w:b/>
          <w:bCs/>
          <w:lang w:val="fr-FR"/>
        </w:rPr>
        <w:lastRenderedPageBreak/>
        <w:t>raison du déplacement de l’air causé par une fuite d’hydrogène ou d’hélium).</w:t>
      </w:r>
    </w:p>
    <w:p w14:paraId="22C6B680" w14:textId="42FF7E17" w:rsidR="0015147A" w:rsidRPr="00B84558" w:rsidRDefault="0015147A" w:rsidP="00205F5C">
      <w:pPr>
        <w:pStyle w:val="SingleTxtG"/>
        <w:ind w:left="2268" w:hanging="1134"/>
        <w:rPr>
          <w:rFonts w:eastAsiaTheme="minorEastAsia"/>
          <w:b/>
          <w:lang w:val="fr-FR"/>
        </w:rPr>
      </w:pPr>
      <w:r>
        <w:rPr>
          <w:b/>
          <w:bCs/>
          <w:lang w:val="fr-FR"/>
        </w:rPr>
        <w:t>3.2.2</w:t>
      </w:r>
      <w:r>
        <w:rPr>
          <w:lang w:val="fr-FR"/>
        </w:rPr>
        <w:tab/>
      </w:r>
      <w:r>
        <w:rPr>
          <w:b/>
          <w:bCs/>
          <w:lang w:val="fr-FR"/>
        </w:rPr>
        <w:t xml:space="preserve">Les capteurs sont étalonnés à partir de références connues afin d’assurer une précision de </w:t>
      </w:r>
      <w:r w:rsidR="00C24808">
        <w:rPr>
          <w:b/>
          <w:bCs/>
          <w:lang w:val="fr-FR"/>
        </w:rPr>
        <w:sym w:font="Symbol" w:char="F0B1"/>
      </w:r>
      <w:r>
        <w:rPr>
          <w:b/>
          <w:bCs/>
          <w:lang w:val="fr-FR"/>
        </w:rPr>
        <w:t>5 % pour la concentration visée de 4 % d’hydrogène ou de 3 % d’hélium en volume dans l’air, et une phase de mesure maximale dépassant d’au moins 25 % ces valeurs.</w:t>
      </w:r>
      <w:r>
        <w:rPr>
          <w:lang w:val="fr-FR"/>
        </w:rPr>
        <w:t xml:space="preserve"> </w:t>
      </w:r>
      <w:r>
        <w:rPr>
          <w:b/>
          <w:bCs/>
          <w:lang w:val="fr-FR"/>
        </w:rPr>
        <w:t>Ils doivent être capables de réagir à 90 % à une variation de la concentration de la pleine échelle dans un délai de 10 s.</w:t>
      </w:r>
    </w:p>
    <w:p w14:paraId="3C540718" w14:textId="456FD709" w:rsidR="0015147A" w:rsidRPr="00B84558" w:rsidRDefault="0015147A" w:rsidP="00205F5C">
      <w:pPr>
        <w:pStyle w:val="SingleTxtG"/>
        <w:ind w:left="2268" w:hanging="1134"/>
        <w:rPr>
          <w:rFonts w:eastAsiaTheme="minorEastAsia"/>
          <w:b/>
          <w:lang w:val="fr-FR"/>
        </w:rPr>
      </w:pPr>
      <w:r>
        <w:rPr>
          <w:b/>
          <w:bCs/>
          <w:lang w:val="fr-FR"/>
        </w:rPr>
        <w:t>3.2.3</w:t>
      </w:r>
      <w:r>
        <w:rPr>
          <w:lang w:val="fr-FR"/>
        </w:rPr>
        <w:tab/>
      </w:r>
      <w:r>
        <w:rPr>
          <w:b/>
          <w:bCs/>
          <w:lang w:val="fr-FR"/>
        </w:rPr>
        <w:t>Avant l’essai de choc, les capteurs sont placés dans l’habitacle et le compartiment à bagages du véhicule, comme suit :</w:t>
      </w:r>
    </w:p>
    <w:p w14:paraId="7EA0FF34" w14:textId="23E9E41A" w:rsidR="0015147A" w:rsidRPr="00B84558" w:rsidRDefault="0015147A" w:rsidP="00C24808">
      <w:pPr>
        <w:pStyle w:val="SingleTxtG"/>
        <w:ind w:left="2835" w:hanging="567"/>
        <w:rPr>
          <w:rFonts w:eastAsiaTheme="minorEastAsia"/>
          <w:b/>
          <w:lang w:val="fr-FR"/>
        </w:rPr>
      </w:pPr>
      <w:r>
        <w:rPr>
          <w:b/>
          <w:bCs/>
          <w:lang w:val="fr-FR"/>
        </w:rPr>
        <w:t>a)</w:t>
      </w:r>
      <w:r>
        <w:rPr>
          <w:lang w:val="fr-FR"/>
        </w:rPr>
        <w:tab/>
      </w:r>
      <w:r>
        <w:rPr>
          <w:b/>
          <w:bCs/>
          <w:lang w:val="fr-FR"/>
        </w:rPr>
        <w:t>À 250 mm au maximum du garnissage de pavillon au-dessus du siège du conducteur ou à proximité du centre du sommet de l’habitacle ;</w:t>
      </w:r>
    </w:p>
    <w:p w14:paraId="016B65C8" w14:textId="7A24549D" w:rsidR="0015147A" w:rsidRPr="00B84558" w:rsidRDefault="0015147A" w:rsidP="00C24808">
      <w:pPr>
        <w:pStyle w:val="SingleTxtG"/>
        <w:ind w:left="2835" w:hanging="567"/>
        <w:rPr>
          <w:rFonts w:eastAsiaTheme="minorEastAsia"/>
          <w:b/>
          <w:lang w:val="fr-FR"/>
        </w:rPr>
      </w:pPr>
      <w:r>
        <w:rPr>
          <w:b/>
          <w:bCs/>
          <w:lang w:val="fr-FR"/>
        </w:rPr>
        <w:t>b)</w:t>
      </w:r>
      <w:r>
        <w:rPr>
          <w:lang w:val="fr-FR"/>
        </w:rPr>
        <w:tab/>
      </w:r>
      <w:r>
        <w:rPr>
          <w:b/>
          <w:bCs/>
          <w:lang w:val="fr-FR"/>
        </w:rPr>
        <w:t>À 250 mm au maximum du plancher en avant du siège arrière (ou le plus en arrière) dans l’habitacle ;</w:t>
      </w:r>
      <w:r>
        <w:rPr>
          <w:lang w:val="fr-FR"/>
        </w:rPr>
        <w:t xml:space="preserve"> </w:t>
      </w:r>
    </w:p>
    <w:p w14:paraId="102C4EC0" w14:textId="45B00EC6" w:rsidR="0015147A" w:rsidRPr="00B84558" w:rsidRDefault="0015147A" w:rsidP="00C24808">
      <w:pPr>
        <w:pStyle w:val="SingleTxtG"/>
        <w:ind w:left="2835" w:hanging="567"/>
        <w:rPr>
          <w:rFonts w:eastAsiaTheme="minorEastAsia"/>
          <w:b/>
          <w:lang w:val="fr-FR"/>
        </w:rPr>
      </w:pPr>
      <w:r>
        <w:rPr>
          <w:b/>
          <w:bCs/>
          <w:lang w:val="fr-FR"/>
        </w:rPr>
        <w:t>c)</w:t>
      </w:r>
      <w:r>
        <w:rPr>
          <w:lang w:val="fr-FR"/>
        </w:rPr>
        <w:tab/>
      </w:r>
      <w:r>
        <w:rPr>
          <w:b/>
          <w:bCs/>
          <w:lang w:val="fr-FR"/>
        </w:rPr>
        <w:t>À 100 mm au maximum du sommet du compartiment à bagages dans une partie du véhicule qui n’est pas directement affectée par l’essai de choc.</w:t>
      </w:r>
    </w:p>
    <w:p w14:paraId="0ED5CBDC" w14:textId="77777777" w:rsidR="0015147A" w:rsidRPr="00B84558" w:rsidRDefault="0015147A" w:rsidP="00205F5C">
      <w:pPr>
        <w:pStyle w:val="SingleTxtG"/>
        <w:ind w:left="2268" w:hanging="1134"/>
        <w:rPr>
          <w:rFonts w:eastAsiaTheme="minorEastAsia"/>
          <w:b/>
          <w:lang w:val="fr-FR"/>
        </w:rPr>
      </w:pPr>
      <w:r>
        <w:rPr>
          <w:b/>
          <w:bCs/>
          <w:lang w:val="fr-FR"/>
        </w:rPr>
        <w:t>3.2.4</w:t>
      </w:r>
      <w:r>
        <w:rPr>
          <w:lang w:val="fr-FR"/>
        </w:rPr>
        <w:tab/>
      </w:r>
      <w:r>
        <w:rPr>
          <w:b/>
          <w:bCs/>
          <w:lang w:val="fr-FR"/>
        </w:rPr>
        <w:t>Les capteurs sont solidement fixés à la structure du véhicule ou aux sièges et protégés, en vue de l’essai de choc, des fragments, des gaz émis par les coussins gonflables et des objets projetés.</w:t>
      </w:r>
      <w:r>
        <w:rPr>
          <w:lang w:val="fr-FR"/>
        </w:rPr>
        <w:t xml:space="preserve"> </w:t>
      </w:r>
      <w:r>
        <w:rPr>
          <w:b/>
          <w:bCs/>
          <w:lang w:val="fr-FR"/>
        </w:rPr>
        <w:t>Les mesures sont enregistrées par des instruments placés dans le véhicule ou à distance.</w:t>
      </w:r>
    </w:p>
    <w:p w14:paraId="3AFA6710" w14:textId="6AEEDD20" w:rsidR="0015147A" w:rsidRPr="00B84558" w:rsidRDefault="0015147A" w:rsidP="00205F5C">
      <w:pPr>
        <w:pStyle w:val="SingleTxtG"/>
        <w:ind w:left="2268" w:hanging="1134"/>
        <w:rPr>
          <w:rFonts w:eastAsiaTheme="minorEastAsia"/>
          <w:b/>
          <w:lang w:val="fr-FR"/>
        </w:rPr>
      </w:pPr>
      <w:r>
        <w:rPr>
          <w:b/>
          <w:bCs/>
          <w:lang w:val="fr-FR"/>
        </w:rPr>
        <w:t>3.2.5</w:t>
      </w:r>
      <w:r>
        <w:rPr>
          <w:lang w:val="fr-FR"/>
        </w:rPr>
        <w:tab/>
      </w:r>
      <w:r>
        <w:rPr>
          <w:b/>
          <w:bCs/>
          <w:lang w:val="fr-FR"/>
        </w:rPr>
        <w:t>L’essai de choc peut se dérouler soit à l’extérieur, en un lieu protégé du vent et du soleil, soit à l’intérieur dans un endroit suffisamment grand ou ventilé pour empêcher que l’accumulation d’hydrogène dépasse 10 % des valeurs fixées pour l’habitacle et le compartiment à bagages.</w:t>
      </w:r>
    </w:p>
    <w:p w14:paraId="3350B27C" w14:textId="5E950AA0" w:rsidR="0015147A" w:rsidRPr="00B84558" w:rsidRDefault="0015147A" w:rsidP="0015147A">
      <w:pPr>
        <w:pStyle w:val="HChG"/>
        <w:ind w:left="2268"/>
        <w:rPr>
          <w:bCs/>
          <w:lang w:val="fr-FR"/>
        </w:rPr>
      </w:pPr>
      <w:r>
        <w:rPr>
          <w:bCs/>
          <w:lang w:val="fr-FR"/>
        </w:rPr>
        <w:t>4.</w:t>
      </w:r>
      <w:r>
        <w:rPr>
          <w:lang w:val="fr-FR"/>
        </w:rPr>
        <w:tab/>
      </w:r>
      <w:r>
        <w:rPr>
          <w:bCs/>
          <w:lang w:val="fr-FR"/>
        </w:rPr>
        <w:t xml:space="preserve">Essai d’étanchéité après choc sur un système </w:t>
      </w:r>
      <w:r w:rsidR="00C24808">
        <w:rPr>
          <w:bCs/>
          <w:lang w:val="fr-FR"/>
        </w:rPr>
        <w:br/>
      </w:r>
      <w:r>
        <w:rPr>
          <w:bCs/>
          <w:lang w:val="fr-FR"/>
        </w:rPr>
        <w:t>de stockage d’hydrogène comprimé rempli d’hydrogène comprimé</w:t>
      </w:r>
    </w:p>
    <w:p w14:paraId="39DBFCCA" w14:textId="77777777" w:rsidR="0015147A" w:rsidRPr="00B84558" w:rsidRDefault="0015147A" w:rsidP="00205F5C">
      <w:pPr>
        <w:pStyle w:val="SingleTxtG"/>
        <w:ind w:left="2268" w:hanging="1134"/>
        <w:rPr>
          <w:rFonts w:eastAsiaTheme="minorEastAsia"/>
          <w:b/>
          <w:bCs/>
          <w:lang w:val="fr-FR"/>
        </w:rPr>
      </w:pPr>
      <w:r>
        <w:rPr>
          <w:b/>
          <w:bCs/>
          <w:lang w:val="fr-FR"/>
        </w:rPr>
        <w:t>4.1</w:t>
      </w:r>
      <w:r>
        <w:rPr>
          <w:lang w:val="fr-FR"/>
        </w:rPr>
        <w:tab/>
      </w:r>
      <w:r>
        <w:rPr>
          <w:b/>
          <w:bCs/>
          <w:lang w:val="fr-FR"/>
        </w:rPr>
        <w:t>La pression de l’hydrogène, P</w:t>
      </w:r>
      <w:r>
        <w:rPr>
          <w:b/>
          <w:bCs/>
          <w:vertAlign w:val="subscript"/>
          <w:lang w:val="fr-FR"/>
        </w:rPr>
        <w:t>0</w:t>
      </w:r>
      <w:r>
        <w:rPr>
          <w:b/>
          <w:bCs/>
          <w:lang w:val="fr-FR"/>
        </w:rPr>
        <w:t xml:space="preserve"> (MPa), et la température, T</w:t>
      </w:r>
      <w:r>
        <w:rPr>
          <w:b/>
          <w:bCs/>
          <w:vertAlign w:val="subscript"/>
          <w:lang w:val="fr-FR"/>
        </w:rPr>
        <w:t>0</w:t>
      </w:r>
      <w:r>
        <w:rPr>
          <w:b/>
          <w:bCs/>
          <w:lang w:val="fr-FR"/>
        </w:rPr>
        <w:t xml:space="preserve"> (°C), sont mesurées immédiatement avant le choc puis au terme d’un intervalle de temps, </w:t>
      </w:r>
      <w:proofErr w:type="spellStart"/>
      <w:r>
        <w:rPr>
          <w:b/>
          <w:bCs/>
          <w:lang w:val="fr-FR"/>
        </w:rPr>
        <w:t>Δt</w:t>
      </w:r>
      <w:proofErr w:type="spellEnd"/>
      <w:r>
        <w:rPr>
          <w:b/>
          <w:bCs/>
          <w:lang w:val="fr-FR"/>
        </w:rPr>
        <w:t xml:space="preserve"> (min), après celui-ci.</w:t>
      </w:r>
      <w:r>
        <w:rPr>
          <w:lang w:val="fr-FR"/>
        </w:rPr>
        <w:t xml:space="preserve"> </w:t>
      </w:r>
    </w:p>
    <w:p w14:paraId="477D9EA2" w14:textId="467CBA8F" w:rsidR="0015147A" w:rsidRPr="00B84558" w:rsidRDefault="0015147A" w:rsidP="00205F5C">
      <w:pPr>
        <w:pStyle w:val="SingleTxtG"/>
        <w:ind w:left="2268" w:hanging="1134"/>
        <w:rPr>
          <w:rFonts w:eastAsiaTheme="minorEastAsia"/>
          <w:b/>
          <w:bCs/>
          <w:lang w:val="fr-FR"/>
        </w:rPr>
      </w:pPr>
      <w:r>
        <w:rPr>
          <w:b/>
          <w:bCs/>
          <w:lang w:val="fr-FR"/>
        </w:rPr>
        <w:t>4.1.1</w:t>
      </w:r>
      <w:r>
        <w:rPr>
          <w:lang w:val="fr-FR"/>
        </w:rPr>
        <w:tab/>
      </w:r>
      <w:r>
        <w:rPr>
          <w:b/>
          <w:bCs/>
          <w:lang w:val="fr-FR"/>
        </w:rPr>
        <w:t xml:space="preserve">L’intervalle </w:t>
      </w:r>
      <w:proofErr w:type="spellStart"/>
      <w:r>
        <w:rPr>
          <w:b/>
          <w:bCs/>
          <w:lang w:val="fr-FR"/>
        </w:rPr>
        <w:t>Δt</w:t>
      </w:r>
      <w:proofErr w:type="spellEnd"/>
      <w:r>
        <w:rPr>
          <w:b/>
          <w:bCs/>
          <w:lang w:val="fr-FR"/>
        </w:rPr>
        <w:t xml:space="preserve"> dure au moins 60 min à partir du moment où le véhicule s’est immobilisé après le choc.</w:t>
      </w:r>
      <w:r>
        <w:rPr>
          <w:lang w:val="fr-FR"/>
        </w:rPr>
        <w:t xml:space="preserve"> </w:t>
      </w:r>
    </w:p>
    <w:p w14:paraId="393B911B" w14:textId="7AE7302C" w:rsidR="0015147A" w:rsidRPr="00B84558" w:rsidRDefault="0015147A" w:rsidP="00205F5C">
      <w:pPr>
        <w:pStyle w:val="SingleTxtG"/>
        <w:ind w:left="2268" w:hanging="1134"/>
        <w:rPr>
          <w:rFonts w:eastAsiaTheme="minorEastAsia"/>
          <w:b/>
          <w:bCs/>
          <w:lang w:val="fr-FR"/>
        </w:rPr>
      </w:pPr>
      <w:r>
        <w:rPr>
          <w:b/>
          <w:bCs/>
          <w:lang w:val="fr-FR"/>
        </w:rPr>
        <w:t>4.1.2</w:t>
      </w:r>
      <w:r>
        <w:rPr>
          <w:lang w:val="fr-FR"/>
        </w:rPr>
        <w:tab/>
      </w:r>
      <w:r>
        <w:rPr>
          <w:b/>
          <w:bCs/>
          <w:lang w:val="fr-FR"/>
        </w:rPr>
        <w:t xml:space="preserve">L’intervalle </w:t>
      </w:r>
      <w:proofErr w:type="spellStart"/>
      <w:r>
        <w:rPr>
          <w:b/>
          <w:bCs/>
          <w:lang w:val="fr-FR"/>
        </w:rPr>
        <w:t>Δt</w:t>
      </w:r>
      <w:proofErr w:type="spellEnd"/>
      <w:r>
        <w:rPr>
          <w:b/>
          <w:bCs/>
          <w:lang w:val="fr-FR"/>
        </w:rPr>
        <w:t xml:space="preserve"> peut être prolongé afin de permettre l’obtention de mesures plus précises lorsqu’il s’agit d’un système de stockage de grand volume fonctionnant à une pression pouvant atteindre 70 MPa.</w:t>
      </w:r>
      <w:r>
        <w:rPr>
          <w:lang w:val="fr-FR"/>
        </w:rPr>
        <w:t xml:space="preserve"> </w:t>
      </w:r>
      <w:r>
        <w:rPr>
          <w:b/>
          <w:bCs/>
          <w:lang w:val="fr-FR"/>
        </w:rPr>
        <w:t xml:space="preserve">Dans ce cas, </w:t>
      </w:r>
      <w:proofErr w:type="spellStart"/>
      <w:r>
        <w:rPr>
          <w:b/>
          <w:bCs/>
          <w:lang w:val="fr-FR"/>
        </w:rPr>
        <w:t>Δt</w:t>
      </w:r>
      <w:proofErr w:type="spellEnd"/>
      <w:r>
        <w:rPr>
          <w:b/>
          <w:bCs/>
          <w:lang w:val="fr-FR"/>
        </w:rPr>
        <w:t xml:space="preserve"> peut être calculé à partir de la formule suivante :</w:t>
      </w:r>
    </w:p>
    <w:p w14:paraId="3D3A93FF" w14:textId="78BD2986" w:rsidR="0015147A" w:rsidRPr="00B84558" w:rsidRDefault="0015147A" w:rsidP="00C24808">
      <w:pPr>
        <w:pStyle w:val="SingleTxtG"/>
        <w:ind w:left="2268"/>
        <w:rPr>
          <w:rFonts w:eastAsiaTheme="minorEastAsia"/>
          <w:b/>
          <w:bCs/>
          <w:vertAlign w:val="subscript"/>
          <w:lang w:val="fr-FR"/>
        </w:rPr>
      </w:pPr>
      <w:proofErr w:type="spellStart"/>
      <w:r>
        <w:rPr>
          <w:b/>
          <w:bCs/>
          <w:lang w:val="fr-FR"/>
        </w:rPr>
        <w:t>Δt</w:t>
      </w:r>
      <w:proofErr w:type="spellEnd"/>
      <w:r>
        <w:rPr>
          <w:b/>
          <w:bCs/>
          <w:lang w:val="fr-FR"/>
        </w:rPr>
        <w:t xml:space="preserve"> = V</w:t>
      </w:r>
      <w:r>
        <w:rPr>
          <w:b/>
          <w:bCs/>
          <w:vertAlign w:val="subscript"/>
          <w:lang w:val="fr-FR"/>
        </w:rPr>
        <w:t>CHSS</w:t>
      </w:r>
      <w:r>
        <w:rPr>
          <w:b/>
          <w:bCs/>
          <w:lang w:val="fr-FR"/>
        </w:rPr>
        <w:t xml:space="preserve"> × PSN</w:t>
      </w:r>
      <w:r w:rsidR="00873176">
        <w:rPr>
          <w:b/>
          <w:bCs/>
          <w:lang w:val="fr-FR"/>
        </w:rPr>
        <w:t xml:space="preserve"> </w:t>
      </w:r>
      <w:r>
        <w:rPr>
          <w:b/>
          <w:bCs/>
          <w:lang w:val="fr-FR"/>
        </w:rPr>
        <w:t>/</w:t>
      </w:r>
      <w:r w:rsidR="00873176">
        <w:rPr>
          <w:b/>
          <w:bCs/>
          <w:lang w:val="fr-FR"/>
        </w:rPr>
        <w:t xml:space="preserve"> </w:t>
      </w:r>
      <w:r>
        <w:rPr>
          <w:b/>
          <w:bCs/>
          <w:lang w:val="fr-FR"/>
        </w:rPr>
        <w:t xml:space="preserve">1 000 × ((-0,027 × PSN + 4) × </w:t>
      </w:r>
      <w:proofErr w:type="spellStart"/>
      <w:r>
        <w:rPr>
          <w:b/>
          <w:bCs/>
          <w:lang w:val="fr-FR"/>
        </w:rPr>
        <w:t>R</w:t>
      </w:r>
      <w:r>
        <w:rPr>
          <w:b/>
          <w:bCs/>
          <w:vertAlign w:val="subscript"/>
          <w:lang w:val="fr-FR"/>
        </w:rPr>
        <w:t>s</w:t>
      </w:r>
      <w:proofErr w:type="spellEnd"/>
      <w:r>
        <w:rPr>
          <w:b/>
          <w:bCs/>
          <w:lang w:val="fr-FR"/>
        </w:rPr>
        <w:t xml:space="preserve"> – 0,21) - 1,7 × </w:t>
      </w:r>
      <w:proofErr w:type="spellStart"/>
      <w:r>
        <w:rPr>
          <w:b/>
          <w:bCs/>
          <w:lang w:val="fr-FR"/>
        </w:rPr>
        <w:t>R</w:t>
      </w:r>
      <w:r>
        <w:rPr>
          <w:b/>
          <w:bCs/>
          <w:vertAlign w:val="subscript"/>
          <w:lang w:val="fr-FR"/>
        </w:rPr>
        <w:t>s</w:t>
      </w:r>
      <w:proofErr w:type="spellEnd"/>
      <w:r>
        <w:rPr>
          <w:lang w:val="fr-FR"/>
        </w:rPr>
        <w:t xml:space="preserve"> </w:t>
      </w:r>
    </w:p>
    <w:p w14:paraId="0B4C79A7" w14:textId="674623AE" w:rsidR="0015147A" w:rsidRPr="00B84558" w:rsidRDefault="0015147A" w:rsidP="00C24808">
      <w:pPr>
        <w:pStyle w:val="SingleTxtG"/>
        <w:ind w:left="2268"/>
        <w:rPr>
          <w:rFonts w:eastAsiaTheme="minorEastAsia"/>
          <w:b/>
          <w:bCs/>
          <w:lang w:val="fr-FR"/>
        </w:rPr>
      </w:pPr>
      <w:proofErr w:type="gramStart"/>
      <w:r>
        <w:rPr>
          <w:b/>
          <w:bCs/>
          <w:lang w:val="fr-FR"/>
        </w:rPr>
        <w:t>où</w:t>
      </w:r>
      <w:proofErr w:type="gramEnd"/>
      <w:r>
        <w:rPr>
          <w:b/>
          <w:bCs/>
          <w:lang w:val="fr-FR"/>
        </w:rPr>
        <w:t xml:space="preserve"> </w:t>
      </w:r>
      <w:proofErr w:type="spellStart"/>
      <w:r>
        <w:rPr>
          <w:b/>
          <w:bCs/>
          <w:lang w:val="fr-FR"/>
        </w:rPr>
        <w:t>R</w:t>
      </w:r>
      <w:r>
        <w:rPr>
          <w:b/>
          <w:bCs/>
          <w:vertAlign w:val="subscript"/>
          <w:lang w:val="fr-FR"/>
        </w:rPr>
        <w:t>s</w:t>
      </w:r>
      <w:proofErr w:type="spellEnd"/>
      <w:r>
        <w:rPr>
          <w:b/>
          <w:bCs/>
          <w:lang w:val="fr-FR"/>
        </w:rPr>
        <w:t xml:space="preserve"> = P</w:t>
      </w:r>
      <w:r>
        <w:rPr>
          <w:b/>
          <w:bCs/>
          <w:vertAlign w:val="subscript"/>
          <w:lang w:val="fr-FR"/>
        </w:rPr>
        <w:t>s</w:t>
      </w:r>
      <w:r w:rsidR="00873176">
        <w:rPr>
          <w:b/>
          <w:bCs/>
          <w:vertAlign w:val="subscript"/>
          <w:lang w:val="fr-FR"/>
        </w:rPr>
        <w:t xml:space="preserve"> </w:t>
      </w:r>
      <w:r>
        <w:rPr>
          <w:b/>
          <w:bCs/>
          <w:lang w:val="fr-FR"/>
        </w:rPr>
        <w:t>/</w:t>
      </w:r>
      <w:r w:rsidR="00873176">
        <w:rPr>
          <w:b/>
          <w:bCs/>
          <w:lang w:val="fr-FR"/>
        </w:rPr>
        <w:t xml:space="preserve"> </w:t>
      </w:r>
      <w:r>
        <w:rPr>
          <w:b/>
          <w:bCs/>
          <w:lang w:val="fr-FR"/>
        </w:rPr>
        <w:t>PSN, P</w:t>
      </w:r>
      <w:r>
        <w:rPr>
          <w:b/>
          <w:bCs/>
          <w:vertAlign w:val="subscript"/>
          <w:lang w:val="fr-FR"/>
        </w:rPr>
        <w:t>s</w:t>
      </w:r>
      <w:r>
        <w:rPr>
          <w:b/>
          <w:bCs/>
          <w:lang w:val="fr-FR"/>
        </w:rPr>
        <w:t xml:space="preserve"> est la plage de pressions du capteur de pression (MPa), PSN la pression de service nominale (MPa), V</w:t>
      </w:r>
      <w:r>
        <w:rPr>
          <w:b/>
          <w:bCs/>
          <w:vertAlign w:val="subscript"/>
          <w:lang w:val="fr-FR"/>
        </w:rPr>
        <w:t>CHSS</w:t>
      </w:r>
      <w:r>
        <w:rPr>
          <w:b/>
          <w:bCs/>
          <w:lang w:val="fr-FR"/>
        </w:rPr>
        <w:t xml:space="preserve"> la capacité du système de stockage d’hydrogène comprimé (l), et </w:t>
      </w:r>
      <w:proofErr w:type="spellStart"/>
      <w:r>
        <w:rPr>
          <w:b/>
          <w:bCs/>
          <w:lang w:val="fr-FR"/>
        </w:rPr>
        <w:t>Δt</w:t>
      </w:r>
      <w:proofErr w:type="spellEnd"/>
      <w:r>
        <w:rPr>
          <w:b/>
          <w:bCs/>
          <w:lang w:val="fr-FR"/>
        </w:rPr>
        <w:t xml:space="preserve"> l’intervalle de temps (min).</w:t>
      </w:r>
      <w:r>
        <w:rPr>
          <w:lang w:val="fr-FR"/>
        </w:rPr>
        <w:t xml:space="preserve"> </w:t>
      </w:r>
    </w:p>
    <w:p w14:paraId="0FE3B13F" w14:textId="4CDA8BA7" w:rsidR="0015147A" w:rsidRPr="00B84558" w:rsidRDefault="0015147A" w:rsidP="00205F5C">
      <w:pPr>
        <w:pStyle w:val="SingleTxtG"/>
        <w:ind w:left="2268" w:hanging="1134"/>
        <w:rPr>
          <w:rFonts w:eastAsiaTheme="minorEastAsia"/>
          <w:b/>
          <w:bCs/>
          <w:lang w:val="fr-FR"/>
        </w:rPr>
      </w:pPr>
      <w:r>
        <w:rPr>
          <w:b/>
          <w:bCs/>
          <w:lang w:val="fr-FR"/>
        </w:rPr>
        <w:t>4.1.3</w:t>
      </w:r>
      <w:r>
        <w:rPr>
          <w:lang w:val="fr-FR"/>
        </w:rPr>
        <w:tab/>
      </w:r>
      <w:r>
        <w:rPr>
          <w:b/>
          <w:bCs/>
          <w:lang w:val="fr-FR"/>
        </w:rPr>
        <w:t xml:space="preserve">Si la valeur de </w:t>
      </w:r>
      <w:proofErr w:type="spellStart"/>
      <w:r>
        <w:rPr>
          <w:b/>
          <w:bCs/>
          <w:lang w:val="fr-FR"/>
        </w:rPr>
        <w:t>Δt</w:t>
      </w:r>
      <w:proofErr w:type="spellEnd"/>
      <w:r>
        <w:rPr>
          <w:b/>
          <w:bCs/>
          <w:lang w:val="fr-FR"/>
        </w:rPr>
        <w:t xml:space="preserve"> obtenue est inférieure à 60 min, </w:t>
      </w:r>
      <w:proofErr w:type="spellStart"/>
      <w:r>
        <w:rPr>
          <w:b/>
          <w:bCs/>
          <w:lang w:val="fr-FR"/>
        </w:rPr>
        <w:t>Δt</w:t>
      </w:r>
      <w:proofErr w:type="spellEnd"/>
      <w:r>
        <w:rPr>
          <w:b/>
          <w:bCs/>
          <w:lang w:val="fr-FR"/>
        </w:rPr>
        <w:t xml:space="preserve"> est fixé à 60 min.</w:t>
      </w:r>
    </w:p>
    <w:p w14:paraId="2D136C7E" w14:textId="7AF18010" w:rsidR="0015147A" w:rsidRPr="00B84558" w:rsidRDefault="0015147A" w:rsidP="00205F5C">
      <w:pPr>
        <w:pStyle w:val="SingleTxtG"/>
        <w:ind w:left="2268" w:hanging="1134"/>
        <w:rPr>
          <w:rFonts w:eastAsiaTheme="minorEastAsia"/>
          <w:b/>
          <w:bCs/>
          <w:lang w:val="fr-FR"/>
        </w:rPr>
      </w:pPr>
      <w:r>
        <w:rPr>
          <w:b/>
          <w:bCs/>
          <w:lang w:val="fr-FR"/>
        </w:rPr>
        <w:t>4.2</w:t>
      </w:r>
      <w:r>
        <w:rPr>
          <w:lang w:val="fr-FR"/>
        </w:rPr>
        <w:tab/>
      </w:r>
      <w:r>
        <w:rPr>
          <w:b/>
          <w:bCs/>
          <w:lang w:val="fr-FR"/>
        </w:rPr>
        <w:t>La masse initiale de l’hydrogène dans le système de stockage peut être calculée comme suit :</w:t>
      </w:r>
    </w:p>
    <w:p w14:paraId="5D35F6DD" w14:textId="32D4F92D" w:rsidR="0015147A" w:rsidRPr="00B84558" w:rsidRDefault="0015147A" w:rsidP="00C24808">
      <w:pPr>
        <w:pStyle w:val="SingleTxtG"/>
        <w:ind w:left="2268"/>
        <w:rPr>
          <w:rFonts w:eastAsiaTheme="minorEastAsia"/>
          <w:b/>
          <w:bCs/>
          <w:lang w:val="fr-FR"/>
        </w:rPr>
      </w:pPr>
      <w:r>
        <w:rPr>
          <w:b/>
          <w:bCs/>
          <w:lang w:val="fr-FR"/>
        </w:rPr>
        <w:t>P</w:t>
      </w:r>
      <w:r>
        <w:rPr>
          <w:b/>
          <w:bCs/>
          <w:vertAlign w:val="subscript"/>
          <w:lang w:val="fr-FR"/>
        </w:rPr>
        <w:t>0</w:t>
      </w:r>
      <w:r>
        <w:rPr>
          <w:b/>
          <w:bCs/>
          <w:lang w:val="fr-FR"/>
        </w:rPr>
        <w:t>’ = P</w:t>
      </w:r>
      <w:r>
        <w:rPr>
          <w:b/>
          <w:bCs/>
          <w:vertAlign w:val="subscript"/>
          <w:lang w:val="fr-FR"/>
        </w:rPr>
        <w:t>0</w:t>
      </w:r>
      <w:r>
        <w:rPr>
          <w:b/>
          <w:bCs/>
          <w:lang w:val="fr-FR"/>
        </w:rPr>
        <w:t xml:space="preserve"> × 288</w:t>
      </w:r>
      <w:r w:rsidR="00C24808">
        <w:rPr>
          <w:b/>
          <w:bCs/>
          <w:lang w:val="fr-FR"/>
        </w:rPr>
        <w:t xml:space="preserve"> </w:t>
      </w:r>
      <w:r>
        <w:rPr>
          <w:b/>
          <w:bCs/>
          <w:lang w:val="fr-FR"/>
        </w:rPr>
        <w:t>/</w:t>
      </w:r>
      <w:r w:rsidR="00C24808">
        <w:rPr>
          <w:b/>
          <w:bCs/>
          <w:lang w:val="fr-FR"/>
        </w:rPr>
        <w:t xml:space="preserve"> </w:t>
      </w:r>
      <w:r>
        <w:rPr>
          <w:b/>
          <w:bCs/>
          <w:lang w:val="fr-FR"/>
        </w:rPr>
        <w:t>(273 + T</w:t>
      </w:r>
      <w:r>
        <w:rPr>
          <w:b/>
          <w:bCs/>
          <w:vertAlign w:val="subscript"/>
          <w:lang w:val="fr-FR"/>
        </w:rPr>
        <w:t>0</w:t>
      </w:r>
      <w:r>
        <w:rPr>
          <w:b/>
          <w:bCs/>
          <w:lang w:val="fr-FR"/>
        </w:rPr>
        <w:t>)</w:t>
      </w:r>
    </w:p>
    <w:p w14:paraId="7A4C54FF" w14:textId="77777777" w:rsidR="0015147A" w:rsidRPr="00B84558" w:rsidRDefault="0015147A" w:rsidP="00C24808">
      <w:pPr>
        <w:pStyle w:val="SingleTxtG"/>
        <w:ind w:left="2268"/>
        <w:rPr>
          <w:rFonts w:eastAsiaTheme="minorEastAsia"/>
          <w:b/>
          <w:bCs/>
          <w:lang w:val="fr-FR"/>
        </w:rPr>
      </w:pPr>
      <w:proofErr w:type="gramStart"/>
      <w:r>
        <w:rPr>
          <w:b/>
          <w:bCs/>
          <w:lang w:val="fr-FR"/>
        </w:rPr>
        <w:t>ρ</w:t>
      </w:r>
      <w:proofErr w:type="gramEnd"/>
      <w:r>
        <w:rPr>
          <w:b/>
          <w:bCs/>
          <w:vertAlign w:val="subscript"/>
          <w:lang w:val="fr-FR"/>
        </w:rPr>
        <w:t>0</w:t>
      </w:r>
      <w:r>
        <w:rPr>
          <w:b/>
          <w:bCs/>
          <w:lang w:val="fr-FR"/>
        </w:rPr>
        <w:t>’ = -0,0027 × (P</w:t>
      </w:r>
      <w:r>
        <w:rPr>
          <w:b/>
          <w:bCs/>
          <w:vertAlign w:val="subscript"/>
          <w:lang w:val="fr-FR"/>
        </w:rPr>
        <w:t>0</w:t>
      </w:r>
      <w:r>
        <w:rPr>
          <w:b/>
          <w:bCs/>
          <w:lang w:val="fr-FR"/>
        </w:rPr>
        <w:t>’)</w:t>
      </w:r>
      <w:r>
        <w:rPr>
          <w:b/>
          <w:bCs/>
          <w:vertAlign w:val="superscript"/>
          <w:lang w:val="fr-FR"/>
        </w:rPr>
        <w:t>2</w:t>
      </w:r>
      <w:r>
        <w:rPr>
          <w:b/>
          <w:bCs/>
          <w:lang w:val="fr-FR"/>
        </w:rPr>
        <w:t xml:space="preserve"> + 0,75 × P</w:t>
      </w:r>
      <w:r>
        <w:rPr>
          <w:b/>
          <w:bCs/>
          <w:vertAlign w:val="subscript"/>
          <w:lang w:val="fr-FR"/>
        </w:rPr>
        <w:t>0</w:t>
      </w:r>
      <w:r>
        <w:rPr>
          <w:b/>
          <w:bCs/>
          <w:lang w:val="fr-FR"/>
        </w:rPr>
        <w:t>’ + 1,07</w:t>
      </w:r>
    </w:p>
    <w:p w14:paraId="5D65BD3C" w14:textId="77777777" w:rsidR="0015147A" w:rsidRPr="00B84558" w:rsidRDefault="0015147A" w:rsidP="00C24808">
      <w:pPr>
        <w:pStyle w:val="SingleTxtG"/>
        <w:ind w:left="2268"/>
        <w:rPr>
          <w:rFonts w:eastAsiaTheme="minorEastAsia"/>
          <w:b/>
          <w:bCs/>
          <w:lang w:val="fr-FR"/>
        </w:rPr>
      </w:pPr>
      <w:r>
        <w:rPr>
          <w:b/>
          <w:bCs/>
          <w:lang w:val="fr-FR"/>
        </w:rPr>
        <w:t>M</w:t>
      </w:r>
      <w:r>
        <w:rPr>
          <w:b/>
          <w:bCs/>
          <w:vertAlign w:val="subscript"/>
          <w:lang w:val="fr-FR"/>
        </w:rPr>
        <w:t>0</w:t>
      </w:r>
      <w:r>
        <w:rPr>
          <w:b/>
          <w:bCs/>
          <w:lang w:val="fr-FR"/>
        </w:rPr>
        <w:t xml:space="preserve"> = ρ</w:t>
      </w:r>
      <w:r>
        <w:rPr>
          <w:b/>
          <w:bCs/>
          <w:vertAlign w:val="subscript"/>
          <w:lang w:val="fr-FR"/>
        </w:rPr>
        <w:t>0</w:t>
      </w:r>
      <w:r>
        <w:rPr>
          <w:b/>
          <w:bCs/>
          <w:lang w:val="fr-FR"/>
        </w:rPr>
        <w:t>’ × V</w:t>
      </w:r>
      <w:r>
        <w:rPr>
          <w:b/>
          <w:bCs/>
          <w:vertAlign w:val="subscript"/>
          <w:lang w:val="fr-FR"/>
        </w:rPr>
        <w:t>CHSS</w:t>
      </w:r>
    </w:p>
    <w:p w14:paraId="231997B7" w14:textId="4B93E725" w:rsidR="0015147A" w:rsidRPr="00B84558" w:rsidRDefault="0015147A" w:rsidP="00205F5C">
      <w:pPr>
        <w:pStyle w:val="SingleTxtG"/>
        <w:ind w:left="2268" w:hanging="1134"/>
        <w:rPr>
          <w:rFonts w:eastAsiaTheme="minorEastAsia"/>
          <w:b/>
          <w:bCs/>
          <w:lang w:val="fr-FR"/>
        </w:rPr>
      </w:pPr>
      <w:r>
        <w:rPr>
          <w:b/>
          <w:bCs/>
          <w:lang w:val="fr-FR"/>
        </w:rPr>
        <w:lastRenderedPageBreak/>
        <w:t>4.3</w:t>
      </w:r>
      <w:r>
        <w:rPr>
          <w:lang w:val="fr-FR"/>
        </w:rPr>
        <w:tab/>
      </w:r>
      <w:r>
        <w:rPr>
          <w:b/>
          <w:bCs/>
          <w:lang w:val="fr-FR"/>
        </w:rPr>
        <w:t xml:space="preserve">De même, la masse finale de l’hydrogène dans le système de stockage </w:t>
      </w:r>
      <w:proofErr w:type="spellStart"/>
      <w:r>
        <w:rPr>
          <w:b/>
          <w:bCs/>
          <w:lang w:val="fr-FR"/>
        </w:rPr>
        <w:t>M</w:t>
      </w:r>
      <w:r>
        <w:rPr>
          <w:b/>
          <w:bCs/>
          <w:vertAlign w:val="subscript"/>
          <w:lang w:val="fr-FR"/>
        </w:rPr>
        <w:t>f</w:t>
      </w:r>
      <w:proofErr w:type="spellEnd"/>
      <w:r>
        <w:rPr>
          <w:b/>
          <w:bCs/>
          <w:lang w:val="fr-FR"/>
        </w:rPr>
        <w:t xml:space="preserve"> à la fin de l’intervalle de temps </w:t>
      </w:r>
      <w:proofErr w:type="spellStart"/>
      <w:r>
        <w:rPr>
          <w:b/>
          <w:bCs/>
          <w:lang w:val="fr-FR"/>
        </w:rPr>
        <w:t>Δt</w:t>
      </w:r>
      <w:proofErr w:type="spellEnd"/>
      <w:r>
        <w:rPr>
          <w:b/>
          <w:bCs/>
          <w:lang w:val="fr-FR"/>
        </w:rPr>
        <w:t xml:space="preserve"> est calculée comme suit :</w:t>
      </w:r>
    </w:p>
    <w:p w14:paraId="27DE170E" w14:textId="44254F40" w:rsidR="0015147A" w:rsidRPr="00B84558" w:rsidRDefault="0015147A" w:rsidP="00C24808">
      <w:pPr>
        <w:pStyle w:val="SingleTxtG"/>
        <w:ind w:left="2268"/>
        <w:rPr>
          <w:rFonts w:eastAsiaTheme="minorEastAsia"/>
          <w:b/>
          <w:bCs/>
          <w:lang w:val="fr-FR"/>
        </w:rPr>
      </w:pPr>
      <w:r>
        <w:rPr>
          <w:b/>
          <w:bCs/>
          <w:lang w:val="fr-FR"/>
        </w:rPr>
        <w:t>P</w:t>
      </w:r>
      <w:r>
        <w:rPr>
          <w:b/>
          <w:bCs/>
          <w:vertAlign w:val="subscript"/>
          <w:lang w:val="fr-FR"/>
        </w:rPr>
        <w:t>f</w:t>
      </w:r>
      <w:r>
        <w:rPr>
          <w:b/>
          <w:bCs/>
          <w:lang w:val="fr-FR"/>
        </w:rPr>
        <w:t>’ = P</w:t>
      </w:r>
      <w:r>
        <w:rPr>
          <w:b/>
          <w:bCs/>
          <w:vertAlign w:val="subscript"/>
          <w:lang w:val="fr-FR"/>
        </w:rPr>
        <w:t>f</w:t>
      </w:r>
      <w:r>
        <w:rPr>
          <w:b/>
          <w:bCs/>
          <w:lang w:val="fr-FR"/>
        </w:rPr>
        <w:t xml:space="preserve"> × 288</w:t>
      </w:r>
      <w:r w:rsidR="00C24808">
        <w:rPr>
          <w:b/>
          <w:bCs/>
          <w:lang w:val="fr-FR"/>
        </w:rPr>
        <w:t xml:space="preserve"> </w:t>
      </w:r>
      <w:r>
        <w:rPr>
          <w:b/>
          <w:bCs/>
          <w:lang w:val="fr-FR"/>
        </w:rPr>
        <w:t>/</w:t>
      </w:r>
      <w:r w:rsidR="00C24808">
        <w:rPr>
          <w:b/>
          <w:bCs/>
          <w:lang w:val="fr-FR"/>
        </w:rPr>
        <w:t xml:space="preserve"> </w:t>
      </w:r>
      <w:r>
        <w:rPr>
          <w:b/>
          <w:bCs/>
          <w:lang w:val="fr-FR"/>
        </w:rPr>
        <w:t>(273 + T</w:t>
      </w:r>
      <w:r>
        <w:rPr>
          <w:b/>
          <w:bCs/>
          <w:vertAlign w:val="subscript"/>
          <w:lang w:val="fr-FR"/>
        </w:rPr>
        <w:t>f</w:t>
      </w:r>
      <w:r>
        <w:rPr>
          <w:b/>
          <w:bCs/>
          <w:lang w:val="fr-FR"/>
        </w:rPr>
        <w:t>)</w:t>
      </w:r>
    </w:p>
    <w:p w14:paraId="0E274A2F" w14:textId="77777777" w:rsidR="0015147A" w:rsidRPr="00B84558" w:rsidRDefault="0015147A" w:rsidP="00C24808">
      <w:pPr>
        <w:pStyle w:val="SingleTxtG"/>
        <w:ind w:left="2268"/>
        <w:rPr>
          <w:rFonts w:eastAsiaTheme="minorEastAsia"/>
          <w:b/>
          <w:bCs/>
          <w:lang w:val="fr-FR"/>
        </w:rPr>
      </w:pPr>
      <w:proofErr w:type="spellStart"/>
      <w:proofErr w:type="gramStart"/>
      <w:r>
        <w:rPr>
          <w:b/>
          <w:bCs/>
          <w:lang w:val="fr-FR"/>
        </w:rPr>
        <w:t>ρ</w:t>
      </w:r>
      <w:proofErr w:type="gramEnd"/>
      <w:r>
        <w:rPr>
          <w:b/>
          <w:bCs/>
          <w:vertAlign w:val="subscript"/>
          <w:lang w:val="fr-FR"/>
        </w:rPr>
        <w:t>f</w:t>
      </w:r>
      <w:proofErr w:type="spellEnd"/>
      <w:r>
        <w:rPr>
          <w:b/>
          <w:bCs/>
          <w:lang w:val="fr-FR"/>
        </w:rPr>
        <w:t>’ = -0,0027 × (P</w:t>
      </w:r>
      <w:r>
        <w:rPr>
          <w:b/>
          <w:bCs/>
          <w:vertAlign w:val="subscript"/>
          <w:lang w:val="fr-FR"/>
        </w:rPr>
        <w:t>f</w:t>
      </w:r>
      <w:r>
        <w:rPr>
          <w:b/>
          <w:bCs/>
          <w:lang w:val="fr-FR"/>
        </w:rPr>
        <w:t>’)</w:t>
      </w:r>
      <w:r>
        <w:rPr>
          <w:b/>
          <w:bCs/>
          <w:vertAlign w:val="superscript"/>
          <w:lang w:val="fr-FR"/>
        </w:rPr>
        <w:t>2</w:t>
      </w:r>
      <w:r>
        <w:rPr>
          <w:b/>
          <w:bCs/>
          <w:lang w:val="fr-FR"/>
        </w:rPr>
        <w:t xml:space="preserve"> + 0,75 × P</w:t>
      </w:r>
      <w:r>
        <w:rPr>
          <w:b/>
          <w:bCs/>
          <w:vertAlign w:val="subscript"/>
          <w:lang w:val="fr-FR"/>
        </w:rPr>
        <w:t>f</w:t>
      </w:r>
      <w:r>
        <w:rPr>
          <w:b/>
          <w:bCs/>
          <w:lang w:val="fr-FR"/>
        </w:rPr>
        <w:t>’ + 1,07</w:t>
      </w:r>
    </w:p>
    <w:p w14:paraId="1455953D" w14:textId="77777777" w:rsidR="0015147A" w:rsidRPr="00B84558" w:rsidRDefault="0015147A" w:rsidP="00C24808">
      <w:pPr>
        <w:pStyle w:val="SingleTxtG"/>
        <w:ind w:left="2268"/>
        <w:rPr>
          <w:rFonts w:eastAsiaTheme="minorEastAsia"/>
          <w:b/>
          <w:bCs/>
          <w:lang w:val="fr-FR"/>
        </w:rPr>
      </w:pPr>
      <w:proofErr w:type="spellStart"/>
      <w:r>
        <w:rPr>
          <w:b/>
          <w:bCs/>
          <w:lang w:val="fr-FR"/>
        </w:rPr>
        <w:t>M</w:t>
      </w:r>
      <w:r>
        <w:rPr>
          <w:b/>
          <w:bCs/>
          <w:vertAlign w:val="subscript"/>
          <w:lang w:val="fr-FR"/>
        </w:rPr>
        <w:t>f</w:t>
      </w:r>
      <w:proofErr w:type="spellEnd"/>
      <w:r>
        <w:rPr>
          <w:b/>
          <w:bCs/>
          <w:lang w:val="fr-FR"/>
        </w:rPr>
        <w:t xml:space="preserve"> = </w:t>
      </w:r>
      <w:proofErr w:type="spellStart"/>
      <w:r>
        <w:rPr>
          <w:b/>
          <w:bCs/>
          <w:lang w:val="fr-FR"/>
        </w:rPr>
        <w:t>ρ</w:t>
      </w:r>
      <w:r>
        <w:rPr>
          <w:b/>
          <w:bCs/>
          <w:vertAlign w:val="subscript"/>
          <w:lang w:val="fr-FR"/>
        </w:rPr>
        <w:t>f</w:t>
      </w:r>
      <w:proofErr w:type="spellEnd"/>
      <w:r>
        <w:rPr>
          <w:b/>
          <w:bCs/>
          <w:lang w:val="fr-FR"/>
        </w:rPr>
        <w:t>’ × V</w:t>
      </w:r>
      <w:r>
        <w:rPr>
          <w:b/>
          <w:bCs/>
          <w:vertAlign w:val="subscript"/>
          <w:lang w:val="fr-FR"/>
        </w:rPr>
        <w:t>CHSS</w:t>
      </w:r>
    </w:p>
    <w:p w14:paraId="324B066D" w14:textId="77777777" w:rsidR="0015147A" w:rsidRPr="00B84558" w:rsidRDefault="0015147A" w:rsidP="00C24808">
      <w:pPr>
        <w:pStyle w:val="SingleTxtG"/>
        <w:ind w:left="2268"/>
        <w:rPr>
          <w:rFonts w:eastAsiaTheme="minorEastAsia"/>
          <w:b/>
          <w:bCs/>
          <w:lang w:val="fr-FR"/>
        </w:rPr>
      </w:pPr>
      <w:proofErr w:type="gramStart"/>
      <w:r>
        <w:rPr>
          <w:b/>
          <w:bCs/>
          <w:lang w:val="fr-FR"/>
        </w:rPr>
        <w:t>où</w:t>
      </w:r>
      <w:proofErr w:type="gramEnd"/>
      <w:r>
        <w:rPr>
          <w:b/>
          <w:bCs/>
          <w:lang w:val="fr-FR"/>
        </w:rPr>
        <w:t xml:space="preserve"> P</w:t>
      </w:r>
      <w:r>
        <w:rPr>
          <w:b/>
          <w:bCs/>
          <w:vertAlign w:val="subscript"/>
          <w:lang w:val="fr-FR"/>
        </w:rPr>
        <w:t>f</w:t>
      </w:r>
      <w:r>
        <w:rPr>
          <w:b/>
          <w:bCs/>
          <w:lang w:val="fr-FR"/>
        </w:rPr>
        <w:t xml:space="preserve"> est la pression finale mesurée (MPa) à la fin de l’intervalle de temps, et T</w:t>
      </w:r>
      <w:r>
        <w:rPr>
          <w:b/>
          <w:bCs/>
          <w:vertAlign w:val="subscript"/>
          <w:lang w:val="fr-FR"/>
        </w:rPr>
        <w:t>f</w:t>
      </w:r>
      <w:r>
        <w:rPr>
          <w:b/>
          <w:bCs/>
          <w:lang w:val="fr-FR"/>
        </w:rPr>
        <w:t xml:space="preserve"> est la température finale mesurée (°C).</w:t>
      </w:r>
    </w:p>
    <w:p w14:paraId="03423F18" w14:textId="2965BCCE" w:rsidR="0015147A" w:rsidRPr="00B84558" w:rsidRDefault="0015147A" w:rsidP="00205F5C">
      <w:pPr>
        <w:pStyle w:val="SingleTxtG"/>
        <w:ind w:left="2268" w:hanging="1134"/>
        <w:rPr>
          <w:rFonts w:eastAsiaTheme="minorEastAsia"/>
          <w:b/>
          <w:bCs/>
          <w:lang w:val="fr-FR"/>
        </w:rPr>
      </w:pPr>
      <w:r>
        <w:rPr>
          <w:b/>
          <w:bCs/>
          <w:lang w:val="fr-FR"/>
        </w:rPr>
        <w:t>4.4</w:t>
      </w:r>
      <w:r>
        <w:rPr>
          <w:lang w:val="fr-FR"/>
        </w:rPr>
        <w:tab/>
      </w:r>
      <w:r>
        <w:rPr>
          <w:b/>
          <w:bCs/>
          <w:lang w:val="fr-FR"/>
        </w:rPr>
        <w:t>Le débit moyen d’hydrogène pendant l’intervalle de temps se calcule donc comme suit :</w:t>
      </w:r>
    </w:p>
    <w:p w14:paraId="1F7B37BD" w14:textId="1D976A1E" w:rsidR="0015147A" w:rsidRPr="0015147A" w:rsidRDefault="0015147A" w:rsidP="00C24808">
      <w:pPr>
        <w:pStyle w:val="SingleTxtG"/>
        <w:ind w:left="2268"/>
        <w:rPr>
          <w:rFonts w:eastAsiaTheme="minorEastAsia"/>
          <w:b/>
          <w:bCs/>
          <w:lang w:val="en-US"/>
        </w:rPr>
      </w:pPr>
      <w:r w:rsidRPr="00B84558">
        <w:rPr>
          <w:b/>
          <w:bCs/>
          <w:lang w:val="en-US"/>
        </w:rPr>
        <w:t>V</w:t>
      </w:r>
      <w:r w:rsidRPr="00B84558">
        <w:rPr>
          <w:b/>
          <w:bCs/>
          <w:vertAlign w:val="subscript"/>
          <w:lang w:val="en-US"/>
        </w:rPr>
        <w:t>H2</w:t>
      </w:r>
      <w:r w:rsidRPr="00B84558">
        <w:rPr>
          <w:b/>
          <w:bCs/>
          <w:lang w:val="en-US"/>
        </w:rPr>
        <w:t xml:space="preserve"> = (</w:t>
      </w:r>
      <w:proofErr w:type="spellStart"/>
      <w:r w:rsidRPr="00B84558">
        <w:rPr>
          <w:b/>
          <w:bCs/>
          <w:lang w:val="en-US"/>
        </w:rPr>
        <w:t>M</w:t>
      </w:r>
      <w:r w:rsidRPr="00B84558">
        <w:rPr>
          <w:b/>
          <w:bCs/>
          <w:vertAlign w:val="subscript"/>
          <w:lang w:val="en-US"/>
        </w:rPr>
        <w:t>f</w:t>
      </w:r>
      <w:proofErr w:type="spellEnd"/>
      <w:r w:rsidRPr="00B84558">
        <w:rPr>
          <w:b/>
          <w:bCs/>
          <w:lang w:val="en-US"/>
        </w:rPr>
        <w:t xml:space="preserve"> – M</w:t>
      </w:r>
      <w:r w:rsidRPr="00B84558">
        <w:rPr>
          <w:b/>
          <w:bCs/>
          <w:vertAlign w:val="subscript"/>
          <w:lang w:val="en-US"/>
        </w:rPr>
        <w:t>0</w:t>
      </w:r>
      <w:r w:rsidRPr="00B84558">
        <w:rPr>
          <w:b/>
          <w:bCs/>
          <w:lang w:val="en-US"/>
        </w:rPr>
        <w:t>)</w:t>
      </w:r>
      <w:r w:rsidR="00873176">
        <w:rPr>
          <w:b/>
          <w:bCs/>
          <w:lang w:val="en-US"/>
        </w:rPr>
        <w:t xml:space="preserve"> </w:t>
      </w:r>
      <w:r w:rsidRPr="00B84558">
        <w:rPr>
          <w:b/>
          <w:bCs/>
          <w:lang w:val="en-US"/>
        </w:rPr>
        <w:t xml:space="preserve">/ </w:t>
      </w:r>
      <w:r>
        <w:rPr>
          <w:b/>
          <w:bCs/>
          <w:lang w:val="fr-FR"/>
        </w:rPr>
        <w:t>Δ</w:t>
      </w:r>
      <w:r w:rsidRPr="00B84558">
        <w:rPr>
          <w:b/>
          <w:bCs/>
          <w:lang w:val="en-US"/>
        </w:rPr>
        <w:t>t × 22,41</w:t>
      </w:r>
      <w:r w:rsidR="00873176">
        <w:rPr>
          <w:b/>
          <w:bCs/>
          <w:lang w:val="en-US"/>
        </w:rPr>
        <w:t xml:space="preserve"> </w:t>
      </w:r>
      <w:r>
        <w:rPr>
          <w:b/>
          <w:bCs/>
          <w:lang w:val="en-US"/>
        </w:rPr>
        <w:t>/</w:t>
      </w:r>
      <w:r w:rsidR="00873176">
        <w:rPr>
          <w:b/>
          <w:bCs/>
          <w:lang w:val="en-US"/>
        </w:rPr>
        <w:t xml:space="preserve"> </w:t>
      </w:r>
      <w:r w:rsidRPr="00B84558">
        <w:rPr>
          <w:b/>
          <w:bCs/>
          <w:lang w:val="en-US"/>
        </w:rPr>
        <w:t>2,016 × (</w:t>
      </w:r>
      <w:proofErr w:type="spellStart"/>
      <w:r w:rsidRPr="00B84558">
        <w:rPr>
          <w:b/>
          <w:bCs/>
          <w:lang w:val="en-US"/>
        </w:rPr>
        <w:t>P</w:t>
      </w:r>
      <w:r w:rsidRPr="00B84558">
        <w:rPr>
          <w:b/>
          <w:bCs/>
          <w:vertAlign w:val="subscript"/>
          <w:lang w:val="en-US"/>
        </w:rPr>
        <w:t>target</w:t>
      </w:r>
      <w:proofErr w:type="spellEnd"/>
      <w:r>
        <w:rPr>
          <w:b/>
          <w:bCs/>
          <w:lang w:val="en-US"/>
        </w:rPr>
        <w:t>/</w:t>
      </w:r>
      <w:r w:rsidRPr="00B84558">
        <w:rPr>
          <w:b/>
          <w:bCs/>
          <w:lang w:val="en-US"/>
        </w:rPr>
        <w:t>P</w:t>
      </w:r>
      <w:r w:rsidRPr="00B84558">
        <w:rPr>
          <w:b/>
          <w:bCs/>
          <w:vertAlign w:val="subscript"/>
          <w:lang w:val="en-US"/>
        </w:rPr>
        <w:t>0</w:t>
      </w:r>
      <w:r w:rsidRPr="00B84558">
        <w:rPr>
          <w:b/>
          <w:bCs/>
          <w:lang w:val="en-US"/>
        </w:rPr>
        <w:t>)</w:t>
      </w:r>
    </w:p>
    <w:p w14:paraId="55161418" w14:textId="26F4375D" w:rsidR="0015147A" w:rsidRPr="00B84558" w:rsidRDefault="0015147A" w:rsidP="00C24808">
      <w:pPr>
        <w:pStyle w:val="SingleTxtG"/>
        <w:ind w:left="2268"/>
        <w:rPr>
          <w:rFonts w:eastAsiaTheme="minorEastAsia"/>
          <w:b/>
          <w:bCs/>
          <w:lang w:val="fr-FR"/>
        </w:rPr>
      </w:pPr>
      <w:proofErr w:type="gramStart"/>
      <w:r>
        <w:rPr>
          <w:b/>
          <w:bCs/>
          <w:lang w:val="fr-FR"/>
        </w:rPr>
        <w:t>où</w:t>
      </w:r>
      <w:proofErr w:type="gramEnd"/>
      <w:r>
        <w:rPr>
          <w:b/>
          <w:bCs/>
          <w:lang w:val="fr-FR"/>
        </w:rPr>
        <w:t xml:space="preserve"> V</w:t>
      </w:r>
      <w:r>
        <w:rPr>
          <w:b/>
          <w:bCs/>
          <w:vertAlign w:val="subscript"/>
          <w:lang w:val="fr-FR"/>
        </w:rPr>
        <w:t>H2</w:t>
      </w:r>
      <w:r>
        <w:rPr>
          <w:b/>
          <w:bCs/>
          <w:lang w:val="fr-FR"/>
        </w:rPr>
        <w:t xml:space="preserve"> est le débit volumique moyen (</w:t>
      </w:r>
      <w:proofErr w:type="spellStart"/>
      <w:r>
        <w:rPr>
          <w:b/>
          <w:bCs/>
          <w:lang w:val="fr-FR"/>
        </w:rPr>
        <w:t>Nl</w:t>
      </w:r>
      <w:proofErr w:type="spellEnd"/>
      <w:r>
        <w:rPr>
          <w:b/>
          <w:bCs/>
          <w:lang w:val="fr-FR"/>
        </w:rPr>
        <w:t xml:space="preserve">/min) pendant l’intervalle de temps et </w:t>
      </w:r>
      <w:proofErr w:type="spellStart"/>
      <w:r>
        <w:rPr>
          <w:b/>
          <w:bCs/>
          <w:lang w:val="fr-FR"/>
        </w:rPr>
        <w:t>P</w:t>
      </w:r>
      <w:r>
        <w:rPr>
          <w:b/>
          <w:bCs/>
          <w:vertAlign w:val="subscript"/>
          <w:lang w:val="fr-FR"/>
        </w:rPr>
        <w:t>target</w:t>
      </w:r>
      <w:proofErr w:type="spellEnd"/>
      <w:r w:rsidRPr="00873176">
        <w:rPr>
          <w:b/>
          <w:bCs/>
          <w:lang w:val="fr-FR"/>
        </w:rPr>
        <w:t>/</w:t>
      </w:r>
      <w:r>
        <w:rPr>
          <w:b/>
          <w:bCs/>
          <w:lang w:val="fr-FR"/>
        </w:rPr>
        <w:t>P</w:t>
      </w:r>
      <w:r>
        <w:rPr>
          <w:b/>
          <w:bCs/>
          <w:vertAlign w:val="subscript"/>
          <w:lang w:val="fr-FR"/>
        </w:rPr>
        <w:t>0</w:t>
      </w:r>
      <w:r>
        <w:rPr>
          <w:b/>
          <w:bCs/>
          <w:lang w:val="fr-FR"/>
        </w:rPr>
        <w:t xml:space="preserve"> sert à compenser les différences entre la pression initiale mesurée (P</w:t>
      </w:r>
      <w:r>
        <w:rPr>
          <w:b/>
          <w:bCs/>
          <w:vertAlign w:val="subscript"/>
          <w:lang w:val="fr-FR"/>
        </w:rPr>
        <w:t>0</w:t>
      </w:r>
      <w:r>
        <w:rPr>
          <w:b/>
          <w:bCs/>
          <w:lang w:val="fr-FR"/>
        </w:rPr>
        <w:t>) et la pression de remplissage visée (</w:t>
      </w:r>
      <w:proofErr w:type="spellStart"/>
      <w:r>
        <w:rPr>
          <w:b/>
          <w:bCs/>
          <w:lang w:val="fr-FR"/>
        </w:rPr>
        <w:t>P</w:t>
      </w:r>
      <w:r>
        <w:rPr>
          <w:b/>
          <w:bCs/>
          <w:vertAlign w:val="subscript"/>
          <w:lang w:val="fr-FR"/>
        </w:rPr>
        <w:t>target</w:t>
      </w:r>
      <w:proofErr w:type="spellEnd"/>
      <w:r>
        <w:rPr>
          <w:b/>
          <w:bCs/>
          <w:lang w:val="fr-FR"/>
        </w:rPr>
        <w:t>).</w:t>
      </w:r>
    </w:p>
    <w:p w14:paraId="4B0DC3AB" w14:textId="54CEC3BC" w:rsidR="0015147A" w:rsidRPr="00B84558" w:rsidRDefault="0015147A" w:rsidP="0015147A">
      <w:pPr>
        <w:pStyle w:val="HChG"/>
        <w:ind w:left="2268"/>
        <w:rPr>
          <w:bCs/>
          <w:lang w:val="fr-FR"/>
        </w:rPr>
      </w:pPr>
      <w:r>
        <w:rPr>
          <w:bCs/>
          <w:lang w:val="fr-FR"/>
        </w:rPr>
        <w:t>5.</w:t>
      </w:r>
      <w:r>
        <w:rPr>
          <w:lang w:val="fr-FR"/>
        </w:rPr>
        <w:tab/>
      </w:r>
      <w:r>
        <w:rPr>
          <w:lang w:val="fr-FR"/>
        </w:rPr>
        <w:tab/>
      </w:r>
      <w:r>
        <w:rPr>
          <w:bCs/>
          <w:lang w:val="fr-FR"/>
        </w:rPr>
        <w:t xml:space="preserve">Essai d’étanchéité après choc sur un système </w:t>
      </w:r>
      <w:r w:rsidR="00873176">
        <w:rPr>
          <w:bCs/>
          <w:lang w:val="fr-FR"/>
        </w:rPr>
        <w:br/>
      </w:r>
      <w:r>
        <w:rPr>
          <w:bCs/>
          <w:lang w:val="fr-FR"/>
        </w:rPr>
        <w:t>de stockage d’hydrogène comprimé rempli d’hélium comprimé</w:t>
      </w:r>
    </w:p>
    <w:p w14:paraId="6A1866FD" w14:textId="77777777" w:rsidR="0015147A" w:rsidRPr="00B84558" w:rsidRDefault="0015147A" w:rsidP="00205F5C">
      <w:pPr>
        <w:pStyle w:val="SingleTxtG"/>
        <w:ind w:left="2268" w:hanging="1134"/>
        <w:rPr>
          <w:rFonts w:eastAsiaTheme="minorEastAsia"/>
          <w:b/>
          <w:lang w:val="fr-FR"/>
        </w:rPr>
      </w:pPr>
      <w:r>
        <w:rPr>
          <w:b/>
          <w:bCs/>
          <w:lang w:val="fr-FR"/>
        </w:rPr>
        <w:t>5.1</w:t>
      </w:r>
      <w:r>
        <w:rPr>
          <w:lang w:val="fr-FR"/>
        </w:rPr>
        <w:tab/>
      </w:r>
      <w:r>
        <w:rPr>
          <w:b/>
          <w:bCs/>
          <w:lang w:val="fr-FR"/>
        </w:rPr>
        <w:t>La pression de l’hélium, P</w:t>
      </w:r>
      <w:r>
        <w:rPr>
          <w:b/>
          <w:bCs/>
          <w:vertAlign w:val="subscript"/>
          <w:lang w:val="fr-FR"/>
        </w:rPr>
        <w:t>0</w:t>
      </w:r>
      <w:r>
        <w:rPr>
          <w:b/>
          <w:bCs/>
          <w:lang w:val="fr-FR"/>
        </w:rPr>
        <w:t xml:space="preserve"> (MPa), et la température, T</w:t>
      </w:r>
      <w:r>
        <w:rPr>
          <w:b/>
          <w:bCs/>
          <w:vertAlign w:val="subscript"/>
          <w:lang w:val="fr-FR"/>
        </w:rPr>
        <w:t>0</w:t>
      </w:r>
      <w:r>
        <w:rPr>
          <w:b/>
          <w:bCs/>
          <w:lang w:val="fr-FR"/>
        </w:rPr>
        <w:t xml:space="preserve"> (°C), sont mesurées immédiatement avant le choc puis au terme d’un intervalle de temps prédéterminé après celui-ci.</w:t>
      </w:r>
      <w:r>
        <w:rPr>
          <w:lang w:val="fr-FR"/>
        </w:rPr>
        <w:t xml:space="preserve"> </w:t>
      </w:r>
    </w:p>
    <w:p w14:paraId="4533D904" w14:textId="56A31BBB" w:rsidR="0015147A" w:rsidRPr="00B84558" w:rsidRDefault="0015147A" w:rsidP="00205F5C">
      <w:pPr>
        <w:pStyle w:val="SingleTxtG"/>
        <w:ind w:left="2268" w:hanging="1134"/>
        <w:rPr>
          <w:rFonts w:eastAsiaTheme="minorEastAsia"/>
          <w:b/>
          <w:lang w:val="fr-FR"/>
        </w:rPr>
      </w:pPr>
      <w:r>
        <w:rPr>
          <w:b/>
          <w:bCs/>
          <w:lang w:val="fr-FR"/>
        </w:rPr>
        <w:t>5.1.1</w:t>
      </w:r>
      <w:r>
        <w:rPr>
          <w:lang w:val="fr-FR"/>
        </w:rPr>
        <w:tab/>
      </w:r>
      <w:r>
        <w:rPr>
          <w:b/>
          <w:bCs/>
          <w:lang w:val="fr-FR"/>
        </w:rPr>
        <w:t xml:space="preserve">L’intervalle </w:t>
      </w:r>
      <w:proofErr w:type="spellStart"/>
      <w:r>
        <w:rPr>
          <w:b/>
          <w:bCs/>
          <w:lang w:val="fr-FR"/>
        </w:rPr>
        <w:t>Δt</w:t>
      </w:r>
      <w:proofErr w:type="spellEnd"/>
      <w:r>
        <w:rPr>
          <w:b/>
          <w:bCs/>
          <w:lang w:val="fr-FR"/>
        </w:rPr>
        <w:t xml:space="preserve"> dure au moins 60 min à partir du moment où le véhicule s’est immobilisé après le choc.</w:t>
      </w:r>
    </w:p>
    <w:p w14:paraId="711957E0" w14:textId="41AC05C6" w:rsidR="0015147A" w:rsidRPr="00B84558" w:rsidRDefault="0015147A" w:rsidP="00205F5C">
      <w:pPr>
        <w:pStyle w:val="SingleTxtG"/>
        <w:ind w:left="2268" w:hanging="1134"/>
        <w:rPr>
          <w:rFonts w:eastAsiaTheme="minorEastAsia"/>
          <w:b/>
          <w:lang w:val="fr-FR"/>
        </w:rPr>
      </w:pPr>
      <w:r>
        <w:rPr>
          <w:b/>
          <w:bCs/>
          <w:lang w:val="fr-FR"/>
        </w:rPr>
        <w:t>5.1.2</w:t>
      </w:r>
      <w:r>
        <w:rPr>
          <w:lang w:val="fr-FR"/>
        </w:rPr>
        <w:tab/>
      </w:r>
      <w:r>
        <w:rPr>
          <w:b/>
          <w:bCs/>
          <w:lang w:val="fr-FR"/>
        </w:rPr>
        <w:t xml:space="preserve">L’intervalle </w:t>
      </w:r>
      <w:proofErr w:type="spellStart"/>
      <w:r>
        <w:rPr>
          <w:b/>
          <w:bCs/>
          <w:lang w:val="fr-FR"/>
        </w:rPr>
        <w:t>Δt</w:t>
      </w:r>
      <w:proofErr w:type="spellEnd"/>
      <w:r>
        <w:rPr>
          <w:b/>
          <w:bCs/>
          <w:lang w:val="fr-FR"/>
        </w:rPr>
        <w:t xml:space="preserve"> peut être prolongé afin de permettre l’obtention de mesures plus précises lorsqu’il s’agit d’un système de stockage de grand volume fonctionnant à une pression pouvant atteindre 70 MPa.</w:t>
      </w:r>
      <w:r>
        <w:rPr>
          <w:lang w:val="fr-FR"/>
        </w:rPr>
        <w:t xml:space="preserve"> </w:t>
      </w:r>
      <w:r>
        <w:rPr>
          <w:b/>
          <w:bCs/>
          <w:lang w:val="fr-FR"/>
        </w:rPr>
        <w:t xml:space="preserve">Dans ce cas, </w:t>
      </w:r>
      <w:proofErr w:type="spellStart"/>
      <w:r>
        <w:rPr>
          <w:b/>
          <w:bCs/>
          <w:lang w:val="fr-FR"/>
        </w:rPr>
        <w:t>Δt</w:t>
      </w:r>
      <w:proofErr w:type="spellEnd"/>
      <w:r>
        <w:rPr>
          <w:b/>
          <w:bCs/>
          <w:lang w:val="fr-FR"/>
        </w:rPr>
        <w:t xml:space="preserve"> peut être calculé à partir de la formule suivante :</w:t>
      </w:r>
    </w:p>
    <w:p w14:paraId="744D1C04" w14:textId="494DD7D6" w:rsidR="0015147A" w:rsidRPr="00B84558" w:rsidRDefault="0015147A" w:rsidP="00C24808">
      <w:pPr>
        <w:pStyle w:val="SingleTxtG"/>
        <w:ind w:left="2268"/>
        <w:rPr>
          <w:rFonts w:eastAsiaTheme="minorEastAsia"/>
          <w:b/>
          <w:vertAlign w:val="subscript"/>
          <w:lang w:val="fr-FR"/>
        </w:rPr>
      </w:pPr>
      <w:proofErr w:type="spellStart"/>
      <w:r>
        <w:rPr>
          <w:b/>
          <w:bCs/>
          <w:lang w:val="fr-FR"/>
        </w:rPr>
        <w:t>Δt</w:t>
      </w:r>
      <w:proofErr w:type="spellEnd"/>
      <w:r>
        <w:rPr>
          <w:b/>
          <w:bCs/>
          <w:lang w:val="fr-FR"/>
        </w:rPr>
        <w:t xml:space="preserve"> = V</w:t>
      </w:r>
      <w:r>
        <w:rPr>
          <w:b/>
          <w:bCs/>
          <w:vertAlign w:val="subscript"/>
          <w:lang w:val="fr-FR"/>
        </w:rPr>
        <w:t>CHSS</w:t>
      </w:r>
      <w:r>
        <w:rPr>
          <w:b/>
          <w:bCs/>
          <w:lang w:val="fr-FR"/>
        </w:rPr>
        <w:t xml:space="preserve"> × PSN</w:t>
      </w:r>
      <w:r w:rsidR="00873176">
        <w:rPr>
          <w:b/>
          <w:bCs/>
          <w:lang w:val="fr-FR"/>
        </w:rPr>
        <w:t xml:space="preserve"> </w:t>
      </w:r>
      <w:r>
        <w:rPr>
          <w:b/>
          <w:bCs/>
          <w:lang w:val="fr-FR"/>
        </w:rPr>
        <w:t>/</w:t>
      </w:r>
      <w:r w:rsidR="00873176">
        <w:rPr>
          <w:b/>
          <w:bCs/>
          <w:lang w:val="fr-FR"/>
        </w:rPr>
        <w:t xml:space="preserve"> </w:t>
      </w:r>
      <w:r>
        <w:rPr>
          <w:b/>
          <w:bCs/>
          <w:lang w:val="fr-FR"/>
        </w:rPr>
        <w:t xml:space="preserve">1 000 × ((-0,028 × PSN + 5,5) × </w:t>
      </w:r>
      <w:proofErr w:type="spellStart"/>
      <w:r>
        <w:rPr>
          <w:b/>
          <w:bCs/>
          <w:lang w:val="fr-FR"/>
        </w:rPr>
        <w:t>R</w:t>
      </w:r>
      <w:r>
        <w:rPr>
          <w:b/>
          <w:bCs/>
          <w:vertAlign w:val="subscript"/>
          <w:lang w:val="fr-FR"/>
        </w:rPr>
        <w:t>s</w:t>
      </w:r>
      <w:proofErr w:type="spellEnd"/>
      <w:r>
        <w:rPr>
          <w:b/>
          <w:bCs/>
          <w:lang w:val="fr-FR"/>
        </w:rPr>
        <w:t xml:space="preserve"> – 0,3) – 2,6 × </w:t>
      </w:r>
      <w:proofErr w:type="spellStart"/>
      <w:r>
        <w:rPr>
          <w:b/>
          <w:bCs/>
          <w:lang w:val="fr-FR"/>
        </w:rPr>
        <w:t>R</w:t>
      </w:r>
      <w:r>
        <w:rPr>
          <w:b/>
          <w:bCs/>
          <w:vertAlign w:val="subscript"/>
          <w:lang w:val="fr-FR"/>
        </w:rPr>
        <w:t>s</w:t>
      </w:r>
      <w:proofErr w:type="spellEnd"/>
      <w:r>
        <w:rPr>
          <w:lang w:val="fr-FR"/>
        </w:rPr>
        <w:t xml:space="preserve"> </w:t>
      </w:r>
    </w:p>
    <w:p w14:paraId="4D38B82B" w14:textId="1274A7B8" w:rsidR="0015147A" w:rsidRPr="00B84558" w:rsidRDefault="0015147A" w:rsidP="00C24808">
      <w:pPr>
        <w:pStyle w:val="SingleTxtG"/>
        <w:ind w:left="2268"/>
        <w:rPr>
          <w:rFonts w:eastAsiaTheme="minorEastAsia"/>
          <w:b/>
          <w:lang w:val="fr-FR"/>
        </w:rPr>
      </w:pPr>
      <w:proofErr w:type="gramStart"/>
      <w:r>
        <w:rPr>
          <w:b/>
          <w:bCs/>
          <w:lang w:val="fr-FR"/>
        </w:rPr>
        <w:t>où</w:t>
      </w:r>
      <w:proofErr w:type="gramEnd"/>
      <w:r>
        <w:rPr>
          <w:b/>
          <w:bCs/>
          <w:lang w:val="fr-FR"/>
        </w:rPr>
        <w:t xml:space="preserve"> </w:t>
      </w:r>
      <w:proofErr w:type="spellStart"/>
      <w:r>
        <w:rPr>
          <w:b/>
          <w:bCs/>
          <w:lang w:val="fr-FR"/>
        </w:rPr>
        <w:t>R</w:t>
      </w:r>
      <w:r>
        <w:rPr>
          <w:b/>
          <w:bCs/>
          <w:vertAlign w:val="subscript"/>
          <w:lang w:val="fr-FR"/>
        </w:rPr>
        <w:t>s</w:t>
      </w:r>
      <w:proofErr w:type="spellEnd"/>
      <w:r>
        <w:rPr>
          <w:b/>
          <w:bCs/>
          <w:lang w:val="fr-FR"/>
        </w:rPr>
        <w:t xml:space="preserve"> = P</w:t>
      </w:r>
      <w:r>
        <w:rPr>
          <w:b/>
          <w:bCs/>
          <w:vertAlign w:val="subscript"/>
          <w:lang w:val="fr-FR"/>
        </w:rPr>
        <w:t>s</w:t>
      </w:r>
      <w:r w:rsidR="00873176" w:rsidRPr="00873176">
        <w:rPr>
          <w:b/>
          <w:bCs/>
          <w:lang w:val="fr-FR"/>
        </w:rPr>
        <w:t xml:space="preserve"> </w:t>
      </w:r>
      <w:r>
        <w:rPr>
          <w:b/>
          <w:bCs/>
          <w:lang w:val="fr-FR"/>
        </w:rPr>
        <w:t>/</w:t>
      </w:r>
      <w:r w:rsidR="00873176">
        <w:rPr>
          <w:b/>
          <w:bCs/>
          <w:lang w:val="fr-FR"/>
        </w:rPr>
        <w:t xml:space="preserve"> </w:t>
      </w:r>
      <w:r>
        <w:rPr>
          <w:b/>
          <w:bCs/>
          <w:lang w:val="fr-FR"/>
        </w:rPr>
        <w:t>PSN, P</w:t>
      </w:r>
      <w:r>
        <w:rPr>
          <w:b/>
          <w:bCs/>
          <w:vertAlign w:val="subscript"/>
          <w:lang w:val="fr-FR"/>
        </w:rPr>
        <w:t>s</w:t>
      </w:r>
      <w:r>
        <w:rPr>
          <w:b/>
          <w:bCs/>
          <w:lang w:val="fr-FR"/>
        </w:rPr>
        <w:t xml:space="preserve"> est la plage de pressions du capteur de pression (MPa), PSN la pression de service nominale (MPa), V</w:t>
      </w:r>
      <w:r>
        <w:rPr>
          <w:b/>
          <w:bCs/>
          <w:vertAlign w:val="subscript"/>
          <w:lang w:val="fr-FR"/>
        </w:rPr>
        <w:t>CHSS</w:t>
      </w:r>
      <w:r>
        <w:rPr>
          <w:b/>
          <w:bCs/>
          <w:lang w:val="fr-FR"/>
        </w:rPr>
        <w:t xml:space="preserve"> la capacité du système de stockage d’hydrogène comprimé (l), et </w:t>
      </w:r>
      <w:proofErr w:type="spellStart"/>
      <w:r>
        <w:rPr>
          <w:b/>
          <w:bCs/>
          <w:lang w:val="fr-FR"/>
        </w:rPr>
        <w:t>Δt</w:t>
      </w:r>
      <w:proofErr w:type="spellEnd"/>
      <w:r>
        <w:rPr>
          <w:b/>
          <w:bCs/>
          <w:lang w:val="fr-FR"/>
        </w:rPr>
        <w:t xml:space="preserve"> l’intervalle de temps (min).</w:t>
      </w:r>
      <w:r>
        <w:rPr>
          <w:lang w:val="fr-FR"/>
        </w:rPr>
        <w:t xml:space="preserve"> </w:t>
      </w:r>
    </w:p>
    <w:p w14:paraId="13FE270F" w14:textId="4C27A942" w:rsidR="0015147A" w:rsidRPr="00B84558" w:rsidRDefault="0015147A" w:rsidP="00205F5C">
      <w:pPr>
        <w:pStyle w:val="SingleTxtG"/>
        <w:ind w:left="2268" w:hanging="1134"/>
        <w:rPr>
          <w:rFonts w:eastAsiaTheme="minorEastAsia"/>
          <w:b/>
          <w:lang w:val="fr-FR"/>
        </w:rPr>
      </w:pPr>
      <w:r>
        <w:rPr>
          <w:b/>
          <w:bCs/>
          <w:lang w:val="fr-FR"/>
        </w:rPr>
        <w:t>5.1.3</w:t>
      </w:r>
      <w:r>
        <w:rPr>
          <w:lang w:val="fr-FR"/>
        </w:rPr>
        <w:tab/>
      </w:r>
      <w:r>
        <w:rPr>
          <w:b/>
          <w:bCs/>
          <w:lang w:val="fr-FR"/>
        </w:rPr>
        <w:t xml:space="preserve">Si la valeur de </w:t>
      </w:r>
      <w:proofErr w:type="spellStart"/>
      <w:r>
        <w:rPr>
          <w:b/>
          <w:bCs/>
          <w:lang w:val="fr-FR"/>
        </w:rPr>
        <w:t>Δt</w:t>
      </w:r>
      <w:proofErr w:type="spellEnd"/>
      <w:r>
        <w:rPr>
          <w:b/>
          <w:bCs/>
          <w:lang w:val="fr-FR"/>
        </w:rPr>
        <w:t xml:space="preserve"> obtenue est inférieure à 60 min, </w:t>
      </w:r>
      <w:proofErr w:type="spellStart"/>
      <w:r>
        <w:rPr>
          <w:b/>
          <w:bCs/>
          <w:lang w:val="fr-FR"/>
        </w:rPr>
        <w:t>Δt</w:t>
      </w:r>
      <w:proofErr w:type="spellEnd"/>
      <w:r>
        <w:rPr>
          <w:b/>
          <w:bCs/>
          <w:lang w:val="fr-FR"/>
        </w:rPr>
        <w:t xml:space="preserve"> est fixé à 60 min.</w:t>
      </w:r>
    </w:p>
    <w:p w14:paraId="182D3156" w14:textId="7C2080B3" w:rsidR="0015147A" w:rsidRPr="00B84558" w:rsidRDefault="0015147A" w:rsidP="00205F5C">
      <w:pPr>
        <w:pStyle w:val="SingleTxtG"/>
        <w:ind w:left="2268" w:hanging="1134"/>
        <w:rPr>
          <w:rFonts w:eastAsiaTheme="minorEastAsia"/>
          <w:b/>
          <w:lang w:val="fr-FR"/>
        </w:rPr>
      </w:pPr>
      <w:r>
        <w:rPr>
          <w:b/>
          <w:bCs/>
          <w:lang w:val="fr-FR"/>
        </w:rPr>
        <w:t>5.2</w:t>
      </w:r>
      <w:r>
        <w:rPr>
          <w:lang w:val="fr-FR"/>
        </w:rPr>
        <w:tab/>
      </w:r>
      <w:r>
        <w:rPr>
          <w:b/>
          <w:bCs/>
          <w:lang w:val="fr-FR"/>
        </w:rPr>
        <w:t>La masse initiale de l’hélium dans le système de stockage est calculée comme suit :</w:t>
      </w:r>
    </w:p>
    <w:p w14:paraId="18CA5D47" w14:textId="2C0E8549" w:rsidR="0015147A" w:rsidRPr="00B84558" w:rsidRDefault="0015147A" w:rsidP="00C24808">
      <w:pPr>
        <w:pStyle w:val="SingleTxtG"/>
        <w:ind w:left="2268"/>
        <w:rPr>
          <w:rFonts w:eastAsiaTheme="minorEastAsia"/>
          <w:b/>
          <w:lang w:val="fr-FR"/>
        </w:rPr>
      </w:pPr>
      <w:r>
        <w:rPr>
          <w:b/>
          <w:bCs/>
          <w:lang w:val="fr-FR"/>
        </w:rPr>
        <w:t>P</w:t>
      </w:r>
      <w:r>
        <w:rPr>
          <w:b/>
          <w:bCs/>
          <w:vertAlign w:val="subscript"/>
          <w:lang w:val="fr-FR"/>
        </w:rPr>
        <w:t>0</w:t>
      </w:r>
      <w:r>
        <w:rPr>
          <w:b/>
          <w:bCs/>
          <w:lang w:val="fr-FR"/>
        </w:rPr>
        <w:t>’ = P</w:t>
      </w:r>
      <w:r>
        <w:rPr>
          <w:b/>
          <w:bCs/>
          <w:vertAlign w:val="subscript"/>
          <w:lang w:val="fr-FR"/>
        </w:rPr>
        <w:t>0</w:t>
      </w:r>
      <w:r>
        <w:rPr>
          <w:b/>
          <w:bCs/>
          <w:lang w:val="fr-FR"/>
        </w:rPr>
        <w:t xml:space="preserve"> × 288</w:t>
      </w:r>
      <w:r w:rsidR="00873176">
        <w:rPr>
          <w:b/>
          <w:bCs/>
          <w:lang w:val="fr-FR"/>
        </w:rPr>
        <w:t xml:space="preserve"> </w:t>
      </w:r>
      <w:r>
        <w:rPr>
          <w:b/>
          <w:bCs/>
          <w:lang w:val="fr-FR"/>
        </w:rPr>
        <w:t>/</w:t>
      </w:r>
      <w:r w:rsidR="00873176">
        <w:rPr>
          <w:b/>
          <w:bCs/>
          <w:lang w:val="fr-FR"/>
        </w:rPr>
        <w:t xml:space="preserve"> </w:t>
      </w:r>
      <w:r>
        <w:rPr>
          <w:b/>
          <w:bCs/>
          <w:lang w:val="fr-FR"/>
        </w:rPr>
        <w:t>(273 + T</w:t>
      </w:r>
      <w:r>
        <w:rPr>
          <w:b/>
          <w:bCs/>
          <w:vertAlign w:val="subscript"/>
          <w:lang w:val="fr-FR"/>
        </w:rPr>
        <w:t>0</w:t>
      </w:r>
      <w:r>
        <w:rPr>
          <w:b/>
          <w:bCs/>
          <w:lang w:val="fr-FR"/>
        </w:rPr>
        <w:t>)</w:t>
      </w:r>
    </w:p>
    <w:p w14:paraId="266926A4" w14:textId="77777777" w:rsidR="0015147A" w:rsidRPr="00B84558" w:rsidRDefault="0015147A" w:rsidP="00C24808">
      <w:pPr>
        <w:pStyle w:val="SingleTxtG"/>
        <w:ind w:left="2268"/>
        <w:rPr>
          <w:rFonts w:eastAsiaTheme="minorEastAsia"/>
          <w:b/>
          <w:lang w:val="fr-FR"/>
        </w:rPr>
      </w:pPr>
      <w:proofErr w:type="gramStart"/>
      <w:r>
        <w:rPr>
          <w:b/>
          <w:bCs/>
          <w:lang w:val="fr-FR"/>
        </w:rPr>
        <w:t>ρ</w:t>
      </w:r>
      <w:proofErr w:type="gramEnd"/>
      <w:r>
        <w:rPr>
          <w:b/>
          <w:bCs/>
          <w:vertAlign w:val="subscript"/>
          <w:lang w:val="fr-FR"/>
        </w:rPr>
        <w:t>0</w:t>
      </w:r>
      <w:r>
        <w:rPr>
          <w:b/>
          <w:bCs/>
          <w:lang w:val="fr-FR"/>
        </w:rPr>
        <w:t>’ = -0,0043 × (P</w:t>
      </w:r>
      <w:r>
        <w:rPr>
          <w:b/>
          <w:bCs/>
          <w:vertAlign w:val="subscript"/>
          <w:lang w:val="fr-FR"/>
        </w:rPr>
        <w:t>0</w:t>
      </w:r>
      <w:r>
        <w:rPr>
          <w:b/>
          <w:bCs/>
          <w:lang w:val="fr-FR"/>
        </w:rPr>
        <w:t>’)</w:t>
      </w:r>
      <w:r w:rsidRPr="00873176">
        <w:rPr>
          <w:b/>
          <w:bCs/>
          <w:vertAlign w:val="superscript"/>
          <w:lang w:val="fr-FR"/>
        </w:rPr>
        <w:t>2</w:t>
      </w:r>
      <w:r>
        <w:rPr>
          <w:b/>
          <w:bCs/>
          <w:lang w:val="fr-FR"/>
        </w:rPr>
        <w:t xml:space="preserve"> + 1,53 × P</w:t>
      </w:r>
      <w:r>
        <w:rPr>
          <w:b/>
          <w:bCs/>
          <w:vertAlign w:val="subscript"/>
          <w:lang w:val="fr-FR"/>
        </w:rPr>
        <w:t>0</w:t>
      </w:r>
      <w:r>
        <w:rPr>
          <w:b/>
          <w:bCs/>
          <w:lang w:val="fr-FR"/>
        </w:rPr>
        <w:t>’ + 1,49</w:t>
      </w:r>
    </w:p>
    <w:p w14:paraId="2AFC1DBF" w14:textId="77777777" w:rsidR="0015147A" w:rsidRPr="00B84558" w:rsidRDefault="0015147A" w:rsidP="00C24808">
      <w:pPr>
        <w:pStyle w:val="SingleTxtG"/>
        <w:ind w:left="2268"/>
        <w:rPr>
          <w:rFonts w:eastAsiaTheme="minorEastAsia"/>
          <w:b/>
          <w:lang w:val="fr-FR"/>
        </w:rPr>
      </w:pPr>
      <w:r>
        <w:rPr>
          <w:b/>
          <w:bCs/>
          <w:lang w:val="fr-FR"/>
        </w:rPr>
        <w:t>M</w:t>
      </w:r>
      <w:r>
        <w:rPr>
          <w:b/>
          <w:bCs/>
          <w:vertAlign w:val="subscript"/>
          <w:lang w:val="fr-FR"/>
        </w:rPr>
        <w:t>0</w:t>
      </w:r>
      <w:r>
        <w:rPr>
          <w:b/>
          <w:bCs/>
          <w:lang w:val="fr-FR"/>
        </w:rPr>
        <w:t xml:space="preserve"> = ρ</w:t>
      </w:r>
      <w:r>
        <w:rPr>
          <w:b/>
          <w:bCs/>
          <w:vertAlign w:val="subscript"/>
          <w:lang w:val="fr-FR"/>
        </w:rPr>
        <w:t>0</w:t>
      </w:r>
      <w:r>
        <w:rPr>
          <w:b/>
          <w:bCs/>
          <w:lang w:val="fr-FR"/>
        </w:rPr>
        <w:t>’ × V</w:t>
      </w:r>
      <w:r>
        <w:rPr>
          <w:b/>
          <w:bCs/>
          <w:vertAlign w:val="subscript"/>
          <w:lang w:val="fr-FR"/>
        </w:rPr>
        <w:t>CHSS</w:t>
      </w:r>
    </w:p>
    <w:p w14:paraId="250DFCC2" w14:textId="54BCD0A1" w:rsidR="0015147A" w:rsidRPr="00B84558" w:rsidRDefault="0015147A" w:rsidP="00205F5C">
      <w:pPr>
        <w:pStyle w:val="SingleTxtG"/>
        <w:ind w:left="2268" w:hanging="1134"/>
        <w:rPr>
          <w:rFonts w:eastAsiaTheme="minorEastAsia"/>
          <w:b/>
          <w:lang w:val="fr-FR"/>
        </w:rPr>
      </w:pPr>
      <w:r>
        <w:rPr>
          <w:b/>
          <w:bCs/>
          <w:lang w:val="fr-FR"/>
        </w:rPr>
        <w:t>5.3</w:t>
      </w:r>
      <w:r>
        <w:rPr>
          <w:lang w:val="fr-FR"/>
        </w:rPr>
        <w:tab/>
      </w:r>
      <w:r>
        <w:rPr>
          <w:b/>
          <w:bCs/>
          <w:lang w:val="fr-FR"/>
        </w:rPr>
        <w:t xml:space="preserve">La masse finale de l’hélium dans le système de stockage à la fin de l’intervalle de temps </w:t>
      </w:r>
      <w:proofErr w:type="spellStart"/>
      <w:r>
        <w:rPr>
          <w:b/>
          <w:bCs/>
          <w:lang w:val="fr-FR"/>
        </w:rPr>
        <w:t>Δt</w:t>
      </w:r>
      <w:proofErr w:type="spellEnd"/>
      <w:r>
        <w:rPr>
          <w:b/>
          <w:bCs/>
          <w:lang w:val="fr-FR"/>
        </w:rPr>
        <w:t xml:space="preserve"> est calculée comme suit :</w:t>
      </w:r>
    </w:p>
    <w:p w14:paraId="24A6662F" w14:textId="03FF395C" w:rsidR="0015147A" w:rsidRPr="00B84558" w:rsidRDefault="0015147A" w:rsidP="00C24808">
      <w:pPr>
        <w:pStyle w:val="SingleTxtG"/>
        <w:ind w:left="2268"/>
        <w:rPr>
          <w:rFonts w:eastAsiaTheme="minorEastAsia"/>
          <w:b/>
          <w:lang w:val="fr-FR"/>
        </w:rPr>
      </w:pPr>
      <w:r>
        <w:rPr>
          <w:b/>
          <w:bCs/>
          <w:lang w:val="fr-FR"/>
        </w:rPr>
        <w:t>P</w:t>
      </w:r>
      <w:r>
        <w:rPr>
          <w:b/>
          <w:bCs/>
          <w:vertAlign w:val="subscript"/>
          <w:lang w:val="fr-FR"/>
        </w:rPr>
        <w:t>f</w:t>
      </w:r>
      <w:r>
        <w:rPr>
          <w:b/>
          <w:bCs/>
          <w:lang w:val="fr-FR"/>
        </w:rPr>
        <w:t>’ = P</w:t>
      </w:r>
      <w:r>
        <w:rPr>
          <w:b/>
          <w:bCs/>
          <w:vertAlign w:val="subscript"/>
          <w:lang w:val="fr-FR"/>
        </w:rPr>
        <w:t>f</w:t>
      </w:r>
      <w:r>
        <w:rPr>
          <w:b/>
          <w:bCs/>
          <w:lang w:val="fr-FR"/>
        </w:rPr>
        <w:t xml:space="preserve"> × 288</w:t>
      </w:r>
      <w:r w:rsidR="00873176">
        <w:rPr>
          <w:b/>
          <w:bCs/>
          <w:lang w:val="fr-FR"/>
        </w:rPr>
        <w:t xml:space="preserve"> </w:t>
      </w:r>
      <w:r>
        <w:rPr>
          <w:b/>
          <w:bCs/>
          <w:lang w:val="fr-FR"/>
        </w:rPr>
        <w:t>/</w:t>
      </w:r>
      <w:r w:rsidR="00873176">
        <w:rPr>
          <w:b/>
          <w:bCs/>
          <w:lang w:val="fr-FR"/>
        </w:rPr>
        <w:t xml:space="preserve"> </w:t>
      </w:r>
      <w:r>
        <w:rPr>
          <w:b/>
          <w:bCs/>
          <w:lang w:val="fr-FR"/>
        </w:rPr>
        <w:t>(273 + T</w:t>
      </w:r>
      <w:r>
        <w:rPr>
          <w:b/>
          <w:bCs/>
          <w:vertAlign w:val="subscript"/>
          <w:lang w:val="fr-FR"/>
        </w:rPr>
        <w:t>f</w:t>
      </w:r>
      <w:r>
        <w:rPr>
          <w:b/>
          <w:bCs/>
          <w:lang w:val="fr-FR"/>
        </w:rPr>
        <w:t>)</w:t>
      </w:r>
    </w:p>
    <w:p w14:paraId="1EAAEC66" w14:textId="77777777" w:rsidR="0015147A" w:rsidRPr="00B84558" w:rsidRDefault="0015147A" w:rsidP="00C24808">
      <w:pPr>
        <w:pStyle w:val="SingleTxtG"/>
        <w:ind w:left="2268"/>
        <w:rPr>
          <w:rFonts w:eastAsiaTheme="minorEastAsia"/>
          <w:b/>
          <w:lang w:val="fr-FR"/>
        </w:rPr>
      </w:pPr>
      <w:proofErr w:type="spellStart"/>
      <w:proofErr w:type="gramStart"/>
      <w:r>
        <w:rPr>
          <w:b/>
          <w:bCs/>
          <w:lang w:val="fr-FR"/>
        </w:rPr>
        <w:t>ρ</w:t>
      </w:r>
      <w:proofErr w:type="gramEnd"/>
      <w:r>
        <w:rPr>
          <w:b/>
          <w:bCs/>
          <w:vertAlign w:val="subscript"/>
          <w:lang w:val="fr-FR"/>
        </w:rPr>
        <w:t>f</w:t>
      </w:r>
      <w:proofErr w:type="spellEnd"/>
      <w:r>
        <w:rPr>
          <w:b/>
          <w:bCs/>
          <w:lang w:val="fr-FR"/>
        </w:rPr>
        <w:t>’ = -0,0043 × (P</w:t>
      </w:r>
      <w:r>
        <w:rPr>
          <w:b/>
          <w:bCs/>
          <w:vertAlign w:val="subscript"/>
          <w:lang w:val="fr-FR"/>
        </w:rPr>
        <w:t>f</w:t>
      </w:r>
      <w:r>
        <w:rPr>
          <w:b/>
          <w:bCs/>
          <w:lang w:val="fr-FR"/>
        </w:rPr>
        <w:t>’)</w:t>
      </w:r>
      <w:r>
        <w:rPr>
          <w:b/>
          <w:bCs/>
          <w:vertAlign w:val="superscript"/>
          <w:lang w:val="fr-FR"/>
        </w:rPr>
        <w:t>2</w:t>
      </w:r>
      <w:r>
        <w:rPr>
          <w:b/>
          <w:bCs/>
          <w:lang w:val="fr-FR"/>
        </w:rPr>
        <w:t xml:space="preserve"> + 1,53 × P</w:t>
      </w:r>
      <w:r>
        <w:rPr>
          <w:b/>
          <w:bCs/>
          <w:vertAlign w:val="subscript"/>
          <w:lang w:val="fr-FR"/>
        </w:rPr>
        <w:t>f</w:t>
      </w:r>
      <w:r>
        <w:rPr>
          <w:b/>
          <w:bCs/>
          <w:lang w:val="fr-FR"/>
        </w:rPr>
        <w:t>’ + 1,49</w:t>
      </w:r>
    </w:p>
    <w:p w14:paraId="1E3BB7EF" w14:textId="77777777" w:rsidR="0015147A" w:rsidRPr="00B84558" w:rsidRDefault="0015147A" w:rsidP="00C24808">
      <w:pPr>
        <w:pStyle w:val="SingleTxtG"/>
        <w:ind w:left="2268"/>
        <w:rPr>
          <w:rFonts w:eastAsiaTheme="minorEastAsia"/>
          <w:b/>
          <w:lang w:val="fr-FR"/>
        </w:rPr>
      </w:pPr>
      <w:proofErr w:type="spellStart"/>
      <w:r>
        <w:rPr>
          <w:b/>
          <w:bCs/>
          <w:lang w:val="fr-FR"/>
        </w:rPr>
        <w:t>M</w:t>
      </w:r>
      <w:r>
        <w:rPr>
          <w:b/>
          <w:bCs/>
          <w:vertAlign w:val="subscript"/>
          <w:lang w:val="fr-FR"/>
        </w:rPr>
        <w:t>f</w:t>
      </w:r>
      <w:proofErr w:type="spellEnd"/>
      <w:r>
        <w:rPr>
          <w:b/>
          <w:bCs/>
          <w:lang w:val="fr-FR"/>
        </w:rPr>
        <w:t xml:space="preserve"> = </w:t>
      </w:r>
      <w:proofErr w:type="spellStart"/>
      <w:r>
        <w:rPr>
          <w:b/>
          <w:bCs/>
          <w:lang w:val="fr-FR"/>
        </w:rPr>
        <w:t>ρ</w:t>
      </w:r>
      <w:r>
        <w:rPr>
          <w:b/>
          <w:bCs/>
          <w:vertAlign w:val="subscript"/>
          <w:lang w:val="fr-FR"/>
        </w:rPr>
        <w:t>f</w:t>
      </w:r>
      <w:proofErr w:type="spellEnd"/>
      <w:r>
        <w:rPr>
          <w:b/>
          <w:bCs/>
          <w:lang w:val="fr-FR"/>
        </w:rPr>
        <w:t>’ × V</w:t>
      </w:r>
      <w:r>
        <w:rPr>
          <w:b/>
          <w:bCs/>
          <w:vertAlign w:val="subscript"/>
          <w:lang w:val="fr-FR"/>
        </w:rPr>
        <w:t>CHSS</w:t>
      </w:r>
    </w:p>
    <w:p w14:paraId="740C0C1C" w14:textId="77777777" w:rsidR="0015147A" w:rsidRPr="00B84558" w:rsidRDefault="0015147A" w:rsidP="00C24808">
      <w:pPr>
        <w:pStyle w:val="SingleTxtG"/>
        <w:ind w:left="2268"/>
        <w:rPr>
          <w:rFonts w:eastAsiaTheme="minorEastAsia"/>
          <w:b/>
          <w:lang w:val="fr-FR"/>
        </w:rPr>
      </w:pPr>
      <w:proofErr w:type="gramStart"/>
      <w:r>
        <w:rPr>
          <w:b/>
          <w:bCs/>
          <w:lang w:val="fr-FR"/>
        </w:rPr>
        <w:t>où</w:t>
      </w:r>
      <w:proofErr w:type="gramEnd"/>
      <w:r>
        <w:rPr>
          <w:b/>
          <w:bCs/>
          <w:lang w:val="fr-FR"/>
        </w:rPr>
        <w:t xml:space="preserve"> P</w:t>
      </w:r>
      <w:r>
        <w:rPr>
          <w:b/>
          <w:bCs/>
          <w:vertAlign w:val="subscript"/>
          <w:lang w:val="fr-FR"/>
        </w:rPr>
        <w:t>f</w:t>
      </w:r>
      <w:r>
        <w:rPr>
          <w:b/>
          <w:bCs/>
          <w:lang w:val="fr-FR"/>
        </w:rPr>
        <w:t xml:space="preserve"> est la pression finale mesurée (MPa) à la fin de l’intervalle de temps, et T</w:t>
      </w:r>
      <w:r>
        <w:rPr>
          <w:b/>
          <w:bCs/>
          <w:vertAlign w:val="subscript"/>
          <w:lang w:val="fr-FR"/>
        </w:rPr>
        <w:t>f</w:t>
      </w:r>
      <w:r>
        <w:rPr>
          <w:b/>
          <w:bCs/>
          <w:lang w:val="fr-FR"/>
        </w:rPr>
        <w:t xml:space="preserve"> est la température finale mesurée (°C).</w:t>
      </w:r>
    </w:p>
    <w:p w14:paraId="0D398889" w14:textId="521D51AC" w:rsidR="0015147A" w:rsidRPr="00B84558" w:rsidRDefault="0015147A" w:rsidP="00873176">
      <w:pPr>
        <w:pStyle w:val="SingleTxtG"/>
        <w:keepNext/>
        <w:ind w:left="2268" w:hanging="1134"/>
        <w:rPr>
          <w:rFonts w:eastAsiaTheme="minorEastAsia"/>
          <w:b/>
          <w:lang w:val="fr-FR"/>
        </w:rPr>
      </w:pPr>
      <w:r>
        <w:rPr>
          <w:b/>
          <w:bCs/>
          <w:lang w:val="fr-FR"/>
        </w:rPr>
        <w:lastRenderedPageBreak/>
        <w:t>5.4</w:t>
      </w:r>
      <w:r>
        <w:rPr>
          <w:lang w:val="fr-FR"/>
        </w:rPr>
        <w:tab/>
      </w:r>
      <w:r>
        <w:rPr>
          <w:b/>
          <w:bCs/>
          <w:lang w:val="fr-FR"/>
        </w:rPr>
        <w:t>Le débit moyen d’hélium pendant l’intervalle de temps se calcule donc comme suit :</w:t>
      </w:r>
    </w:p>
    <w:p w14:paraId="733794B5" w14:textId="35A5636B" w:rsidR="0015147A" w:rsidRPr="0015147A" w:rsidRDefault="0015147A" w:rsidP="00C24808">
      <w:pPr>
        <w:pStyle w:val="SingleTxtG"/>
        <w:ind w:left="2268"/>
        <w:rPr>
          <w:rFonts w:eastAsiaTheme="minorEastAsia"/>
          <w:b/>
          <w:lang w:val="en-US"/>
        </w:rPr>
      </w:pPr>
      <w:proofErr w:type="spellStart"/>
      <w:r w:rsidRPr="00B84558">
        <w:rPr>
          <w:b/>
          <w:bCs/>
          <w:lang w:val="en-US"/>
        </w:rPr>
        <w:t>V</w:t>
      </w:r>
      <w:r w:rsidRPr="00B84558">
        <w:rPr>
          <w:b/>
          <w:bCs/>
          <w:vertAlign w:val="subscript"/>
          <w:lang w:val="en-US"/>
        </w:rPr>
        <w:t>He</w:t>
      </w:r>
      <w:proofErr w:type="spellEnd"/>
      <w:r w:rsidRPr="00B84558">
        <w:rPr>
          <w:b/>
          <w:bCs/>
          <w:lang w:val="en-US"/>
        </w:rPr>
        <w:t xml:space="preserve"> = (</w:t>
      </w:r>
      <w:proofErr w:type="spellStart"/>
      <w:r w:rsidRPr="00B84558">
        <w:rPr>
          <w:b/>
          <w:bCs/>
          <w:lang w:val="en-US"/>
        </w:rPr>
        <w:t>M</w:t>
      </w:r>
      <w:r w:rsidRPr="00B84558">
        <w:rPr>
          <w:b/>
          <w:bCs/>
          <w:vertAlign w:val="subscript"/>
          <w:lang w:val="en-US"/>
        </w:rPr>
        <w:t>f</w:t>
      </w:r>
      <w:proofErr w:type="spellEnd"/>
      <w:r w:rsidRPr="00B84558">
        <w:rPr>
          <w:b/>
          <w:bCs/>
          <w:lang w:val="en-US"/>
        </w:rPr>
        <w:t xml:space="preserve"> – M</w:t>
      </w:r>
      <w:r w:rsidRPr="00B84558">
        <w:rPr>
          <w:b/>
          <w:bCs/>
          <w:vertAlign w:val="subscript"/>
          <w:lang w:val="en-US"/>
        </w:rPr>
        <w:t>0</w:t>
      </w:r>
      <w:r w:rsidRPr="00B84558">
        <w:rPr>
          <w:b/>
          <w:bCs/>
          <w:lang w:val="en-US"/>
        </w:rPr>
        <w:t>)</w:t>
      </w:r>
      <w:r w:rsidR="00873176">
        <w:rPr>
          <w:b/>
          <w:bCs/>
          <w:lang w:val="en-US"/>
        </w:rPr>
        <w:t xml:space="preserve"> </w:t>
      </w:r>
      <w:r w:rsidRPr="00B84558">
        <w:rPr>
          <w:b/>
          <w:bCs/>
          <w:lang w:val="en-US"/>
        </w:rPr>
        <w:t xml:space="preserve">/ </w:t>
      </w:r>
      <w:r>
        <w:rPr>
          <w:b/>
          <w:bCs/>
          <w:lang w:val="fr-FR"/>
        </w:rPr>
        <w:t>Δ</w:t>
      </w:r>
      <w:r w:rsidRPr="00B84558">
        <w:rPr>
          <w:b/>
          <w:bCs/>
          <w:lang w:val="en-US"/>
        </w:rPr>
        <w:t>t × 22,41</w:t>
      </w:r>
      <w:r w:rsidR="00873176">
        <w:rPr>
          <w:b/>
          <w:bCs/>
          <w:lang w:val="en-US"/>
        </w:rPr>
        <w:t xml:space="preserve"> </w:t>
      </w:r>
      <w:r>
        <w:rPr>
          <w:b/>
          <w:bCs/>
          <w:lang w:val="en-US"/>
        </w:rPr>
        <w:t>/</w:t>
      </w:r>
      <w:r w:rsidR="00873176">
        <w:rPr>
          <w:b/>
          <w:bCs/>
          <w:lang w:val="en-US"/>
        </w:rPr>
        <w:t xml:space="preserve"> </w:t>
      </w:r>
      <w:r w:rsidRPr="00B84558">
        <w:rPr>
          <w:b/>
          <w:bCs/>
          <w:lang w:val="en-US"/>
        </w:rPr>
        <w:t>4,003 × (</w:t>
      </w:r>
      <w:proofErr w:type="spellStart"/>
      <w:r w:rsidRPr="00B84558">
        <w:rPr>
          <w:b/>
          <w:bCs/>
          <w:lang w:val="en-US"/>
        </w:rPr>
        <w:t>P</w:t>
      </w:r>
      <w:r w:rsidRPr="00B84558">
        <w:rPr>
          <w:b/>
          <w:bCs/>
          <w:vertAlign w:val="subscript"/>
          <w:lang w:val="en-US"/>
        </w:rPr>
        <w:t>target</w:t>
      </w:r>
      <w:proofErr w:type="spellEnd"/>
      <w:r w:rsidRPr="00873176">
        <w:rPr>
          <w:b/>
          <w:bCs/>
          <w:lang w:val="en-US"/>
        </w:rPr>
        <w:t>/</w:t>
      </w:r>
      <w:r w:rsidRPr="00B84558">
        <w:rPr>
          <w:b/>
          <w:bCs/>
          <w:lang w:val="en-US"/>
        </w:rPr>
        <w:t>P</w:t>
      </w:r>
      <w:r w:rsidRPr="00B84558">
        <w:rPr>
          <w:b/>
          <w:bCs/>
          <w:vertAlign w:val="subscript"/>
          <w:lang w:val="en-US"/>
        </w:rPr>
        <w:t>0</w:t>
      </w:r>
      <w:r w:rsidRPr="00B84558">
        <w:rPr>
          <w:b/>
          <w:bCs/>
          <w:lang w:val="en-US"/>
        </w:rPr>
        <w:t>)</w:t>
      </w:r>
    </w:p>
    <w:p w14:paraId="3650D2A6" w14:textId="326DEF84" w:rsidR="0015147A" w:rsidRPr="00B84558" w:rsidRDefault="0015147A" w:rsidP="00C24808">
      <w:pPr>
        <w:pStyle w:val="SingleTxtG"/>
        <w:ind w:left="2268"/>
        <w:rPr>
          <w:rFonts w:eastAsiaTheme="minorEastAsia"/>
          <w:b/>
          <w:lang w:val="fr-FR"/>
        </w:rPr>
      </w:pPr>
      <w:proofErr w:type="gramStart"/>
      <w:r>
        <w:rPr>
          <w:b/>
          <w:bCs/>
          <w:lang w:val="fr-FR"/>
        </w:rPr>
        <w:t>où</w:t>
      </w:r>
      <w:proofErr w:type="gramEnd"/>
      <w:r>
        <w:rPr>
          <w:b/>
          <w:bCs/>
          <w:lang w:val="fr-FR"/>
        </w:rPr>
        <w:t xml:space="preserve"> </w:t>
      </w:r>
      <w:proofErr w:type="spellStart"/>
      <w:r>
        <w:rPr>
          <w:b/>
          <w:bCs/>
          <w:lang w:val="fr-FR"/>
        </w:rPr>
        <w:t>V</w:t>
      </w:r>
      <w:r>
        <w:rPr>
          <w:b/>
          <w:bCs/>
          <w:vertAlign w:val="subscript"/>
          <w:lang w:val="fr-FR"/>
        </w:rPr>
        <w:t>He</w:t>
      </w:r>
      <w:proofErr w:type="spellEnd"/>
      <w:r>
        <w:rPr>
          <w:b/>
          <w:bCs/>
          <w:lang w:val="fr-FR"/>
        </w:rPr>
        <w:t xml:space="preserve"> est le débit volumique moyen (</w:t>
      </w:r>
      <w:proofErr w:type="spellStart"/>
      <w:r>
        <w:rPr>
          <w:b/>
          <w:bCs/>
          <w:lang w:val="fr-FR"/>
        </w:rPr>
        <w:t>Nl</w:t>
      </w:r>
      <w:proofErr w:type="spellEnd"/>
      <w:r>
        <w:rPr>
          <w:b/>
          <w:bCs/>
          <w:lang w:val="fr-FR"/>
        </w:rPr>
        <w:t xml:space="preserve">/min) pendant l’intervalle de temps et </w:t>
      </w:r>
      <w:proofErr w:type="spellStart"/>
      <w:r>
        <w:rPr>
          <w:b/>
          <w:bCs/>
          <w:lang w:val="fr-FR"/>
        </w:rPr>
        <w:t>P</w:t>
      </w:r>
      <w:r>
        <w:rPr>
          <w:b/>
          <w:bCs/>
          <w:vertAlign w:val="subscript"/>
          <w:lang w:val="fr-FR"/>
        </w:rPr>
        <w:t>target</w:t>
      </w:r>
      <w:proofErr w:type="spellEnd"/>
      <w:r w:rsidRPr="00873176">
        <w:rPr>
          <w:b/>
          <w:bCs/>
          <w:lang w:val="fr-FR"/>
        </w:rPr>
        <w:t>/</w:t>
      </w:r>
      <w:r>
        <w:rPr>
          <w:b/>
          <w:bCs/>
          <w:lang w:val="fr-FR"/>
        </w:rPr>
        <w:t>P</w:t>
      </w:r>
      <w:r>
        <w:rPr>
          <w:b/>
          <w:bCs/>
          <w:vertAlign w:val="subscript"/>
          <w:lang w:val="fr-FR"/>
        </w:rPr>
        <w:t>0</w:t>
      </w:r>
      <w:r>
        <w:rPr>
          <w:b/>
          <w:bCs/>
          <w:lang w:val="fr-FR"/>
        </w:rPr>
        <w:t xml:space="preserve"> sert à compenser les différences entre la pression initiale mesurée (P</w:t>
      </w:r>
      <w:r>
        <w:rPr>
          <w:b/>
          <w:bCs/>
          <w:vertAlign w:val="subscript"/>
          <w:lang w:val="fr-FR"/>
        </w:rPr>
        <w:t>0</w:t>
      </w:r>
      <w:r>
        <w:rPr>
          <w:b/>
          <w:bCs/>
          <w:lang w:val="fr-FR"/>
        </w:rPr>
        <w:t>) et la pression de remplissage visée (</w:t>
      </w:r>
      <w:proofErr w:type="spellStart"/>
      <w:r>
        <w:rPr>
          <w:b/>
          <w:bCs/>
          <w:lang w:val="fr-FR"/>
        </w:rPr>
        <w:t>P</w:t>
      </w:r>
      <w:r>
        <w:rPr>
          <w:b/>
          <w:bCs/>
          <w:vertAlign w:val="subscript"/>
          <w:lang w:val="fr-FR"/>
        </w:rPr>
        <w:t>target</w:t>
      </w:r>
      <w:proofErr w:type="spellEnd"/>
      <w:r>
        <w:rPr>
          <w:b/>
          <w:bCs/>
          <w:lang w:val="fr-FR"/>
        </w:rPr>
        <w:t>).</w:t>
      </w:r>
    </w:p>
    <w:p w14:paraId="55ADFD8D" w14:textId="5D202A6A" w:rsidR="0015147A" w:rsidRPr="00B84558" w:rsidRDefault="0015147A" w:rsidP="00205F5C">
      <w:pPr>
        <w:pStyle w:val="SingleTxtG"/>
        <w:ind w:left="2268" w:hanging="1134"/>
        <w:rPr>
          <w:rFonts w:eastAsiaTheme="minorEastAsia"/>
          <w:b/>
          <w:lang w:val="fr-FR"/>
        </w:rPr>
      </w:pPr>
      <w:r>
        <w:rPr>
          <w:b/>
          <w:bCs/>
          <w:lang w:val="fr-FR"/>
        </w:rPr>
        <w:t>5.5</w:t>
      </w:r>
      <w:r>
        <w:rPr>
          <w:lang w:val="fr-FR"/>
        </w:rPr>
        <w:tab/>
      </w:r>
      <w:r>
        <w:rPr>
          <w:b/>
          <w:bCs/>
          <w:lang w:val="fr-FR"/>
        </w:rPr>
        <w:t>La conversion du débit volumique moyen d’hélium en débit volumique moyen d’hydrogène est calculée au moyen de la formule suivante :</w:t>
      </w:r>
    </w:p>
    <w:p w14:paraId="0EE4DC7F" w14:textId="509795A8" w:rsidR="0015147A" w:rsidRPr="00B84558" w:rsidRDefault="0015147A" w:rsidP="00C24808">
      <w:pPr>
        <w:pStyle w:val="SingleTxtG"/>
        <w:ind w:left="2268"/>
        <w:rPr>
          <w:rFonts w:eastAsiaTheme="minorEastAsia"/>
          <w:b/>
          <w:vertAlign w:val="superscript"/>
          <w:lang w:val="fr-FR"/>
        </w:rPr>
      </w:pPr>
      <w:r>
        <w:rPr>
          <w:b/>
          <w:bCs/>
          <w:lang w:val="fr-FR"/>
        </w:rPr>
        <w:t>V</w:t>
      </w:r>
      <w:r>
        <w:rPr>
          <w:b/>
          <w:bCs/>
          <w:vertAlign w:val="subscript"/>
          <w:lang w:val="fr-FR"/>
        </w:rPr>
        <w:t>H2</w:t>
      </w:r>
      <w:r>
        <w:rPr>
          <w:b/>
          <w:bCs/>
          <w:lang w:val="fr-FR"/>
        </w:rPr>
        <w:t xml:space="preserve"> = </w:t>
      </w:r>
      <w:proofErr w:type="spellStart"/>
      <w:r>
        <w:rPr>
          <w:b/>
          <w:bCs/>
          <w:lang w:val="fr-FR"/>
        </w:rPr>
        <w:t>V</w:t>
      </w:r>
      <w:r>
        <w:rPr>
          <w:b/>
          <w:bCs/>
          <w:vertAlign w:val="subscript"/>
          <w:lang w:val="fr-FR"/>
        </w:rPr>
        <w:t>He</w:t>
      </w:r>
      <w:proofErr w:type="spellEnd"/>
      <w:r w:rsidR="00873176">
        <w:rPr>
          <w:b/>
          <w:bCs/>
          <w:vertAlign w:val="subscript"/>
          <w:lang w:val="fr-FR"/>
        </w:rPr>
        <w:t xml:space="preserve"> </w:t>
      </w:r>
      <w:r>
        <w:rPr>
          <w:b/>
          <w:bCs/>
          <w:lang w:val="fr-FR"/>
        </w:rPr>
        <w:t>/</w:t>
      </w:r>
      <w:r w:rsidR="00873176">
        <w:rPr>
          <w:b/>
          <w:bCs/>
          <w:lang w:val="fr-FR"/>
        </w:rPr>
        <w:t xml:space="preserve"> </w:t>
      </w:r>
      <w:r>
        <w:rPr>
          <w:b/>
          <w:bCs/>
          <w:lang w:val="fr-FR"/>
        </w:rPr>
        <w:t>0,75</w:t>
      </w:r>
    </w:p>
    <w:p w14:paraId="7CEBB88B" w14:textId="77777777" w:rsidR="0015147A" w:rsidRPr="00C24808" w:rsidRDefault="0015147A" w:rsidP="00C24808">
      <w:pPr>
        <w:pStyle w:val="SingleTxtG"/>
        <w:ind w:left="2268"/>
        <w:rPr>
          <w:rFonts w:eastAsiaTheme="minorEastAsia"/>
          <w:b/>
          <w:bCs/>
          <w:lang w:val="fr-FR"/>
        </w:rPr>
      </w:pPr>
      <w:proofErr w:type="gramStart"/>
      <w:r w:rsidRPr="00C24808">
        <w:rPr>
          <w:b/>
          <w:bCs/>
          <w:lang w:val="fr-FR"/>
        </w:rPr>
        <w:t>où</w:t>
      </w:r>
      <w:proofErr w:type="gramEnd"/>
      <w:r w:rsidRPr="00C24808">
        <w:rPr>
          <w:b/>
          <w:bCs/>
          <w:lang w:val="fr-FR"/>
        </w:rPr>
        <w:t xml:space="preserve"> V</w:t>
      </w:r>
      <w:r w:rsidRPr="00C24808">
        <w:rPr>
          <w:b/>
          <w:bCs/>
          <w:vertAlign w:val="subscript"/>
          <w:lang w:val="fr-FR"/>
        </w:rPr>
        <w:t>H2</w:t>
      </w:r>
      <w:r w:rsidRPr="00C24808">
        <w:rPr>
          <w:b/>
          <w:bCs/>
          <w:lang w:val="fr-FR"/>
        </w:rPr>
        <w:t xml:space="preserve"> est le débit volumique moyen d’hydrogène correspondant.</w:t>
      </w:r>
    </w:p>
    <w:p w14:paraId="7A13A67A" w14:textId="77777777" w:rsidR="0015147A" w:rsidRPr="00B84558" w:rsidRDefault="0015147A" w:rsidP="0015147A">
      <w:pPr>
        <w:pStyle w:val="HChG"/>
        <w:ind w:left="2268"/>
        <w:rPr>
          <w:bCs/>
          <w:lang w:val="fr-FR"/>
        </w:rPr>
      </w:pPr>
      <w:r>
        <w:rPr>
          <w:bCs/>
          <w:lang w:val="fr-FR"/>
        </w:rPr>
        <w:t>6.</w:t>
      </w:r>
      <w:r>
        <w:rPr>
          <w:lang w:val="fr-FR"/>
        </w:rPr>
        <w:tab/>
      </w:r>
      <w:r>
        <w:rPr>
          <w:lang w:val="fr-FR"/>
        </w:rPr>
        <w:tab/>
      </w:r>
      <w:r>
        <w:rPr>
          <w:bCs/>
          <w:lang w:val="fr-FR"/>
        </w:rPr>
        <w:t>Mesure des concentrations de gaz dans un espace fermé après le choc</w:t>
      </w:r>
    </w:p>
    <w:p w14:paraId="5EE68B6F" w14:textId="63205FD4" w:rsidR="0015147A" w:rsidRPr="00B84558" w:rsidRDefault="0015147A" w:rsidP="00205F5C">
      <w:pPr>
        <w:pStyle w:val="SingleTxtG"/>
        <w:ind w:left="2268" w:hanging="1134"/>
        <w:rPr>
          <w:rFonts w:eastAsiaTheme="minorEastAsia"/>
          <w:b/>
          <w:lang w:val="fr-FR"/>
        </w:rPr>
      </w:pPr>
      <w:r>
        <w:rPr>
          <w:b/>
          <w:bCs/>
          <w:lang w:val="fr-FR"/>
        </w:rPr>
        <w:t>6.1</w:t>
      </w:r>
      <w:r>
        <w:rPr>
          <w:lang w:val="fr-FR"/>
        </w:rPr>
        <w:tab/>
      </w:r>
      <w:r>
        <w:rPr>
          <w:b/>
          <w:bCs/>
          <w:lang w:val="fr-FR"/>
        </w:rPr>
        <w:t>Dans un espace fermé, les mesures commencent dès que le véhicule s’est immobilisé.</w:t>
      </w:r>
      <w:r>
        <w:rPr>
          <w:lang w:val="fr-FR"/>
        </w:rPr>
        <w:t xml:space="preserve"> </w:t>
      </w:r>
      <w:r>
        <w:rPr>
          <w:b/>
          <w:bCs/>
          <w:lang w:val="fr-FR"/>
        </w:rPr>
        <w:t>Les données mesurées par les capteurs installés conformément au paragraphe 3.2 de la présente annexe sont relevées au moins toutes les 5 s, et ce pendant 60 min après le choc.</w:t>
      </w:r>
      <w:r>
        <w:rPr>
          <w:lang w:val="fr-FR"/>
        </w:rPr>
        <w:t xml:space="preserve"> </w:t>
      </w:r>
      <w:r>
        <w:rPr>
          <w:b/>
          <w:bCs/>
          <w:lang w:val="fr-FR"/>
        </w:rPr>
        <w:t>Un déphasage du premier ordre (constante de temps) pouvant aller jusqu’à 5 s peut être appliqué aux mesures pour lisser les données et filtrer les effets des données aberrantes.</w:t>
      </w:r>
      <w:r>
        <w:rPr>
          <w:lang w:val="fr-FR"/>
        </w:rPr>
        <w:t> ».</w:t>
      </w:r>
    </w:p>
    <w:p w14:paraId="4D7FF791" w14:textId="77777777" w:rsidR="0015147A" w:rsidRPr="00B84558" w:rsidRDefault="0015147A" w:rsidP="0015147A">
      <w:pPr>
        <w:pStyle w:val="HChG"/>
        <w:rPr>
          <w:lang w:val="fr-FR"/>
        </w:rPr>
      </w:pPr>
      <w:r>
        <w:rPr>
          <w:bCs/>
          <w:lang w:val="fr-FR"/>
        </w:rPr>
        <w:tab/>
        <w:t>II.</w:t>
      </w:r>
      <w:r>
        <w:rPr>
          <w:lang w:val="fr-FR"/>
        </w:rPr>
        <w:tab/>
      </w:r>
      <w:r>
        <w:rPr>
          <w:bCs/>
          <w:lang w:val="fr-FR"/>
        </w:rPr>
        <w:t>Justification</w:t>
      </w:r>
    </w:p>
    <w:p w14:paraId="41495223" w14:textId="7DEDEE57" w:rsidR="0015147A" w:rsidRPr="00B84558" w:rsidRDefault="0015147A" w:rsidP="0015147A">
      <w:pPr>
        <w:pStyle w:val="SingleTxtG"/>
        <w:rPr>
          <w:lang w:val="fr-FR"/>
        </w:rPr>
      </w:pPr>
      <w:r>
        <w:rPr>
          <w:lang w:val="fr-FR"/>
        </w:rPr>
        <w:t>1.</w:t>
      </w:r>
      <w:r>
        <w:rPr>
          <w:lang w:val="fr-FR"/>
        </w:rPr>
        <w:tab/>
        <w:t>Des prescriptions concernant la sécurité des véhicules à hydrogène après un choc sont actuellement spécifiées dans le Règlement ONU n</w:t>
      </w:r>
      <w:r w:rsidR="00B139FA" w:rsidRPr="00B139FA">
        <w:rPr>
          <w:vertAlign w:val="superscript"/>
          <w:lang w:val="fr-FR"/>
        </w:rPr>
        <w:t>o</w:t>
      </w:r>
      <w:r>
        <w:rPr>
          <w:lang w:val="fr-FR"/>
        </w:rPr>
        <w:t xml:space="preserve"> 135 (Essai de choc latéral contre un poteau) et dans le Règlement ONU n</w:t>
      </w:r>
      <w:r>
        <w:rPr>
          <w:vertAlign w:val="superscript"/>
          <w:lang w:val="fr-FR"/>
        </w:rPr>
        <w:t>o</w:t>
      </w:r>
      <w:r>
        <w:rPr>
          <w:lang w:val="fr-FR"/>
        </w:rPr>
        <w:t xml:space="preserve"> 153 (Collision par l’arrière).</w:t>
      </w:r>
    </w:p>
    <w:p w14:paraId="34E0E819" w14:textId="77777777" w:rsidR="0015147A" w:rsidRPr="00B84558" w:rsidRDefault="0015147A" w:rsidP="0015147A">
      <w:pPr>
        <w:pStyle w:val="SingleTxtG"/>
        <w:rPr>
          <w:lang w:val="fr-FR"/>
        </w:rPr>
      </w:pPr>
      <w:r>
        <w:rPr>
          <w:lang w:val="fr-FR"/>
        </w:rPr>
        <w:t>2.</w:t>
      </w:r>
      <w:r>
        <w:rPr>
          <w:lang w:val="fr-FR"/>
        </w:rPr>
        <w:tab/>
        <w:t>Toutefois, ces prescriptions ne figurent pas dans d’autres règlements prévoyant des essais de choc grandeur nature, tels que les Règlements ONU n</w:t>
      </w:r>
      <w:r>
        <w:rPr>
          <w:vertAlign w:val="superscript"/>
          <w:lang w:val="fr-FR"/>
        </w:rPr>
        <w:t>os</w:t>
      </w:r>
      <w:r>
        <w:rPr>
          <w:lang w:val="fr-FR"/>
        </w:rPr>
        <w:t xml:space="preserve"> 94, 95 et 137, et dans le Règlement ONU n</w:t>
      </w:r>
      <w:r>
        <w:rPr>
          <w:vertAlign w:val="superscript"/>
          <w:lang w:val="fr-FR"/>
        </w:rPr>
        <w:t>o</w:t>
      </w:r>
      <w:r>
        <w:rPr>
          <w:lang w:val="fr-FR"/>
        </w:rPr>
        <w:t xml:space="preserve"> 134, la sécurité après le choc repose sur un renvoi aux essais de choc. </w:t>
      </w:r>
    </w:p>
    <w:p w14:paraId="3334E9B0" w14:textId="77777777" w:rsidR="0015147A" w:rsidRPr="00B84558" w:rsidRDefault="0015147A" w:rsidP="0015147A">
      <w:pPr>
        <w:pStyle w:val="SingleTxtG"/>
        <w:rPr>
          <w:lang w:val="fr-FR"/>
        </w:rPr>
      </w:pPr>
      <w:r>
        <w:rPr>
          <w:lang w:val="fr-FR"/>
        </w:rPr>
        <w:t>3.</w:t>
      </w:r>
      <w:r>
        <w:rPr>
          <w:lang w:val="fr-FR"/>
        </w:rPr>
        <w:tab/>
        <w:t>En incorporant également les prescriptions concernant la sécurité des véhicules à hydrogène après un choc dans le Règlement ONU n</w:t>
      </w:r>
      <w:r>
        <w:rPr>
          <w:vertAlign w:val="superscript"/>
          <w:lang w:val="fr-FR"/>
        </w:rPr>
        <w:t>o</w:t>
      </w:r>
      <w:r>
        <w:rPr>
          <w:lang w:val="fr-FR"/>
        </w:rPr>
        <w:t xml:space="preserve"> 137, on pourrait accroître les possibilités de reconnaissance mutuelle des homologations accordées conformément à ces Règlements relatifs aux collisions et assouplir les procédures d’homologation.</w:t>
      </w:r>
    </w:p>
    <w:p w14:paraId="0FF5E047" w14:textId="2A0C9BE0" w:rsidR="0015147A" w:rsidRPr="00B84558" w:rsidRDefault="0015147A" w:rsidP="0015147A">
      <w:pPr>
        <w:pStyle w:val="SingleTxtG"/>
        <w:rPr>
          <w:lang w:val="fr-FR"/>
        </w:rPr>
      </w:pPr>
      <w:r>
        <w:rPr>
          <w:lang w:val="fr-FR"/>
        </w:rPr>
        <w:t>4.</w:t>
      </w:r>
      <w:r>
        <w:rPr>
          <w:lang w:val="fr-FR"/>
        </w:rPr>
        <w:tab/>
        <w:t>Les prescriptions proposées sont pleinement harmonisées avec celles de l’amendement 1 au RTM ONU n</w:t>
      </w:r>
      <w:r>
        <w:rPr>
          <w:vertAlign w:val="superscript"/>
          <w:lang w:val="fr-FR"/>
        </w:rPr>
        <w:t>o</w:t>
      </w:r>
      <w:r>
        <w:rPr>
          <w:lang w:val="fr-FR"/>
        </w:rPr>
        <w:t xml:space="preserve"> 13 et avec la proposition de série 02 d’amendements au Règlement ONU n</w:t>
      </w:r>
      <w:r>
        <w:rPr>
          <w:vertAlign w:val="superscript"/>
          <w:lang w:val="fr-FR"/>
        </w:rPr>
        <w:t>o</w:t>
      </w:r>
      <w:r>
        <w:rPr>
          <w:lang w:val="fr-FR"/>
        </w:rPr>
        <w:t xml:space="preserve"> 134, transposant les modifications apportées dans le RTM ONU n</w:t>
      </w:r>
      <w:r>
        <w:rPr>
          <w:vertAlign w:val="superscript"/>
          <w:lang w:val="fr-FR"/>
        </w:rPr>
        <w:t>o</w:t>
      </w:r>
      <w:r>
        <w:rPr>
          <w:lang w:val="fr-FR"/>
        </w:rPr>
        <w:t xml:space="preserve"> 13. Une définition unique de l</w:t>
      </w:r>
      <w:proofErr w:type="gramStart"/>
      <w:r>
        <w:rPr>
          <w:lang w:val="fr-FR"/>
        </w:rPr>
        <w:t>’«</w:t>
      </w:r>
      <w:proofErr w:type="gramEnd"/>
      <w:r w:rsidR="00B139FA">
        <w:rPr>
          <w:lang w:val="fr-FR"/>
        </w:rPr>
        <w:t> </w:t>
      </w:r>
      <w:r>
        <w:rPr>
          <w:lang w:val="fr-FR"/>
        </w:rPr>
        <w:t>habitacle</w:t>
      </w:r>
      <w:r w:rsidR="00B139FA">
        <w:rPr>
          <w:lang w:val="fr-FR"/>
        </w:rPr>
        <w:t> </w:t>
      </w:r>
      <w:r>
        <w:rPr>
          <w:lang w:val="fr-FR"/>
        </w:rPr>
        <w:t>» est proposée sans qu’une distinction soit opérée du point de vue de la protection des occupants ou de l’évaluation de la sûreté électrique.</w:t>
      </w:r>
    </w:p>
    <w:p w14:paraId="66A9C760" w14:textId="77777777" w:rsidR="0015147A" w:rsidRPr="00B84558" w:rsidRDefault="0015147A" w:rsidP="0015147A">
      <w:pPr>
        <w:pStyle w:val="SingleTxtG"/>
        <w:rPr>
          <w:lang w:val="fr-FR"/>
        </w:rPr>
      </w:pPr>
      <w:r>
        <w:rPr>
          <w:lang w:val="fr-FR"/>
        </w:rPr>
        <w:t>5.</w:t>
      </w:r>
      <w:r>
        <w:rPr>
          <w:lang w:val="fr-FR"/>
        </w:rPr>
        <w:tab/>
        <w:t>Étant donné que le nombre de véhicules à hydrogène commercialisés reste faible, cette série d’amendements ne devrait s’appliquer qu’aux véhicules faisant l’objet d’une nouvelle demande d’homologation. Son entrée en vigueur devrait être coordonnée avec celle de la série 02 d’amendements au Règlement ONU n</w:t>
      </w:r>
      <w:r>
        <w:rPr>
          <w:vertAlign w:val="superscript"/>
          <w:lang w:val="fr-FR"/>
        </w:rPr>
        <w:t>o</w:t>
      </w:r>
      <w:r>
        <w:rPr>
          <w:lang w:val="fr-FR"/>
        </w:rPr>
        <w:t xml:space="preserve"> 134.</w:t>
      </w:r>
    </w:p>
    <w:p w14:paraId="65749F2D" w14:textId="1AA50C9E" w:rsidR="00F9573C" w:rsidRPr="0015147A" w:rsidRDefault="0015147A" w:rsidP="0015147A">
      <w:pPr>
        <w:spacing w:before="240"/>
        <w:jc w:val="center"/>
        <w:rPr>
          <w:lang w:val="fr-FR"/>
        </w:rPr>
      </w:pPr>
      <w:r w:rsidRPr="00B84558">
        <w:rPr>
          <w:u w:val="single"/>
          <w:lang w:val="fr-FR"/>
        </w:rPr>
        <w:tab/>
      </w:r>
      <w:r w:rsidRPr="00B84558">
        <w:rPr>
          <w:u w:val="single"/>
          <w:lang w:val="fr-FR"/>
        </w:rPr>
        <w:tab/>
      </w:r>
      <w:r w:rsidRPr="00B84558">
        <w:rPr>
          <w:u w:val="single"/>
          <w:lang w:val="fr-FR"/>
        </w:rPr>
        <w:tab/>
      </w:r>
    </w:p>
    <w:sectPr w:rsidR="00F9573C" w:rsidRPr="0015147A" w:rsidSect="0015147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5685" w14:textId="77777777" w:rsidR="007A5E32" w:rsidRDefault="007A5E32" w:rsidP="00F95C08">
      <w:pPr>
        <w:spacing w:line="240" w:lineRule="auto"/>
      </w:pPr>
    </w:p>
  </w:endnote>
  <w:endnote w:type="continuationSeparator" w:id="0">
    <w:p w14:paraId="555DA0DD" w14:textId="77777777" w:rsidR="007A5E32" w:rsidRPr="00AC3823" w:rsidRDefault="007A5E32" w:rsidP="00AC3823">
      <w:pPr>
        <w:pStyle w:val="Footer"/>
      </w:pPr>
    </w:p>
  </w:endnote>
  <w:endnote w:type="continuationNotice" w:id="1">
    <w:p w14:paraId="51EFA40A" w14:textId="77777777" w:rsidR="007A5E32" w:rsidRDefault="007A5E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CD98" w14:textId="13CABAA0" w:rsidR="0015147A" w:rsidRPr="0015147A" w:rsidRDefault="0015147A" w:rsidP="0015147A">
    <w:pPr>
      <w:pStyle w:val="Footer"/>
      <w:tabs>
        <w:tab w:val="right" w:pos="9638"/>
      </w:tabs>
    </w:pPr>
    <w:r w:rsidRPr="0015147A">
      <w:rPr>
        <w:b/>
        <w:sz w:val="18"/>
      </w:rPr>
      <w:fldChar w:fldCharType="begin"/>
    </w:r>
    <w:r w:rsidRPr="0015147A">
      <w:rPr>
        <w:b/>
        <w:sz w:val="18"/>
      </w:rPr>
      <w:instrText xml:space="preserve"> PAGE  \* MERGEFORMAT </w:instrText>
    </w:r>
    <w:r w:rsidRPr="0015147A">
      <w:rPr>
        <w:b/>
        <w:sz w:val="18"/>
      </w:rPr>
      <w:fldChar w:fldCharType="separate"/>
    </w:r>
    <w:r w:rsidRPr="0015147A">
      <w:rPr>
        <w:b/>
        <w:noProof/>
        <w:sz w:val="18"/>
      </w:rPr>
      <w:t>2</w:t>
    </w:r>
    <w:r w:rsidRPr="0015147A">
      <w:rPr>
        <w:b/>
        <w:sz w:val="18"/>
      </w:rPr>
      <w:fldChar w:fldCharType="end"/>
    </w:r>
    <w:r>
      <w:rPr>
        <w:b/>
        <w:sz w:val="18"/>
      </w:rPr>
      <w:tab/>
    </w:r>
    <w:r>
      <w:t>GE.23-03808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012A" w14:textId="6F5FFE53" w:rsidR="0015147A" w:rsidRPr="0015147A" w:rsidRDefault="0015147A" w:rsidP="0015147A">
    <w:pPr>
      <w:pStyle w:val="Footer"/>
      <w:tabs>
        <w:tab w:val="right" w:pos="9638"/>
      </w:tabs>
      <w:rPr>
        <w:b/>
        <w:sz w:val="18"/>
      </w:rPr>
    </w:pPr>
    <w:r>
      <w:t>GE.23-03808</w:t>
    </w:r>
    <w:r>
      <w:tab/>
    </w:r>
    <w:r w:rsidRPr="0015147A">
      <w:rPr>
        <w:b/>
        <w:sz w:val="18"/>
      </w:rPr>
      <w:fldChar w:fldCharType="begin"/>
    </w:r>
    <w:r w:rsidRPr="0015147A">
      <w:rPr>
        <w:b/>
        <w:sz w:val="18"/>
      </w:rPr>
      <w:instrText xml:space="preserve"> PAGE  \* MERGEFORMAT </w:instrText>
    </w:r>
    <w:r w:rsidRPr="0015147A">
      <w:rPr>
        <w:b/>
        <w:sz w:val="18"/>
      </w:rPr>
      <w:fldChar w:fldCharType="separate"/>
    </w:r>
    <w:r w:rsidRPr="0015147A">
      <w:rPr>
        <w:b/>
        <w:noProof/>
        <w:sz w:val="18"/>
      </w:rPr>
      <w:t>3</w:t>
    </w:r>
    <w:r w:rsidRPr="001514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FD1C" w14:textId="5953B268" w:rsidR="007F20FA" w:rsidRPr="0015147A" w:rsidRDefault="0015147A" w:rsidP="0015147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7E7A5B3" wp14:editId="7C2D46C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03808  (</w:t>
    </w:r>
    <w:proofErr w:type="gramEnd"/>
    <w:r>
      <w:rPr>
        <w:sz w:val="20"/>
      </w:rPr>
      <w:t>F)</w:t>
    </w:r>
    <w:r>
      <w:rPr>
        <w:noProof/>
        <w:sz w:val="20"/>
      </w:rPr>
      <w:drawing>
        <wp:anchor distT="0" distB="0" distL="114300" distR="114300" simplePos="0" relativeHeight="251660288" behindDoc="0" locked="0" layoutInCell="1" allowOverlap="1" wp14:anchorId="128486CF" wp14:editId="31AC717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310323    310323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EF03" w14:textId="77777777" w:rsidR="007A5E32" w:rsidRPr="00AC3823" w:rsidRDefault="007A5E32" w:rsidP="00AC3823">
      <w:pPr>
        <w:pStyle w:val="Footer"/>
        <w:tabs>
          <w:tab w:val="right" w:pos="2155"/>
        </w:tabs>
        <w:spacing w:after="80" w:line="240" w:lineRule="atLeast"/>
        <w:ind w:left="680"/>
        <w:rPr>
          <w:u w:val="single"/>
        </w:rPr>
      </w:pPr>
      <w:r>
        <w:rPr>
          <w:u w:val="single"/>
        </w:rPr>
        <w:tab/>
      </w:r>
    </w:p>
  </w:footnote>
  <w:footnote w:type="continuationSeparator" w:id="0">
    <w:p w14:paraId="429D65E0" w14:textId="77777777" w:rsidR="007A5E32" w:rsidRPr="00AC3823" w:rsidRDefault="007A5E32" w:rsidP="00AC3823">
      <w:pPr>
        <w:pStyle w:val="Footer"/>
        <w:tabs>
          <w:tab w:val="right" w:pos="2155"/>
        </w:tabs>
        <w:spacing w:after="80" w:line="240" w:lineRule="atLeast"/>
        <w:ind w:left="680"/>
        <w:rPr>
          <w:u w:val="single"/>
        </w:rPr>
      </w:pPr>
      <w:r>
        <w:rPr>
          <w:u w:val="single"/>
        </w:rPr>
        <w:tab/>
      </w:r>
    </w:p>
  </w:footnote>
  <w:footnote w:type="continuationNotice" w:id="1">
    <w:p w14:paraId="39866C56" w14:textId="77777777" w:rsidR="007A5E32" w:rsidRPr="00AC3823" w:rsidRDefault="007A5E32">
      <w:pPr>
        <w:spacing w:line="240" w:lineRule="auto"/>
        <w:rPr>
          <w:sz w:val="2"/>
          <w:szCs w:val="2"/>
        </w:rPr>
      </w:pPr>
    </w:p>
  </w:footnote>
  <w:footnote w:id="2">
    <w:p w14:paraId="37CEA46D" w14:textId="78228D72" w:rsidR="0015147A" w:rsidRPr="0015147A" w:rsidRDefault="0015147A">
      <w:pPr>
        <w:pStyle w:val="FootnoteText"/>
      </w:pPr>
      <w:r>
        <w:rPr>
          <w:rStyle w:val="FootnoteReference"/>
        </w:rPr>
        <w:tab/>
      </w:r>
      <w:r w:rsidRPr="0015147A">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109D465B" w14:textId="609936A3" w:rsidR="0015147A" w:rsidRPr="00B84558" w:rsidRDefault="0015147A" w:rsidP="0015147A">
      <w:pPr>
        <w:pStyle w:val="FootnoteText"/>
        <w:rPr>
          <w:lang w:val="fr-FR"/>
        </w:rPr>
      </w:pPr>
      <w:r>
        <w:rPr>
          <w:lang w:val="fr-FR"/>
        </w:rPr>
        <w:tab/>
      </w:r>
      <w:r w:rsidRPr="0015147A">
        <w:rPr>
          <w:rStyle w:val="FootnoteReference"/>
          <w:sz w:val="20"/>
          <w:vertAlign w:val="baseline"/>
          <w:lang w:val="fr-FR"/>
        </w:rPr>
        <w:t>**</w:t>
      </w:r>
      <w:r>
        <w:rPr>
          <w:lang w:val="fr-FR"/>
        </w:rPr>
        <w:tab/>
        <w:t>Il a été convenu que le présent document serait publié après la date normale de publication en raison de circonstances indépendantes de la volonté du soumetteur.</w:t>
      </w:r>
    </w:p>
  </w:footnote>
  <w:footnote w:id="4">
    <w:p w14:paraId="7CA0C4D5" w14:textId="12A2F8ED" w:rsidR="0015147A" w:rsidRPr="00B84558" w:rsidRDefault="0015147A" w:rsidP="0015147A">
      <w:pPr>
        <w:pStyle w:val="FootnoteText"/>
        <w:widowControl w:val="0"/>
        <w:rPr>
          <w:lang w:val="fr-FR"/>
        </w:rPr>
      </w:pPr>
      <w:r>
        <w:rPr>
          <w:rStyle w:val="FootnoteReference"/>
          <w:lang w:val="fr-FR"/>
        </w:rPr>
        <w:tab/>
      </w:r>
      <w:r w:rsidRPr="00537090">
        <w:rPr>
          <w:rStyle w:val="FootnoteReference"/>
          <w:lang w:val="fr-FR"/>
        </w:rPr>
        <w:t>1</w:t>
      </w:r>
      <w:r>
        <w:rPr>
          <w:lang w:val="fr-FR"/>
        </w:rPr>
        <w:tab/>
      </w:r>
      <w:r>
        <w:rPr>
          <w:lang w:val="fr-FR"/>
        </w:rPr>
        <w:tab/>
        <w:t>Le second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B4A7" w14:textId="4FA6ED8F" w:rsidR="0015147A" w:rsidRPr="0015147A" w:rsidRDefault="002668EB">
    <w:pPr>
      <w:pStyle w:val="Header"/>
    </w:pPr>
    <w:r>
      <w:fldChar w:fldCharType="begin"/>
    </w:r>
    <w:r>
      <w:instrText xml:space="preserve"> TITLE  \* MERGEFORMAT </w:instrText>
    </w:r>
    <w:r>
      <w:fldChar w:fldCharType="separate"/>
    </w:r>
    <w:r w:rsidR="0015147A">
      <w:t>ECE/TRANS/WP.29/GRSP/2023/18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A869" w14:textId="46003884" w:rsidR="0015147A" w:rsidRPr="0015147A" w:rsidRDefault="002668EB" w:rsidP="0015147A">
    <w:pPr>
      <w:pStyle w:val="Header"/>
      <w:jc w:val="right"/>
    </w:pPr>
    <w:r>
      <w:fldChar w:fldCharType="begin"/>
    </w:r>
    <w:r>
      <w:instrText xml:space="preserve"> TITLE  \* MERGEFORMAT </w:instrText>
    </w:r>
    <w:r>
      <w:fldChar w:fldCharType="separate"/>
    </w:r>
    <w:r w:rsidR="0015147A">
      <w:t>ECE/TRANS/WP.29/GRSP/2023/18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64143746">
    <w:abstractNumId w:val="12"/>
  </w:num>
  <w:num w:numId="2" w16cid:durableId="1669018062">
    <w:abstractNumId w:val="11"/>
  </w:num>
  <w:num w:numId="3" w16cid:durableId="1898778873">
    <w:abstractNumId w:val="10"/>
  </w:num>
  <w:num w:numId="4" w16cid:durableId="862861699">
    <w:abstractNumId w:val="8"/>
  </w:num>
  <w:num w:numId="5" w16cid:durableId="959409518">
    <w:abstractNumId w:val="3"/>
  </w:num>
  <w:num w:numId="6" w16cid:durableId="2107921720">
    <w:abstractNumId w:val="2"/>
  </w:num>
  <w:num w:numId="7" w16cid:durableId="1297292842">
    <w:abstractNumId w:val="1"/>
  </w:num>
  <w:num w:numId="8" w16cid:durableId="732773379">
    <w:abstractNumId w:val="0"/>
  </w:num>
  <w:num w:numId="9" w16cid:durableId="588084434">
    <w:abstractNumId w:val="9"/>
  </w:num>
  <w:num w:numId="10" w16cid:durableId="239483976">
    <w:abstractNumId w:val="7"/>
  </w:num>
  <w:num w:numId="11" w16cid:durableId="140316231">
    <w:abstractNumId w:val="6"/>
  </w:num>
  <w:num w:numId="12" w16cid:durableId="900990960">
    <w:abstractNumId w:val="5"/>
  </w:num>
  <w:num w:numId="13" w16cid:durableId="789978239">
    <w:abstractNumId w:val="4"/>
  </w:num>
  <w:num w:numId="14" w16cid:durableId="420104382">
    <w:abstractNumId w:val="12"/>
  </w:num>
  <w:num w:numId="15" w16cid:durableId="1376202441">
    <w:abstractNumId w:val="11"/>
  </w:num>
  <w:num w:numId="16" w16cid:durableId="1894896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32"/>
    <w:rsid w:val="00017F94"/>
    <w:rsid w:val="00023842"/>
    <w:rsid w:val="000334F9"/>
    <w:rsid w:val="00045FEB"/>
    <w:rsid w:val="0007796D"/>
    <w:rsid w:val="000B7790"/>
    <w:rsid w:val="00111F2F"/>
    <w:rsid w:val="0014365E"/>
    <w:rsid w:val="00143C66"/>
    <w:rsid w:val="0015147A"/>
    <w:rsid w:val="00176178"/>
    <w:rsid w:val="001F525A"/>
    <w:rsid w:val="00201148"/>
    <w:rsid w:val="00205F5C"/>
    <w:rsid w:val="00223272"/>
    <w:rsid w:val="0024779E"/>
    <w:rsid w:val="00256B84"/>
    <w:rsid w:val="00257168"/>
    <w:rsid w:val="002668EB"/>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67CCF"/>
    <w:rsid w:val="00573BE5"/>
    <w:rsid w:val="00586ED3"/>
    <w:rsid w:val="00596AA9"/>
    <w:rsid w:val="0071601D"/>
    <w:rsid w:val="007A5E32"/>
    <w:rsid w:val="007A62E6"/>
    <w:rsid w:val="007F20FA"/>
    <w:rsid w:val="0080684C"/>
    <w:rsid w:val="00871C75"/>
    <w:rsid w:val="00873176"/>
    <w:rsid w:val="008776DC"/>
    <w:rsid w:val="008D5EF9"/>
    <w:rsid w:val="009446C0"/>
    <w:rsid w:val="009705C8"/>
    <w:rsid w:val="009C1CF4"/>
    <w:rsid w:val="009F6B74"/>
    <w:rsid w:val="00A3029F"/>
    <w:rsid w:val="00A30353"/>
    <w:rsid w:val="00AC3823"/>
    <w:rsid w:val="00AE323C"/>
    <w:rsid w:val="00AF0CB5"/>
    <w:rsid w:val="00B00181"/>
    <w:rsid w:val="00B00B0D"/>
    <w:rsid w:val="00B139FA"/>
    <w:rsid w:val="00B45F2E"/>
    <w:rsid w:val="00B765F7"/>
    <w:rsid w:val="00B77993"/>
    <w:rsid w:val="00BA0CA9"/>
    <w:rsid w:val="00C02897"/>
    <w:rsid w:val="00C24808"/>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E3453"/>
  <w15:docId w15:val="{94EFAA73-4881-48CC-9E7C-22473637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15147A"/>
    <w:rPr>
      <w:rFonts w:ascii="Times New Roman" w:eastAsiaTheme="minorHAnsi" w:hAnsi="Times New Roman" w:cs="Times New Roman"/>
      <w:sz w:val="20"/>
      <w:szCs w:val="20"/>
      <w:lang w:eastAsia="en-US"/>
    </w:rPr>
  </w:style>
  <w:style w:type="character" w:customStyle="1" w:styleId="HChGChar">
    <w:name w:val="_ H _Ch_G Char"/>
    <w:link w:val="HChG"/>
    <w:locked/>
    <w:rsid w:val="0015147A"/>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BD1412E-CFA7-4010-A6AB-6D85496A8781}"/>
</file>

<file path=customXml/itemProps2.xml><?xml version="1.0" encoding="utf-8"?>
<ds:datastoreItem xmlns:ds="http://schemas.openxmlformats.org/officeDocument/2006/customXml" ds:itemID="{AD3C5ED5-6117-498C-9EDA-3E0D95556D36}"/>
</file>

<file path=customXml/itemProps3.xml><?xml version="1.0" encoding="utf-8"?>
<ds:datastoreItem xmlns:ds="http://schemas.openxmlformats.org/officeDocument/2006/customXml" ds:itemID="{05F0B444-E513-4BB8-9F53-E13B761FE5C5}"/>
</file>

<file path=docProps/app.xml><?xml version="1.0" encoding="utf-8"?>
<Properties xmlns="http://schemas.openxmlformats.org/officeDocument/2006/extended-properties" xmlns:vt="http://schemas.openxmlformats.org/officeDocument/2006/docPropsVTypes">
  <Template>ECE_TRANS.dotm</Template>
  <TotalTime>2</TotalTime>
  <Pages>8</Pages>
  <Words>2824</Words>
  <Characters>16098</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ECE/TRANS/WP.29/GRSP/2023/18</vt:lpstr>
    </vt:vector>
  </TitlesOfParts>
  <Company>DCM</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ECE/TRANS/WP.29/GRSP/2023/18</dc:title>
  <dc:subject/>
  <dc:creator>Sandrine CLERE</dc:creator>
  <cp:keywords/>
  <cp:lastModifiedBy>Josephine Ayiku</cp:lastModifiedBy>
  <cp:revision>2</cp:revision>
  <cp:lastPrinted>2014-05-14T10:59:00Z</cp:lastPrinted>
  <dcterms:created xsi:type="dcterms:W3CDTF">2023-04-04T08:53:00Z</dcterms:created>
  <dcterms:modified xsi:type="dcterms:W3CDTF">2023-04-04T08:53:00Z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aftPages">
    <vt:lpwstr> </vt:lpwstr>
  </property>
  <property fmtid="{D5CDD505-2E9C-101B-9397-08002B2CF9AE}" pid="3" name="Traductor">
    <vt:lpwstr> </vt:lpwstr>
  </property>
  <property fmtid="{D5CDD505-2E9C-101B-9397-08002B2CF9AE}" pid="4" name="Symbol2">
    <vt:lpwstr> </vt:lpwstr>
  </property>
  <property fmtid="{D5CDD505-2E9C-101B-9397-08002B2CF9AE}" pid="5" name="Release">
    <vt:lpwstr> </vt:lpwstr>
  </property>
  <property fmtid="{D5CDD505-2E9C-101B-9397-08002B2CF9AE}" pid="6" name="Comment">
    <vt:lpwstr> </vt:lpwstr>
  </property>
  <property fmtid="{D5CDD505-2E9C-101B-9397-08002B2CF9AE}" pid="7" name="ContentTypeId">
    <vt:lpwstr>0x0101003B8422D08C252547BB1CFA7F78E2CB83</vt:lpwstr>
  </property>
  <property fmtid="{D5CDD505-2E9C-101B-9397-08002B2CF9AE}" pid="8" name="JobNo.">
    <vt:lpwstr> </vt:lpwstr>
  </property>
  <property fmtid="{D5CDD505-2E9C-101B-9397-08002B2CF9AE}" pid="9" name="Publicación">
    <vt:lpwstr> </vt:lpwstr>
  </property>
  <property fmtid="{D5CDD505-2E9C-101B-9397-08002B2CF9AE}" pid="10" name="Operador">
    <vt:lpwstr> </vt:lpwstr>
  </property>
  <property fmtid="{D5CDD505-2E9C-101B-9397-08002B2CF9AE}" pid="11" name="Distribución">
    <vt:lpwstr> </vt:lpwstr>
  </property>
  <property fmtid="{D5CDD505-2E9C-101B-9397-08002B2CF9AE}" pid="12" name="Original">
    <vt:lpwstr> </vt:lpwstr>
  </property>
  <property fmtid="{D5CDD505-2E9C-101B-9397-08002B2CF9AE}" pid="13" name="Symbol1">
    <vt:lpwstr> </vt:lpwstr>
  </property>
  <property fmtid="{D5CDD505-2E9C-101B-9397-08002B2CF9AE}" pid="14" name="ODSRef1">
    <vt:lpwstr> </vt:lpwstr>
  </property>
</Properties>
</file>