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CB6262" w14:textId="77777777" w:rsidTr="00C97039">
        <w:trPr>
          <w:trHeight w:hRule="exact" w:val="851"/>
        </w:trPr>
        <w:tc>
          <w:tcPr>
            <w:tcW w:w="1276" w:type="dxa"/>
            <w:tcBorders>
              <w:bottom w:val="single" w:sz="4" w:space="0" w:color="auto"/>
            </w:tcBorders>
          </w:tcPr>
          <w:p w14:paraId="1307769B" w14:textId="77777777" w:rsidR="00F35BAF" w:rsidRPr="00DB58B5" w:rsidRDefault="00F35BAF" w:rsidP="0019040D"/>
        </w:tc>
        <w:tc>
          <w:tcPr>
            <w:tcW w:w="2268" w:type="dxa"/>
            <w:tcBorders>
              <w:bottom w:val="single" w:sz="4" w:space="0" w:color="auto"/>
            </w:tcBorders>
            <w:vAlign w:val="bottom"/>
          </w:tcPr>
          <w:p w14:paraId="205DD17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3A25DD" w14:textId="5A3CDC38" w:rsidR="00F35BAF" w:rsidRPr="00DB58B5" w:rsidRDefault="0019040D" w:rsidP="0019040D">
            <w:pPr>
              <w:jc w:val="right"/>
            </w:pPr>
            <w:r w:rsidRPr="0019040D">
              <w:rPr>
                <w:sz w:val="40"/>
              </w:rPr>
              <w:t>ECE</w:t>
            </w:r>
            <w:r>
              <w:t>/TRANS/WP.29/GRSP/2023/11</w:t>
            </w:r>
          </w:p>
        </w:tc>
      </w:tr>
      <w:tr w:rsidR="00F35BAF" w:rsidRPr="00DB58B5" w14:paraId="20254AC4" w14:textId="77777777" w:rsidTr="00C97039">
        <w:trPr>
          <w:trHeight w:hRule="exact" w:val="2835"/>
        </w:trPr>
        <w:tc>
          <w:tcPr>
            <w:tcW w:w="1276" w:type="dxa"/>
            <w:tcBorders>
              <w:top w:val="single" w:sz="4" w:space="0" w:color="auto"/>
              <w:bottom w:val="single" w:sz="12" w:space="0" w:color="auto"/>
            </w:tcBorders>
          </w:tcPr>
          <w:p w14:paraId="1C8A0DF0" w14:textId="77777777" w:rsidR="00F35BAF" w:rsidRPr="00DB58B5" w:rsidRDefault="00F35BAF" w:rsidP="00C97039">
            <w:pPr>
              <w:spacing w:before="120"/>
              <w:jc w:val="center"/>
            </w:pPr>
            <w:r>
              <w:rPr>
                <w:noProof/>
                <w:lang w:eastAsia="fr-CH"/>
              </w:rPr>
              <w:drawing>
                <wp:inline distT="0" distB="0" distL="0" distR="0" wp14:anchorId="0A63C67C" wp14:editId="30C24C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457CD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E81E98" w14:textId="77777777" w:rsidR="00F35BAF" w:rsidRDefault="0019040D" w:rsidP="00C97039">
            <w:pPr>
              <w:spacing w:before="240"/>
            </w:pPr>
            <w:r>
              <w:t>Distr. générale</w:t>
            </w:r>
          </w:p>
          <w:p w14:paraId="2041EBE4" w14:textId="75B5748F" w:rsidR="0019040D" w:rsidRDefault="0019040D" w:rsidP="0019040D">
            <w:pPr>
              <w:spacing w:line="240" w:lineRule="exact"/>
            </w:pPr>
            <w:r>
              <w:t>1</w:t>
            </w:r>
            <w:r w:rsidRPr="0019040D">
              <w:rPr>
                <w:vertAlign w:val="superscript"/>
              </w:rPr>
              <w:t>er</w:t>
            </w:r>
            <w:r>
              <w:t> mars 2023</w:t>
            </w:r>
          </w:p>
          <w:p w14:paraId="286C8E56" w14:textId="77777777" w:rsidR="0019040D" w:rsidRDefault="0019040D" w:rsidP="0019040D">
            <w:pPr>
              <w:spacing w:line="240" w:lineRule="exact"/>
            </w:pPr>
            <w:r>
              <w:t>Français</w:t>
            </w:r>
          </w:p>
          <w:p w14:paraId="3FD316FA" w14:textId="7D363FAE" w:rsidR="0019040D" w:rsidRPr="00DB58B5" w:rsidRDefault="0019040D" w:rsidP="0019040D">
            <w:pPr>
              <w:spacing w:line="240" w:lineRule="exact"/>
            </w:pPr>
            <w:r>
              <w:t>Original : anglais</w:t>
            </w:r>
          </w:p>
        </w:tc>
      </w:tr>
    </w:tbl>
    <w:p w14:paraId="51B201CA" w14:textId="77777777" w:rsidR="007F20FA" w:rsidRPr="000312C0" w:rsidRDefault="007F20FA" w:rsidP="007F20FA">
      <w:pPr>
        <w:spacing w:before="120"/>
        <w:rPr>
          <w:b/>
          <w:sz w:val="28"/>
          <w:szCs w:val="28"/>
        </w:rPr>
      </w:pPr>
      <w:r w:rsidRPr="000312C0">
        <w:rPr>
          <w:b/>
          <w:sz w:val="28"/>
          <w:szCs w:val="28"/>
        </w:rPr>
        <w:t>Commission économique pour l’Europe</w:t>
      </w:r>
    </w:p>
    <w:p w14:paraId="34FB9240" w14:textId="77777777" w:rsidR="007F20FA" w:rsidRDefault="007F20FA" w:rsidP="007F20FA">
      <w:pPr>
        <w:spacing w:before="120"/>
        <w:rPr>
          <w:sz w:val="28"/>
          <w:szCs w:val="28"/>
        </w:rPr>
      </w:pPr>
      <w:r w:rsidRPr="00685843">
        <w:rPr>
          <w:sz w:val="28"/>
          <w:szCs w:val="28"/>
        </w:rPr>
        <w:t>Comité des transports intérieurs</w:t>
      </w:r>
    </w:p>
    <w:p w14:paraId="77DC71EA" w14:textId="546D2626" w:rsidR="0019040D" w:rsidRDefault="0019040D"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F0B033C" w14:textId="60C5E2C0" w:rsidR="0019040D" w:rsidRDefault="0019040D" w:rsidP="00257168">
      <w:pPr>
        <w:spacing w:before="120" w:after="120" w:line="240" w:lineRule="exact"/>
        <w:rPr>
          <w:b/>
        </w:rPr>
      </w:pPr>
      <w:r>
        <w:rPr>
          <w:b/>
        </w:rPr>
        <w:t>Groupe de travail de la sécurité passive</w:t>
      </w:r>
    </w:p>
    <w:p w14:paraId="4487FDEC" w14:textId="4A1B3490" w:rsidR="0019040D" w:rsidRDefault="0019040D" w:rsidP="00257168">
      <w:pPr>
        <w:spacing w:before="120" w:line="240" w:lineRule="exact"/>
        <w:rPr>
          <w:b/>
        </w:rPr>
      </w:pPr>
      <w:r>
        <w:rPr>
          <w:b/>
        </w:rPr>
        <w:t>Soixante-treizième session</w:t>
      </w:r>
    </w:p>
    <w:p w14:paraId="30251A81" w14:textId="0BE3B204" w:rsidR="0019040D" w:rsidRDefault="0019040D" w:rsidP="00257168">
      <w:pPr>
        <w:spacing w:line="240" w:lineRule="exact"/>
      </w:pPr>
      <w:r>
        <w:t>Genève, 15-19 mai 2023</w:t>
      </w:r>
    </w:p>
    <w:p w14:paraId="1A76A38D" w14:textId="340D0D71" w:rsidR="0019040D" w:rsidRDefault="0019040D" w:rsidP="00257168">
      <w:pPr>
        <w:spacing w:line="240" w:lineRule="exact"/>
      </w:pPr>
      <w:r>
        <w:t>Point 12 de l’ordre du jour provisoire</w:t>
      </w:r>
    </w:p>
    <w:p w14:paraId="6EDA9B0C" w14:textId="77777777" w:rsidR="0019040D" w:rsidRPr="0019040D" w:rsidRDefault="0019040D" w:rsidP="0019040D">
      <w:pPr>
        <w:spacing w:line="240" w:lineRule="auto"/>
      </w:pPr>
      <w:r w:rsidRPr="0019040D">
        <w:rPr>
          <w:b/>
          <w:bCs/>
          <w:lang w:val="fr-FR"/>
        </w:rPr>
        <w:t>Règlement ONU n</w:t>
      </w:r>
      <w:r w:rsidRPr="0019040D">
        <w:rPr>
          <w:b/>
          <w:bCs/>
          <w:vertAlign w:val="superscript"/>
          <w:lang w:val="fr-FR"/>
        </w:rPr>
        <w:t>o </w:t>
      </w:r>
      <w:r w:rsidRPr="0019040D">
        <w:rPr>
          <w:b/>
          <w:bCs/>
          <w:lang w:val="fr-FR"/>
        </w:rPr>
        <w:t>129 (Systèmes améliorés de retenue pour enfants)</w:t>
      </w:r>
    </w:p>
    <w:p w14:paraId="537B06E1" w14:textId="09AD98F4" w:rsidR="0019040D" w:rsidRPr="00304CE3" w:rsidRDefault="0019040D" w:rsidP="0019040D">
      <w:pPr>
        <w:pStyle w:val="HChG"/>
      </w:pPr>
      <w:r w:rsidRPr="00304CE3">
        <w:rPr>
          <w:lang w:val="fr-FR"/>
        </w:rPr>
        <w:tab/>
      </w:r>
      <w:r w:rsidRPr="00304CE3">
        <w:rPr>
          <w:lang w:val="fr-FR"/>
        </w:rPr>
        <w:tab/>
      </w:r>
      <w:r w:rsidRPr="00304CE3">
        <w:rPr>
          <w:lang w:val="fr-FR"/>
        </w:rPr>
        <w:tab/>
        <w:t>Proposition de complément</w:t>
      </w:r>
      <w:r>
        <w:rPr>
          <w:lang w:val="fr-FR"/>
        </w:rPr>
        <w:t> </w:t>
      </w:r>
      <w:r w:rsidRPr="00304CE3">
        <w:rPr>
          <w:lang w:val="fr-FR"/>
        </w:rPr>
        <w:t>10 à la série</w:t>
      </w:r>
      <w:r>
        <w:rPr>
          <w:lang w:val="fr-FR"/>
        </w:rPr>
        <w:t> </w:t>
      </w:r>
      <w:r w:rsidRPr="00304CE3">
        <w:rPr>
          <w:lang w:val="fr-FR"/>
        </w:rPr>
        <w:t>03 d</w:t>
      </w:r>
      <w:r>
        <w:rPr>
          <w:lang w:val="fr-FR"/>
        </w:rPr>
        <w:t>’</w:t>
      </w:r>
      <w:r w:rsidRPr="00304CE3">
        <w:rPr>
          <w:lang w:val="fr-FR"/>
        </w:rPr>
        <w:t>amendements au Règlement ONU n</w:t>
      </w:r>
      <w:r w:rsidRPr="00304CE3">
        <w:rPr>
          <w:vertAlign w:val="superscript"/>
          <w:lang w:val="fr-FR"/>
        </w:rPr>
        <w:t>o</w:t>
      </w:r>
      <w:r w:rsidRPr="0019040D">
        <w:rPr>
          <w:vertAlign w:val="superscript"/>
          <w:lang w:val="fr-FR"/>
        </w:rPr>
        <w:t> </w:t>
      </w:r>
      <w:r w:rsidRPr="00304CE3">
        <w:rPr>
          <w:lang w:val="fr-FR"/>
        </w:rPr>
        <w:t>129 (Systèmes améliorés de retenue pour enfants</w:t>
      </w:r>
      <w:r>
        <w:rPr>
          <w:lang w:val="fr-FR"/>
        </w:rPr>
        <w:t>)</w:t>
      </w:r>
      <w:r w:rsidRPr="0019040D">
        <w:rPr>
          <w:rStyle w:val="FootnoteReference"/>
          <w:b w:val="0"/>
          <w:bCs/>
          <w:sz w:val="20"/>
          <w:vertAlign w:val="baseline"/>
        </w:rPr>
        <w:footnoteReference w:customMarkFollows="1" w:id="2"/>
        <w:t>*</w:t>
      </w:r>
    </w:p>
    <w:p w14:paraId="31C3D8C1" w14:textId="555B3124" w:rsidR="0019040D" w:rsidRPr="0019040D" w:rsidRDefault="0019040D" w:rsidP="0019040D">
      <w:pPr>
        <w:pStyle w:val="H1G"/>
      </w:pPr>
      <w:r w:rsidRPr="00304CE3">
        <w:rPr>
          <w:lang w:val="fr-FR"/>
        </w:rPr>
        <w:footnoteReference w:customMarkFollows="1" w:id="3"/>
        <w:tab/>
      </w:r>
      <w:r w:rsidRPr="00304CE3">
        <w:rPr>
          <w:lang w:val="fr-FR"/>
        </w:rPr>
        <w:tab/>
        <w:t>Communication de l</w:t>
      </w:r>
      <w:r>
        <w:rPr>
          <w:lang w:val="fr-FR"/>
        </w:rPr>
        <w:t>’</w:t>
      </w:r>
      <w:r w:rsidRPr="00304CE3">
        <w:rPr>
          <w:lang w:val="fr-FR"/>
        </w:rPr>
        <w:t>expert des Pays-Bas</w:t>
      </w:r>
    </w:p>
    <w:p w14:paraId="1523F238" w14:textId="5C64116D" w:rsidR="00F9573C" w:rsidRDefault="0019040D" w:rsidP="0019040D">
      <w:pPr>
        <w:pStyle w:val="SingleTxtG"/>
        <w:ind w:firstLine="567"/>
        <w:rPr>
          <w:lang w:val="fr-FR"/>
        </w:rPr>
      </w:pPr>
      <w:r w:rsidRPr="00304CE3">
        <w:rPr>
          <w:lang w:val="fr-FR"/>
        </w:rPr>
        <w:t>Le texte ci-après, établi par l</w:t>
      </w:r>
      <w:r>
        <w:rPr>
          <w:lang w:val="fr-FR"/>
        </w:rPr>
        <w:t>’</w:t>
      </w:r>
      <w:r w:rsidRPr="00304CE3">
        <w:rPr>
          <w:lang w:val="fr-FR"/>
        </w:rPr>
        <w:t xml:space="preserve">expert des Pays-Bas au nom du Groupe des services techniques (TSG), a pour objet de préciser le </w:t>
      </w:r>
      <w:r w:rsidRPr="00BA6DD0">
        <w:rPr>
          <w:lang w:val="fr-FR"/>
        </w:rPr>
        <w:t>principe d</w:t>
      </w:r>
      <w:r>
        <w:rPr>
          <w:lang w:val="fr-FR"/>
        </w:rPr>
        <w:t>’</w:t>
      </w:r>
      <w:r w:rsidRPr="00BA6DD0">
        <w:rPr>
          <w:lang w:val="fr-FR"/>
        </w:rPr>
        <w:t>un seul</w:t>
      </w:r>
      <w:r w:rsidRPr="00304CE3">
        <w:rPr>
          <w:lang w:val="fr-FR"/>
        </w:rPr>
        <w:t xml:space="preserve"> trajet de </w:t>
      </w:r>
      <w:r>
        <w:rPr>
          <w:lang w:val="fr-FR"/>
        </w:rPr>
        <w:t xml:space="preserve">la </w:t>
      </w:r>
      <w:r w:rsidRPr="00304CE3">
        <w:rPr>
          <w:lang w:val="fr-FR"/>
        </w:rPr>
        <w:t>ceinture visé au paragraphe</w:t>
      </w:r>
      <w:r>
        <w:rPr>
          <w:lang w:val="fr-FR"/>
        </w:rPr>
        <w:t> </w:t>
      </w:r>
      <w:r w:rsidRPr="00304CE3">
        <w:rPr>
          <w:lang w:val="fr-FR"/>
        </w:rPr>
        <w:t>3.2.2. Les modifications qu</w:t>
      </w:r>
      <w:r>
        <w:rPr>
          <w:lang w:val="fr-FR"/>
        </w:rPr>
        <w:t>’</w:t>
      </w:r>
      <w:r w:rsidRPr="00304CE3">
        <w:rPr>
          <w:lang w:val="fr-FR"/>
        </w:rPr>
        <w:t>il est proposé d</w:t>
      </w:r>
      <w:r>
        <w:rPr>
          <w:lang w:val="fr-FR"/>
        </w:rPr>
        <w:t>’</w:t>
      </w:r>
      <w:r w:rsidRPr="00304CE3">
        <w:rPr>
          <w:lang w:val="fr-FR"/>
        </w:rPr>
        <w:t>apporter au texte actuel du Règlement ONU figurent en caractères gras pour les ajouts et biffés pour les suppressions.</w:t>
      </w:r>
    </w:p>
    <w:p w14:paraId="6342BCAA" w14:textId="210F1CB2" w:rsidR="0019040D" w:rsidRDefault="0019040D" w:rsidP="0019040D">
      <w:pPr>
        <w:rPr>
          <w:sz w:val="24"/>
          <w:szCs w:val="24"/>
          <w:lang w:val="fr-FR"/>
        </w:rPr>
      </w:pPr>
      <w:r>
        <w:rPr>
          <w:sz w:val="24"/>
          <w:szCs w:val="24"/>
          <w:lang w:val="fr-FR"/>
        </w:rPr>
        <w:br w:type="page"/>
      </w:r>
    </w:p>
    <w:p w14:paraId="6E2AE9FD" w14:textId="77777777" w:rsidR="0019040D" w:rsidRPr="00304CE3" w:rsidRDefault="0019040D" w:rsidP="0019040D">
      <w:pPr>
        <w:pStyle w:val="HChG"/>
      </w:pPr>
      <w:bookmarkStart w:id="0" w:name="_Hlk534364985"/>
      <w:r w:rsidRPr="00304CE3">
        <w:rPr>
          <w:lang w:val="fr-FR"/>
        </w:rPr>
        <w:lastRenderedPageBreak/>
        <w:tab/>
        <w:t>I.</w:t>
      </w:r>
      <w:r w:rsidRPr="00304CE3">
        <w:rPr>
          <w:lang w:val="fr-FR"/>
        </w:rPr>
        <w:tab/>
        <w:t>Proposition</w:t>
      </w:r>
    </w:p>
    <w:p w14:paraId="7F5F770F" w14:textId="63E3EBC0" w:rsidR="0019040D" w:rsidRPr="00304CE3" w:rsidRDefault="0019040D" w:rsidP="0019040D">
      <w:pPr>
        <w:pStyle w:val="SingleTxtG"/>
      </w:pPr>
      <w:r w:rsidRPr="0019040D">
        <w:rPr>
          <w:i/>
          <w:iCs/>
          <w:lang w:val="fr-FR"/>
        </w:rPr>
        <w:t>Paragraphe 3.2.2</w:t>
      </w:r>
      <w:r w:rsidRPr="00304CE3">
        <w:rPr>
          <w:lang w:val="fr-FR"/>
        </w:rPr>
        <w:t>, lire</w:t>
      </w:r>
      <w:r>
        <w:rPr>
          <w:lang w:val="fr-FR"/>
        </w:rPr>
        <w:t> </w:t>
      </w:r>
      <w:r w:rsidRPr="00304CE3">
        <w:rPr>
          <w:lang w:val="fr-FR"/>
        </w:rPr>
        <w:t>:</w:t>
      </w:r>
    </w:p>
    <w:p w14:paraId="0C6766E0" w14:textId="6D25900D" w:rsidR="0019040D" w:rsidRPr="00304CE3" w:rsidRDefault="0019040D" w:rsidP="0019040D">
      <w:pPr>
        <w:pStyle w:val="SingleTxtG"/>
      </w:pPr>
      <w:bookmarkStart w:id="1" w:name="_Hlk111114823"/>
      <w:r w:rsidRPr="00304CE3">
        <w:rPr>
          <w:lang w:val="fr-FR"/>
        </w:rPr>
        <w:t>« 3.2.2</w:t>
      </w:r>
      <w:r w:rsidRPr="00304CE3">
        <w:rPr>
          <w:lang w:val="fr-FR"/>
        </w:rPr>
        <w:tab/>
      </w:r>
      <w:r>
        <w:rPr>
          <w:lang w:val="fr-FR"/>
        </w:rPr>
        <w:tab/>
      </w:r>
      <w:r w:rsidRPr="00304CE3">
        <w:rPr>
          <w:lang w:val="fr-FR"/>
        </w:rPr>
        <w:t>Le demandeur doit préciser la nature de sa demande, à savoir s</w:t>
      </w:r>
      <w:r>
        <w:rPr>
          <w:lang w:val="fr-FR"/>
        </w:rPr>
        <w:t>’</w:t>
      </w:r>
      <w:r w:rsidRPr="00304CE3">
        <w:rPr>
          <w:lang w:val="fr-FR"/>
        </w:rPr>
        <w:t>il s</w:t>
      </w:r>
      <w:r>
        <w:rPr>
          <w:lang w:val="fr-FR"/>
        </w:rPr>
        <w:t>’</w:t>
      </w:r>
      <w:r w:rsidRPr="00304CE3">
        <w:rPr>
          <w:lang w:val="fr-FR"/>
        </w:rPr>
        <w:t>agit :</w:t>
      </w:r>
    </w:p>
    <w:p w14:paraId="75E24C8E" w14:textId="0BDC49E4" w:rsidR="0019040D" w:rsidRPr="00304CE3" w:rsidRDefault="0019040D" w:rsidP="0019040D">
      <w:pPr>
        <w:pStyle w:val="SingleTxtG"/>
        <w:ind w:left="2835" w:hanging="567"/>
        <w:rPr>
          <w:lang w:val="fr-FR"/>
        </w:rPr>
      </w:pPr>
      <w:r>
        <w:rPr>
          <w:lang w:val="fr-FR"/>
        </w:rPr>
        <w:t>a)</w:t>
      </w:r>
      <w:r>
        <w:rPr>
          <w:lang w:val="fr-FR"/>
        </w:rPr>
        <w:tab/>
      </w:r>
      <w:r w:rsidRPr="00304CE3">
        <w:rPr>
          <w:lang w:val="fr-FR"/>
        </w:rPr>
        <w:t>D</w:t>
      </w:r>
      <w:r>
        <w:rPr>
          <w:lang w:val="fr-FR"/>
        </w:rPr>
        <w:t>’</w:t>
      </w:r>
      <w:r w:rsidRPr="00304CE3">
        <w:rPr>
          <w:lang w:val="fr-FR"/>
        </w:rPr>
        <w:t>une demande relative à un système amélioré de retenue pour enfants i-Size ; ou</w:t>
      </w:r>
    </w:p>
    <w:p w14:paraId="059FD1BC" w14:textId="77777777" w:rsidR="0019040D" w:rsidRPr="0019040D" w:rsidRDefault="0019040D" w:rsidP="0019040D">
      <w:pPr>
        <w:pStyle w:val="SingleTxtG"/>
        <w:ind w:left="2835" w:hanging="567"/>
        <w:rPr>
          <w:lang w:val="fr-FR"/>
        </w:rPr>
      </w:pPr>
      <w:r w:rsidRPr="0019040D">
        <w:rPr>
          <w:lang w:val="fr-FR"/>
        </w:rPr>
        <w:t>b)</w:t>
      </w:r>
      <w:r w:rsidRPr="0019040D">
        <w:rPr>
          <w:lang w:val="fr-FR"/>
        </w:rPr>
        <w:tab/>
        <w:t>D’une demande relative à un système amélioré de retenue pour enfants ISOFIX spécifique à un véhicule ; ou</w:t>
      </w:r>
    </w:p>
    <w:p w14:paraId="5F3DCD5F" w14:textId="77777777" w:rsidR="0019040D" w:rsidRPr="0019040D" w:rsidRDefault="0019040D" w:rsidP="0019040D">
      <w:pPr>
        <w:pStyle w:val="SingleTxtG"/>
        <w:ind w:left="2835" w:hanging="567"/>
        <w:rPr>
          <w:lang w:val="fr-FR"/>
        </w:rPr>
      </w:pPr>
      <w:r w:rsidRPr="0019040D">
        <w:rPr>
          <w:lang w:val="fr-FR"/>
        </w:rPr>
        <w:t>c)</w:t>
      </w:r>
      <w:r w:rsidRPr="0019040D">
        <w:rPr>
          <w:lang w:val="fr-FR"/>
        </w:rPr>
        <w:tab/>
        <w:t>D’une demande relative à un système amélioré de retenue pour enfants de type siège rehausseur i-Size ; ou</w:t>
      </w:r>
    </w:p>
    <w:p w14:paraId="60FC9891" w14:textId="77777777" w:rsidR="0019040D" w:rsidRPr="0019040D" w:rsidRDefault="0019040D" w:rsidP="0019040D">
      <w:pPr>
        <w:pStyle w:val="SingleTxtG"/>
        <w:ind w:left="2835" w:hanging="567"/>
        <w:rPr>
          <w:lang w:val="fr-FR"/>
        </w:rPr>
      </w:pPr>
      <w:r w:rsidRPr="0019040D">
        <w:rPr>
          <w:lang w:val="fr-FR"/>
        </w:rPr>
        <w:t>d)</w:t>
      </w:r>
      <w:r w:rsidRPr="0019040D">
        <w:rPr>
          <w:lang w:val="fr-FR"/>
        </w:rPr>
        <w:tab/>
        <w:t>D’une demande relative à un système amélioré de retenue pour enfants de type siège rehausseur spécifique à un véhicule ; ou</w:t>
      </w:r>
    </w:p>
    <w:p w14:paraId="5575D176" w14:textId="6D7AE315" w:rsidR="0019040D" w:rsidRPr="0019040D" w:rsidRDefault="0019040D" w:rsidP="0019040D">
      <w:pPr>
        <w:pStyle w:val="SingleTxtG"/>
        <w:ind w:left="2835" w:hanging="567"/>
        <w:rPr>
          <w:lang w:val="fr-FR"/>
        </w:rPr>
      </w:pPr>
      <w:r w:rsidRPr="0019040D">
        <w:rPr>
          <w:lang w:val="fr-FR"/>
        </w:rPr>
        <w:t>e)</w:t>
      </w:r>
      <w:r w:rsidRPr="0019040D">
        <w:rPr>
          <w:lang w:val="fr-FR"/>
        </w:rPr>
        <w:tab/>
        <w:t>D’une demande relative à un système amélioré de retenue pour enfants universel à ceinture ; ou</w:t>
      </w:r>
    </w:p>
    <w:p w14:paraId="23F16D17" w14:textId="1E668741" w:rsidR="0019040D" w:rsidRPr="0019040D" w:rsidRDefault="0019040D" w:rsidP="0019040D">
      <w:pPr>
        <w:pStyle w:val="SingleTxtG"/>
        <w:ind w:left="2835" w:hanging="567"/>
        <w:rPr>
          <w:lang w:val="fr-FR"/>
        </w:rPr>
      </w:pPr>
      <w:r w:rsidRPr="0019040D">
        <w:rPr>
          <w:lang w:val="fr-FR"/>
        </w:rPr>
        <w:t>f)</w:t>
      </w:r>
      <w:r w:rsidRPr="0019040D">
        <w:rPr>
          <w:lang w:val="fr-FR"/>
        </w:rPr>
        <w:tab/>
        <w:t>D’une demande relative à un système amélioré de retenue pour enfants à ceinture spécifique à un véhicule ; ou</w:t>
      </w:r>
    </w:p>
    <w:p w14:paraId="7FF2E14B" w14:textId="77777777" w:rsidR="0019040D" w:rsidRPr="0019040D" w:rsidRDefault="0019040D" w:rsidP="0019040D">
      <w:pPr>
        <w:pStyle w:val="SingleTxtG"/>
        <w:ind w:left="2835" w:hanging="567"/>
        <w:rPr>
          <w:lang w:val="fr-FR"/>
        </w:rPr>
      </w:pPr>
      <w:r w:rsidRPr="0019040D">
        <w:rPr>
          <w:lang w:val="fr-FR"/>
        </w:rPr>
        <w:t>g)</w:t>
      </w:r>
      <w:r w:rsidRPr="0019040D">
        <w:rPr>
          <w:lang w:val="fr-FR"/>
        </w:rPr>
        <w:tab/>
        <w:t>D’une demande relative à un système amélioré de retenue pour enfants de type coussin d’appoint universel ; ou</w:t>
      </w:r>
    </w:p>
    <w:p w14:paraId="23BA0790" w14:textId="77777777" w:rsidR="0019040D" w:rsidRPr="0019040D" w:rsidRDefault="0019040D" w:rsidP="0019040D">
      <w:pPr>
        <w:pStyle w:val="SingleTxtG"/>
        <w:ind w:left="2835" w:hanging="567"/>
        <w:rPr>
          <w:lang w:val="fr-FR"/>
        </w:rPr>
      </w:pPr>
      <w:r w:rsidRPr="0019040D">
        <w:rPr>
          <w:lang w:val="fr-FR"/>
        </w:rPr>
        <w:t>h)</w:t>
      </w:r>
      <w:r w:rsidRPr="0019040D">
        <w:rPr>
          <w:lang w:val="fr-FR"/>
        </w:rPr>
        <w:tab/>
        <w:t>D’une demande relative à un système amélioré de retenue pour enfants de type coussin d’appoint spécifique à un véhicule ; ou</w:t>
      </w:r>
    </w:p>
    <w:p w14:paraId="32C0E8F8" w14:textId="272777E9" w:rsidR="0019040D" w:rsidRPr="0019040D" w:rsidRDefault="0019040D" w:rsidP="0019040D">
      <w:pPr>
        <w:pStyle w:val="SingleTxtG"/>
        <w:ind w:left="2835" w:hanging="567"/>
        <w:rPr>
          <w:lang w:val="fr-FR"/>
        </w:rPr>
      </w:pPr>
      <w:r w:rsidRPr="0019040D">
        <w:rPr>
          <w:lang w:val="fr-FR"/>
        </w:rPr>
        <w:t>i)</w:t>
      </w:r>
      <w:r w:rsidRPr="0019040D">
        <w:rPr>
          <w:lang w:val="fr-FR"/>
        </w:rPr>
        <w:tab/>
        <w:t>De toute combinaison des alinéas</w:t>
      </w:r>
      <w:r>
        <w:rPr>
          <w:lang w:val="fr-FR"/>
        </w:rPr>
        <w:t> </w:t>
      </w:r>
      <w:r w:rsidRPr="0019040D">
        <w:rPr>
          <w:lang w:val="fr-FR"/>
        </w:rPr>
        <w:t>a), b), c), d), g) et h), pour autant qu’elle soit conforme aux dispositions des paragraphes</w:t>
      </w:r>
      <w:r>
        <w:rPr>
          <w:lang w:val="fr-FR"/>
        </w:rPr>
        <w:t> </w:t>
      </w:r>
      <w:r w:rsidRPr="0019040D">
        <w:rPr>
          <w:lang w:val="fr-FR"/>
        </w:rPr>
        <w:t>5.4.2.2, 6.1.2 et</w:t>
      </w:r>
      <w:r>
        <w:rPr>
          <w:lang w:val="fr-FR"/>
        </w:rPr>
        <w:t> </w:t>
      </w:r>
      <w:r w:rsidRPr="0019040D">
        <w:rPr>
          <w:lang w:val="fr-FR"/>
        </w:rPr>
        <w:t>6.1.3 s’il n’existe qu’un seul trajet de la ceinture</w:t>
      </w:r>
      <w:r w:rsidRPr="0019040D">
        <w:rPr>
          <w:vertAlign w:val="superscript"/>
        </w:rPr>
        <w:footnoteReference w:customMarkFollows="1" w:id="4"/>
        <w:t>2</w:t>
      </w:r>
      <w:r w:rsidRPr="0019040D">
        <w:rPr>
          <w:lang w:val="fr-FR"/>
        </w:rPr>
        <w:t> ; ou</w:t>
      </w:r>
    </w:p>
    <w:p w14:paraId="2DB63AC7" w14:textId="58C30075" w:rsidR="0019040D" w:rsidRPr="0019040D" w:rsidRDefault="0019040D" w:rsidP="0019040D">
      <w:pPr>
        <w:pStyle w:val="SingleTxtG"/>
        <w:ind w:left="2835" w:hanging="567"/>
        <w:rPr>
          <w:lang w:val="fr-FR"/>
        </w:rPr>
      </w:pPr>
      <w:r w:rsidRPr="0019040D">
        <w:rPr>
          <w:lang w:val="fr-FR"/>
        </w:rPr>
        <w:t>j)</w:t>
      </w:r>
      <w:r w:rsidRPr="0019040D">
        <w:rPr>
          <w:lang w:val="fr-FR"/>
        </w:rPr>
        <w:tab/>
        <w:t>De toute combinaison des alinéas</w:t>
      </w:r>
      <w:r>
        <w:rPr>
          <w:lang w:val="fr-FR"/>
        </w:rPr>
        <w:t> </w:t>
      </w:r>
      <w:r w:rsidRPr="0019040D">
        <w:rPr>
          <w:lang w:val="fr-FR"/>
        </w:rPr>
        <w:t>c), d), e), f), g) et h), pour autant qu’elle soit conforme aux dispositions des paragraphes</w:t>
      </w:r>
      <w:r>
        <w:rPr>
          <w:lang w:val="fr-FR"/>
        </w:rPr>
        <w:t> </w:t>
      </w:r>
      <w:r w:rsidRPr="0019040D">
        <w:rPr>
          <w:lang w:val="fr-FR"/>
        </w:rPr>
        <w:t>5.4.2.2, 6.1.2 et</w:t>
      </w:r>
      <w:r>
        <w:rPr>
          <w:lang w:val="fr-FR"/>
        </w:rPr>
        <w:t> </w:t>
      </w:r>
      <w:r w:rsidRPr="0019040D">
        <w:rPr>
          <w:lang w:val="fr-FR"/>
        </w:rPr>
        <w:t>6.1.3 s’il n’existe qu’un seul trajet de la ceinture</w:t>
      </w:r>
      <w:r w:rsidRPr="0019040D">
        <w:rPr>
          <w:vertAlign w:val="superscript"/>
          <w:lang w:val="fr-FR"/>
        </w:rPr>
        <w:t>2</w:t>
      </w:r>
      <w:r w:rsidRPr="0019040D">
        <w:rPr>
          <w:lang w:val="fr-FR"/>
        </w:rPr>
        <w:t xml:space="preserve"> et que le siège rehausseur ou coussin d’appoint n’est pas équipé d’attaches ISOFIX. ».</w:t>
      </w:r>
      <w:r w:rsidRPr="0019040D">
        <w:rPr>
          <w:lang w:val="fr-FR"/>
        </w:rPr>
        <w:tab/>
      </w:r>
    </w:p>
    <w:p w14:paraId="42F99F1D" w14:textId="5C1EDFD5" w:rsidR="0019040D" w:rsidRPr="0019040D" w:rsidRDefault="0019040D" w:rsidP="0019040D">
      <w:pPr>
        <w:pStyle w:val="SingleTxtG"/>
        <w:rPr>
          <w:lang w:val="fr-FR"/>
        </w:rPr>
      </w:pPr>
      <w:r w:rsidRPr="0019040D">
        <w:rPr>
          <w:i/>
          <w:iCs/>
          <w:lang w:val="fr-FR"/>
        </w:rPr>
        <w:t>Paragraphe</w:t>
      </w:r>
      <w:r>
        <w:rPr>
          <w:i/>
          <w:iCs/>
          <w:lang w:val="fr-FR"/>
        </w:rPr>
        <w:t> </w:t>
      </w:r>
      <w:r w:rsidRPr="0019040D">
        <w:rPr>
          <w:i/>
          <w:iCs/>
          <w:lang w:val="fr-FR"/>
        </w:rPr>
        <w:t>5.4.1.1, la note de bas de page</w:t>
      </w:r>
      <w:r>
        <w:rPr>
          <w:i/>
          <w:iCs/>
          <w:lang w:val="fr-FR"/>
        </w:rPr>
        <w:t> </w:t>
      </w:r>
      <w:r w:rsidRPr="0019040D">
        <w:rPr>
          <w:i/>
          <w:iCs/>
          <w:vertAlign w:val="superscript"/>
          <w:lang w:val="fr-FR"/>
        </w:rPr>
        <w:t>2</w:t>
      </w:r>
      <w:r w:rsidRPr="0019040D">
        <w:rPr>
          <w:i/>
          <w:iCs/>
          <w:lang w:val="fr-FR"/>
        </w:rPr>
        <w:t xml:space="preserve"> devient la note</w:t>
      </w:r>
      <w:r>
        <w:rPr>
          <w:i/>
          <w:iCs/>
          <w:lang w:val="fr-FR"/>
        </w:rPr>
        <w:t> </w:t>
      </w:r>
      <w:r w:rsidRPr="0019040D">
        <w:rPr>
          <w:vertAlign w:val="superscript"/>
          <w:lang w:val="fr-FR"/>
        </w:rPr>
        <w:t>3</w:t>
      </w:r>
      <w:r w:rsidRPr="0019040D">
        <w:rPr>
          <w:lang w:val="fr-FR"/>
        </w:rPr>
        <w:t xml:space="preserve"> et l’appel de</w:t>
      </w:r>
      <w:r w:rsidRPr="0019040D">
        <w:rPr>
          <w:sz w:val="24"/>
          <w:szCs w:val="24"/>
          <w:lang w:val="fr-FR"/>
        </w:rPr>
        <w:t xml:space="preserve"> </w:t>
      </w:r>
      <w:r w:rsidRPr="0019040D">
        <w:rPr>
          <w:lang w:val="fr-FR"/>
        </w:rPr>
        <w:t>note est modifié en conséquence.</w:t>
      </w:r>
    </w:p>
    <w:p w14:paraId="7D59E590" w14:textId="22EE0D49" w:rsidR="0019040D" w:rsidRPr="0019040D" w:rsidRDefault="0019040D" w:rsidP="0019040D">
      <w:pPr>
        <w:pStyle w:val="SingleTxtG"/>
        <w:rPr>
          <w:lang w:val="fr-FR"/>
        </w:rPr>
      </w:pPr>
      <w:r w:rsidRPr="0019040D">
        <w:rPr>
          <w:i/>
          <w:iCs/>
          <w:lang w:val="fr-FR"/>
        </w:rPr>
        <w:t>Paragraphe</w:t>
      </w:r>
      <w:r>
        <w:rPr>
          <w:i/>
          <w:iCs/>
          <w:lang w:val="fr-FR"/>
        </w:rPr>
        <w:t> </w:t>
      </w:r>
      <w:r w:rsidRPr="0019040D">
        <w:rPr>
          <w:i/>
          <w:iCs/>
          <w:lang w:val="fr-FR"/>
        </w:rPr>
        <w:t>6.1.3.6, la note de bas de page</w:t>
      </w:r>
      <w:r>
        <w:rPr>
          <w:i/>
          <w:iCs/>
          <w:lang w:val="fr-FR"/>
        </w:rPr>
        <w:t> </w:t>
      </w:r>
      <w:r w:rsidRPr="0019040D">
        <w:rPr>
          <w:i/>
          <w:iCs/>
          <w:vertAlign w:val="superscript"/>
          <w:lang w:val="fr-FR"/>
        </w:rPr>
        <w:t>3</w:t>
      </w:r>
      <w:r w:rsidRPr="0019040D">
        <w:rPr>
          <w:i/>
          <w:iCs/>
          <w:lang w:val="fr-FR"/>
        </w:rPr>
        <w:t xml:space="preserve"> devient la note</w:t>
      </w:r>
      <w:r>
        <w:rPr>
          <w:i/>
          <w:iCs/>
          <w:lang w:val="fr-FR"/>
        </w:rPr>
        <w:t> </w:t>
      </w:r>
      <w:r w:rsidRPr="0019040D">
        <w:rPr>
          <w:i/>
          <w:iCs/>
          <w:vertAlign w:val="superscript"/>
          <w:lang w:val="fr-FR"/>
        </w:rPr>
        <w:t>4</w:t>
      </w:r>
      <w:r w:rsidRPr="0019040D">
        <w:rPr>
          <w:i/>
          <w:iCs/>
          <w:lang w:val="fr-FR"/>
        </w:rPr>
        <w:t xml:space="preserve"> </w:t>
      </w:r>
      <w:r w:rsidRPr="0019040D">
        <w:rPr>
          <w:lang w:val="fr-FR"/>
        </w:rPr>
        <w:t>et l’appel de</w:t>
      </w:r>
      <w:r w:rsidRPr="0019040D">
        <w:rPr>
          <w:sz w:val="24"/>
          <w:szCs w:val="24"/>
          <w:lang w:val="fr-FR"/>
        </w:rPr>
        <w:t xml:space="preserve"> </w:t>
      </w:r>
      <w:r w:rsidRPr="0019040D">
        <w:rPr>
          <w:lang w:val="fr-FR"/>
        </w:rPr>
        <w:t>note est modifié en conséquence.</w:t>
      </w:r>
    </w:p>
    <w:p w14:paraId="7CC8B0D5" w14:textId="73F6B478" w:rsidR="0019040D" w:rsidRPr="0019040D" w:rsidRDefault="0019040D" w:rsidP="0019040D">
      <w:pPr>
        <w:pStyle w:val="SingleTxtG"/>
        <w:rPr>
          <w:lang w:val="fr-FR"/>
        </w:rPr>
      </w:pPr>
      <w:r w:rsidRPr="0019040D">
        <w:rPr>
          <w:i/>
          <w:iCs/>
          <w:lang w:val="fr-FR"/>
        </w:rPr>
        <w:t>Paragraphe</w:t>
      </w:r>
      <w:r>
        <w:rPr>
          <w:i/>
          <w:iCs/>
          <w:lang w:val="fr-FR"/>
        </w:rPr>
        <w:t> </w:t>
      </w:r>
      <w:r w:rsidRPr="0019040D">
        <w:rPr>
          <w:i/>
          <w:iCs/>
          <w:lang w:val="fr-FR"/>
        </w:rPr>
        <w:t>6.3.5, la note de bas de page</w:t>
      </w:r>
      <w:r>
        <w:rPr>
          <w:i/>
          <w:iCs/>
          <w:lang w:val="fr-FR"/>
        </w:rPr>
        <w:t> </w:t>
      </w:r>
      <w:r w:rsidRPr="0019040D">
        <w:rPr>
          <w:i/>
          <w:iCs/>
          <w:vertAlign w:val="superscript"/>
          <w:lang w:val="fr-FR"/>
        </w:rPr>
        <w:t>4</w:t>
      </w:r>
      <w:r w:rsidRPr="0019040D">
        <w:rPr>
          <w:i/>
          <w:iCs/>
          <w:lang w:val="fr-FR"/>
        </w:rPr>
        <w:t xml:space="preserve"> devient la note</w:t>
      </w:r>
      <w:r>
        <w:rPr>
          <w:i/>
          <w:iCs/>
          <w:lang w:val="fr-FR"/>
        </w:rPr>
        <w:t> </w:t>
      </w:r>
      <w:r w:rsidRPr="0019040D">
        <w:rPr>
          <w:i/>
          <w:iCs/>
          <w:vertAlign w:val="superscript"/>
          <w:lang w:val="fr-FR"/>
        </w:rPr>
        <w:t>5</w:t>
      </w:r>
      <w:r w:rsidRPr="0019040D">
        <w:rPr>
          <w:i/>
          <w:iCs/>
          <w:lang w:val="fr-FR"/>
        </w:rPr>
        <w:t xml:space="preserve"> </w:t>
      </w:r>
      <w:r w:rsidRPr="0019040D">
        <w:rPr>
          <w:lang w:val="fr-FR"/>
        </w:rPr>
        <w:t>et l’appel de note</w:t>
      </w:r>
      <w:r w:rsidRPr="0019040D">
        <w:rPr>
          <w:sz w:val="24"/>
          <w:szCs w:val="24"/>
          <w:lang w:val="fr-FR"/>
        </w:rPr>
        <w:t xml:space="preserve"> </w:t>
      </w:r>
      <w:r w:rsidRPr="0019040D">
        <w:rPr>
          <w:lang w:val="fr-FR"/>
        </w:rPr>
        <w:t>est modifié en conséquence.</w:t>
      </w:r>
    </w:p>
    <w:p w14:paraId="3A34CE65" w14:textId="07A9AD54" w:rsidR="0019040D" w:rsidRPr="0019040D" w:rsidRDefault="0019040D" w:rsidP="0019040D">
      <w:pPr>
        <w:pStyle w:val="SingleTxtG"/>
        <w:rPr>
          <w:lang w:val="fr-FR"/>
        </w:rPr>
      </w:pPr>
      <w:r w:rsidRPr="0019040D">
        <w:rPr>
          <w:i/>
          <w:iCs/>
          <w:lang w:val="fr-FR"/>
        </w:rPr>
        <w:t>Paragraphe</w:t>
      </w:r>
      <w:r>
        <w:rPr>
          <w:i/>
          <w:iCs/>
          <w:lang w:val="fr-FR"/>
        </w:rPr>
        <w:t> </w:t>
      </w:r>
      <w:r w:rsidRPr="0019040D">
        <w:rPr>
          <w:i/>
          <w:iCs/>
          <w:lang w:val="fr-FR"/>
        </w:rPr>
        <w:t>7.2.4.3.4, la note de bas de page</w:t>
      </w:r>
      <w:r>
        <w:rPr>
          <w:i/>
          <w:iCs/>
          <w:lang w:val="fr-FR"/>
        </w:rPr>
        <w:t> </w:t>
      </w:r>
      <w:r w:rsidRPr="0019040D">
        <w:rPr>
          <w:i/>
          <w:iCs/>
          <w:vertAlign w:val="superscript"/>
          <w:lang w:val="fr-FR"/>
        </w:rPr>
        <w:t>5</w:t>
      </w:r>
      <w:r w:rsidRPr="0019040D">
        <w:rPr>
          <w:i/>
          <w:iCs/>
          <w:lang w:val="fr-FR"/>
        </w:rPr>
        <w:t xml:space="preserve"> devient la note</w:t>
      </w:r>
      <w:r>
        <w:rPr>
          <w:i/>
          <w:iCs/>
          <w:lang w:val="fr-FR"/>
        </w:rPr>
        <w:t> </w:t>
      </w:r>
      <w:r w:rsidRPr="0019040D">
        <w:rPr>
          <w:i/>
          <w:iCs/>
          <w:vertAlign w:val="superscript"/>
          <w:lang w:val="fr-FR"/>
        </w:rPr>
        <w:t>6</w:t>
      </w:r>
      <w:r w:rsidRPr="0019040D">
        <w:rPr>
          <w:i/>
          <w:iCs/>
          <w:lang w:val="fr-FR"/>
        </w:rPr>
        <w:t xml:space="preserve"> </w:t>
      </w:r>
      <w:r w:rsidRPr="0019040D">
        <w:rPr>
          <w:lang w:val="fr-FR"/>
        </w:rPr>
        <w:t>et l’appel de note est</w:t>
      </w:r>
      <w:r w:rsidRPr="0019040D">
        <w:rPr>
          <w:sz w:val="24"/>
          <w:szCs w:val="24"/>
          <w:lang w:val="fr-FR"/>
        </w:rPr>
        <w:t xml:space="preserve"> </w:t>
      </w:r>
      <w:r w:rsidRPr="0019040D">
        <w:rPr>
          <w:lang w:val="fr-FR"/>
        </w:rPr>
        <w:t>modifié en conséquence.</w:t>
      </w:r>
    </w:p>
    <w:bookmarkEnd w:id="1"/>
    <w:p w14:paraId="16DECBA4" w14:textId="77777777" w:rsidR="0019040D" w:rsidRPr="00304CE3" w:rsidRDefault="0019040D" w:rsidP="0019040D">
      <w:pPr>
        <w:pStyle w:val="HChG"/>
      </w:pPr>
      <w:r w:rsidRPr="00304CE3">
        <w:rPr>
          <w:lang w:val="fr-FR"/>
        </w:rPr>
        <w:tab/>
        <w:t>II.</w:t>
      </w:r>
      <w:r w:rsidRPr="00304CE3">
        <w:rPr>
          <w:lang w:val="fr-FR"/>
        </w:rPr>
        <w:tab/>
      </w:r>
      <w:r w:rsidRPr="0019040D">
        <w:t>Justification</w:t>
      </w:r>
    </w:p>
    <w:p w14:paraId="7C3708F9" w14:textId="6C0AF4F3" w:rsidR="0019040D" w:rsidRPr="0019040D" w:rsidRDefault="0019040D" w:rsidP="0019040D">
      <w:pPr>
        <w:pStyle w:val="SingleTxtG"/>
      </w:pPr>
      <w:r w:rsidRPr="0019040D">
        <w:t>1.</w:t>
      </w:r>
      <w:r w:rsidRPr="0019040D">
        <w:tab/>
        <w:t>La modification proposée ne réduit ni le niveau d’exigence ni le degré de rigueur des dispositions relatives aux systèmes améliorés de retenue pour enfants. La note de bas de page du paragraphe</w:t>
      </w:r>
      <w:r>
        <w:t> </w:t>
      </w:r>
      <w:r w:rsidRPr="0019040D">
        <w:t xml:space="preserve">3.2.2 est ajoutée pour définir plus précisément ce que signifie l’utilisation d’un seul trajet de la ceinture. Dans sa version actuelle, le texte a apparemment été interprété comme autorisant l’utilisation d’un seul trajet de la ceinture pour chaque type de système </w:t>
      </w:r>
      <w:r w:rsidRPr="0019040D">
        <w:lastRenderedPageBreak/>
        <w:t>amélioré de retenue pour enfants. Ainsi, un trajet de la ceinture a été mis en place pour les systèmes améliorés de retenue pour enfants faisant face vers l’arrière (en configuration intégrale) et un autre pour les systèmes faisant face vers l’avant (en configuration non intégrale), ce qui constitue une combinaison de</w:t>
      </w:r>
      <w:r>
        <w:t> </w:t>
      </w:r>
      <w:r w:rsidRPr="0019040D">
        <w:t>C et E.</w:t>
      </w:r>
      <w:bookmarkEnd w:id="0"/>
    </w:p>
    <w:p w14:paraId="666033B6" w14:textId="29BFDF29" w:rsidR="0019040D" w:rsidRPr="0019040D" w:rsidRDefault="0019040D" w:rsidP="0019040D">
      <w:pPr>
        <w:pStyle w:val="SingleTxtG"/>
      </w:pPr>
      <w:r w:rsidRPr="0019040D">
        <w:t>2.</w:t>
      </w:r>
      <w:r w:rsidRPr="0019040D">
        <w:tab/>
        <w:t>Le principe d’un seul trajet de la ceinture a été introduit pour limiter autant que possible l’utilisation incorrecte de la ceinture. C’est le groupe de travail informel des dispositifs de retenue pour enfants relevant du Forum mondial de l’harmonisation des Règlements concernant les véhicules (WP.29) qui élabore depuis plusieurs années le Règlement ONU n</w:t>
      </w:r>
      <w:r w:rsidRPr="0019040D">
        <w:rPr>
          <w:vertAlign w:val="superscript"/>
        </w:rPr>
        <w:t>o</w:t>
      </w:r>
      <w:r w:rsidRPr="0019040D">
        <w:t> 129, y</w:t>
      </w:r>
      <w:r>
        <w:t> </w:t>
      </w:r>
      <w:r w:rsidRPr="0019040D">
        <w:t>compris la série</w:t>
      </w:r>
      <w:r>
        <w:t> </w:t>
      </w:r>
      <w:r w:rsidRPr="0019040D">
        <w:t>03 d’amendements.</w:t>
      </w:r>
    </w:p>
    <w:p w14:paraId="13ACC5AE" w14:textId="67B39834" w:rsidR="0019040D" w:rsidRPr="0019040D" w:rsidRDefault="0019040D" w:rsidP="0019040D">
      <w:pPr>
        <w:pStyle w:val="SingleTxtG"/>
      </w:pPr>
      <w:r w:rsidRPr="0019040D">
        <w:t>5.</w:t>
      </w:r>
      <w:r w:rsidRPr="0019040D">
        <w:tab/>
        <w:t>Dans la séri</w:t>
      </w:r>
      <w:r>
        <w:t>e </w:t>
      </w:r>
      <w:r w:rsidRPr="0019040D">
        <w:t>03 d’amendements, l’homologation des sièges dits « multi-groupes » est désormais possible, y</w:t>
      </w:r>
      <w:r>
        <w:t> </w:t>
      </w:r>
      <w:r w:rsidRPr="0019040D">
        <w:t>compris pour une combinaison de configurations intégrales (système amélioré de retenue pour enfants équipé d’un harnais) et non intégrales (ceinture de sécurité du véhicule utilisée pour retenir l’enfant, c’est-à-dire les sièges rehausseurs).</w:t>
      </w:r>
    </w:p>
    <w:p w14:paraId="662861A6" w14:textId="7A54898A" w:rsidR="0019040D" w:rsidRPr="0019040D" w:rsidRDefault="0019040D" w:rsidP="0019040D">
      <w:pPr>
        <w:pStyle w:val="SingleTxtG"/>
      </w:pPr>
      <w:r w:rsidRPr="0019040D">
        <w:t>6.</w:t>
      </w:r>
      <w:r w:rsidRPr="0019040D">
        <w:tab/>
        <w:t>La prévention d’une mauvaise utilisation des systèmes amélioré de retenue pour enfants a été l’une des priorités du groupe de travail informel. Lors de sa cinquante-neuvième réunion, un exposé sur les systèmes de retenue pour enfants à ceinture a été présenté (5</w:t>
      </w:r>
      <w:r w:rsidR="008462F3">
        <w:t>9</w:t>
      </w:r>
      <w:r w:rsidRPr="008462F3">
        <w:rPr>
          <w:vertAlign w:val="superscript"/>
        </w:rPr>
        <w:t>e</w:t>
      </w:r>
      <w:r w:rsidR="008462F3">
        <w:t> </w:t>
      </w:r>
      <w:r w:rsidRPr="0019040D">
        <w:t>réunion du sous-groupe des dispositifs de retenue pour enfants chargé de la phase</w:t>
      </w:r>
      <w:r w:rsidR="008462F3">
        <w:t> </w:t>
      </w:r>
      <w:r w:rsidRPr="0019040D">
        <w:t>3, 10</w:t>
      </w:r>
      <w:r w:rsidR="008462F3">
        <w:t> </w:t>
      </w:r>
      <w:r w:rsidRPr="0019040D">
        <w:t>e exposé). À la soixante-sixième réunion du groupe de travail informel, son Président a rappelé aux délégations qu’il serait possible d’utiliser un seul trajet de la ceinture pour les systèmes de retenue pour enfants faisant face vers l’arrière et faisant face vers l’avant et pour les configurations intégrales et non intégrales. À la soixante-huitième réunion du groupe de travail informel, l’expert du Japon a fait remarquer qu’avec l’instauration d’un seul trajet de la ceinture pour les deux configurations (intégrales et non intégrales), le même produit ne pourrait plus être conçu pour différents trajets de ceinture.</w:t>
      </w:r>
    </w:p>
    <w:p w14:paraId="36371B69" w14:textId="75F9913A" w:rsidR="0019040D" w:rsidRPr="0019040D" w:rsidRDefault="0019040D" w:rsidP="0019040D">
      <w:pPr>
        <w:pStyle w:val="SingleTxtG"/>
      </w:pPr>
      <w:r w:rsidRPr="0019040D">
        <w:t>7.</w:t>
      </w:r>
      <w:r w:rsidRPr="0019040D">
        <w:tab/>
        <w:t>À la soixante-neuvième session du Groupe de travail de la sécurité passive (mai 2021), l’expert des Pays-Bas a présenté le document GRSP-69-09, dans lequel il demandait des instructions sur la manière d’interpréter l’expression « un seul trajet de la ceinture » définie dans le texte actuel de la série</w:t>
      </w:r>
      <w:r w:rsidR="008462F3">
        <w:t> </w:t>
      </w:r>
      <w:r w:rsidRPr="0019040D">
        <w:t>03 d’amendements au Règlement ONU n</w:t>
      </w:r>
      <w:r w:rsidRPr="008462F3">
        <w:rPr>
          <w:vertAlign w:val="superscript"/>
        </w:rPr>
        <w:t>o</w:t>
      </w:r>
      <w:r w:rsidRPr="0019040D">
        <w:t> 129, (Systèmes améliorés de retenue pour enfants). Le GRSP est convenu qu’il fallait les interpréter de manière stricte et que seules les attaches asymétriques pouvaient encore être considérées comme « un seul trajet de la ceinture».</w:t>
      </w:r>
    </w:p>
    <w:p w14:paraId="5BCC9A4D" w14:textId="024558A8" w:rsidR="0019040D" w:rsidRDefault="0019040D" w:rsidP="0019040D">
      <w:pPr>
        <w:pStyle w:val="SingleTxtG"/>
      </w:pPr>
      <w:r w:rsidRPr="0019040D">
        <w:t>8.</w:t>
      </w:r>
      <w:r w:rsidRPr="0019040D">
        <w:tab/>
        <w:t>Malgré tous ces efforts, des produits non conformes au principe d’un seul trajet de la ceinture ont été mis sur le marché. Par conséquent, la clarification apportée ici permet d’homogénéiser les règles de manière précise, tout en empêchant une installation incorrecte et éventuellement dangereuse du système de retenue pour enfants (c’est-à-dire une mauvaise utilisation).</w:t>
      </w:r>
    </w:p>
    <w:p w14:paraId="3966DECD" w14:textId="17855AC4" w:rsidR="008462F3" w:rsidRPr="008462F3" w:rsidRDefault="008462F3" w:rsidP="008462F3">
      <w:pPr>
        <w:pStyle w:val="SingleTxtG"/>
        <w:spacing w:before="240" w:after="0"/>
        <w:jc w:val="center"/>
        <w:rPr>
          <w:u w:val="single"/>
        </w:rPr>
      </w:pPr>
      <w:r>
        <w:rPr>
          <w:u w:val="single"/>
        </w:rPr>
        <w:tab/>
      </w:r>
      <w:r>
        <w:rPr>
          <w:u w:val="single"/>
        </w:rPr>
        <w:tab/>
      </w:r>
      <w:r>
        <w:rPr>
          <w:u w:val="single"/>
        </w:rPr>
        <w:tab/>
      </w:r>
      <w:r>
        <w:rPr>
          <w:u w:val="single"/>
        </w:rPr>
        <w:tab/>
      </w:r>
    </w:p>
    <w:sectPr w:rsidR="008462F3" w:rsidRPr="008462F3" w:rsidSect="001904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64CE" w14:textId="77777777" w:rsidR="00B272B3" w:rsidRDefault="00B272B3" w:rsidP="00F95C08">
      <w:pPr>
        <w:spacing w:line="240" w:lineRule="auto"/>
      </w:pPr>
    </w:p>
  </w:endnote>
  <w:endnote w:type="continuationSeparator" w:id="0">
    <w:p w14:paraId="3322197C" w14:textId="77777777" w:rsidR="00B272B3" w:rsidRPr="00AC3823" w:rsidRDefault="00B272B3" w:rsidP="00AC3823">
      <w:pPr>
        <w:pStyle w:val="Footer"/>
      </w:pPr>
    </w:p>
  </w:endnote>
  <w:endnote w:type="continuationNotice" w:id="1">
    <w:p w14:paraId="19E6249B" w14:textId="77777777" w:rsidR="00B272B3" w:rsidRDefault="00B272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8D43" w14:textId="7664EDF2" w:rsidR="0019040D" w:rsidRPr="0019040D" w:rsidRDefault="0019040D" w:rsidP="0019040D">
    <w:pPr>
      <w:pStyle w:val="Footer"/>
      <w:tabs>
        <w:tab w:val="right" w:pos="9638"/>
      </w:tabs>
    </w:pPr>
    <w:r w:rsidRPr="0019040D">
      <w:rPr>
        <w:b/>
        <w:sz w:val="18"/>
      </w:rPr>
      <w:fldChar w:fldCharType="begin"/>
    </w:r>
    <w:r w:rsidRPr="0019040D">
      <w:rPr>
        <w:b/>
        <w:sz w:val="18"/>
      </w:rPr>
      <w:instrText xml:space="preserve"> PAGE  \* MERGEFORMAT </w:instrText>
    </w:r>
    <w:r w:rsidRPr="0019040D">
      <w:rPr>
        <w:b/>
        <w:sz w:val="18"/>
      </w:rPr>
      <w:fldChar w:fldCharType="separate"/>
    </w:r>
    <w:r w:rsidRPr="0019040D">
      <w:rPr>
        <w:b/>
        <w:noProof/>
        <w:sz w:val="18"/>
      </w:rPr>
      <w:t>2</w:t>
    </w:r>
    <w:r w:rsidRPr="0019040D">
      <w:rPr>
        <w:b/>
        <w:sz w:val="18"/>
      </w:rPr>
      <w:fldChar w:fldCharType="end"/>
    </w:r>
    <w:r>
      <w:rPr>
        <w:b/>
        <w:sz w:val="18"/>
      </w:rPr>
      <w:tab/>
    </w:r>
    <w:r>
      <w:t>GE.23-03703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2AED" w14:textId="37361535" w:rsidR="0019040D" w:rsidRPr="0019040D" w:rsidRDefault="0019040D" w:rsidP="0019040D">
    <w:pPr>
      <w:pStyle w:val="Footer"/>
      <w:tabs>
        <w:tab w:val="right" w:pos="9638"/>
      </w:tabs>
      <w:rPr>
        <w:b/>
        <w:sz w:val="18"/>
      </w:rPr>
    </w:pPr>
    <w:r>
      <w:t>GE.23-03703</w:t>
    </w:r>
    <w:r>
      <w:tab/>
    </w:r>
    <w:r w:rsidRPr="0019040D">
      <w:rPr>
        <w:b/>
        <w:sz w:val="18"/>
      </w:rPr>
      <w:fldChar w:fldCharType="begin"/>
    </w:r>
    <w:r w:rsidRPr="0019040D">
      <w:rPr>
        <w:b/>
        <w:sz w:val="18"/>
      </w:rPr>
      <w:instrText xml:space="preserve"> PAGE  \* MERGEFORMAT </w:instrText>
    </w:r>
    <w:r w:rsidRPr="0019040D">
      <w:rPr>
        <w:b/>
        <w:sz w:val="18"/>
      </w:rPr>
      <w:fldChar w:fldCharType="separate"/>
    </w:r>
    <w:r w:rsidRPr="0019040D">
      <w:rPr>
        <w:b/>
        <w:noProof/>
        <w:sz w:val="18"/>
      </w:rPr>
      <w:t>3</w:t>
    </w:r>
    <w:r w:rsidRPr="001904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46A" w14:textId="559C2F79" w:rsidR="007F20FA" w:rsidRPr="0019040D" w:rsidRDefault="0019040D" w:rsidP="0019040D">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EC8E39B" wp14:editId="03738BD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23-03703  (F)</w:t>
    </w:r>
    <w:r>
      <w:rPr>
        <w:noProof/>
        <w:sz w:val="20"/>
      </w:rPr>
      <w:drawing>
        <wp:anchor distT="0" distB="0" distL="114300" distR="114300" simplePos="0" relativeHeight="251660288" behindDoc="0" locked="0" layoutInCell="1" allowOverlap="1" wp14:anchorId="36CA4A70" wp14:editId="5BFDDEF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FEB8" w14:textId="77777777" w:rsidR="00B272B3" w:rsidRPr="00AC3823" w:rsidRDefault="00B272B3" w:rsidP="00AC3823">
      <w:pPr>
        <w:pStyle w:val="Footer"/>
        <w:tabs>
          <w:tab w:val="right" w:pos="2155"/>
        </w:tabs>
        <w:spacing w:after="80" w:line="240" w:lineRule="atLeast"/>
        <w:ind w:left="680"/>
        <w:rPr>
          <w:u w:val="single"/>
        </w:rPr>
      </w:pPr>
      <w:r>
        <w:rPr>
          <w:u w:val="single"/>
        </w:rPr>
        <w:tab/>
      </w:r>
    </w:p>
  </w:footnote>
  <w:footnote w:type="continuationSeparator" w:id="0">
    <w:p w14:paraId="7CC22738" w14:textId="77777777" w:rsidR="00B272B3" w:rsidRPr="00AC3823" w:rsidRDefault="00B272B3" w:rsidP="00AC3823">
      <w:pPr>
        <w:pStyle w:val="Footer"/>
        <w:tabs>
          <w:tab w:val="right" w:pos="2155"/>
        </w:tabs>
        <w:spacing w:after="80" w:line="240" w:lineRule="atLeast"/>
        <w:ind w:left="680"/>
        <w:rPr>
          <w:u w:val="single"/>
        </w:rPr>
      </w:pPr>
      <w:r>
        <w:rPr>
          <w:u w:val="single"/>
        </w:rPr>
        <w:tab/>
      </w:r>
    </w:p>
  </w:footnote>
  <w:footnote w:type="continuationNotice" w:id="1">
    <w:p w14:paraId="0284E4FD" w14:textId="77777777" w:rsidR="00B272B3" w:rsidRPr="00AC3823" w:rsidRDefault="00B272B3">
      <w:pPr>
        <w:spacing w:line="240" w:lineRule="auto"/>
        <w:rPr>
          <w:sz w:val="2"/>
          <w:szCs w:val="2"/>
        </w:rPr>
      </w:pPr>
    </w:p>
  </w:footnote>
  <w:footnote w:id="2">
    <w:p w14:paraId="63D177FE" w14:textId="05136D77" w:rsidR="0019040D" w:rsidRPr="0019040D" w:rsidRDefault="0019040D">
      <w:pPr>
        <w:pStyle w:val="FootnoteText"/>
      </w:pPr>
      <w:r>
        <w:rPr>
          <w:rStyle w:val="FootnoteReference"/>
        </w:rPr>
        <w:tab/>
      </w:r>
      <w:r w:rsidRPr="0019040D">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7CCD3756" w14:textId="23303296" w:rsidR="0019040D" w:rsidRPr="000E0E49" w:rsidRDefault="0019040D" w:rsidP="0019040D">
      <w:pPr>
        <w:pStyle w:val="FootnoteText"/>
        <w:tabs>
          <w:tab w:val="clear" w:pos="1021"/>
        </w:tabs>
        <w:ind w:left="0" w:firstLine="0"/>
      </w:pPr>
    </w:p>
  </w:footnote>
  <w:footnote w:id="4">
    <w:p w14:paraId="162E1D02" w14:textId="4363071E" w:rsidR="0019040D" w:rsidRPr="000E0E49" w:rsidRDefault="0019040D" w:rsidP="0019040D">
      <w:pPr>
        <w:pStyle w:val="FootnoteText"/>
      </w:pPr>
      <w:r>
        <w:rPr>
          <w:lang w:val="fr-FR"/>
        </w:rPr>
        <w:tab/>
      </w:r>
      <w:r>
        <w:rPr>
          <w:vertAlign w:val="superscript"/>
          <w:lang w:val="fr-FR"/>
        </w:rPr>
        <w:t>2</w:t>
      </w:r>
      <w:r>
        <w:rPr>
          <w:lang w:val="fr-FR"/>
        </w:rPr>
        <w:t xml:space="preserve"> </w:t>
      </w:r>
      <w:r>
        <w:rPr>
          <w:lang w:val="fr-FR"/>
        </w:rPr>
        <w:tab/>
      </w:r>
      <w:r>
        <w:rPr>
          <w:b/>
          <w:bCs/>
          <w:lang w:val="fr-FR"/>
        </w:rPr>
        <w:t xml:space="preserve">Cette disposition est applicable à toute la gamme de tailles, quelle que soit la configuration dans laquelle le système amélioré de retenue pour enfants sera homologué : </w:t>
      </w:r>
      <w:r w:rsidRPr="007F595E">
        <w:rPr>
          <w:b/>
          <w:bCs/>
          <w:lang w:val="fr-FR"/>
        </w:rPr>
        <w:t xml:space="preserve">un seul trajet de </w:t>
      </w:r>
      <w:r>
        <w:rPr>
          <w:b/>
          <w:bCs/>
          <w:lang w:val="fr-FR"/>
        </w:rPr>
        <w:t xml:space="preserve">la </w:t>
      </w:r>
      <w:r w:rsidRPr="007F595E">
        <w:rPr>
          <w:b/>
          <w:bCs/>
          <w:lang w:val="fr-FR"/>
        </w:rPr>
        <w:t>ceinture doit être utilisé</w:t>
      </w:r>
      <w:r>
        <w:rPr>
          <w:b/>
          <w:bCs/>
          <w:lang w:val="fr-FR"/>
        </w:rPr>
        <w:t>, que le système soit installé face vers l’avant ou face vers l’arrière</w:t>
      </w:r>
      <w:r>
        <w:rPr>
          <w:lang w:val="fr-FR"/>
        </w:rPr>
        <w:t xml:space="preserve">. </w:t>
      </w:r>
      <w:r>
        <w:rPr>
          <w:b/>
          <w:bCs/>
          <w:lang w:val="fr-FR"/>
        </w:rPr>
        <w:t>Il en va de même pour les systèmes améliorés de retenue pour enfants permettant des configurations intégrales et non intégrales combinées ou pour toute autre combinaison autorisée par le présent paragraphe.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C25B" w14:textId="0D222E2B" w:rsidR="0019040D" w:rsidRPr="0019040D" w:rsidRDefault="0094264F">
    <w:pPr>
      <w:pStyle w:val="Header"/>
    </w:pPr>
    <w:r>
      <w:fldChar w:fldCharType="begin"/>
    </w:r>
    <w:r>
      <w:instrText xml:space="preserve"> TITLE  \* MERGEFORMAT </w:instrText>
    </w:r>
    <w:r>
      <w:fldChar w:fldCharType="separate"/>
    </w:r>
    <w:r w:rsidR="0019040D">
      <w:t>ECE/TRANS/WP.29/GRSP/2023/11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608D" w14:textId="3AE510D9" w:rsidR="0019040D" w:rsidRPr="0019040D" w:rsidRDefault="0094264F" w:rsidP="0019040D">
    <w:pPr>
      <w:pStyle w:val="Header"/>
      <w:jc w:val="right"/>
    </w:pPr>
    <w:r>
      <w:fldChar w:fldCharType="begin"/>
    </w:r>
    <w:r>
      <w:instrText xml:space="preserve"> TITLE  \* MERGEFORMAT </w:instrText>
    </w:r>
    <w:r>
      <w:fldChar w:fldCharType="separate"/>
    </w:r>
    <w:r w:rsidR="0019040D">
      <w:t>ECE/TRANS/WP.29/GRSP/2023/11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3B95C06"/>
    <w:multiLevelType w:val="hybridMultilevel"/>
    <w:tmpl w:val="DA7C69BC"/>
    <w:lvl w:ilvl="0" w:tplc="5816D500">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64791948">
    <w:abstractNumId w:val="13"/>
  </w:num>
  <w:num w:numId="2" w16cid:durableId="166292283">
    <w:abstractNumId w:val="11"/>
  </w:num>
  <w:num w:numId="3" w16cid:durableId="1455977839">
    <w:abstractNumId w:val="10"/>
  </w:num>
  <w:num w:numId="4" w16cid:durableId="1668944907">
    <w:abstractNumId w:val="8"/>
  </w:num>
  <w:num w:numId="5" w16cid:durableId="72629775">
    <w:abstractNumId w:val="3"/>
  </w:num>
  <w:num w:numId="6" w16cid:durableId="152070989">
    <w:abstractNumId w:val="2"/>
  </w:num>
  <w:num w:numId="7" w16cid:durableId="1949727829">
    <w:abstractNumId w:val="1"/>
  </w:num>
  <w:num w:numId="8" w16cid:durableId="514197051">
    <w:abstractNumId w:val="0"/>
  </w:num>
  <w:num w:numId="9" w16cid:durableId="1510025238">
    <w:abstractNumId w:val="9"/>
  </w:num>
  <w:num w:numId="10" w16cid:durableId="144664577">
    <w:abstractNumId w:val="7"/>
  </w:num>
  <w:num w:numId="11" w16cid:durableId="907417905">
    <w:abstractNumId w:val="6"/>
  </w:num>
  <w:num w:numId="12" w16cid:durableId="1771772500">
    <w:abstractNumId w:val="5"/>
  </w:num>
  <w:num w:numId="13" w16cid:durableId="1143548930">
    <w:abstractNumId w:val="4"/>
  </w:num>
  <w:num w:numId="14" w16cid:durableId="616840715">
    <w:abstractNumId w:val="13"/>
  </w:num>
  <w:num w:numId="15" w16cid:durableId="1694844329">
    <w:abstractNumId w:val="11"/>
  </w:num>
  <w:num w:numId="16" w16cid:durableId="875121232">
    <w:abstractNumId w:val="10"/>
  </w:num>
  <w:num w:numId="17" w16cid:durableId="1646274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B3"/>
    <w:rsid w:val="00017F94"/>
    <w:rsid w:val="00023842"/>
    <w:rsid w:val="000334F9"/>
    <w:rsid w:val="00045FEB"/>
    <w:rsid w:val="0007796D"/>
    <w:rsid w:val="000B7790"/>
    <w:rsid w:val="00111F2F"/>
    <w:rsid w:val="0014365E"/>
    <w:rsid w:val="00143C66"/>
    <w:rsid w:val="00176178"/>
    <w:rsid w:val="0019040D"/>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3708E"/>
    <w:rsid w:val="008462F3"/>
    <w:rsid w:val="00871C75"/>
    <w:rsid w:val="008776DC"/>
    <w:rsid w:val="008D5EF9"/>
    <w:rsid w:val="0094264F"/>
    <w:rsid w:val="009446C0"/>
    <w:rsid w:val="009705C8"/>
    <w:rsid w:val="009C1CF4"/>
    <w:rsid w:val="009F6B74"/>
    <w:rsid w:val="00A3029F"/>
    <w:rsid w:val="00A30353"/>
    <w:rsid w:val="00AC3823"/>
    <w:rsid w:val="00AE323C"/>
    <w:rsid w:val="00AF0CB5"/>
    <w:rsid w:val="00B00181"/>
    <w:rsid w:val="00B00B0D"/>
    <w:rsid w:val="00B272B3"/>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40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139E4"/>
  <w15:docId w15:val="{A1B0AC9C-279C-4799-B45E-45D3041E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19040D"/>
    <w:rPr>
      <w:rFonts w:ascii="Times New Roman" w:eastAsiaTheme="minorHAnsi" w:hAnsi="Times New Roman" w:cs="Times New Roman"/>
      <w:b/>
      <w:sz w:val="28"/>
      <w:szCs w:val="20"/>
      <w:lang w:eastAsia="en-US"/>
    </w:rPr>
  </w:style>
  <w:style w:type="character" w:customStyle="1" w:styleId="SingleTxtGChar">
    <w:name w:val="_ Single Txt_G Char"/>
    <w:basedOn w:val="DefaultParagraphFont"/>
    <w:link w:val="SingleTxtG"/>
    <w:qFormat/>
    <w:rsid w:val="0019040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ECE/TRANS/WP.29/GRSP/2023/11</vt:lpstr>
    </vt:vector>
  </TitlesOfParts>
  <Company>DCM</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ECE/TRANS/WP.29/GRSP/2023/11</dc:title>
  <dc:subject/>
  <dc:creator>Marie DESCHAMPS</dc:creator>
  <cp:keywords/>
  <cp:lastModifiedBy>Josephine Ayiku</cp:lastModifiedBy>
  <cp:revision>2</cp:revision>
  <cp:lastPrinted>2014-05-14T10:59:00Z</cp:lastPrinted>
  <dcterms:created xsi:type="dcterms:W3CDTF">2023-04-04T11:00:00Z</dcterms:created>
  <dcterms:modified xsi:type="dcterms:W3CDTF">2023-04-04T11:00:00Z</dcterms:modified>
</cp:coreProperties>
</file>