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C048C0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FEC322B" w14:textId="77777777" w:rsidR="00F35BAF" w:rsidRPr="00DB58B5" w:rsidRDefault="00F35BAF" w:rsidP="00B927E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34D863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23E492" w14:textId="6A6A02F1" w:rsidR="00F35BAF" w:rsidRPr="00DB58B5" w:rsidRDefault="00B927ED" w:rsidP="00B927ED">
            <w:pPr>
              <w:jc w:val="right"/>
            </w:pPr>
            <w:r w:rsidRPr="00B927ED">
              <w:rPr>
                <w:sz w:val="40"/>
              </w:rPr>
              <w:t>ECE</w:t>
            </w:r>
            <w:r>
              <w:t>/TRANS/WP.29/2023/76</w:t>
            </w:r>
          </w:p>
        </w:tc>
      </w:tr>
      <w:tr w:rsidR="00F35BAF" w:rsidRPr="00DB58B5" w14:paraId="5E49838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7CE45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0270A59" wp14:editId="54C4DC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5020B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A3E2A" w14:textId="77777777" w:rsidR="00F35BAF" w:rsidRDefault="00B927ED" w:rsidP="00C97039">
            <w:pPr>
              <w:spacing w:before="240"/>
            </w:pPr>
            <w:r>
              <w:t>Distr. générale</w:t>
            </w:r>
          </w:p>
          <w:p w14:paraId="19419BEC" w14:textId="77777777" w:rsidR="00B927ED" w:rsidRDefault="00B927ED" w:rsidP="00B927ED">
            <w:pPr>
              <w:spacing w:line="240" w:lineRule="exact"/>
            </w:pPr>
            <w:r>
              <w:t>3 avril 2023</w:t>
            </w:r>
          </w:p>
          <w:p w14:paraId="087B9946" w14:textId="77777777" w:rsidR="00B927ED" w:rsidRDefault="00B927ED" w:rsidP="00B927ED">
            <w:pPr>
              <w:spacing w:line="240" w:lineRule="exact"/>
            </w:pPr>
            <w:r>
              <w:t>Français</w:t>
            </w:r>
          </w:p>
          <w:p w14:paraId="6402E64A" w14:textId="7235388A" w:rsidR="00B927ED" w:rsidRPr="00DB58B5" w:rsidRDefault="00B927ED" w:rsidP="00B927ED">
            <w:pPr>
              <w:spacing w:line="240" w:lineRule="exact"/>
            </w:pPr>
            <w:r>
              <w:t>Original : anglais</w:t>
            </w:r>
          </w:p>
        </w:tc>
      </w:tr>
    </w:tbl>
    <w:p w14:paraId="454748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AB91A2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A930D6C" w14:textId="77777777" w:rsidR="00B927ED" w:rsidRDefault="00B927ED" w:rsidP="00B927ED">
      <w:pPr>
        <w:spacing w:before="120"/>
        <w:rPr>
          <w:sz w:val="28"/>
          <w:szCs w:val="28"/>
          <w:lang w:val="fr-FR"/>
        </w:rPr>
      </w:pPr>
      <w:r w:rsidRPr="00073C03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073C03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073C03">
        <w:rPr>
          <w:b/>
          <w:bCs/>
          <w:sz w:val="24"/>
          <w:szCs w:val="24"/>
          <w:lang w:val="fr-FR"/>
        </w:rPr>
        <w:t>des Règlements concernant les véhicules</w:t>
      </w:r>
      <w:r w:rsidRPr="00073C03">
        <w:rPr>
          <w:sz w:val="24"/>
          <w:szCs w:val="24"/>
          <w:lang w:val="fr-FR"/>
        </w:rPr>
        <w:t xml:space="preserve"> </w:t>
      </w:r>
    </w:p>
    <w:p w14:paraId="6676B615" w14:textId="77777777" w:rsidR="00B927ED" w:rsidRPr="00073C03" w:rsidRDefault="00B927ED" w:rsidP="00B927ED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190</w:t>
      </w:r>
      <w:r w:rsidRPr="00601FD7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073C03">
        <w:rPr>
          <w:b/>
          <w:bCs/>
          <w:lang w:val="fr-FR"/>
        </w:rPr>
        <w:t>session</w:t>
      </w:r>
      <w:r w:rsidRPr="00073C03">
        <w:rPr>
          <w:lang w:val="fr-FR"/>
        </w:rPr>
        <w:t xml:space="preserve"> </w:t>
      </w:r>
    </w:p>
    <w:p w14:paraId="73343943" w14:textId="77777777" w:rsidR="00B927ED" w:rsidRPr="00073C03" w:rsidRDefault="00B927ED" w:rsidP="00B927ED">
      <w:pPr>
        <w:rPr>
          <w:bCs/>
          <w:lang w:val="fr-FR"/>
        </w:rPr>
      </w:pPr>
      <w:r w:rsidRPr="00073C03">
        <w:rPr>
          <w:lang w:val="fr-FR"/>
        </w:rPr>
        <w:t xml:space="preserve">Genève, </w:t>
      </w:r>
      <w:r>
        <w:rPr>
          <w:lang w:val="fr-FR"/>
        </w:rPr>
        <w:t>20-22 juin</w:t>
      </w:r>
      <w:r w:rsidRPr="00073C03">
        <w:rPr>
          <w:lang w:val="fr-FR"/>
        </w:rPr>
        <w:t xml:space="preserve"> 2023</w:t>
      </w:r>
    </w:p>
    <w:p w14:paraId="3585C649" w14:textId="77777777" w:rsidR="00B927ED" w:rsidRPr="00073C03" w:rsidRDefault="00B927ED" w:rsidP="00B927ED">
      <w:pPr>
        <w:rPr>
          <w:bCs/>
          <w:lang w:val="fr-FR"/>
        </w:rPr>
      </w:pPr>
      <w:r w:rsidRPr="00073C03">
        <w:rPr>
          <w:lang w:val="fr-FR"/>
        </w:rPr>
        <w:t xml:space="preserve">Point </w:t>
      </w:r>
      <w:r>
        <w:rPr>
          <w:lang w:val="fr-FR"/>
        </w:rPr>
        <w:t>4.9.6</w:t>
      </w:r>
      <w:r w:rsidRPr="00073C03">
        <w:rPr>
          <w:lang w:val="fr-FR"/>
        </w:rPr>
        <w:t xml:space="preserve"> de l</w:t>
      </w:r>
      <w:r>
        <w:rPr>
          <w:lang w:val="fr-FR"/>
        </w:rPr>
        <w:t>’</w:t>
      </w:r>
      <w:r w:rsidRPr="00073C03">
        <w:rPr>
          <w:lang w:val="fr-FR"/>
        </w:rPr>
        <w:t>ordre du jour provisoire</w:t>
      </w:r>
    </w:p>
    <w:p w14:paraId="6814BD9A" w14:textId="19C4504D" w:rsidR="00B927ED" w:rsidRPr="003072E1" w:rsidRDefault="00B927ED" w:rsidP="00B927ED">
      <w:pPr>
        <w:rPr>
          <w:b/>
          <w:bCs/>
          <w:lang w:val="fr-FR"/>
        </w:rPr>
      </w:pPr>
      <w:r w:rsidRPr="003072E1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3072E1">
        <w:rPr>
          <w:b/>
          <w:bCs/>
          <w:lang w:val="fr-FR"/>
        </w:rPr>
        <w:t>:</w:t>
      </w:r>
    </w:p>
    <w:p w14:paraId="5A1A2D74" w14:textId="32B40C6A" w:rsidR="00B927ED" w:rsidRPr="00073C03" w:rsidRDefault="00B927ED" w:rsidP="00B927ED">
      <w:pPr>
        <w:rPr>
          <w:b/>
          <w:bCs/>
          <w:lang w:val="fr-FR"/>
        </w:rPr>
      </w:pPr>
      <w:r w:rsidRPr="003072E1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3072E1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3072E1">
        <w:rPr>
          <w:b/>
          <w:bCs/>
          <w:lang w:val="fr-FR"/>
        </w:rPr>
        <w:t>existants, soumis par</w:t>
      </w:r>
      <w:r>
        <w:rPr>
          <w:b/>
          <w:bCs/>
          <w:lang w:val="fr-FR"/>
        </w:rPr>
        <w:t xml:space="preserve"> </w:t>
      </w:r>
      <w:r w:rsidRPr="003072E1">
        <w:rPr>
          <w:b/>
          <w:bCs/>
          <w:lang w:val="fr-FR"/>
        </w:rPr>
        <w:t>le GRBP</w:t>
      </w:r>
    </w:p>
    <w:p w14:paraId="394EA3AB" w14:textId="2591DD4E" w:rsidR="00B927ED" w:rsidRPr="00073C03" w:rsidRDefault="00B927ED" w:rsidP="00B927ED">
      <w:pPr>
        <w:pStyle w:val="HChG"/>
        <w:rPr>
          <w:sz w:val="36"/>
          <w:szCs w:val="36"/>
          <w:lang w:val="fr-FR"/>
        </w:rPr>
      </w:pPr>
      <w:r w:rsidRPr="00073C03">
        <w:rPr>
          <w:lang w:val="fr-FR"/>
        </w:rPr>
        <w:tab/>
      </w:r>
      <w:r w:rsidRPr="00073C03">
        <w:rPr>
          <w:lang w:val="fr-FR"/>
        </w:rPr>
        <w:tab/>
        <w:t xml:space="preserve">Proposition </w:t>
      </w:r>
      <w:r>
        <w:rPr>
          <w:lang w:val="fr-FR"/>
        </w:rPr>
        <w:t>de complément 1 à la série 04 d’amendements</w:t>
      </w:r>
      <w:r w:rsidRPr="00073C03">
        <w:rPr>
          <w:lang w:val="fr-FR"/>
        </w:rPr>
        <w:t xml:space="preserve"> </w:t>
      </w:r>
      <w:r>
        <w:rPr>
          <w:lang w:val="fr-FR"/>
        </w:rPr>
        <w:br/>
      </w:r>
      <w:r w:rsidRPr="00073C03">
        <w:rPr>
          <w:lang w:val="fr-FR"/>
        </w:rPr>
        <w:t>au Règlement ONU n</w:t>
      </w:r>
      <w:r w:rsidRPr="00073C0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073C03">
        <w:rPr>
          <w:lang w:val="fr-FR"/>
        </w:rPr>
        <w:t>117</w:t>
      </w:r>
      <w:r>
        <w:rPr>
          <w:lang w:val="fr-FR"/>
        </w:rPr>
        <w:t xml:space="preserve"> </w:t>
      </w:r>
      <w:r w:rsidRPr="003072E1">
        <w:rPr>
          <w:lang w:val="fr-FR"/>
        </w:rPr>
        <w:t xml:space="preserve">(Pneumatiques − Résistance </w:t>
      </w:r>
      <w:r>
        <w:rPr>
          <w:lang w:val="fr-FR"/>
        </w:rPr>
        <w:br/>
      </w:r>
      <w:r w:rsidRPr="003072E1">
        <w:rPr>
          <w:lang w:val="fr-FR"/>
        </w:rPr>
        <w:t xml:space="preserve">au roulement, bruit de roulement et adhérence </w:t>
      </w:r>
      <w:r>
        <w:rPr>
          <w:lang w:val="fr-FR"/>
        </w:rPr>
        <w:br/>
      </w:r>
      <w:r w:rsidRPr="003072E1">
        <w:rPr>
          <w:lang w:val="fr-FR"/>
        </w:rPr>
        <w:t>sur sol mouillé)</w:t>
      </w:r>
    </w:p>
    <w:p w14:paraId="18E99983" w14:textId="77777777" w:rsidR="00B927ED" w:rsidRPr="00073C03" w:rsidRDefault="00B927ED" w:rsidP="00B927ED">
      <w:pPr>
        <w:pStyle w:val="H1G"/>
        <w:rPr>
          <w:sz w:val="32"/>
          <w:lang w:val="fr-FR"/>
        </w:rPr>
      </w:pPr>
      <w:r w:rsidRPr="00073C03">
        <w:rPr>
          <w:lang w:val="fr-FR"/>
        </w:rPr>
        <w:tab/>
      </w:r>
      <w:r w:rsidRPr="00073C03">
        <w:rPr>
          <w:lang w:val="fr-FR"/>
        </w:rPr>
        <w:tab/>
        <w:t xml:space="preserve">Communication </w:t>
      </w:r>
      <w:r w:rsidRPr="003072E1">
        <w:rPr>
          <w:lang w:val="fr-FR"/>
        </w:rPr>
        <w:t>du Groupe de travail du bruit et des pneumatiques</w:t>
      </w:r>
      <w:r w:rsidRPr="001D6BB8">
        <w:rPr>
          <w:b w:val="0"/>
          <w:bCs/>
          <w:sz w:val="20"/>
          <w:lang w:val="fr-FR"/>
        </w:rPr>
        <w:footnoteReference w:customMarkFollows="1" w:id="2"/>
        <w:t>*</w:t>
      </w:r>
    </w:p>
    <w:p w14:paraId="54B2E784" w14:textId="6832F1C4" w:rsidR="00B927ED" w:rsidRDefault="00B927ED" w:rsidP="00B927ED">
      <w:pPr>
        <w:pStyle w:val="SingleTxtG"/>
        <w:ind w:firstLine="567"/>
        <w:rPr>
          <w:lang w:val="fr-FR"/>
        </w:rPr>
      </w:pPr>
      <w:r w:rsidRPr="00073C03">
        <w:rPr>
          <w:lang w:val="fr-FR"/>
        </w:rPr>
        <w:tab/>
      </w:r>
      <w:r w:rsidRPr="003072E1">
        <w:rPr>
          <w:lang w:val="fr-FR"/>
        </w:rPr>
        <w:t>Le texte ci-après, adopté par le Groupe de travail du bruit et des pneumatiques (GRBP) à sa soixante-dix-septième session (ECE/TRANS/WP.29/GRBP/75, par.</w:t>
      </w:r>
      <w:r>
        <w:rPr>
          <w:lang w:val="fr-FR"/>
        </w:rPr>
        <w:t> </w:t>
      </w:r>
      <w:r>
        <w:rPr>
          <w:lang w:val="fr-FR"/>
        </w:rPr>
        <w:t>22</w:t>
      </w:r>
      <w:r w:rsidRPr="003072E1">
        <w:rPr>
          <w:lang w:val="fr-FR"/>
        </w:rPr>
        <w:t xml:space="preserve"> et </w:t>
      </w:r>
      <w:r>
        <w:rPr>
          <w:lang w:val="fr-FR"/>
        </w:rPr>
        <w:t>23</w:t>
      </w:r>
      <w:r w:rsidRPr="003072E1">
        <w:rPr>
          <w:lang w:val="fr-FR"/>
        </w:rPr>
        <w:t>), est fondé sur le document ECE/TRANS/WP.29/GRBP/2023/</w:t>
      </w:r>
      <w:r>
        <w:rPr>
          <w:lang w:val="fr-FR"/>
        </w:rPr>
        <w:t>5</w:t>
      </w:r>
      <w:r w:rsidRPr="003072E1">
        <w:rPr>
          <w:lang w:val="fr-FR"/>
        </w:rPr>
        <w:t xml:space="preserve">, tel que modifié par le </w:t>
      </w:r>
      <w:r>
        <w:rPr>
          <w:lang w:val="fr-FR"/>
        </w:rPr>
        <w:t>document informel GRBP-77-32,</w:t>
      </w:r>
      <w:r w:rsidRPr="003072E1">
        <w:rPr>
          <w:lang w:val="fr-FR"/>
        </w:rPr>
        <w:t xml:space="preserve"> et sur le document ECE/TRANS/WP.29/GRBP/2023/8. Il est soumis au Forum mondial de l</w:t>
      </w:r>
      <w:r>
        <w:rPr>
          <w:lang w:val="fr-FR"/>
        </w:rPr>
        <w:t>’</w:t>
      </w:r>
      <w:r w:rsidRPr="003072E1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072E1">
        <w:rPr>
          <w:lang w:val="fr-FR"/>
        </w:rPr>
        <w:t>administration de l</w:t>
      </w:r>
      <w:r>
        <w:rPr>
          <w:lang w:val="fr-FR"/>
        </w:rPr>
        <w:t>’</w:t>
      </w:r>
      <w:r w:rsidRPr="003072E1">
        <w:rPr>
          <w:lang w:val="fr-FR"/>
        </w:rPr>
        <w:t>Accord de 1958 (AC.1) pour examen à leurs sessions de juin 2023.</w:t>
      </w:r>
    </w:p>
    <w:p w14:paraId="6E68A43E" w14:textId="77777777" w:rsidR="00B927ED" w:rsidRDefault="00B927ED" w:rsidP="00B927ED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3F71D0F0" w14:textId="49A1CFBB" w:rsidR="00B927ED" w:rsidRPr="00073C03" w:rsidRDefault="00B927ED" w:rsidP="00B927ED">
      <w:pPr>
        <w:pStyle w:val="SingleTxtG"/>
        <w:rPr>
          <w:b/>
          <w:bCs/>
          <w:lang w:val="fr-FR"/>
        </w:rPr>
      </w:pPr>
      <w:r w:rsidRPr="00B927ED">
        <w:rPr>
          <w:i/>
          <w:iCs/>
          <w:lang w:val="fr-FR"/>
        </w:rPr>
        <w:lastRenderedPageBreak/>
        <w:t>Ajouter le nouveau paragraphe 12.17</w:t>
      </w:r>
      <w:r w:rsidRPr="00073C03">
        <w:rPr>
          <w:lang w:val="fr-FR"/>
        </w:rPr>
        <w:t>, libellé comme suit</w:t>
      </w:r>
      <w:r>
        <w:rPr>
          <w:lang w:val="fr-FR"/>
        </w:rPr>
        <w:t> </w:t>
      </w:r>
      <w:r w:rsidRPr="00073C03">
        <w:rPr>
          <w:lang w:val="fr-FR"/>
        </w:rPr>
        <w:t>:</w:t>
      </w:r>
    </w:p>
    <w:p w14:paraId="0C696F1E" w14:textId="6A1CF26B" w:rsidR="00B927ED" w:rsidRPr="00601FD7" w:rsidRDefault="00B927ED" w:rsidP="00B927ED">
      <w:pPr>
        <w:pStyle w:val="SingleTxtG"/>
        <w:tabs>
          <w:tab w:val="left" w:pos="2268"/>
        </w:tabs>
        <w:ind w:left="2268" w:hanging="1134"/>
        <w:rPr>
          <w:sz w:val="28"/>
          <w:szCs w:val="28"/>
          <w:lang w:val="fr-FR"/>
        </w:rPr>
      </w:pPr>
      <w:r w:rsidRPr="003072E1">
        <w:rPr>
          <w:lang w:val="fr-FR"/>
        </w:rPr>
        <w:t>«</w:t>
      </w:r>
      <w:r w:rsidRPr="00601FD7">
        <w:rPr>
          <w:lang w:val="fr-FR"/>
        </w:rPr>
        <w:t> 12.17</w:t>
      </w:r>
      <w:r w:rsidRPr="003072E1">
        <w:rPr>
          <w:lang w:val="fr-FR"/>
        </w:rPr>
        <w:tab/>
      </w:r>
      <w:r>
        <w:rPr>
          <w:lang w:val="fr-FR"/>
        </w:rPr>
        <w:t>Jusqu’au 6</w:t>
      </w:r>
      <w:r>
        <w:rPr>
          <w:lang w:val="fr-FR"/>
        </w:rPr>
        <w:t> </w:t>
      </w:r>
      <w:r>
        <w:rPr>
          <w:lang w:val="fr-FR"/>
        </w:rPr>
        <w:t>janvier 2029, l</w:t>
      </w:r>
      <w:r w:rsidRPr="00601FD7">
        <w:rPr>
          <w:lang w:val="fr-FR"/>
        </w:rPr>
        <w:t>es Parties contractantes appliquant le présent Règlement doivent continuer à autoriser le montage, sur un véhicule en service, de pneumatiques neufs fabriqués avant la date indiquée au paragraphe</w:t>
      </w:r>
      <w:r>
        <w:rPr>
          <w:lang w:val="fr-FR"/>
        </w:rPr>
        <w:t> </w:t>
      </w:r>
      <w:r w:rsidRPr="00601FD7">
        <w:rPr>
          <w:lang w:val="fr-FR"/>
        </w:rPr>
        <w:t>12.5 et homologués en vertu du présent Règlement tel que modifié par les séries 02 ou</w:t>
      </w:r>
      <w:r>
        <w:rPr>
          <w:lang w:val="fr-FR"/>
        </w:rPr>
        <w:t> </w:t>
      </w:r>
      <w:r w:rsidRPr="00601FD7">
        <w:rPr>
          <w:lang w:val="fr-FR"/>
        </w:rPr>
        <w:t>03 d</w:t>
      </w:r>
      <w:r>
        <w:rPr>
          <w:lang w:val="fr-FR"/>
        </w:rPr>
        <w:t>’</w:t>
      </w:r>
      <w:r w:rsidRPr="00601FD7">
        <w:rPr>
          <w:lang w:val="fr-FR"/>
        </w:rPr>
        <w:t>amendements. </w:t>
      </w:r>
      <w:r w:rsidRPr="003072E1">
        <w:rPr>
          <w:lang w:val="fr-FR"/>
        </w:rPr>
        <w:t>».</w:t>
      </w:r>
    </w:p>
    <w:p w14:paraId="43D882E7" w14:textId="77777777" w:rsidR="00B927ED" w:rsidRPr="00601FD7" w:rsidRDefault="00B927ED" w:rsidP="00B927ED">
      <w:pPr>
        <w:pStyle w:val="SingleTxtG"/>
        <w:rPr>
          <w:i/>
          <w:iCs/>
          <w:lang w:val="fr-FR"/>
        </w:rPr>
      </w:pPr>
      <w:r w:rsidRPr="00073C03">
        <w:rPr>
          <w:b/>
          <w:bCs/>
          <w:sz w:val="28"/>
          <w:szCs w:val="28"/>
          <w:lang w:val="fr-FR"/>
        </w:rPr>
        <w:tab/>
      </w:r>
      <w:r w:rsidRPr="00601FD7">
        <w:rPr>
          <w:i/>
          <w:iCs/>
          <w:lang w:val="fr-FR"/>
        </w:rPr>
        <w:t>Annexe 2,</w:t>
      </w:r>
    </w:p>
    <w:p w14:paraId="6422A9D0" w14:textId="77777777" w:rsidR="00B927ED" w:rsidRPr="00601FD7" w:rsidRDefault="00B927ED" w:rsidP="00B927ED">
      <w:pPr>
        <w:pStyle w:val="SingleTxtG"/>
        <w:rPr>
          <w:i/>
          <w:iCs/>
          <w:lang w:val="fr-FR"/>
        </w:rPr>
      </w:pPr>
      <w:r w:rsidRPr="00601FD7">
        <w:rPr>
          <w:i/>
          <w:iCs/>
          <w:lang w:val="fr-FR"/>
        </w:rPr>
        <w:t xml:space="preserve">Appendice 2, </w:t>
      </w:r>
      <w:r w:rsidRPr="00601FD7">
        <w:rPr>
          <w:lang w:val="fr-FR"/>
        </w:rPr>
        <w:t>supprimer</w:t>
      </w:r>
      <w:r w:rsidRPr="00601FD7">
        <w:rPr>
          <w:i/>
          <w:iCs/>
          <w:lang w:val="fr-FR"/>
        </w:rPr>
        <w:t xml:space="preserve"> la note de bas de page 1.</w:t>
      </w:r>
    </w:p>
    <w:p w14:paraId="4E5D42E1" w14:textId="1A4F03B5" w:rsidR="00F9573C" w:rsidRDefault="00B927ED" w:rsidP="00B927ED">
      <w:pPr>
        <w:pStyle w:val="SingleTxtG"/>
        <w:rPr>
          <w:i/>
          <w:iCs/>
          <w:lang w:val="fr-FR"/>
        </w:rPr>
      </w:pPr>
      <w:r w:rsidRPr="00601FD7">
        <w:rPr>
          <w:i/>
          <w:iCs/>
          <w:lang w:val="fr-FR"/>
        </w:rPr>
        <w:t xml:space="preserve">Appendice 3, </w:t>
      </w:r>
      <w:r w:rsidRPr="00601FD7">
        <w:rPr>
          <w:lang w:val="fr-FR"/>
        </w:rPr>
        <w:t>supprimer</w:t>
      </w:r>
      <w:r w:rsidRPr="00601FD7">
        <w:rPr>
          <w:i/>
          <w:iCs/>
          <w:lang w:val="fr-FR"/>
        </w:rPr>
        <w:t xml:space="preserve"> la note de bas de page 2.</w:t>
      </w:r>
    </w:p>
    <w:p w14:paraId="644DE475" w14:textId="5AC62A9E" w:rsidR="00B927ED" w:rsidRPr="00B927ED" w:rsidRDefault="00B927ED" w:rsidP="00B927E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927ED" w:rsidRPr="00B927ED" w:rsidSect="00B927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0F81" w14:textId="77777777" w:rsidR="008E0462" w:rsidRDefault="008E0462" w:rsidP="00F95C08">
      <w:pPr>
        <w:spacing w:line="240" w:lineRule="auto"/>
      </w:pPr>
    </w:p>
  </w:endnote>
  <w:endnote w:type="continuationSeparator" w:id="0">
    <w:p w14:paraId="501C388B" w14:textId="77777777" w:rsidR="008E0462" w:rsidRPr="00AC3823" w:rsidRDefault="008E0462" w:rsidP="00AC3823">
      <w:pPr>
        <w:pStyle w:val="Pieddepage"/>
      </w:pPr>
    </w:p>
  </w:endnote>
  <w:endnote w:type="continuationNotice" w:id="1">
    <w:p w14:paraId="7A3F5C30" w14:textId="77777777" w:rsidR="008E0462" w:rsidRDefault="008E04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E1F1" w14:textId="3D72B5C8" w:rsidR="00B927ED" w:rsidRPr="00B927ED" w:rsidRDefault="00B927ED" w:rsidP="00B927ED">
    <w:pPr>
      <w:pStyle w:val="Pieddepage"/>
      <w:tabs>
        <w:tab w:val="right" w:pos="9638"/>
      </w:tabs>
    </w:pPr>
    <w:r w:rsidRPr="00B927ED">
      <w:rPr>
        <w:b/>
        <w:sz w:val="18"/>
      </w:rPr>
      <w:fldChar w:fldCharType="begin"/>
    </w:r>
    <w:r w:rsidRPr="00B927ED">
      <w:rPr>
        <w:b/>
        <w:sz w:val="18"/>
      </w:rPr>
      <w:instrText xml:space="preserve"> PAGE  \* MERGEFORMAT </w:instrText>
    </w:r>
    <w:r w:rsidRPr="00B927ED">
      <w:rPr>
        <w:b/>
        <w:sz w:val="18"/>
      </w:rPr>
      <w:fldChar w:fldCharType="separate"/>
    </w:r>
    <w:r w:rsidRPr="00B927ED">
      <w:rPr>
        <w:b/>
        <w:noProof/>
        <w:sz w:val="18"/>
      </w:rPr>
      <w:t>2</w:t>
    </w:r>
    <w:r w:rsidRPr="00B927ED">
      <w:rPr>
        <w:b/>
        <w:sz w:val="18"/>
      </w:rPr>
      <w:fldChar w:fldCharType="end"/>
    </w:r>
    <w:r>
      <w:rPr>
        <w:b/>
        <w:sz w:val="18"/>
      </w:rPr>
      <w:tab/>
    </w:r>
    <w:r>
      <w:t>GE.23-06105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8E27" w14:textId="675DA352" w:rsidR="00B927ED" w:rsidRPr="00B927ED" w:rsidRDefault="00B927ED" w:rsidP="00B927ED">
    <w:pPr>
      <w:pStyle w:val="Pieddepage"/>
      <w:tabs>
        <w:tab w:val="right" w:pos="9638"/>
      </w:tabs>
      <w:rPr>
        <w:b/>
        <w:sz w:val="18"/>
      </w:rPr>
    </w:pPr>
    <w:r>
      <w:t>GE.23-06105</w:t>
    </w:r>
    <w:r>
      <w:tab/>
    </w:r>
    <w:r w:rsidRPr="00B927ED">
      <w:rPr>
        <w:b/>
        <w:sz w:val="18"/>
      </w:rPr>
      <w:fldChar w:fldCharType="begin"/>
    </w:r>
    <w:r w:rsidRPr="00B927ED">
      <w:rPr>
        <w:b/>
        <w:sz w:val="18"/>
      </w:rPr>
      <w:instrText xml:space="preserve"> PAGE  \* MERGEFORMAT </w:instrText>
    </w:r>
    <w:r w:rsidRPr="00B927ED">
      <w:rPr>
        <w:b/>
        <w:sz w:val="18"/>
      </w:rPr>
      <w:fldChar w:fldCharType="separate"/>
    </w:r>
    <w:r w:rsidRPr="00B927ED">
      <w:rPr>
        <w:b/>
        <w:noProof/>
        <w:sz w:val="18"/>
      </w:rPr>
      <w:t>3</w:t>
    </w:r>
    <w:r w:rsidRPr="00B927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D5E6" w14:textId="0D59AD88" w:rsidR="007F20FA" w:rsidRPr="00B927ED" w:rsidRDefault="00B927ED" w:rsidP="00B927ED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3D348C6" wp14:editId="5253D8C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23-06105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44F034" wp14:editId="4D962AF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81223260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280423    280423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C233" w14:textId="77777777" w:rsidR="008E0462" w:rsidRPr="00AC3823" w:rsidRDefault="008E046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BA01D5" w14:textId="77777777" w:rsidR="008E0462" w:rsidRPr="00AC3823" w:rsidRDefault="008E046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C0201D" w14:textId="77777777" w:rsidR="008E0462" w:rsidRPr="00AC3823" w:rsidRDefault="008E0462">
      <w:pPr>
        <w:spacing w:line="240" w:lineRule="auto"/>
        <w:rPr>
          <w:sz w:val="2"/>
          <w:szCs w:val="2"/>
        </w:rPr>
      </w:pPr>
    </w:p>
  </w:footnote>
  <w:footnote w:id="2">
    <w:p w14:paraId="52E47FC8" w14:textId="77777777" w:rsidR="00B927ED" w:rsidRDefault="00B927ED" w:rsidP="00B927ED">
      <w:pPr>
        <w:pStyle w:val="Notedebasdepage"/>
        <w:rPr>
          <w:lang w:val="fr-FR"/>
        </w:rPr>
      </w:pPr>
      <w:r w:rsidRPr="001D6BB8">
        <w:rPr>
          <w:sz w:val="20"/>
          <w:lang w:val="fr-FR"/>
        </w:rPr>
        <w:tab/>
        <w:t>*</w:t>
      </w:r>
      <w:r w:rsidRPr="001D6BB8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</w:t>
      </w:r>
      <w:r w:rsidRPr="00324CF4">
        <w:rPr>
          <w:lang w:val="fr-FR"/>
        </w:rPr>
        <w:t>.</w:t>
      </w:r>
      <w:r>
        <w:rPr>
          <w:lang w:val="fr-FR"/>
        </w:rPr>
        <w:t xml:space="preserve"> 20), tableau 20</w:t>
      </w:r>
      <w:r w:rsidRPr="00324CF4">
        <w:rPr>
          <w:lang w:val="fr-FR"/>
        </w:rPr>
        <w:t>.</w:t>
      </w:r>
      <w:r>
        <w:rPr>
          <w:lang w:val="fr-FR"/>
        </w:rPr>
        <w:t>6), le Forum mondial a pour mission d’élaborer, d’harmoniser et de mettre à jour les Règlements ONU en vue d’améliorer les caractéristiques fonctionnelles des véhicules</w:t>
      </w:r>
      <w:r w:rsidRPr="00324CF4">
        <w:rPr>
          <w:lang w:val="fr-FR"/>
        </w:rPr>
        <w:t>.</w:t>
      </w:r>
      <w:r>
        <w:rPr>
          <w:lang w:val="fr-FR"/>
        </w:rPr>
        <w:t xml:space="preserve"> Le présent document est soumis en vertu de ce mandat</w:t>
      </w:r>
      <w:r w:rsidRPr="00324CF4">
        <w:rPr>
          <w:lang w:val="fr-FR"/>
        </w:rPr>
        <w:t>.</w:t>
      </w:r>
    </w:p>
    <w:p w14:paraId="23070EE6" w14:textId="0571CAB1" w:rsidR="00B927ED" w:rsidRPr="003E4550" w:rsidRDefault="00B927ED" w:rsidP="00B927E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BBCB" w14:textId="6AC6F391" w:rsidR="00B927ED" w:rsidRPr="00B927ED" w:rsidRDefault="00B927ED">
    <w:pPr>
      <w:pStyle w:val="En-tte"/>
    </w:pPr>
    <w:fldSimple w:instr=" TITLE  \* MERGEFORMAT ">
      <w:r w:rsidR="002D6A99">
        <w:t>ECE/TRANS/WP.29/2023/76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195" w14:textId="1EC5575F" w:rsidR="00B927ED" w:rsidRPr="00B927ED" w:rsidRDefault="00B927ED" w:rsidP="00B927ED">
    <w:pPr>
      <w:pStyle w:val="En-tte"/>
      <w:jc w:val="right"/>
    </w:pPr>
    <w:fldSimple w:instr=" TITLE  \* MERGEFORMAT ">
      <w:r w:rsidR="002D6A99">
        <w:t>ECE/TRANS/WP.29/2023/76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01135440">
    <w:abstractNumId w:val="12"/>
  </w:num>
  <w:num w:numId="2" w16cid:durableId="483158737">
    <w:abstractNumId w:val="11"/>
  </w:num>
  <w:num w:numId="3" w16cid:durableId="985473296">
    <w:abstractNumId w:val="10"/>
  </w:num>
  <w:num w:numId="4" w16cid:durableId="87622880">
    <w:abstractNumId w:val="8"/>
  </w:num>
  <w:num w:numId="5" w16cid:durableId="823156108">
    <w:abstractNumId w:val="3"/>
  </w:num>
  <w:num w:numId="6" w16cid:durableId="1075972021">
    <w:abstractNumId w:val="2"/>
  </w:num>
  <w:num w:numId="7" w16cid:durableId="1266770081">
    <w:abstractNumId w:val="1"/>
  </w:num>
  <w:num w:numId="8" w16cid:durableId="687605812">
    <w:abstractNumId w:val="0"/>
  </w:num>
  <w:num w:numId="9" w16cid:durableId="1518693026">
    <w:abstractNumId w:val="9"/>
  </w:num>
  <w:num w:numId="10" w16cid:durableId="1469589331">
    <w:abstractNumId w:val="7"/>
  </w:num>
  <w:num w:numId="11" w16cid:durableId="2117864848">
    <w:abstractNumId w:val="6"/>
  </w:num>
  <w:num w:numId="12" w16cid:durableId="986011307">
    <w:abstractNumId w:val="5"/>
  </w:num>
  <w:num w:numId="13" w16cid:durableId="1145776033">
    <w:abstractNumId w:val="4"/>
  </w:num>
  <w:num w:numId="14" w16cid:durableId="315184382">
    <w:abstractNumId w:val="12"/>
  </w:num>
  <w:num w:numId="15" w16cid:durableId="340739680">
    <w:abstractNumId w:val="11"/>
  </w:num>
  <w:num w:numId="16" w16cid:durableId="488449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6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6A99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8E046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27ED"/>
    <w:rsid w:val="00BA0CA9"/>
    <w:rsid w:val="00C02897"/>
    <w:rsid w:val="00C97039"/>
    <w:rsid w:val="00D3439C"/>
    <w:rsid w:val="00D7622E"/>
    <w:rsid w:val="00D8752C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10873"/>
  <w15:docId w15:val="{F20398F5-E9CE-414C-8342-0991336A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258</Words>
  <Characters>1443</Characters>
  <Application>Microsoft Office Word</Application>
  <DocSecurity>0</DocSecurity>
  <Lines>42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ECE/TRANS/WP.29/2023/76</dc:title>
  <dc:subject/>
  <dc:creator>Christine CHAUTAGNAT</dc:creator>
  <cp:keywords/>
  <cp:lastModifiedBy>Christine Chautagnat</cp:lastModifiedBy>
  <cp:revision>3</cp:revision>
  <cp:lastPrinted>2023-04-28T12:36:00Z</cp:lastPrinted>
  <dcterms:created xsi:type="dcterms:W3CDTF">2023-04-28T12:36:00Z</dcterms:created>
  <dcterms:modified xsi:type="dcterms:W3CDTF">2023-04-28T12:37:00Z</dcterms:modified>
</cp:coreProperties>
</file>