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34601A8" w14:textId="77777777" w:rsidTr="00C97039">
        <w:trPr>
          <w:trHeight w:hRule="exact" w:val="851"/>
        </w:trPr>
        <w:tc>
          <w:tcPr>
            <w:tcW w:w="1276" w:type="dxa"/>
            <w:tcBorders>
              <w:bottom w:val="single" w:sz="4" w:space="0" w:color="auto"/>
            </w:tcBorders>
          </w:tcPr>
          <w:p w14:paraId="42E936FB" w14:textId="77777777" w:rsidR="00F35BAF" w:rsidRPr="00DB58B5" w:rsidRDefault="00F35BAF" w:rsidP="00367AA7"/>
        </w:tc>
        <w:tc>
          <w:tcPr>
            <w:tcW w:w="2268" w:type="dxa"/>
            <w:tcBorders>
              <w:bottom w:val="single" w:sz="4" w:space="0" w:color="auto"/>
            </w:tcBorders>
            <w:vAlign w:val="bottom"/>
          </w:tcPr>
          <w:p w14:paraId="07EF1E1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624034" w14:textId="33D2ED95" w:rsidR="00F35BAF" w:rsidRPr="00DB58B5" w:rsidRDefault="00367AA7" w:rsidP="00367AA7">
            <w:pPr>
              <w:jc w:val="right"/>
            </w:pPr>
            <w:r w:rsidRPr="00367AA7">
              <w:rPr>
                <w:sz w:val="40"/>
              </w:rPr>
              <w:t>ECE</w:t>
            </w:r>
            <w:r>
              <w:t>/TRANS/WP.29/2023/68</w:t>
            </w:r>
          </w:p>
        </w:tc>
      </w:tr>
      <w:tr w:rsidR="00F35BAF" w:rsidRPr="00DB58B5" w14:paraId="6D8ECD4C" w14:textId="77777777" w:rsidTr="00C97039">
        <w:trPr>
          <w:trHeight w:hRule="exact" w:val="2835"/>
        </w:trPr>
        <w:tc>
          <w:tcPr>
            <w:tcW w:w="1276" w:type="dxa"/>
            <w:tcBorders>
              <w:top w:val="single" w:sz="4" w:space="0" w:color="auto"/>
              <w:bottom w:val="single" w:sz="12" w:space="0" w:color="auto"/>
            </w:tcBorders>
          </w:tcPr>
          <w:p w14:paraId="2FBA39C3" w14:textId="77777777" w:rsidR="00F35BAF" w:rsidRPr="00DB58B5" w:rsidRDefault="00F35BAF" w:rsidP="00C97039">
            <w:pPr>
              <w:spacing w:before="120"/>
              <w:jc w:val="center"/>
            </w:pPr>
            <w:r>
              <w:rPr>
                <w:noProof/>
                <w:lang w:eastAsia="fr-CH"/>
              </w:rPr>
              <w:drawing>
                <wp:inline distT="0" distB="0" distL="0" distR="0" wp14:anchorId="79C4CD57" wp14:editId="0E06707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46BC5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05E909E" w14:textId="77777777" w:rsidR="00F35BAF" w:rsidRDefault="00367AA7" w:rsidP="00C97039">
            <w:pPr>
              <w:spacing w:before="240"/>
            </w:pPr>
            <w:r>
              <w:t>Distr. générale</w:t>
            </w:r>
          </w:p>
          <w:p w14:paraId="1892D38F" w14:textId="77777777" w:rsidR="00367AA7" w:rsidRDefault="00367AA7" w:rsidP="00367AA7">
            <w:pPr>
              <w:spacing w:line="240" w:lineRule="exact"/>
            </w:pPr>
            <w:r>
              <w:t>4 avril 2023</w:t>
            </w:r>
          </w:p>
          <w:p w14:paraId="05AEB855" w14:textId="77777777" w:rsidR="00367AA7" w:rsidRDefault="00367AA7" w:rsidP="00367AA7">
            <w:pPr>
              <w:spacing w:line="240" w:lineRule="exact"/>
            </w:pPr>
            <w:r>
              <w:t>Français</w:t>
            </w:r>
          </w:p>
          <w:p w14:paraId="32B53A6A" w14:textId="7404B37D" w:rsidR="00367AA7" w:rsidRPr="00DB58B5" w:rsidRDefault="00367AA7" w:rsidP="00367AA7">
            <w:pPr>
              <w:spacing w:line="240" w:lineRule="exact"/>
            </w:pPr>
            <w:r>
              <w:t>Original : anglais</w:t>
            </w:r>
          </w:p>
        </w:tc>
      </w:tr>
    </w:tbl>
    <w:p w14:paraId="1A66BFD1" w14:textId="77777777" w:rsidR="007F20FA" w:rsidRPr="000312C0" w:rsidRDefault="007F20FA" w:rsidP="007F20FA">
      <w:pPr>
        <w:spacing w:before="120"/>
        <w:rPr>
          <w:b/>
          <w:sz w:val="28"/>
          <w:szCs w:val="28"/>
        </w:rPr>
      </w:pPr>
      <w:r w:rsidRPr="000312C0">
        <w:rPr>
          <w:b/>
          <w:sz w:val="28"/>
          <w:szCs w:val="28"/>
        </w:rPr>
        <w:t>Commission économique pour l’Europe</w:t>
      </w:r>
    </w:p>
    <w:p w14:paraId="72D97B48" w14:textId="77777777" w:rsidR="007F20FA" w:rsidRDefault="007F20FA" w:rsidP="007F20FA">
      <w:pPr>
        <w:spacing w:before="120"/>
        <w:rPr>
          <w:sz w:val="28"/>
          <w:szCs w:val="28"/>
        </w:rPr>
      </w:pPr>
      <w:r w:rsidRPr="00685843">
        <w:rPr>
          <w:sz w:val="28"/>
          <w:szCs w:val="28"/>
        </w:rPr>
        <w:t>Comité des transports intérieurs</w:t>
      </w:r>
    </w:p>
    <w:p w14:paraId="4D0354A6" w14:textId="77777777" w:rsidR="00367AA7" w:rsidRDefault="00367AA7"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8D95983" w14:textId="77777777" w:rsidR="00367AA7" w:rsidRPr="00E523DA" w:rsidRDefault="00367AA7" w:rsidP="00367AA7">
      <w:pPr>
        <w:tabs>
          <w:tab w:val="center" w:pos="4819"/>
        </w:tabs>
        <w:spacing w:before="120"/>
        <w:rPr>
          <w:b/>
          <w:lang w:val="fr-FR"/>
        </w:rPr>
      </w:pPr>
      <w:bookmarkStart w:id="0" w:name="OLE_LINK2"/>
      <w:r>
        <w:rPr>
          <w:b/>
          <w:bCs/>
          <w:lang w:val="fr-FR"/>
        </w:rPr>
        <w:t>190</w:t>
      </w:r>
      <w:r>
        <w:rPr>
          <w:b/>
          <w:bCs/>
          <w:vertAlign w:val="superscript"/>
          <w:lang w:val="fr-FR"/>
        </w:rPr>
        <w:t>e</w:t>
      </w:r>
      <w:r>
        <w:rPr>
          <w:b/>
          <w:bCs/>
          <w:lang w:val="fr-FR"/>
        </w:rPr>
        <w:t xml:space="preserve"> session</w:t>
      </w:r>
    </w:p>
    <w:p w14:paraId="354BC15F" w14:textId="77777777" w:rsidR="00367AA7" w:rsidRPr="00E523DA" w:rsidRDefault="00367AA7" w:rsidP="00367AA7">
      <w:pPr>
        <w:rPr>
          <w:lang w:val="fr-FR"/>
        </w:rPr>
      </w:pPr>
      <w:r>
        <w:rPr>
          <w:lang w:val="fr-FR"/>
        </w:rPr>
        <w:t>Genève, 20-22 juin 2023</w:t>
      </w:r>
    </w:p>
    <w:p w14:paraId="364617A1" w14:textId="77777777" w:rsidR="00367AA7" w:rsidRPr="00E523DA" w:rsidRDefault="00367AA7" w:rsidP="00367AA7">
      <w:pPr>
        <w:rPr>
          <w:lang w:val="fr-FR"/>
        </w:rPr>
      </w:pPr>
      <w:r>
        <w:rPr>
          <w:lang w:val="fr-FR"/>
        </w:rPr>
        <w:t>Point 4.8.3 de l’ordre du jour provisoire</w:t>
      </w:r>
    </w:p>
    <w:bookmarkEnd w:id="0"/>
    <w:p w14:paraId="3A054538" w14:textId="76A5305C" w:rsidR="00367AA7" w:rsidRPr="00E523DA" w:rsidRDefault="00367AA7" w:rsidP="00367AA7">
      <w:pPr>
        <w:rPr>
          <w:b/>
          <w:bCs/>
          <w:lang w:val="fr-FR"/>
        </w:rPr>
      </w:pPr>
      <w:r>
        <w:rPr>
          <w:b/>
          <w:bCs/>
          <w:lang w:val="fr-FR"/>
        </w:rPr>
        <w:t>Accord de 1958</w:t>
      </w:r>
      <w:r>
        <w:rPr>
          <w:b/>
          <w:bCs/>
          <w:lang w:val="fr-FR"/>
        </w:rPr>
        <w:t> </w:t>
      </w:r>
      <w:r>
        <w:rPr>
          <w:b/>
          <w:bCs/>
          <w:lang w:val="fr-FR"/>
        </w:rPr>
        <w:t>:</w:t>
      </w:r>
    </w:p>
    <w:p w14:paraId="773D44FD" w14:textId="3A3D33DB" w:rsidR="00367AA7" w:rsidRPr="00E523DA" w:rsidRDefault="00367AA7" w:rsidP="00367AA7">
      <w:pPr>
        <w:rPr>
          <w:b/>
          <w:bCs/>
          <w:lang w:val="fr-FR"/>
        </w:rPr>
      </w:pPr>
      <w:r>
        <w:rPr>
          <w:b/>
          <w:bCs/>
          <w:lang w:val="fr-FR"/>
        </w:rPr>
        <w:t xml:space="preserve">Examen de projets d’amendements à des Règlements ONU </w:t>
      </w:r>
      <w:r>
        <w:rPr>
          <w:b/>
          <w:bCs/>
          <w:lang w:val="fr-FR"/>
        </w:rPr>
        <w:br/>
      </w:r>
      <w:r>
        <w:rPr>
          <w:b/>
          <w:bCs/>
          <w:lang w:val="fr-FR"/>
        </w:rPr>
        <w:t>existants, soumis par le GRVA</w:t>
      </w:r>
    </w:p>
    <w:p w14:paraId="048CA157" w14:textId="58FB2AE7" w:rsidR="00367AA7" w:rsidRPr="00E523DA" w:rsidRDefault="00367AA7" w:rsidP="00367AA7">
      <w:pPr>
        <w:pStyle w:val="HChG"/>
        <w:rPr>
          <w:lang w:val="fr-FR"/>
        </w:rPr>
      </w:pPr>
      <w:r>
        <w:rPr>
          <w:lang w:val="fr-FR"/>
        </w:rPr>
        <w:tab/>
      </w:r>
      <w:r>
        <w:rPr>
          <w:lang w:val="fr-FR"/>
        </w:rPr>
        <w:tab/>
        <w:t xml:space="preserve">Proposition de complément 9 à la série 03 d’amendements </w:t>
      </w:r>
      <w:r>
        <w:rPr>
          <w:lang w:val="fr-FR"/>
        </w:rPr>
        <w:br/>
      </w:r>
      <w:r>
        <w:rPr>
          <w:lang w:val="fr-FR"/>
        </w:rPr>
        <w:t>au Règlement ONU n</w:t>
      </w:r>
      <w:r>
        <w:rPr>
          <w:vertAlign w:val="superscript"/>
          <w:lang w:val="fr-FR"/>
        </w:rPr>
        <w:t>o</w:t>
      </w:r>
      <w:r>
        <w:rPr>
          <w:lang w:val="fr-FR"/>
        </w:rPr>
        <w:t> 79 (Équipement de direction)</w:t>
      </w:r>
    </w:p>
    <w:p w14:paraId="22162ACC" w14:textId="77777777" w:rsidR="00367AA7" w:rsidRPr="00E523DA" w:rsidRDefault="00367AA7" w:rsidP="00367AA7">
      <w:pPr>
        <w:pStyle w:val="H1G"/>
        <w:rPr>
          <w:lang w:val="fr-FR"/>
        </w:rPr>
      </w:pPr>
      <w:r>
        <w:rPr>
          <w:lang w:val="fr-FR"/>
        </w:rPr>
        <w:tab/>
      </w:r>
      <w:r>
        <w:rPr>
          <w:lang w:val="fr-FR"/>
        </w:rPr>
        <w:tab/>
        <w:t>Communication du Groupe de travail des véhicules automatisés/autonomes et connectés</w:t>
      </w:r>
      <w:r w:rsidRPr="00367AA7">
        <w:rPr>
          <w:b w:val="0"/>
          <w:bCs/>
          <w:sz w:val="20"/>
          <w:lang w:val="fr-FR"/>
        </w:rPr>
        <w:t>*</w:t>
      </w:r>
    </w:p>
    <w:p w14:paraId="4774A3AF" w14:textId="186790A6" w:rsidR="00367AA7" w:rsidRPr="00E523DA" w:rsidRDefault="00367AA7" w:rsidP="00367AA7">
      <w:pPr>
        <w:pStyle w:val="SingleTxtG"/>
        <w:ind w:firstLine="567"/>
        <w:rPr>
          <w:rFonts w:asciiTheme="majorBidi" w:hAnsiTheme="majorBidi" w:cstheme="majorBidi"/>
          <w:lang w:val="fr-FR"/>
        </w:rPr>
      </w:pPr>
      <w:r>
        <w:rPr>
          <w:lang w:val="fr-FR"/>
        </w:rPr>
        <w:footnoteReference w:customMarkFollows="1" w:id="2"/>
        <w:t>Le texte ci-après, adopté par le Groupe de travail des véhicules automatisés/autonomes et connectés (GRVA) à sa quinzième session (voir ECE/TRANS/</w:t>
      </w:r>
      <w:r>
        <w:rPr>
          <w:lang w:val="fr-FR"/>
        </w:rPr>
        <w:br/>
      </w:r>
      <w:r>
        <w:rPr>
          <w:lang w:val="fr-FR"/>
        </w:rPr>
        <w:t>WP.29/GRVA/15, par. 98), est fondé sur le document ECE/TRANS/WP.29/GRVA/2023/6 tel que modifié par le document informel GRVA-15-54. Il est soumis au Forum mondial de l’harmonisation des Règlements concernant les véhicules (WP.29) et au Comité d’administration de l’Accord de 1958 (AC.1) pour examen à leurs sessions de juin 2023.</w:t>
      </w:r>
    </w:p>
    <w:p w14:paraId="60B846AA" w14:textId="77777777" w:rsidR="00367AA7" w:rsidRPr="00E523DA" w:rsidRDefault="00367AA7" w:rsidP="00367AA7">
      <w:pPr>
        <w:suppressAutoHyphens w:val="0"/>
        <w:spacing w:line="240" w:lineRule="auto"/>
        <w:rPr>
          <w:rFonts w:asciiTheme="majorBidi" w:hAnsiTheme="majorBidi" w:cstheme="majorBidi"/>
          <w:lang w:val="fr-FR"/>
        </w:rPr>
      </w:pPr>
      <w:r w:rsidRPr="00E523DA">
        <w:rPr>
          <w:rFonts w:asciiTheme="majorBidi" w:hAnsiTheme="majorBidi" w:cstheme="majorBidi"/>
          <w:lang w:val="fr-FR"/>
        </w:rPr>
        <w:br w:type="page"/>
      </w:r>
    </w:p>
    <w:p w14:paraId="187BDCA6" w14:textId="303A4E84" w:rsidR="00367AA7" w:rsidRPr="00E523DA" w:rsidRDefault="00367AA7" w:rsidP="00367AA7">
      <w:pPr>
        <w:pStyle w:val="SingleTxtG"/>
        <w:rPr>
          <w:lang w:val="fr-FR"/>
        </w:rPr>
      </w:pPr>
      <w:r w:rsidRPr="00367AA7">
        <w:rPr>
          <w:i/>
          <w:iCs/>
          <w:lang w:val="fr-FR"/>
        </w:rPr>
        <w:lastRenderedPageBreak/>
        <w:t>Paragraphe 5.6.4.2.3</w:t>
      </w:r>
      <w:r>
        <w:rPr>
          <w:lang w:val="fr-FR"/>
        </w:rPr>
        <w:t>, lire</w:t>
      </w:r>
      <w:r>
        <w:rPr>
          <w:lang w:val="fr-FR"/>
        </w:rPr>
        <w:t> </w:t>
      </w:r>
      <w:r>
        <w:rPr>
          <w:lang w:val="fr-FR"/>
        </w:rPr>
        <w:t>:</w:t>
      </w:r>
    </w:p>
    <w:p w14:paraId="62CC8D91" w14:textId="631FF5EC" w:rsidR="00367AA7" w:rsidRPr="00E523DA" w:rsidRDefault="00367AA7" w:rsidP="00367AA7">
      <w:pPr>
        <w:pStyle w:val="SingleTxtG"/>
        <w:ind w:left="2268" w:hanging="1134"/>
        <w:rPr>
          <w:lang w:val="fr-FR"/>
        </w:rPr>
      </w:pPr>
      <w:bookmarkStart w:id="1" w:name="_Hlk113608140"/>
      <w:r>
        <w:rPr>
          <w:lang w:val="fr-FR"/>
        </w:rPr>
        <w:t>« 5.6.4.2.3</w:t>
      </w:r>
      <w:r>
        <w:rPr>
          <w:lang w:val="fr-FR"/>
        </w:rPr>
        <w:tab/>
        <w:t>Le système ne doit être activé (mode veille) qu’après une action délibérée du conducteur.</w:t>
      </w:r>
      <w:bookmarkEnd w:id="1"/>
    </w:p>
    <w:p w14:paraId="5C5FD588" w14:textId="77777777" w:rsidR="00367AA7" w:rsidRPr="00E523DA" w:rsidRDefault="00367AA7" w:rsidP="00367AA7">
      <w:pPr>
        <w:pStyle w:val="SingleTxtG"/>
        <w:ind w:left="2268"/>
        <w:rPr>
          <w:lang w:val="fr-FR"/>
        </w:rPr>
      </w:pPr>
      <w:r>
        <w:rPr>
          <w:lang w:val="fr-FR"/>
        </w:rPr>
        <w:t>L’activation par le conducteur ne doit être possible que sur des routes interdites aux piétons et aux cyclistes et qui, de par leur conception, sont équipées d’une séparation physique entre les sens de circulations opposés et comportent au moins deux voies dans le sens de circulation du véhicule considéré. Ces conditions doivent être vérifiées par au moins deux moyens indépendants.</w:t>
      </w:r>
    </w:p>
    <w:p w14:paraId="638FA4C9" w14:textId="77777777" w:rsidR="00367AA7" w:rsidRPr="00E523DA" w:rsidRDefault="00367AA7" w:rsidP="00367AA7">
      <w:pPr>
        <w:pStyle w:val="SingleTxtG"/>
        <w:ind w:left="2268"/>
        <w:rPr>
          <w:lang w:val="fr-FR"/>
        </w:rPr>
      </w:pPr>
      <w:r>
        <w:rPr>
          <w:lang w:val="fr-FR"/>
        </w:rPr>
        <w:t>Si le véhicule quitte un type de route sur lequel l’utilisation d’une ACSF de catégorie C est autorisée pour emprunter une route sur laquelle elle est interdite, le système doit être automatiquement désactivé (mode arrêt), à moins que l’absence d’une deuxième voie dans le sens de la circulation soit la seule condition non remplie parmi celles mentionnées ci-dessus (par exemple, sur une bretelle de raccordement entre deux autoroutes).</w:t>
      </w:r>
    </w:p>
    <w:p w14:paraId="18B19FD1" w14:textId="77777777" w:rsidR="00367AA7" w:rsidRPr="00E523DA" w:rsidRDefault="00367AA7" w:rsidP="00367AA7">
      <w:pPr>
        <w:pStyle w:val="SingleTxtG"/>
        <w:ind w:left="2268"/>
        <w:rPr>
          <w:lang w:val="fr-FR"/>
        </w:rPr>
      </w:pPr>
      <w:r>
        <w:rPr>
          <w:lang w:val="fr-FR"/>
        </w:rPr>
        <w:t>Nonobstant les critères d’activation et de transition ci-dessus, si le conducteur demande l’activation du système sur tout type de route par une action délibérée effectuée par le même moyen que celui utilisé pour l’ACSF de catégorie B1, l’ACSF de catégorie C peut passer automatiquement en mode veille :</w:t>
      </w:r>
    </w:p>
    <w:p w14:paraId="714CE4DF" w14:textId="77777777" w:rsidR="00367AA7" w:rsidRPr="00E523DA" w:rsidRDefault="00367AA7" w:rsidP="00367AA7">
      <w:pPr>
        <w:pStyle w:val="SingleTxtG"/>
        <w:ind w:left="2835" w:hanging="567"/>
        <w:rPr>
          <w:lang w:val="fr-FR"/>
        </w:rPr>
      </w:pPr>
      <w:r>
        <w:rPr>
          <w:lang w:val="fr-FR"/>
        </w:rPr>
        <w:t>a)</w:t>
      </w:r>
      <w:r>
        <w:rPr>
          <w:lang w:val="fr-FR"/>
        </w:rPr>
        <w:tab/>
        <w:t>Lorsque le système a vérifié que le type de route remplit les conditions décrites ci-dessus ; et</w:t>
      </w:r>
    </w:p>
    <w:p w14:paraId="2DF537F3" w14:textId="77777777" w:rsidR="00367AA7" w:rsidRPr="00E523DA" w:rsidRDefault="00367AA7" w:rsidP="00367AA7">
      <w:pPr>
        <w:pStyle w:val="SingleTxtG"/>
        <w:ind w:left="2835" w:hanging="567"/>
        <w:rPr>
          <w:lang w:val="fr-FR"/>
        </w:rPr>
      </w:pPr>
      <w:r>
        <w:rPr>
          <w:lang w:val="fr-FR"/>
        </w:rPr>
        <w:t>b)</w:t>
      </w:r>
      <w:r>
        <w:rPr>
          <w:lang w:val="fr-FR"/>
        </w:rPr>
        <w:tab/>
        <w:t>Afin d’éviter de distraire le conducteur, une fois que le véhicule a rejoint une voie de circulation normale. ».</w:t>
      </w:r>
    </w:p>
    <w:p w14:paraId="33701F59" w14:textId="1D1B8CD0" w:rsidR="00367AA7" w:rsidRPr="00E523DA" w:rsidRDefault="00367AA7" w:rsidP="00367AA7">
      <w:pPr>
        <w:pStyle w:val="SingleTxtG"/>
        <w:rPr>
          <w:lang w:val="fr-FR"/>
        </w:rPr>
      </w:pPr>
      <w:r>
        <w:rPr>
          <w:i/>
          <w:iCs/>
          <w:lang w:val="fr-FR"/>
        </w:rPr>
        <w:t>Paragraphe 5.6.4.5.2</w:t>
      </w:r>
      <w:r>
        <w:rPr>
          <w:lang w:val="fr-FR"/>
        </w:rPr>
        <w:t>, lire</w:t>
      </w:r>
      <w:r>
        <w:rPr>
          <w:lang w:val="fr-FR"/>
        </w:rPr>
        <w:t> </w:t>
      </w:r>
      <w:r>
        <w:rPr>
          <w:lang w:val="fr-FR"/>
        </w:rPr>
        <w:t>:</w:t>
      </w:r>
    </w:p>
    <w:p w14:paraId="6F6F6A67" w14:textId="77777777" w:rsidR="00367AA7" w:rsidRPr="00E523DA" w:rsidRDefault="00367AA7" w:rsidP="00367AA7">
      <w:pPr>
        <w:pStyle w:val="SingleTxtG"/>
        <w:ind w:left="2268" w:hanging="1134"/>
        <w:rPr>
          <w:rFonts w:asciiTheme="majorBidi" w:hAnsiTheme="majorBidi" w:cstheme="majorBidi"/>
          <w:lang w:val="fr-FR"/>
        </w:rPr>
      </w:pPr>
      <w:r>
        <w:rPr>
          <w:lang w:val="fr-FR"/>
        </w:rPr>
        <w:t>« 5.6.4.5.2</w:t>
      </w:r>
      <w:r>
        <w:rPr>
          <w:lang w:val="fr-FR"/>
        </w:rPr>
        <w:tab/>
        <w:t>Lorsque le système est en mode veille (c’est-à-dire prêt à intervenir), le conducteur doit en être informé par un signal visuel.</w:t>
      </w:r>
    </w:p>
    <w:p w14:paraId="2051DFCA" w14:textId="77777777" w:rsidR="00367AA7" w:rsidRPr="00E523DA" w:rsidRDefault="00367AA7" w:rsidP="00367AA7">
      <w:pPr>
        <w:pStyle w:val="SingleTxtG"/>
        <w:ind w:left="2268"/>
        <w:rPr>
          <w:rFonts w:asciiTheme="majorBidi" w:hAnsiTheme="majorBidi" w:cstheme="majorBidi"/>
          <w:lang w:val="fr-FR"/>
        </w:rPr>
      </w:pPr>
      <w:r>
        <w:rPr>
          <w:lang w:val="fr-FR"/>
        </w:rPr>
        <w:t xml:space="preserve">Si le système passe automatiquement en mode veille, comme défini au paragraphe 5.6.4.2.3, la transition doit être indiquée au conducteur de façon visible et compréhensible. Cette indication doit être différente du signal visuel du mode veille lui-même (par exemple, affichage d’un autre message contextuel ou témoin clignotant), sauf si un signal indiquant que le système est en mode arrêt s’affiche au moins après l’activation. ». </w:t>
      </w:r>
    </w:p>
    <w:p w14:paraId="0003114B" w14:textId="77777777" w:rsidR="00367AA7" w:rsidRPr="00E523DA" w:rsidRDefault="00367AA7" w:rsidP="00367AA7">
      <w:pPr>
        <w:spacing w:before="60"/>
        <w:jc w:val="center"/>
        <w:rPr>
          <w:lang w:val="fr-FR"/>
        </w:rPr>
      </w:pPr>
      <w:r w:rsidRPr="00E523DA">
        <w:rPr>
          <w:u w:val="single"/>
          <w:lang w:val="fr-FR"/>
        </w:rPr>
        <w:tab/>
      </w:r>
      <w:r w:rsidRPr="00E523DA">
        <w:rPr>
          <w:u w:val="single"/>
          <w:lang w:val="fr-FR"/>
        </w:rPr>
        <w:tab/>
      </w:r>
      <w:r w:rsidRPr="00E523DA">
        <w:rPr>
          <w:u w:val="single"/>
          <w:lang w:val="fr-FR"/>
        </w:rPr>
        <w:tab/>
      </w:r>
    </w:p>
    <w:p w14:paraId="0696B9E2" w14:textId="77777777" w:rsidR="00F9573C" w:rsidRPr="00367AA7" w:rsidRDefault="00F9573C" w:rsidP="00367AA7">
      <w:pPr>
        <w:spacing w:before="120" w:line="240" w:lineRule="exact"/>
        <w:rPr>
          <w:lang w:val="fr-FR"/>
        </w:rPr>
      </w:pPr>
    </w:p>
    <w:sectPr w:rsidR="00F9573C" w:rsidRPr="00367AA7" w:rsidSect="00367AA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CB89" w14:textId="77777777" w:rsidR="00F04FD0" w:rsidRDefault="00F04FD0" w:rsidP="00F95C08">
      <w:pPr>
        <w:spacing w:line="240" w:lineRule="auto"/>
      </w:pPr>
    </w:p>
  </w:endnote>
  <w:endnote w:type="continuationSeparator" w:id="0">
    <w:p w14:paraId="157B36DF" w14:textId="77777777" w:rsidR="00F04FD0" w:rsidRPr="00AC3823" w:rsidRDefault="00F04FD0" w:rsidP="00AC3823">
      <w:pPr>
        <w:pStyle w:val="Pieddepage"/>
      </w:pPr>
    </w:p>
  </w:endnote>
  <w:endnote w:type="continuationNotice" w:id="1">
    <w:p w14:paraId="763CC78C" w14:textId="77777777" w:rsidR="00F04FD0" w:rsidRDefault="00F04F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434B" w14:textId="614F94F9" w:rsidR="00367AA7" w:rsidRPr="00367AA7" w:rsidRDefault="00367AA7" w:rsidP="00367AA7">
    <w:pPr>
      <w:pStyle w:val="Pieddepage"/>
      <w:tabs>
        <w:tab w:val="right" w:pos="9638"/>
      </w:tabs>
    </w:pPr>
    <w:r w:rsidRPr="00367AA7">
      <w:rPr>
        <w:b/>
        <w:sz w:val="18"/>
      </w:rPr>
      <w:fldChar w:fldCharType="begin"/>
    </w:r>
    <w:r w:rsidRPr="00367AA7">
      <w:rPr>
        <w:b/>
        <w:sz w:val="18"/>
      </w:rPr>
      <w:instrText xml:space="preserve"> PAGE  \* MERGEFORMAT </w:instrText>
    </w:r>
    <w:r w:rsidRPr="00367AA7">
      <w:rPr>
        <w:b/>
        <w:sz w:val="18"/>
      </w:rPr>
      <w:fldChar w:fldCharType="separate"/>
    </w:r>
    <w:r w:rsidRPr="00367AA7">
      <w:rPr>
        <w:b/>
        <w:noProof/>
        <w:sz w:val="18"/>
      </w:rPr>
      <w:t>2</w:t>
    </w:r>
    <w:r w:rsidRPr="00367AA7">
      <w:rPr>
        <w:b/>
        <w:sz w:val="18"/>
      </w:rPr>
      <w:fldChar w:fldCharType="end"/>
    </w:r>
    <w:r>
      <w:rPr>
        <w:b/>
        <w:sz w:val="18"/>
      </w:rPr>
      <w:tab/>
    </w:r>
    <w:r>
      <w:t>GE.23-06222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0290" w14:textId="73EFBE45" w:rsidR="00367AA7" w:rsidRPr="00367AA7" w:rsidRDefault="00367AA7" w:rsidP="00367AA7">
    <w:pPr>
      <w:pStyle w:val="Pieddepage"/>
      <w:tabs>
        <w:tab w:val="right" w:pos="9638"/>
      </w:tabs>
      <w:rPr>
        <w:b/>
        <w:sz w:val="18"/>
      </w:rPr>
    </w:pPr>
    <w:r>
      <w:t>GE.23-06222</w:t>
    </w:r>
    <w:r>
      <w:tab/>
    </w:r>
    <w:r w:rsidRPr="00367AA7">
      <w:rPr>
        <w:b/>
        <w:sz w:val="18"/>
      </w:rPr>
      <w:fldChar w:fldCharType="begin"/>
    </w:r>
    <w:r w:rsidRPr="00367AA7">
      <w:rPr>
        <w:b/>
        <w:sz w:val="18"/>
      </w:rPr>
      <w:instrText xml:space="preserve"> PAGE  \* MERGEFORMAT </w:instrText>
    </w:r>
    <w:r w:rsidRPr="00367AA7">
      <w:rPr>
        <w:b/>
        <w:sz w:val="18"/>
      </w:rPr>
      <w:fldChar w:fldCharType="separate"/>
    </w:r>
    <w:r w:rsidRPr="00367AA7">
      <w:rPr>
        <w:b/>
        <w:noProof/>
        <w:sz w:val="18"/>
      </w:rPr>
      <w:t>3</w:t>
    </w:r>
    <w:r w:rsidRPr="00367A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8FB4" w14:textId="5CEEAFA7" w:rsidR="007F20FA" w:rsidRPr="00367AA7" w:rsidRDefault="00367AA7" w:rsidP="00367AA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BDB7B9C" wp14:editId="7B28B49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23-06222  (F)</w:t>
    </w:r>
    <w:r>
      <w:rPr>
        <w:noProof/>
        <w:sz w:val="20"/>
      </w:rPr>
      <w:drawing>
        <wp:anchor distT="0" distB="0" distL="114300" distR="114300" simplePos="0" relativeHeight="251660288" behindDoc="0" locked="0" layoutInCell="1" allowOverlap="1" wp14:anchorId="4B79F9B3" wp14:editId="7AA69E4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180423    190423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D0B5" w14:textId="77777777" w:rsidR="00F04FD0" w:rsidRPr="00AC3823" w:rsidRDefault="00F04FD0" w:rsidP="00AC3823">
      <w:pPr>
        <w:pStyle w:val="Pieddepage"/>
        <w:tabs>
          <w:tab w:val="right" w:pos="2155"/>
        </w:tabs>
        <w:spacing w:after="80" w:line="240" w:lineRule="atLeast"/>
        <w:ind w:left="680"/>
        <w:rPr>
          <w:u w:val="single"/>
        </w:rPr>
      </w:pPr>
      <w:r>
        <w:rPr>
          <w:u w:val="single"/>
        </w:rPr>
        <w:tab/>
      </w:r>
    </w:p>
  </w:footnote>
  <w:footnote w:type="continuationSeparator" w:id="0">
    <w:p w14:paraId="6BA093BF" w14:textId="77777777" w:rsidR="00F04FD0" w:rsidRPr="00AC3823" w:rsidRDefault="00F04FD0" w:rsidP="00AC3823">
      <w:pPr>
        <w:pStyle w:val="Pieddepage"/>
        <w:tabs>
          <w:tab w:val="right" w:pos="2155"/>
        </w:tabs>
        <w:spacing w:after="80" w:line="240" w:lineRule="atLeast"/>
        <w:ind w:left="680"/>
        <w:rPr>
          <w:u w:val="single"/>
        </w:rPr>
      </w:pPr>
      <w:r>
        <w:rPr>
          <w:u w:val="single"/>
        </w:rPr>
        <w:tab/>
      </w:r>
    </w:p>
  </w:footnote>
  <w:footnote w:type="continuationNotice" w:id="1">
    <w:p w14:paraId="5C88B94D" w14:textId="77777777" w:rsidR="00F04FD0" w:rsidRPr="00AC3823" w:rsidRDefault="00F04FD0">
      <w:pPr>
        <w:spacing w:line="240" w:lineRule="auto"/>
        <w:rPr>
          <w:sz w:val="2"/>
          <w:szCs w:val="2"/>
        </w:rPr>
      </w:pPr>
    </w:p>
  </w:footnote>
  <w:footnote w:id="2">
    <w:p w14:paraId="10BB139C" w14:textId="77777777" w:rsidR="00367AA7" w:rsidRPr="00E523DA" w:rsidRDefault="00367AA7" w:rsidP="00367AA7">
      <w:pPr>
        <w:pStyle w:val="Notedebasdepage"/>
        <w:rPr>
          <w:lang w:val="fr-FR"/>
        </w:rPr>
      </w:pPr>
      <w:r>
        <w:rPr>
          <w:lang w:val="fr-FR"/>
        </w:rPr>
        <w:tab/>
      </w:r>
      <w:r w:rsidRPr="00367AA7">
        <w:rPr>
          <w:sz w:val="20"/>
          <w:lang w:val="fr-FR"/>
        </w:rPr>
        <w:t>*</w:t>
      </w:r>
      <w:r>
        <w:rPr>
          <w:lang w:val="fr-FR"/>
        </w:rPr>
        <w:tab/>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D251" w14:textId="4FA8309C" w:rsidR="00367AA7" w:rsidRPr="00367AA7" w:rsidRDefault="00367AA7">
    <w:pPr>
      <w:pStyle w:val="En-tte"/>
    </w:pPr>
    <w:fldSimple w:instr=" TITLE  \* MERGEFORMAT ">
      <w:r>
        <w:t>ECE/TRANS/WP.29/2023/68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F08A" w14:textId="3DAF5E2A" w:rsidR="00367AA7" w:rsidRPr="00367AA7" w:rsidRDefault="00367AA7" w:rsidP="00367AA7">
    <w:pPr>
      <w:pStyle w:val="En-tte"/>
      <w:jc w:val="right"/>
    </w:pPr>
    <w:fldSimple w:instr=" TITLE  \* MERGEFORMAT ">
      <w:r>
        <w:t>ECE/TRANS/WP.29/2023/68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21253254">
    <w:abstractNumId w:val="12"/>
  </w:num>
  <w:num w:numId="2" w16cid:durableId="1739403098">
    <w:abstractNumId w:val="11"/>
  </w:num>
  <w:num w:numId="3" w16cid:durableId="1137068406">
    <w:abstractNumId w:val="10"/>
  </w:num>
  <w:num w:numId="4" w16cid:durableId="1088425080">
    <w:abstractNumId w:val="8"/>
  </w:num>
  <w:num w:numId="5" w16cid:durableId="703137147">
    <w:abstractNumId w:val="3"/>
  </w:num>
  <w:num w:numId="6" w16cid:durableId="1321815349">
    <w:abstractNumId w:val="2"/>
  </w:num>
  <w:num w:numId="7" w16cid:durableId="347872334">
    <w:abstractNumId w:val="1"/>
  </w:num>
  <w:num w:numId="8" w16cid:durableId="90201639">
    <w:abstractNumId w:val="0"/>
  </w:num>
  <w:num w:numId="9" w16cid:durableId="898173837">
    <w:abstractNumId w:val="9"/>
  </w:num>
  <w:num w:numId="10" w16cid:durableId="1336376508">
    <w:abstractNumId w:val="7"/>
  </w:num>
  <w:num w:numId="11" w16cid:durableId="1307007382">
    <w:abstractNumId w:val="6"/>
  </w:num>
  <w:num w:numId="12" w16cid:durableId="364058576">
    <w:abstractNumId w:val="5"/>
  </w:num>
  <w:num w:numId="13" w16cid:durableId="2045128000">
    <w:abstractNumId w:val="4"/>
  </w:num>
  <w:num w:numId="14" w16cid:durableId="86200542">
    <w:abstractNumId w:val="12"/>
  </w:num>
  <w:num w:numId="15" w16cid:durableId="14623217">
    <w:abstractNumId w:val="11"/>
  </w:num>
  <w:num w:numId="16" w16cid:durableId="9846280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FD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67AA7"/>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C5EDD"/>
    <w:rsid w:val="00C02897"/>
    <w:rsid w:val="00C97039"/>
    <w:rsid w:val="00D3439C"/>
    <w:rsid w:val="00D7622E"/>
    <w:rsid w:val="00DB1831"/>
    <w:rsid w:val="00DD3BFD"/>
    <w:rsid w:val="00DF6678"/>
    <w:rsid w:val="00E0299A"/>
    <w:rsid w:val="00E85C74"/>
    <w:rsid w:val="00EA6547"/>
    <w:rsid w:val="00ED7237"/>
    <w:rsid w:val="00EF2E22"/>
    <w:rsid w:val="00F04FD0"/>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E7FCB"/>
  <w15:docId w15:val="{D2D46955-9752-436D-9D53-15A826D1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5_GR,Fußnotentext,-E Fußnotentext,footnote text,Fußnotentext Ursprung,Footnote Text Char Char Char Char,Footnote Text1,Footnote Text Char Char Char,Fußnotentext Char1,Fußnotentext Char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5_GR Car,Fußnotentext Car,-E Fußnotentext Car,footnote text Car,Fußnotentext Ursprung Car,Footnote Text Char Char Char Char Car,Footnote Text1 Car,Footnote Text Char Char Char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67AA7"/>
    <w:rPr>
      <w:rFonts w:ascii="Times New Roman" w:eastAsiaTheme="minorHAnsi" w:hAnsi="Times New Roman" w:cs="Times New Roman"/>
      <w:sz w:val="20"/>
      <w:szCs w:val="20"/>
      <w:lang w:eastAsia="en-US"/>
    </w:rPr>
  </w:style>
  <w:style w:type="character" w:customStyle="1" w:styleId="HChGChar">
    <w:name w:val="_ H _Ch_G Char"/>
    <w:link w:val="HChG"/>
    <w:qFormat/>
    <w:rsid w:val="00367AA7"/>
    <w:rPr>
      <w:rFonts w:ascii="Times New Roman" w:eastAsiaTheme="minorHAnsi" w:hAnsi="Times New Roman" w:cs="Times New Roman"/>
      <w:b/>
      <w:sz w:val="28"/>
      <w:szCs w:val="20"/>
      <w:lang w:eastAsia="en-US"/>
    </w:rPr>
  </w:style>
  <w:style w:type="character" w:customStyle="1" w:styleId="H1GChar">
    <w:name w:val="_ H_1_G Char"/>
    <w:link w:val="H1G"/>
    <w:rsid w:val="00367AA7"/>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401</Words>
  <Characters>2807</Characters>
  <Application>Microsoft Office Word</Application>
  <DocSecurity>0</DocSecurity>
  <Lines>233</Lines>
  <Paragraphs>128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ECE/TRANS/WP.29/2023/68</dc:title>
  <dc:subject/>
  <dc:creator>Sandrine CLERE</dc:creator>
  <cp:keywords/>
  <cp:lastModifiedBy>Sandrine Clere</cp:lastModifiedBy>
  <cp:revision>2</cp:revision>
  <cp:lastPrinted>2014-05-14T10:59:00Z</cp:lastPrinted>
  <dcterms:created xsi:type="dcterms:W3CDTF">2023-04-19T06:54:00Z</dcterms:created>
  <dcterms:modified xsi:type="dcterms:W3CDTF">2023-04-19T06:54:00Z</dcterms:modified>
</cp:coreProperties>
</file>