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214E57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8BD7859" w14:textId="77777777" w:rsidR="00F35BAF" w:rsidRPr="00DB58B5" w:rsidRDefault="00F35BAF" w:rsidP="00253B3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7BEE65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1987D89" w14:textId="75828490" w:rsidR="00F35BAF" w:rsidRPr="00DB58B5" w:rsidRDefault="00253B30" w:rsidP="00253B30">
            <w:pPr>
              <w:jc w:val="right"/>
            </w:pPr>
            <w:r w:rsidRPr="00253B30">
              <w:rPr>
                <w:sz w:val="40"/>
              </w:rPr>
              <w:t>ECE</w:t>
            </w:r>
            <w:r>
              <w:t>/TRANS/WP.29/2023/66</w:t>
            </w:r>
          </w:p>
        </w:tc>
      </w:tr>
      <w:tr w:rsidR="00F35BAF" w:rsidRPr="00DB58B5" w14:paraId="3E01528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6B2A61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AE7F8AC" wp14:editId="503B992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9BC21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8488007" w14:textId="77777777" w:rsidR="00F35BAF" w:rsidRDefault="00253B30" w:rsidP="00C97039">
            <w:pPr>
              <w:spacing w:before="240"/>
            </w:pPr>
            <w:r>
              <w:t>Distr. générale</w:t>
            </w:r>
          </w:p>
          <w:p w14:paraId="31709788" w14:textId="77777777" w:rsidR="00253B30" w:rsidRDefault="00253B30" w:rsidP="00253B30">
            <w:pPr>
              <w:spacing w:line="240" w:lineRule="exact"/>
            </w:pPr>
            <w:r>
              <w:t>11 avril 2023</w:t>
            </w:r>
          </w:p>
          <w:p w14:paraId="1697938B" w14:textId="77777777" w:rsidR="00253B30" w:rsidRDefault="00253B30" w:rsidP="00253B30">
            <w:pPr>
              <w:spacing w:line="240" w:lineRule="exact"/>
            </w:pPr>
            <w:r>
              <w:t>Français</w:t>
            </w:r>
          </w:p>
          <w:p w14:paraId="7871BA34" w14:textId="43918582" w:rsidR="00253B30" w:rsidRPr="00DB58B5" w:rsidRDefault="00253B30" w:rsidP="00253B30">
            <w:pPr>
              <w:spacing w:line="240" w:lineRule="exact"/>
            </w:pPr>
            <w:r>
              <w:t>Original : anglais</w:t>
            </w:r>
          </w:p>
        </w:tc>
      </w:tr>
    </w:tbl>
    <w:p w14:paraId="53C7E5C6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6C6C9E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745A43B" w14:textId="77777777" w:rsidR="00253B30" w:rsidRPr="00036491" w:rsidRDefault="00253B30" w:rsidP="00253B30">
      <w:pPr>
        <w:spacing w:before="120" w:line="240" w:lineRule="auto"/>
        <w:rPr>
          <w:b/>
          <w:sz w:val="24"/>
          <w:szCs w:val="24"/>
        </w:rPr>
      </w:pPr>
      <w:r w:rsidRPr="00036491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036491">
        <w:rPr>
          <w:b/>
          <w:bCs/>
          <w:sz w:val="24"/>
          <w:szCs w:val="24"/>
          <w:lang w:val="fr-FR"/>
        </w:rPr>
        <w:t xml:space="preserve">harmonisation des Règlements </w:t>
      </w:r>
      <w:r>
        <w:rPr>
          <w:b/>
          <w:bCs/>
          <w:sz w:val="24"/>
          <w:szCs w:val="24"/>
          <w:lang w:val="fr-FR"/>
        </w:rPr>
        <w:br/>
      </w:r>
      <w:r w:rsidRPr="00036491">
        <w:rPr>
          <w:b/>
          <w:bCs/>
          <w:sz w:val="24"/>
          <w:szCs w:val="24"/>
          <w:lang w:val="fr-FR"/>
        </w:rPr>
        <w:t>concernant les véhicules</w:t>
      </w:r>
    </w:p>
    <w:p w14:paraId="05BA2EF3" w14:textId="77777777" w:rsidR="00253B30" w:rsidRPr="006272CF" w:rsidRDefault="00253B30" w:rsidP="00253B30">
      <w:pPr>
        <w:spacing w:before="120" w:line="240" w:lineRule="auto"/>
        <w:rPr>
          <w:b/>
        </w:rPr>
      </w:pPr>
      <w:r>
        <w:rPr>
          <w:b/>
          <w:bCs/>
          <w:lang w:val="fr-FR"/>
        </w:rPr>
        <w:t>190</w:t>
      </w:r>
      <w:r w:rsidRPr="00E36D4D">
        <w:rPr>
          <w:b/>
          <w:bCs/>
          <w:vertAlign w:val="superscript"/>
          <w:lang w:val="fr-FR"/>
        </w:rPr>
        <w:t>e</w:t>
      </w:r>
      <w:r w:rsidRPr="006272CF">
        <w:rPr>
          <w:b/>
          <w:bCs/>
          <w:lang w:val="fr-FR"/>
        </w:rPr>
        <w:t xml:space="preserve"> session</w:t>
      </w:r>
    </w:p>
    <w:p w14:paraId="52A7C6A4" w14:textId="77777777" w:rsidR="00253B30" w:rsidRPr="006272CF" w:rsidRDefault="00253B30" w:rsidP="00253B30">
      <w:pPr>
        <w:spacing w:line="240" w:lineRule="auto"/>
      </w:pPr>
      <w:bookmarkStart w:id="0" w:name="OLE_LINK2"/>
      <w:r w:rsidRPr="006272CF">
        <w:rPr>
          <w:lang w:val="fr-FR"/>
        </w:rPr>
        <w:t xml:space="preserve">Genève, </w:t>
      </w:r>
      <w:r>
        <w:rPr>
          <w:lang w:val="fr-FR"/>
        </w:rPr>
        <w:t>20-22 juin</w:t>
      </w:r>
      <w:r w:rsidRPr="006272CF">
        <w:rPr>
          <w:lang w:val="fr-FR"/>
        </w:rPr>
        <w:t xml:space="preserve"> 2023</w:t>
      </w:r>
    </w:p>
    <w:p w14:paraId="097C5B6C" w14:textId="77777777" w:rsidR="00253B30" w:rsidRPr="006272CF" w:rsidRDefault="00253B30" w:rsidP="00253B30">
      <w:pPr>
        <w:spacing w:line="240" w:lineRule="auto"/>
      </w:pPr>
      <w:r w:rsidRPr="006272CF">
        <w:rPr>
          <w:lang w:val="fr-FR"/>
        </w:rPr>
        <w:t xml:space="preserve">Point </w:t>
      </w:r>
      <w:r>
        <w:rPr>
          <w:lang w:val="fr-FR"/>
        </w:rPr>
        <w:t>4.8.1</w:t>
      </w:r>
      <w:r w:rsidRPr="006272CF">
        <w:rPr>
          <w:lang w:val="fr-FR"/>
        </w:rPr>
        <w:t xml:space="preserve"> de l</w:t>
      </w:r>
      <w:r>
        <w:rPr>
          <w:lang w:val="fr-FR"/>
        </w:rPr>
        <w:t>’</w:t>
      </w:r>
      <w:r w:rsidRPr="006272CF">
        <w:rPr>
          <w:lang w:val="fr-FR"/>
        </w:rPr>
        <w:t>ordre du jour provisoire</w:t>
      </w:r>
    </w:p>
    <w:p w14:paraId="02CBE98C" w14:textId="77777777" w:rsidR="00253B30" w:rsidRDefault="00253B30" w:rsidP="00253B30">
      <w:pPr>
        <w:spacing w:line="240" w:lineRule="auto"/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</w:p>
    <w:p w14:paraId="63CB52E2" w14:textId="7EC5CC93" w:rsidR="00253B30" w:rsidRPr="00E36D4D" w:rsidRDefault="00253B30" w:rsidP="00253B30">
      <w:pPr>
        <w:spacing w:line="240" w:lineRule="auto"/>
        <w:rPr>
          <w:b/>
          <w:bCs/>
          <w:lang w:val="fr-FR"/>
        </w:rPr>
      </w:pPr>
      <w:r w:rsidRPr="00C15DB5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C15DB5">
        <w:rPr>
          <w:b/>
          <w:bCs/>
          <w:lang w:val="fr-FR"/>
        </w:rPr>
        <w:t xml:space="preserve">amendements à des Règlements ONU existants, </w:t>
      </w:r>
      <w:r w:rsidR="00EB640C">
        <w:rPr>
          <w:b/>
          <w:bCs/>
          <w:lang w:val="fr-FR"/>
        </w:rPr>
        <w:br/>
      </w:r>
      <w:r w:rsidRPr="00C15DB5">
        <w:rPr>
          <w:b/>
          <w:bCs/>
          <w:lang w:val="fr-FR"/>
        </w:rPr>
        <w:t>soumis par le GRVA</w:t>
      </w:r>
    </w:p>
    <w:p w14:paraId="0A379CB2" w14:textId="77777777" w:rsidR="00253B30" w:rsidRPr="006272CF" w:rsidRDefault="00253B30" w:rsidP="00253B30">
      <w:pPr>
        <w:pStyle w:val="HChG"/>
      </w:pPr>
      <w:r w:rsidRPr="006272CF">
        <w:rPr>
          <w:lang w:val="fr-FR"/>
        </w:rPr>
        <w:tab/>
      </w:r>
      <w:r w:rsidRPr="006272CF">
        <w:rPr>
          <w:lang w:val="fr-FR"/>
        </w:rPr>
        <w:tab/>
        <w:t xml:space="preserve">Proposition de série </w:t>
      </w:r>
      <w:r>
        <w:rPr>
          <w:lang w:val="fr-FR"/>
        </w:rPr>
        <w:t xml:space="preserve">13 </w:t>
      </w:r>
      <w:r w:rsidRPr="006272CF">
        <w:rPr>
          <w:lang w:val="fr-FR"/>
        </w:rPr>
        <w:t>d</w:t>
      </w:r>
      <w:r>
        <w:rPr>
          <w:lang w:val="fr-FR"/>
        </w:rPr>
        <w:t>’</w:t>
      </w:r>
      <w:r w:rsidRPr="006272CF">
        <w:rPr>
          <w:lang w:val="fr-FR"/>
        </w:rPr>
        <w:t>amendements au Règlement ONU n</w:t>
      </w:r>
      <w:r w:rsidRPr="006272CF">
        <w:rPr>
          <w:vertAlign w:val="superscript"/>
          <w:lang w:val="fr-FR"/>
        </w:rPr>
        <w:t>o</w:t>
      </w:r>
      <w:r w:rsidRPr="00B46D69">
        <w:rPr>
          <w:lang w:val="fr-FR"/>
        </w:rPr>
        <w:t> </w:t>
      </w:r>
      <w:r w:rsidRPr="006272CF">
        <w:rPr>
          <w:lang w:val="fr-FR"/>
        </w:rPr>
        <w:t>13 (Freinage des véhicules lourds)</w:t>
      </w:r>
      <w:bookmarkEnd w:id="0"/>
    </w:p>
    <w:p w14:paraId="1283150F" w14:textId="77777777" w:rsidR="00253B30" w:rsidRPr="006272CF" w:rsidRDefault="00253B30" w:rsidP="00EB640C">
      <w:pPr>
        <w:pStyle w:val="H1G"/>
      </w:pPr>
      <w:r w:rsidRPr="006272CF">
        <w:rPr>
          <w:lang w:val="fr-FR"/>
        </w:rPr>
        <w:tab/>
      </w:r>
      <w:r w:rsidRPr="006272CF">
        <w:rPr>
          <w:lang w:val="fr-FR"/>
        </w:rPr>
        <w:tab/>
        <w:t xml:space="preserve">Communication </w:t>
      </w:r>
      <w:r>
        <w:rPr>
          <w:lang w:val="fr-FR"/>
        </w:rPr>
        <w:t xml:space="preserve">du </w:t>
      </w:r>
      <w:r w:rsidRPr="00F62F56">
        <w:rPr>
          <w:lang w:val="fr-FR"/>
        </w:rPr>
        <w:t>Groupe de travail des véhicules automatisés/autonomes et connectés</w:t>
      </w:r>
      <w:r w:rsidRPr="00B46D69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49CBA35C" w14:textId="0C72327C" w:rsidR="00253B30" w:rsidRPr="006272CF" w:rsidRDefault="00253B30" w:rsidP="00EB640C">
      <w:pPr>
        <w:pStyle w:val="SingleTxtG"/>
        <w:ind w:firstLine="567"/>
        <w:rPr>
          <w:lang w:val="fr-FR"/>
        </w:rPr>
      </w:pPr>
      <w:r w:rsidRPr="006272CF">
        <w:rPr>
          <w:lang w:val="fr-FR"/>
        </w:rPr>
        <w:t xml:space="preserve">Le texte ci-après, </w:t>
      </w:r>
      <w:r>
        <w:rPr>
          <w:lang w:val="fr-FR"/>
        </w:rPr>
        <w:t xml:space="preserve">adopté par le </w:t>
      </w:r>
      <w:r w:rsidRPr="00063767">
        <w:rPr>
          <w:lang w:val="fr-FR"/>
        </w:rPr>
        <w:t>Groupe de travail des véhicules automatisés/autonomes et connectés</w:t>
      </w:r>
      <w:r>
        <w:rPr>
          <w:lang w:val="fr-FR"/>
        </w:rPr>
        <w:t xml:space="preserve"> (GRVA) à sa quinzième session (voir </w:t>
      </w:r>
      <w:r w:rsidRPr="006E48B2">
        <w:rPr>
          <w:lang w:val="fr-FR"/>
        </w:rPr>
        <w:t>ECE/TRANS/WP.29/GRVA/15, par.</w:t>
      </w:r>
      <w:r w:rsidR="00EB640C">
        <w:rPr>
          <w:lang w:val="fr-FR"/>
        </w:rPr>
        <w:t> </w:t>
      </w:r>
      <w:r w:rsidRPr="006E48B2">
        <w:rPr>
          <w:lang w:val="fr-FR"/>
        </w:rPr>
        <w:t>108)</w:t>
      </w:r>
      <w:r>
        <w:rPr>
          <w:lang w:val="fr-FR"/>
        </w:rPr>
        <w:t xml:space="preserve">, est fondé sur le document </w:t>
      </w:r>
      <w:r w:rsidRPr="00E36D4D">
        <w:rPr>
          <w:lang w:val="fr-FR"/>
        </w:rPr>
        <w:t xml:space="preserve">ECE/TRANS/WP.29/GRVA/2023/2, </w:t>
      </w:r>
      <w:r>
        <w:rPr>
          <w:lang w:val="fr-FR"/>
        </w:rPr>
        <w:t>tel que modifié par le document informel</w:t>
      </w:r>
      <w:r w:rsidRPr="00E36D4D">
        <w:rPr>
          <w:lang w:val="fr-FR"/>
        </w:rPr>
        <w:t xml:space="preserve"> GRVA</w:t>
      </w:r>
      <w:r w:rsidR="00EB640C">
        <w:rPr>
          <w:lang w:val="fr-FR"/>
        </w:rPr>
        <w:noBreakHyphen/>
      </w:r>
      <w:r w:rsidRPr="00E36D4D">
        <w:rPr>
          <w:lang w:val="fr-FR"/>
        </w:rPr>
        <w:t>15</w:t>
      </w:r>
      <w:r w:rsidR="00EB640C">
        <w:rPr>
          <w:lang w:val="fr-FR"/>
        </w:rPr>
        <w:noBreakHyphen/>
      </w:r>
      <w:r w:rsidRPr="00E36D4D">
        <w:rPr>
          <w:lang w:val="fr-FR"/>
        </w:rPr>
        <w:t>56</w:t>
      </w:r>
      <w:r>
        <w:rPr>
          <w:lang w:val="fr-FR"/>
        </w:rPr>
        <w:t xml:space="preserve">. </w:t>
      </w:r>
      <w:r w:rsidRPr="00945EA8">
        <w:rPr>
          <w:lang w:val="fr-FR"/>
        </w:rPr>
        <w:t>Il est soumis au Forum mondial de l</w:t>
      </w:r>
      <w:r>
        <w:rPr>
          <w:lang w:val="fr-FR"/>
        </w:rPr>
        <w:t>’</w:t>
      </w:r>
      <w:r w:rsidRPr="00945EA8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945EA8">
        <w:rPr>
          <w:lang w:val="fr-FR"/>
        </w:rPr>
        <w:t>administration de l</w:t>
      </w:r>
      <w:r>
        <w:rPr>
          <w:lang w:val="fr-FR"/>
        </w:rPr>
        <w:t>’</w:t>
      </w:r>
      <w:r w:rsidRPr="00945EA8">
        <w:rPr>
          <w:lang w:val="fr-FR"/>
        </w:rPr>
        <w:t>Accord de 1958 (AC.1) pour examen à leurs sessions de</w:t>
      </w:r>
      <w:r>
        <w:rPr>
          <w:lang w:val="fr-FR"/>
        </w:rPr>
        <w:t xml:space="preserve"> juin 2023.</w:t>
      </w:r>
      <w:r w:rsidRPr="006272CF">
        <w:rPr>
          <w:lang w:val="fr-FR"/>
        </w:rPr>
        <w:t xml:space="preserve"> </w:t>
      </w:r>
    </w:p>
    <w:p w14:paraId="2446E221" w14:textId="77777777" w:rsidR="00253B30" w:rsidRDefault="00253B30" w:rsidP="00253B30">
      <w:pPr>
        <w:suppressAutoHyphens w:val="0"/>
        <w:spacing w:line="240" w:lineRule="auto"/>
        <w:rPr>
          <w:lang w:val="fr-FR"/>
        </w:rPr>
      </w:pPr>
      <w:r w:rsidRPr="006272CF">
        <w:rPr>
          <w:lang w:val="fr-FR"/>
        </w:rPr>
        <w:br w:type="page"/>
      </w:r>
    </w:p>
    <w:p w14:paraId="4E5DE06F" w14:textId="77777777" w:rsidR="00253B30" w:rsidRPr="00E36D4D" w:rsidRDefault="00253B30" w:rsidP="00253B30">
      <w:pPr>
        <w:pStyle w:val="SingleTxtG"/>
        <w:ind w:left="2268" w:hanging="1134"/>
        <w:rPr>
          <w:lang w:val="fr-FR"/>
        </w:rPr>
      </w:pPr>
      <w:r w:rsidRPr="008B6529">
        <w:rPr>
          <w:i/>
          <w:iCs/>
          <w:lang w:val="fr-FR"/>
        </w:rPr>
        <w:lastRenderedPageBreak/>
        <w:t>Paragraphe 4.2</w:t>
      </w:r>
      <w:r>
        <w:rPr>
          <w:lang w:val="fr-FR"/>
        </w:rPr>
        <w:t>, lire :</w:t>
      </w:r>
    </w:p>
    <w:p w14:paraId="0277D101" w14:textId="5C81CCAD" w:rsidR="00253B30" w:rsidRDefault="00253B30" w:rsidP="006D02EE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4.2</w:t>
      </w:r>
      <w:r>
        <w:rPr>
          <w:lang w:val="fr-FR"/>
        </w:rPr>
        <w:tab/>
      </w:r>
      <w:r w:rsidRPr="00D13C52">
        <w:rPr>
          <w:lang w:val="fr-FR"/>
        </w:rPr>
        <w:t>Chaque type homologué reçoit un numéro d</w:t>
      </w:r>
      <w:r>
        <w:rPr>
          <w:lang w:val="fr-FR"/>
        </w:rPr>
        <w:t>’</w:t>
      </w:r>
      <w:r w:rsidRPr="00D13C52">
        <w:rPr>
          <w:lang w:val="fr-FR"/>
        </w:rPr>
        <w:t>homologation dont les deux premiers chiffres</w:t>
      </w:r>
      <w:r>
        <w:rPr>
          <w:lang w:val="fr-FR"/>
        </w:rPr>
        <w:t xml:space="preserve"> </w:t>
      </w:r>
      <w:r w:rsidRPr="00D13C52">
        <w:rPr>
          <w:lang w:val="fr-FR"/>
        </w:rPr>
        <w:t>(actuellement </w:t>
      </w:r>
      <w:r>
        <w:rPr>
          <w:lang w:val="fr-FR"/>
        </w:rPr>
        <w:t>13</w:t>
      </w:r>
      <w:r w:rsidRPr="00D13C52">
        <w:rPr>
          <w:lang w:val="fr-FR"/>
        </w:rPr>
        <w:t xml:space="preserve">) </w:t>
      </w:r>
      <w:r>
        <w:rPr>
          <w:lang w:val="fr-FR"/>
        </w:rPr>
        <w:t>i</w:t>
      </w:r>
      <w:r w:rsidRPr="006B2FFF">
        <w:rPr>
          <w:lang w:val="fr-FR"/>
        </w:rPr>
        <w:t>ndiquent la série d</w:t>
      </w:r>
      <w:r>
        <w:rPr>
          <w:lang w:val="fr-FR"/>
        </w:rPr>
        <w:t>’</w:t>
      </w:r>
      <w:r w:rsidRPr="006B2FFF">
        <w:rPr>
          <w:lang w:val="fr-FR"/>
        </w:rPr>
        <w:t>amendements correspondant aux plus récentes modifications techniques majeures apportées au Règlement à la date de délivrance de l</w:t>
      </w:r>
      <w:r>
        <w:rPr>
          <w:lang w:val="fr-FR"/>
        </w:rPr>
        <w:t>’</w:t>
      </w:r>
      <w:r w:rsidRPr="006B2FFF">
        <w:rPr>
          <w:lang w:val="fr-FR"/>
        </w:rPr>
        <w:t>homologation.</w:t>
      </w:r>
      <w:r w:rsidRPr="00874FD1">
        <w:t xml:space="preserve"> </w:t>
      </w:r>
      <w:r w:rsidRPr="00874FD1">
        <w:rPr>
          <w:lang w:val="fr-FR"/>
        </w:rPr>
        <w:t xml:space="preserve">Une même </w:t>
      </w:r>
      <w:r>
        <w:rPr>
          <w:lang w:val="fr-FR"/>
        </w:rPr>
        <w:t>P</w:t>
      </w:r>
      <w:r w:rsidRPr="00874FD1">
        <w:rPr>
          <w:lang w:val="fr-FR"/>
        </w:rPr>
        <w:t>artie contractante ne peut pas attribuer ce numéro au même type de véhicule équipé d</w:t>
      </w:r>
      <w:r>
        <w:rPr>
          <w:lang w:val="fr-FR"/>
        </w:rPr>
        <w:t>’</w:t>
      </w:r>
      <w:r w:rsidRPr="00874FD1">
        <w:rPr>
          <w:lang w:val="fr-FR"/>
        </w:rPr>
        <w:t>un autre type de système de freinage, ni à un autre type de véhicule.</w:t>
      </w:r>
      <w:r>
        <w:rPr>
          <w:lang w:val="fr-FR"/>
        </w:rPr>
        <w:t> ».</w:t>
      </w:r>
    </w:p>
    <w:p w14:paraId="4999BC33" w14:textId="77777777" w:rsidR="00253B30" w:rsidRPr="006272CF" w:rsidRDefault="00253B30" w:rsidP="00253B30">
      <w:pPr>
        <w:pStyle w:val="SingleTxtG"/>
        <w:keepNext/>
      </w:pPr>
      <w:r w:rsidRPr="006272CF">
        <w:rPr>
          <w:i/>
          <w:iCs/>
          <w:lang w:val="fr-FR"/>
        </w:rPr>
        <w:t>Paragraphe 5.2.1.32</w:t>
      </w:r>
      <w:r w:rsidRPr="006272CF">
        <w:rPr>
          <w:lang w:val="fr-FR"/>
        </w:rPr>
        <w:t>, lire</w:t>
      </w:r>
      <w:r w:rsidRPr="00BD6739">
        <w:t xml:space="preserve"> </w:t>
      </w:r>
      <w:r w:rsidRPr="00BD6739">
        <w:rPr>
          <w:lang w:val="fr-FR"/>
        </w:rPr>
        <w:t>(la note de bas de page 1</w:t>
      </w:r>
      <w:r>
        <w:rPr>
          <w:lang w:val="fr-FR"/>
        </w:rPr>
        <w:t>2</w:t>
      </w:r>
      <w:r w:rsidRPr="00BD6739">
        <w:rPr>
          <w:lang w:val="fr-FR"/>
        </w:rPr>
        <w:t xml:space="preserve"> demeure inchangée)</w:t>
      </w:r>
      <w:r>
        <w:rPr>
          <w:lang w:val="fr-FR"/>
        </w:rPr>
        <w:t> :</w:t>
      </w:r>
    </w:p>
    <w:p w14:paraId="29D5CA25" w14:textId="77777777" w:rsidR="00253B30" w:rsidRPr="006272CF" w:rsidRDefault="00253B30" w:rsidP="006D02EE">
      <w:pPr>
        <w:pStyle w:val="SingleTxtG"/>
        <w:tabs>
          <w:tab w:val="left" w:pos="2268"/>
        </w:tabs>
        <w:ind w:left="2268" w:hanging="1134"/>
      </w:pPr>
      <w:r w:rsidRPr="006272CF">
        <w:rPr>
          <w:lang w:val="fr-FR"/>
        </w:rPr>
        <w:t>« 5.2.1.32</w:t>
      </w:r>
      <w:r w:rsidRPr="006272CF">
        <w:rPr>
          <w:lang w:val="fr-FR"/>
        </w:rPr>
        <w:tab/>
        <w:t>Sous réserve des dispositions du paragraphe 12.3 du présent Règlement, tous les véhicules des catégories ci-après doivent être équipés de la fonction de contrôle de stabilité</w:t>
      </w:r>
      <w:r>
        <w:rPr>
          <w:lang w:val="fr-FR"/>
        </w:rPr>
        <w:t> </w:t>
      </w:r>
      <w:r w:rsidRPr="006272CF">
        <w:rPr>
          <w:lang w:val="fr-FR"/>
        </w:rPr>
        <w:t>:</w:t>
      </w:r>
    </w:p>
    <w:p w14:paraId="09B8C137" w14:textId="77777777" w:rsidR="00253B30" w:rsidRPr="006272CF" w:rsidRDefault="00253B30" w:rsidP="006D02EE">
      <w:pPr>
        <w:pStyle w:val="SingleTxtG"/>
        <w:ind w:left="2835" w:hanging="567"/>
      </w:pPr>
      <w:r w:rsidRPr="006272CF">
        <w:rPr>
          <w:lang w:val="fr-FR"/>
        </w:rPr>
        <w:t>a)</w:t>
      </w:r>
      <w:r w:rsidRPr="006272CF">
        <w:rPr>
          <w:lang w:val="fr-FR"/>
        </w:rPr>
        <w:tab/>
        <w:t>M</w:t>
      </w:r>
      <w:r w:rsidRPr="006272CF">
        <w:rPr>
          <w:vertAlign w:val="subscript"/>
          <w:lang w:val="fr-FR"/>
        </w:rPr>
        <w:t>2</w:t>
      </w:r>
      <w:r w:rsidRPr="006272CF">
        <w:rPr>
          <w:lang w:val="fr-FR"/>
        </w:rPr>
        <w:t>, M</w:t>
      </w:r>
      <w:r w:rsidRPr="006272CF">
        <w:rPr>
          <w:vertAlign w:val="subscript"/>
          <w:lang w:val="fr-FR"/>
        </w:rPr>
        <w:t>3</w:t>
      </w:r>
      <w:r w:rsidRPr="006272CF">
        <w:rPr>
          <w:lang w:val="fr-FR"/>
        </w:rPr>
        <w:t>, N</w:t>
      </w:r>
      <w:r w:rsidRPr="006272CF">
        <w:rPr>
          <w:vertAlign w:val="subscript"/>
          <w:lang w:val="fr-FR"/>
        </w:rPr>
        <w:t>2</w:t>
      </w:r>
      <w:r w:rsidRPr="00366FE5">
        <w:rPr>
          <w:sz w:val="18"/>
          <w:szCs w:val="18"/>
          <w:vertAlign w:val="superscript"/>
          <w:lang w:val="fr-FR"/>
        </w:rPr>
        <w:t>12</w:t>
      </w:r>
      <w:r>
        <w:rPr>
          <w:lang w:val="fr-FR"/>
        </w:rPr>
        <w:t> ;</w:t>
      </w:r>
    </w:p>
    <w:p w14:paraId="0FD9114F" w14:textId="77777777" w:rsidR="00253B30" w:rsidRPr="006272CF" w:rsidRDefault="00253B30" w:rsidP="006D02EE">
      <w:pPr>
        <w:pStyle w:val="SingleTxtG"/>
        <w:ind w:left="2835" w:hanging="567"/>
      </w:pPr>
      <w:r w:rsidRPr="006272CF">
        <w:rPr>
          <w:lang w:val="fr-FR"/>
        </w:rPr>
        <w:t>b)</w:t>
      </w:r>
      <w:r w:rsidRPr="006272CF">
        <w:rPr>
          <w:lang w:val="fr-FR"/>
        </w:rPr>
        <w:tab/>
        <w:t>N</w:t>
      </w:r>
      <w:r w:rsidRPr="006272CF">
        <w:rPr>
          <w:vertAlign w:val="subscript"/>
          <w:lang w:val="fr-FR"/>
        </w:rPr>
        <w:t>3</w:t>
      </w:r>
      <w:r w:rsidRPr="00366FE5">
        <w:rPr>
          <w:sz w:val="18"/>
          <w:szCs w:val="18"/>
          <w:vertAlign w:val="superscript"/>
          <w:lang w:val="fr-FR"/>
        </w:rPr>
        <w:t>12</w:t>
      </w:r>
      <w:r w:rsidRPr="006272CF">
        <w:rPr>
          <w:lang w:val="fr-FR"/>
        </w:rPr>
        <w:t xml:space="preserve"> n</w:t>
      </w:r>
      <w:r>
        <w:rPr>
          <w:lang w:val="fr-FR"/>
        </w:rPr>
        <w:t>’</w:t>
      </w:r>
      <w:r w:rsidRPr="006272CF">
        <w:rPr>
          <w:lang w:val="fr-FR"/>
        </w:rPr>
        <w:t>ayant pas plus de 3 essieux</w:t>
      </w:r>
      <w:r>
        <w:rPr>
          <w:lang w:val="fr-FR"/>
        </w:rPr>
        <w:t> ;</w:t>
      </w:r>
    </w:p>
    <w:p w14:paraId="1579AB44" w14:textId="77777777" w:rsidR="00253B30" w:rsidRPr="006272CF" w:rsidRDefault="00253B30" w:rsidP="006D02EE">
      <w:pPr>
        <w:pStyle w:val="SingleTxtG"/>
        <w:ind w:left="2835" w:hanging="567"/>
        <w:rPr>
          <w:color w:val="000000" w:themeColor="text1"/>
        </w:rPr>
      </w:pPr>
      <w:r w:rsidRPr="006272CF">
        <w:rPr>
          <w:lang w:val="fr-FR"/>
        </w:rPr>
        <w:t>c)</w:t>
      </w:r>
      <w:r w:rsidRPr="006272CF">
        <w:rPr>
          <w:lang w:val="fr-FR"/>
        </w:rPr>
        <w:tab/>
        <w:t>N</w:t>
      </w:r>
      <w:r w:rsidRPr="006272CF">
        <w:rPr>
          <w:vertAlign w:val="subscript"/>
          <w:lang w:val="fr-FR"/>
        </w:rPr>
        <w:t>3</w:t>
      </w:r>
      <w:r w:rsidRPr="00366FE5">
        <w:rPr>
          <w:sz w:val="18"/>
          <w:szCs w:val="18"/>
          <w:vertAlign w:val="superscript"/>
          <w:lang w:val="fr-FR"/>
        </w:rPr>
        <w:t>12</w:t>
      </w:r>
      <w:r w:rsidRPr="006272CF">
        <w:rPr>
          <w:lang w:val="fr-FR"/>
        </w:rPr>
        <w:t xml:space="preserve"> à 4 essieux, dont la masse maximale ne dépasse pas 25 t et dont le diamètre de jante maximum ne dépasse pas 19,5</w:t>
      </w:r>
      <w:r>
        <w:rPr>
          <w:lang w:val="fr-FR"/>
        </w:rPr>
        <w:t> ;</w:t>
      </w:r>
    </w:p>
    <w:p w14:paraId="77ABFF94" w14:textId="77777777" w:rsidR="00253B30" w:rsidRPr="00E36D4D" w:rsidRDefault="00253B30" w:rsidP="006D02EE">
      <w:pPr>
        <w:pStyle w:val="SingleTxtG"/>
        <w:ind w:left="2835" w:hanging="567"/>
        <w:rPr>
          <w:color w:val="000000" w:themeColor="text1"/>
        </w:rPr>
      </w:pPr>
      <w:r w:rsidRPr="00E36D4D">
        <w:rPr>
          <w:lang w:val="fr-FR"/>
        </w:rPr>
        <w:t>d)</w:t>
      </w:r>
      <w:r w:rsidRPr="00E36D4D">
        <w:rPr>
          <w:lang w:val="fr-FR"/>
        </w:rPr>
        <w:tab/>
        <w:t>N</w:t>
      </w:r>
      <w:r w:rsidRPr="00E36D4D">
        <w:rPr>
          <w:vertAlign w:val="subscript"/>
          <w:lang w:val="fr-FR"/>
        </w:rPr>
        <w:t>3</w:t>
      </w:r>
      <w:r w:rsidRPr="00E36D4D">
        <w:rPr>
          <w:sz w:val="18"/>
          <w:szCs w:val="18"/>
          <w:vertAlign w:val="superscript"/>
          <w:lang w:val="fr-FR"/>
        </w:rPr>
        <w:t>12</w:t>
      </w:r>
      <w:r w:rsidRPr="00E36D4D">
        <w:rPr>
          <w:lang w:val="fr-FR"/>
        </w:rPr>
        <w:t xml:space="preserve"> à 4 essieux dont le groupe d</w:t>
      </w:r>
      <w:r>
        <w:rPr>
          <w:lang w:val="fr-FR"/>
        </w:rPr>
        <w:t>’</w:t>
      </w:r>
      <w:r w:rsidRPr="00E36D4D">
        <w:rPr>
          <w:lang w:val="fr-FR"/>
        </w:rPr>
        <w:t>essieux arrière comporte deux essieux moteurs et dont les autres groupes d</w:t>
      </w:r>
      <w:r>
        <w:rPr>
          <w:lang w:val="fr-FR"/>
        </w:rPr>
        <w:t>’</w:t>
      </w:r>
      <w:r w:rsidRPr="00E36D4D">
        <w:rPr>
          <w:lang w:val="fr-FR"/>
        </w:rPr>
        <w:t>essieux</w:t>
      </w:r>
      <w:r w:rsidRPr="00E36D4D">
        <w:t xml:space="preserve"> </w:t>
      </w:r>
      <w:r w:rsidRPr="00E36D4D">
        <w:rPr>
          <w:lang w:val="fr-FR"/>
        </w:rPr>
        <w:t>sont entièrement non moteurs, y compris les véhicules tout-terrain (indépendamment de la note de bas de page 12).</w:t>
      </w:r>
    </w:p>
    <w:p w14:paraId="1C78D398" w14:textId="77777777" w:rsidR="00253B30" w:rsidRPr="006272CF" w:rsidRDefault="00253B30" w:rsidP="00253B30">
      <w:pPr>
        <w:pStyle w:val="SingleTxtG"/>
        <w:ind w:left="2268"/>
      </w:pPr>
      <w:r w:rsidRPr="006272CF">
        <w:rPr>
          <w:lang w:val="fr-FR"/>
        </w:rPr>
        <w:tab/>
        <w:t>La fonction de contrôle de la stabilité du véhicule doit comprendre la fonction antirenversement et la fonction de contrôle de la trajectoire et satisfaire aux prescriptions techniques de l</w:t>
      </w:r>
      <w:r>
        <w:rPr>
          <w:lang w:val="fr-FR"/>
        </w:rPr>
        <w:t>’</w:t>
      </w:r>
      <w:r w:rsidRPr="006272CF">
        <w:rPr>
          <w:lang w:val="fr-FR"/>
        </w:rPr>
        <w:t>annexe 21 du présent Règlement.</w:t>
      </w:r>
      <w:r>
        <w:rPr>
          <w:lang w:val="fr-FR"/>
        </w:rPr>
        <w:t xml:space="preserve"> </w:t>
      </w:r>
      <w:r w:rsidRPr="006272CF">
        <w:rPr>
          <w:lang w:val="fr-FR"/>
        </w:rPr>
        <w:t>».</w:t>
      </w:r>
    </w:p>
    <w:p w14:paraId="625A2763" w14:textId="77777777" w:rsidR="00253B30" w:rsidRPr="006272CF" w:rsidRDefault="00253B30" w:rsidP="00253B30">
      <w:pPr>
        <w:pStyle w:val="SingleTxtG"/>
        <w:rPr>
          <w:i/>
          <w:iCs/>
        </w:rPr>
      </w:pPr>
      <w:r w:rsidRPr="006272CF">
        <w:rPr>
          <w:i/>
          <w:iCs/>
          <w:lang w:val="fr-FR"/>
        </w:rPr>
        <w:t>Ajouter les nouveaux paragraphes</w:t>
      </w:r>
      <w:r w:rsidRPr="006272CF">
        <w:rPr>
          <w:lang w:val="fr-FR"/>
        </w:rPr>
        <w:t xml:space="preserve"> </w:t>
      </w:r>
      <w:r w:rsidRPr="006272CF">
        <w:rPr>
          <w:i/>
          <w:iCs/>
          <w:lang w:val="fr-FR"/>
        </w:rPr>
        <w:t>12.8</w:t>
      </w:r>
      <w:r>
        <w:rPr>
          <w:i/>
          <w:iCs/>
          <w:lang w:val="fr-FR"/>
        </w:rPr>
        <w:t xml:space="preserve"> à</w:t>
      </w:r>
      <w:r w:rsidRPr="006272CF">
        <w:rPr>
          <w:i/>
          <w:iCs/>
          <w:lang w:val="fr-FR"/>
        </w:rPr>
        <w:t xml:space="preserve"> 12.8.7</w:t>
      </w:r>
      <w:r w:rsidRPr="006272CF">
        <w:rPr>
          <w:lang w:val="fr-FR"/>
        </w:rPr>
        <w:t xml:space="preserve">, </w:t>
      </w:r>
      <w:r>
        <w:rPr>
          <w:lang w:val="fr-FR"/>
        </w:rPr>
        <w:t xml:space="preserve">libellés </w:t>
      </w:r>
      <w:r w:rsidRPr="006272CF">
        <w:rPr>
          <w:lang w:val="fr-FR"/>
        </w:rPr>
        <w:t>comme suit :</w:t>
      </w:r>
    </w:p>
    <w:p w14:paraId="37A5F182" w14:textId="77777777" w:rsidR="00253B30" w:rsidRPr="00E36D4D" w:rsidRDefault="00253B30" w:rsidP="00253B30">
      <w:pPr>
        <w:pStyle w:val="SingleTxtG"/>
        <w:keepNext/>
        <w:ind w:left="2268" w:hanging="1134"/>
        <w:jc w:val="left"/>
        <w:rPr>
          <w:color w:val="000000" w:themeColor="text1"/>
        </w:rPr>
      </w:pPr>
      <w:r w:rsidRPr="00E2354D">
        <w:rPr>
          <w:lang w:val="fr-FR"/>
        </w:rPr>
        <w:t>« </w:t>
      </w:r>
      <w:r w:rsidRPr="00E36D4D">
        <w:rPr>
          <w:lang w:val="fr-FR"/>
        </w:rPr>
        <w:t>12.8</w:t>
      </w:r>
      <w:r w:rsidRPr="00E36D4D">
        <w:rPr>
          <w:lang w:val="fr-FR"/>
        </w:rPr>
        <w:tab/>
        <w:t>Dispositions transitoires applicables à la série 13 d</w:t>
      </w:r>
      <w:r>
        <w:rPr>
          <w:lang w:val="fr-FR"/>
        </w:rPr>
        <w:t>’</w:t>
      </w:r>
      <w:r w:rsidRPr="00E36D4D">
        <w:rPr>
          <w:lang w:val="fr-FR"/>
        </w:rPr>
        <w:t>amendements</w:t>
      </w:r>
    </w:p>
    <w:p w14:paraId="742EDB52" w14:textId="77777777" w:rsidR="00253B30" w:rsidRPr="00E36D4D" w:rsidRDefault="00253B30" w:rsidP="00253B30">
      <w:pPr>
        <w:pStyle w:val="SingleTxtG"/>
        <w:ind w:left="2268" w:hanging="1134"/>
        <w:rPr>
          <w:color w:val="000000" w:themeColor="text1"/>
        </w:rPr>
      </w:pPr>
      <w:r w:rsidRPr="00E36D4D">
        <w:rPr>
          <w:lang w:val="fr-FR"/>
        </w:rPr>
        <w:t>12.8.1</w:t>
      </w:r>
      <w:r w:rsidRPr="00E36D4D">
        <w:rPr>
          <w:lang w:val="fr-FR"/>
        </w:rPr>
        <w:tab/>
        <w:t>À compter de la date officielle d</w:t>
      </w:r>
      <w:r>
        <w:rPr>
          <w:lang w:val="fr-FR"/>
        </w:rPr>
        <w:t>’</w:t>
      </w:r>
      <w:r w:rsidRPr="00E36D4D">
        <w:rPr>
          <w:lang w:val="fr-FR"/>
        </w:rPr>
        <w:t>entrée en vigueur de la série 13 d</w:t>
      </w:r>
      <w:r>
        <w:rPr>
          <w:lang w:val="fr-FR"/>
        </w:rPr>
        <w:t>’</w:t>
      </w:r>
      <w:r w:rsidRPr="00E36D4D">
        <w:rPr>
          <w:lang w:val="fr-FR"/>
        </w:rPr>
        <w:t>amendements, aucune Partie contractante appliquant le présent Règlement ne pourra refuser d</w:t>
      </w:r>
      <w:r>
        <w:rPr>
          <w:lang w:val="fr-FR"/>
        </w:rPr>
        <w:t>’</w:t>
      </w:r>
      <w:r w:rsidRPr="00E36D4D">
        <w:rPr>
          <w:lang w:val="fr-FR"/>
        </w:rPr>
        <w:t>accorder ou d</w:t>
      </w:r>
      <w:r>
        <w:rPr>
          <w:lang w:val="fr-FR"/>
        </w:rPr>
        <w:t>’</w:t>
      </w:r>
      <w:r w:rsidRPr="00E36D4D">
        <w:rPr>
          <w:lang w:val="fr-FR"/>
        </w:rPr>
        <w:t>accepter une homologation de type en vertu dudit Règlement tel que modifié par la série 13 d</w:t>
      </w:r>
      <w:r>
        <w:rPr>
          <w:lang w:val="fr-FR"/>
        </w:rPr>
        <w:t>’</w:t>
      </w:r>
      <w:r w:rsidRPr="00E36D4D">
        <w:rPr>
          <w:lang w:val="fr-FR"/>
        </w:rPr>
        <w:t>amendements.</w:t>
      </w:r>
    </w:p>
    <w:p w14:paraId="44A0C37D" w14:textId="77777777" w:rsidR="00253B30" w:rsidRPr="00E36D4D" w:rsidRDefault="00253B30" w:rsidP="00253B30">
      <w:pPr>
        <w:pStyle w:val="SingleTxtG"/>
        <w:ind w:left="2268" w:hanging="1134"/>
        <w:rPr>
          <w:color w:val="000000" w:themeColor="text1"/>
        </w:rPr>
      </w:pPr>
      <w:r w:rsidRPr="00E36D4D">
        <w:rPr>
          <w:lang w:val="fr-FR"/>
        </w:rPr>
        <w:t>12.8.2</w:t>
      </w:r>
      <w:r w:rsidRPr="00E36D4D">
        <w:rPr>
          <w:lang w:val="fr-FR"/>
        </w:rPr>
        <w:tab/>
        <w:t>À compter du 1</w:t>
      </w:r>
      <w:r w:rsidRPr="00E36D4D">
        <w:rPr>
          <w:vertAlign w:val="superscript"/>
          <w:lang w:val="fr-FR"/>
        </w:rPr>
        <w:t>er</w:t>
      </w:r>
      <w:r w:rsidRPr="00E36D4D">
        <w:rPr>
          <w:lang w:val="fr-FR"/>
        </w:rPr>
        <w:t> septembre 2026, les Parties contractantes appliquant le présent Règlement ne seront plus tenues d</w:t>
      </w:r>
      <w:r>
        <w:rPr>
          <w:lang w:val="fr-FR"/>
        </w:rPr>
        <w:t>’</w:t>
      </w:r>
      <w:r w:rsidRPr="00E36D4D">
        <w:rPr>
          <w:lang w:val="fr-FR"/>
        </w:rPr>
        <w:t>accepter les homologations de type établies conformément à la série 12 d</w:t>
      </w:r>
      <w:r>
        <w:rPr>
          <w:lang w:val="fr-FR"/>
        </w:rPr>
        <w:t>’</w:t>
      </w:r>
      <w:r w:rsidRPr="00E36D4D">
        <w:rPr>
          <w:lang w:val="fr-FR"/>
        </w:rPr>
        <w:t>amendements, délivrées pour la première fois après le 1</w:t>
      </w:r>
      <w:r w:rsidRPr="00E36D4D">
        <w:rPr>
          <w:vertAlign w:val="superscript"/>
          <w:lang w:val="fr-FR"/>
        </w:rPr>
        <w:t>er</w:t>
      </w:r>
      <w:r w:rsidRPr="00E36D4D">
        <w:rPr>
          <w:lang w:val="fr-FR"/>
        </w:rPr>
        <w:t> septembre 2026.</w:t>
      </w:r>
    </w:p>
    <w:p w14:paraId="66785F0F" w14:textId="77777777" w:rsidR="00253B30" w:rsidRPr="00E36D4D" w:rsidRDefault="00253B30" w:rsidP="00253B30">
      <w:pPr>
        <w:pStyle w:val="SingleTxtG"/>
        <w:ind w:left="2268" w:hanging="1134"/>
        <w:rPr>
          <w:color w:val="000000" w:themeColor="text1"/>
        </w:rPr>
      </w:pPr>
      <w:r w:rsidRPr="00E36D4D">
        <w:rPr>
          <w:lang w:val="fr-FR"/>
        </w:rPr>
        <w:t>12.8.3</w:t>
      </w:r>
      <w:r w:rsidRPr="00E36D4D">
        <w:rPr>
          <w:lang w:val="fr-FR"/>
        </w:rPr>
        <w:tab/>
        <w:t>Jusqu</w:t>
      </w:r>
      <w:r>
        <w:rPr>
          <w:lang w:val="fr-FR"/>
        </w:rPr>
        <w:t>’</w:t>
      </w:r>
      <w:r w:rsidRPr="00E36D4D">
        <w:rPr>
          <w:lang w:val="fr-FR"/>
        </w:rPr>
        <w:t>au 1</w:t>
      </w:r>
      <w:r w:rsidRPr="00E36D4D">
        <w:rPr>
          <w:vertAlign w:val="superscript"/>
          <w:lang w:val="fr-FR"/>
        </w:rPr>
        <w:t>er</w:t>
      </w:r>
      <w:r w:rsidRPr="00E36D4D">
        <w:rPr>
          <w:lang w:val="fr-FR"/>
        </w:rPr>
        <w:t> septembre 2028, les Parties contractantes appliquant le présent Règlement seront tenues d</w:t>
      </w:r>
      <w:r>
        <w:rPr>
          <w:lang w:val="fr-FR"/>
        </w:rPr>
        <w:t>’</w:t>
      </w:r>
      <w:r w:rsidRPr="00E36D4D">
        <w:rPr>
          <w:lang w:val="fr-FR"/>
        </w:rPr>
        <w:t>accepter les homologations de type établies conformément à la série 12 d</w:t>
      </w:r>
      <w:r>
        <w:rPr>
          <w:lang w:val="fr-FR"/>
        </w:rPr>
        <w:t>’</w:t>
      </w:r>
      <w:r w:rsidRPr="00E36D4D">
        <w:rPr>
          <w:lang w:val="fr-FR"/>
        </w:rPr>
        <w:t>amendements, délivrées pour la première fois avant le 1</w:t>
      </w:r>
      <w:r w:rsidRPr="00E36D4D">
        <w:rPr>
          <w:vertAlign w:val="superscript"/>
          <w:lang w:val="fr-FR"/>
        </w:rPr>
        <w:t>er</w:t>
      </w:r>
      <w:r w:rsidRPr="00E36D4D">
        <w:rPr>
          <w:lang w:val="fr-FR"/>
        </w:rPr>
        <w:t> septembre 2026.</w:t>
      </w:r>
    </w:p>
    <w:p w14:paraId="32E3BBAF" w14:textId="0E46644E" w:rsidR="00253B30" w:rsidRPr="00E36D4D" w:rsidRDefault="00253B30" w:rsidP="00253B30">
      <w:pPr>
        <w:pStyle w:val="SingleTxtG"/>
        <w:ind w:left="2268" w:hanging="1134"/>
        <w:rPr>
          <w:color w:val="000000" w:themeColor="text1"/>
        </w:rPr>
      </w:pPr>
      <w:r w:rsidRPr="00E36D4D">
        <w:rPr>
          <w:lang w:val="fr-FR"/>
        </w:rPr>
        <w:t>12.8.4</w:t>
      </w:r>
      <w:r w:rsidRPr="00E36D4D">
        <w:rPr>
          <w:lang w:val="fr-FR"/>
        </w:rPr>
        <w:tab/>
        <w:t>À compter du 1</w:t>
      </w:r>
      <w:r w:rsidRPr="00E36D4D">
        <w:rPr>
          <w:vertAlign w:val="superscript"/>
          <w:lang w:val="fr-FR"/>
        </w:rPr>
        <w:t>er</w:t>
      </w:r>
      <w:r w:rsidRPr="00E36D4D">
        <w:rPr>
          <w:lang w:val="fr-FR"/>
        </w:rPr>
        <w:t> septembre 2028, les Parties contractantes appliquant le présent Règlement ne seront plus tenues d</w:t>
      </w:r>
      <w:r>
        <w:rPr>
          <w:lang w:val="fr-FR"/>
        </w:rPr>
        <w:t>’</w:t>
      </w:r>
      <w:r w:rsidRPr="00E36D4D">
        <w:rPr>
          <w:lang w:val="fr-FR"/>
        </w:rPr>
        <w:t>accepter les homologations de type délivrées en vertu de la série 12 d</w:t>
      </w:r>
      <w:r>
        <w:rPr>
          <w:lang w:val="fr-FR"/>
        </w:rPr>
        <w:t>’</w:t>
      </w:r>
      <w:r w:rsidRPr="00E36D4D">
        <w:rPr>
          <w:lang w:val="fr-FR"/>
        </w:rPr>
        <w:t>amendements audit Règlement.</w:t>
      </w:r>
    </w:p>
    <w:p w14:paraId="65A3FE5D" w14:textId="77777777" w:rsidR="00253B30" w:rsidRPr="00E36D4D" w:rsidRDefault="00253B30" w:rsidP="00253B30">
      <w:pPr>
        <w:pStyle w:val="SingleTxtG"/>
        <w:ind w:left="2268" w:hanging="1134"/>
        <w:rPr>
          <w:color w:val="000000" w:themeColor="text1"/>
        </w:rPr>
      </w:pPr>
      <w:r w:rsidRPr="00E36D4D">
        <w:rPr>
          <w:lang w:val="fr-FR"/>
        </w:rPr>
        <w:t>12.8.5</w:t>
      </w:r>
      <w:r w:rsidRPr="00E36D4D">
        <w:rPr>
          <w:lang w:val="fr-FR"/>
        </w:rPr>
        <w:tab/>
      </w:r>
      <w:r w:rsidRPr="00E36D4D">
        <w:rPr>
          <w:spacing w:val="-2"/>
          <w:lang w:val="fr-FR"/>
        </w:rPr>
        <w:t>Nonobstant les dispositions du paragraphe 12.8.4, les Parties contractantes appliquant le présent Règlement continueront de reconnaître les homologations de type délivrées au titre de la série 12 d</w:t>
      </w:r>
      <w:r>
        <w:rPr>
          <w:spacing w:val="-2"/>
          <w:lang w:val="fr-FR"/>
        </w:rPr>
        <w:t>’</w:t>
      </w:r>
      <w:r w:rsidRPr="00E36D4D">
        <w:rPr>
          <w:spacing w:val="-2"/>
          <w:lang w:val="fr-FR"/>
        </w:rPr>
        <w:t>amendements audit Règlement pour les véhicules non concernés par les modifications apportées par la série 13 d</w:t>
      </w:r>
      <w:r>
        <w:rPr>
          <w:spacing w:val="-2"/>
          <w:lang w:val="fr-FR"/>
        </w:rPr>
        <w:t>’</w:t>
      </w:r>
      <w:r w:rsidRPr="00E36D4D">
        <w:rPr>
          <w:spacing w:val="-2"/>
          <w:lang w:val="fr-FR"/>
        </w:rPr>
        <w:t>amendements</w:t>
      </w:r>
      <w:r w:rsidRPr="00E36D4D">
        <w:rPr>
          <w:lang w:val="fr-FR"/>
        </w:rPr>
        <w:t>.</w:t>
      </w:r>
    </w:p>
    <w:p w14:paraId="5F623529" w14:textId="77777777" w:rsidR="00253B30" w:rsidRPr="00E36D4D" w:rsidRDefault="00253B30" w:rsidP="00253B30">
      <w:pPr>
        <w:pStyle w:val="SingleTxtG"/>
        <w:ind w:left="2268" w:hanging="1134"/>
        <w:rPr>
          <w:color w:val="000000" w:themeColor="text1"/>
        </w:rPr>
      </w:pPr>
      <w:r w:rsidRPr="00E36D4D">
        <w:rPr>
          <w:lang w:val="fr-FR"/>
        </w:rPr>
        <w:t>12.8.6</w:t>
      </w:r>
      <w:r w:rsidRPr="00E36D4D">
        <w:rPr>
          <w:lang w:val="fr-FR"/>
        </w:rPr>
        <w:tab/>
        <w:t>Les Parties contractantes appliquant le présent Règlement peuvent accorder des homologations de type en vertu de l</w:t>
      </w:r>
      <w:r>
        <w:rPr>
          <w:lang w:val="fr-FR"/>
        </w:rPr>
        <w:t>’</w:t>
      </w:r>
      <w:r w:rsidRPr="00E36D4D">
        <w:rPr>
          <w:lang w:val="fr-FR"/>
        </w:rPr>
        <w:t>une quelconque des précédentes séries d</w:t>
      </w:r>
      <w:r>
        <w:rPr>
          <w:lang w:val="fr-FR"/>
        </w:rPr>
        <w:t>’</w:t>
      </w:r>
      <w:r w:rsidRPr="00E36D4D">
        <w:rPr>
          <w:lang w:val="fr-FR"/>
        </w:rPr>
        <w:t>amendements audit Règlement.</w:t>
      </w:r>
    </w:p>
    <w:p w14:paraId="37892CB9" w14:textId="3D82CBD1" w:rsidR="00253B30" w:rsidRDefault="00253B30" w:rsidP="006D02EE">
      <w:pPr>
        <w:pStyle w:val="SingleTxtG"/>
        <w:ind w:left="2268" w:hanging="1134"/>
        <w:rPr>
          <w:lang w:val="fr-FR"/>
        </w:rPr>
      </w:pPr>
      <w:r w:rsidRPr="00E36D4D">
        <w:rPr>
          <w:lang w:val="fr-FR"/>
        </w:rPr>
        <w:t>12.8.7</w:t>
      </w:r>
      <w:r w:rsidRPr="00E36D4D">
        <w:rPr>
          <w:lang w:val="fr-FR"/>
        </w:rPr>
        <w:tab/>
        <w:t>Les Parties contractantes appliquant le présent Règlement continueront d</w:t>
      </w:r>
      <w:r>
        <w:rPr>
          <w:lang w:val="fr-FR"/>
        </w:rPr>
        <w:t>’</w:t>
      </w:r>
      <w:r w:rsidRPr="00E36D4D">
        <w:rPr>
          <w:lang w:val="fr-FR"/>
        </w:rPr>
        <w:t>accorder des extensions pour les homologations établies conformément à l</w:t>
      </w:r>
      <w:r>
        <w:rPr>
          <w:lang w:val="fr-FR"/>
        </w:rPr>
        <w:t>’</w:t>
      </w:r>
      <w:r w:rsidRPr="00E36D4D">
        <w:rPr>
          <w:lang w:val="fr-FR"/>
        </w:rPr>
        <w:t>une quelconque des précédentes séries d</w:t>
      </w:r>
      <w:r>
        <w:rPr>
          <w:lang w:val="fr-FR"/>
        </w:rPr>
        <w:t>’</w:t>
      </w:r>
      <w:r w:rsidRPr="00E36D4D">
        <w:rPr>
          <w:lang w:val="fr-FR"/>
        </w:rPr>
        <w:t>amendements audit Règlement.</w:t>
      </w:r>
      <w:r w:rsidRPr="00287A36">
        <w:rPr>
          <w:lang w:val="fr-FR"/>
        </w:rPr>
        <w:t> ».</w:t>
      </w:r>
      <w:r>
        <w:rPr>
          <w:lang w:val="fr-FR"/>
        </w:rPr>
        <w:br w:type="page"/>
      </w:r>
    </w:p>
    <w:p w14:paraId="24857F50" w14:textId="77777777" w:rsidR="00253B30" w:rsidRPr="006D02EE" w:rsidRDefault="00253B30" w:rsidP="006D02EE">
      <w:pPr>
        <w:pStyle w:val="SingleTxtG"/>
      </w:pPr>
      <w:r w:rsidRPr="006D02EE">
        <w:rPr>
          <w:i/>
          <w:iCs/>
        </w:rPr>
        <w:lastRenderedPageBreak/>
        <w:t>Annexe 3</w:t>
      </w:r>
      <w:r w:rsidRPr="006D02EE">
        <w:t>, lire :</w:t>
      </w:r>
    </w:p>
    <w:p w14:paraId="3071EC31" w14:textId="77777777" w:rsidR="00253B30" w:rsidRPr="00E36D4D" w:rsidRDefault="00253B30" w:rsidP="00253B30">
      <w:pPr>
        <w:pStyle w:val="HChG"/>
      </w:pPr>
      <w:r w:rsidRPr="005F4368">
        <w:rPr>
          <w:b w:val="0"/>
          <w:bCs/>
          <w:sz w:val="20"/>
          <w:szCs w:val="14"/>
        </w:rPr>
        <w:t>« </w:t>
      </w:r>
      <w:bookmarkStart w:id="1" w:name="_Toc381019022"/>
      <w:bookmarkStart w:id="2" w:name="_Toc381088831"/>
      <w:r w:rsidRPr="00E36D4D">
        <w:t>Annexe 3</w:t>
      </w:r>
      <w:bookmarkEnd w:id="1"/>
      <w:bookmarkEnd w:id="2"/>
    </w:p>
    <w:p w14:paraId="1D7EDC42" w14:textId="77777777" w:rsidR="00253B30" w:rsidRPr="00E36D4D" w:rsidRDefault="00253B30" w:rsidP="00253B30">
      <w:pPr>
        <w:pStyle w:val="HChG"/>
        <w:rPr>
          <w:lang w:val="fr-FR"/>
        </w:rPr>
      </w:pPr>
      <w:r w:rsidRPr="00E36D4D">
        <w:tab/>
      </w:r>
      <w:r w:rsidRPr="00E36D4D">
        <w:tab/>
      </w:r>
      <w:r w:rsidRPr="009D6D3A">
        <w:rPr>
          <w:lang w:val="fr-FR"/>
        </w:rPr>
        <w:t>Exemples de marques d</w:t>
      </w:r>
      <w:r>
        <w:rPr>
          <w:lang w:val="fr-FR"/>
        </w:rPr>
        <w:t>’</w:t>
      </w:r>
      <w:r w:rsidRPr="009D6D3A">
        <w:rPr>
          <w:lang w:val="fr-FR"/>
        </w:rPr>
        <w:t>homologation</w:t>
      </w:r>
      <w:r w:rsidRPr="00E36D4D">
        <w:rPr>
          <w:lang w:val="fr-FR"/>
        </w:rPr>
        <w:t xml:space="preserve"> </w:t>
      </w:r>
    </w:p>
    <w:p w14:paraId="26D49C41" w14:textId="77777777" w:rsidR="00253B30" w:rsidRDefault="00253B30" w:rsidP="005F4368">
      <w:pPr>
        <w:pStyle w:val="Titre1"/>
        <w:spacing w:after="120"/>
        <w:rPr>
          <w:lang w:val="fr-FR"/>
        </w:rPr>
      </w:pPr>
      <w:r w:rsidRPr="009D6D3A">
        <w:rPr>
          <w:b/>
          <w:lang w:val="fr-FR"/>
        </w:rPr>
        <w:t>Modèle A</w:t>
      </w:r>
      <w:r w:rsidRPr="009D6D3A">
        <w:rPr>
          <w:b/>
          <w:lang w:val="fr-FR"/>
        </w:rPr>
        <w:br/>
      </w:r>
      <w:r w:rsidRPr="009D6D3A">
        <w:rPr>
          <w:lang w:val="fr-FR"/>
        </w:rPr>
        <w:t>(Voir par. 4.4 du présent Règlement)</w:t>
      </w:r>
    </w:p>
    <w:p w14:paraId="457B4001" w14:textId="77777777" w:rsidR="00253B30" w:rsidRPr="004E114B" w:rsidRDefault="00253B30" w:rsidP="00253B30">
      <w:pPr>
        <w:tabs>
          <w:tab w:val="left" w:pos="-1440"/>
          <w:tab w:val="left" w:pos="-720"/>
          <w:tab w:val="left" w:pos="0"/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"/>
        <w:jc w:val="center"/>
      </w:pPr>
      <w:r w:rsidRPr="004E114B">
        <w:rPr>
          <w:noProof/>
        </w:rPr>
        <w:drawing>
          <wp:inline distT="0" distB="0" distL="0" distR="0" wp14:anchorId="11C803EE" wp14:editId="414B8306">
            <wp:extent cx="4675444" cy="1056904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396" b="10195"/>
                    <a:stretch/>
                  </pic:blipFill>
                  <pic:spPr bwMode="auto">
                    <a:xfrm>
                      <a:off x="0" y="0"/>
                      <a:ext cx="4676775" cy="105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5350C3" w14:textId="77777777" w:rsidR="00253B30" w:rsidRDefault="00253B30" w:rsidP="005F4368">
      <w:pPr>
        <w:tabs>
          <w:tab w:val="right" w:pos="9470"/>
        </w:tabs>
        <w:spacing w:after="240"/>
        <w:ind w:firstLine="7002"/>
      </w:pPr>
      <w:r w:rsidRPr="00E36D4D">
        <w:t>a = 8 mm min.</w:t>
      </w:r>
    </w:p>
    <w:p w14:paraId="2B4E1FFC" w14:textId="4CD53370" w:rsidR="00253B30" w:rsidRPr="00E36D4D" w:rsidRDefault="00253B30" w:rsidP="00253B30">
      <w:pPr>
        <w:pStyle w:val="SingleTxtG"/>
        <w:spacing w:after="360"/>
        <w:ind w:firstLine="567"/>
        <w:rPr>
          <w:lang w:val="fr-FR"/>
        </w:rPr>
      </w:pPr>
      <w:r w:rsidRPr="007F6353">
        <w:rPr>
          <w:lang w:val="fr-FR"/>
        </w:rPr>
        <w:t>La marque d</w:t>
      </w:r>
      <w:r>
        <w:rPr>
          <w:lang w:val="fr-FR"/>
        </w:rPr>
        <w:t>’</w:t>
      </w:r>
      <w:r w:rsidRPr="007F6353">
        <w:rPr>
          <w:lang w:val="fr-FR"/>
        </w:rPr>
        <w:t>homologation ci-dessus, apposée sur un véhicule, indique que le type de ce véhicule a été homologué au Royaume-Uni (E</w:t>
      </w:r>
      <w:r w:rsidR="006D02EE">
        <w:rPr>
          <w:lang w:val="fr-FR"/>
        </w:rPr>
        <w:t> </w:t>
      </w:r>
      <w:r w:rsidRPr="007F6353">
        <w:rPr>
          <w:lang w:val="fr-FR"/>
        </w:rPr>
        <w:t>11)</w:t>
      </w:r>
      <w:r>
        <w:rPr>
          <w:lang w:val="fr-FR"/>
        </w:rPr>
        <w:t>,</w:t>
      </w:r>
      <w:r w:rsidRPr="007F6353">
        <w:rPr>
          <w:lang w:val="fr-FR"/>
        </w:rPr>
        <w:t xml:space="preserve"> en ce qui concerne le freinage</w:t>
      </w:r>
      <w:r>
        <w:rPr>
          <w:lang w:val="fr-FR"/>
        </w:rPr>
        <w:t>,</w:t>
      </w:r>
      <w:r w:rsidRPr="007F6353">
        <w:rPr>
          <w:lang w:val="fr-FR"/>
        </w:rPr>
        <w:t xml:space="preserve"> en application du Règlement </w:t>
      </w:r>
      <w:r>
        <w:rPr>
          <w:lang w:val="fr-FR"/>
        </w:rPr>
        <w:t xml:space="preserve">ONU </w:t>
      </w:r>
      <w:r w:rsidRPr="007F6353">
        <w:rPr>
          <w:lang w:val="fr-FR"/>
        </w:rPr>
        <w:t>n</w:t>
      </w:r>
      <w:r>
        <w:rPr>
          <w:vertAlign w:val="superscript"/>
          <w:lang w:val="fr-FR"/>
        </w:rPr>
        <w:t>o</w:t>
      </w:r>
      <w:r w:rsidR="006D02EE">
        <w:rPr>
          <w:lang w:val="fr-FR"/>
        </w:rPr>
        <w:t> </w:t>
      </w:r>
      <w:r w:rsidRPr="007F6353">
        <w:rPr>
          <w:lang w:val="fr-FR"/>
        </w:rPr>
        <w:t>13</w:t>
      </w:r>
      <w:r>
        <w:rPr>
          <w:lang w:val="fr-FR"/>
        </w:rPr>
        <w:t>,</w:t>
      </w:r>
      <w:r w:rsidRPr="007F6353">
        <w:rPr>
          <w:lang w:val="fr-FR"/>
        </w:rPr>
        <w:t xml:space="preserve"> sous le numéro d</w:t>
      </w:r>
      <w:r>
        <w:rPr>
          <w:lang w:val="fr-FR"/>
        </w:rPr>
        <w:t>’</w:t>
      </w:r>
      <w:r w:rsidRPr="007F6353">
        <w:rPr>
          <w:lang w:val="fr-FR"/>
        </w:rPr>
        <w:t>homologation 1</w:t>
      </w:r>
      <w:r>
        <w:rPr>
          <w:lang w:val="fr-FR"/>
        </w:rPr>
        <w:t>3</w:t>
      </w:r>
      <w:r w:rsidRPr="007F6353">
        <w:rPr>
          <w:lang w:val="fr-FR"/>
        </w:rPr>
        <w:t>2439. Ce numéro signifie que l</w:t>
      </w:r>
      <w:r>
        <w:rPr>
          <w:lang w:val="fr-FR"/>
        </w:rPr>
        <w:t>’</w:t>
      </w:r>
      <w:r w:rsidRPr="007F6353">
        <w:rPr>
          <w:lang w:val="fr-FR"/>
        </w:rPr>
        <w:t>homologation a été délivrée conformément aux prescriptions du Règlement</w:t>
      </w:r>
      <w:r w:rsidR="006D02EE">
        <w:rPr>
          <w:lang w:val="fr-FR"/>
        </w:rPr>
        <w:t> </w:t>
      </w:r>
      <w:r>
        <w:rPr>
          <w:lang w:val="fr-FR"/>
        </w:rPr>
        <w:t xml:space="preserve">ONU </w:t>
      </w:r>
      <w:r w:rsidRPr="007F6353">
        <w:rPr>
          <w:lang w:val="fr-FR"/>
        </w:rPr>
        <w:t>n</w:t>
      </w:r>
      <w:r w:rsidRPr="00E36D4D">
        <w:rPr>
          <w:vertAlign w:val="superscript"/>
          <w:lang w:val="fr-FR"/>
        </w:rPr>
        <w:t>o</w:t>
      </w:r>
      <w:r w:rsidR="006D02EE">
        <w:rPr>
          <w:lang w:val="fr-FR"/>
        </w:rPr>
        <w:t> </w:t>
      </w:r>
      <w:r w:rsidRPr="007F6353">
        <w:rPr>
          <w:lang w:val="fr-FR"/>
        </w:rPr>
        <w:t>13 tel qu</w:t>
      </w:r>
      <w:r>
        <w:rPr>
          <w:lang w:val="fr-FR"/>
        </w:rPr>
        <w:t>’</w:t>
      </w:r>
      <w:r w:rsidRPr="007F6353">
        <w:rPr>
          <w:lang w:val="fr-FR"/>
        </w:rPr>
        <w:t>il est modifié par la série 1</w:t>
      </w:r>
      <w:r>
        <w:rPr>
          <w:lang w:val="fr-FR"/>
        </w:rPr>
        <w:t>3</w:t>
      </w:r>
      <w:r w:rsidRPr="007F6353">
        <w:rPr>
          <w:lang w:val="fr-FR"/>
        </w:rPr>
        <w:t xml:space="preserve"> d</w:t>
      </w:r>
      <w:r>
        <w:rPr>
          <w:lang w:val="fr-FR"/>
        </w:rPr>
        <w:t>’</w:t>
      </w:r>
      <w:r w:rsidRPr="007F6353">
        <w:rPr>
          <w:lang w:val="fr-FR"/>
        </w:rPr>
        <w:t>amendements. Pour un véhicule des catégories M</w:t>
      </w:r>
      <w:r w:rsidRPr="00E36D4D">
        <w:rPr>
          <w:vertAlign w:val="subscript"/>
          <w:lang w:val="fr-FR"/>
        </w:rPr>
        <w:t>2</w:t>
      </w:r>
      <w:r w:rsidRPr="007F6353">
        <w:rPr>
          <w:lang w:val="fr-FR"/>
        </w:rPr>
        <w:t xml:space="preserve"> ou M</w:t>
      </w:r>
      <w:r w:rsidRPr="00E36D4D">
        <w:rPr>
          <w:vertAlign w:val="subscript"/>
          <w:lang w:val="fr-FR"/>
        </w:rPr>
        <w:t>3</w:t>
      </w:r>
      <w:r w:rsidRPr="007F6353">
        <w:rPr>
          <w:lang w:val="fr-FR"/>
        </w:rPr>
        <w:t xml:space="preserve">, </w:t>
      </w:r>
      <w:r>
        <w:rPr>
          <w:lang w:val="fr-FR"/>
        </w:rPr>
        <w:t>une telle</w:t>
      </w:r>
      <w:r w:rsidRPr="007F6353">
        <w:rPr>
          <w:lang w:val="fr-FR"/>
        </w:rPr>
        <w:t xml:space="preserve"> marque signifie que ce type de véhicule a été soumis à l</w:t>
      </w:r>
      <w:r>
        <w:rPr>
          <w:lang w:val="fr-FR"/>
        </w:rPr>
        <w:t>’</w:t>
      </w:r>
      <w:r w:rsidRPr="007F6353">
        <w:rPr>
          <w:lang w:val="fr-FR"/>
        </w:rPr>
        <w:t>essai du type II.</w:t>
      </w:r>
    </w:p>
    <w:p w14:paraId="49B3596D" w14:textId="25472BD3" w:rsidR="00253B30" w:rsidRDefault="00253B30" w:rsidP="006D02EE">
      <w:pPr>
        <w:pStyle w:val="SingleTxtG"/>
        <w:jc w:val="left"/>
        <w:rPr>
          <w:bCs/>
          <w:lang w:val="fr-FR"/>
        </w:rPr>
      </w:pPr>
      <w:r w:rsidRPr="00E36D4D">
        <w:rPr>
          <w:b/>
          <w:lang w:val="fr-FR"/>
        </w:rPr>
        <w:t>Modèle B</w:t>
      </w:r>
      <w:r w:rsidR="006D02EE">
        <w:rPr>
          <w:b/>
          <w:lang w:val="fr-FR"/>
        </w:rPr>
        <w:br/>
      </w:r>
      <w:r w:rsidRPr="00E36D4D">
        <w:rPr>
          <w:bCs/>
          <w:lang w:val="fr-FR"/>
        </w:rPr>
        <w:t>(Voir par. 4.5 du présent Règlement)</w:t>
      </w:r>
    </w:p>
    <w:p w14:paraId="007A91C7" w14:textId="77777777" w:rsidR="00253B30" w:rsidRPr="00EF6E81" w:rsidRDefault="00253B30" w:rsidP="00253B30">
      <w:pPr>
        <w:tabs>
          <w:tab w:val="left" w:pos="-1440"/>
          <w:tab w:val="left" w:pos="-720"/>
          <w:tab w:val="left" w:pos="0"/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"/>
        <w:jc w:val="center"/>
      </w:pPr>
      <w:r w:rsidRPr="00EF6E81">
        <w:rPr>
          <w:noProof/>
        </w:rPr>
        <w:drawing>
          <wp:inline distT="0" distB="0" distL="0" distR="0" wp14:anchorId="08EE548D" wp14:editId="3A2E50C2">
            <wp:extent cx="4794406" cy="1179576"/>
            <wp:effectExtent l="0" t="0" r="0" b="1905"/>
            <wp:docPr id="6" name="Picture 3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Une image contenant logo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4406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73756" w14:textId="77777777" w:rsidR="00253B30" w:rsidRDefault="00253B30" w:rsidP="006D02EE">
      <w:pPr>
        <w:tabs>
          <w:tab w:val="right" w:pos="9470"/>
        </w:tabs>
        <w:spacing w:after="240"/>
        <w:ind w:firstLine="7002"/>
      </w:pPr>
      <w:r w:rsidRPr="00E36D4D">
        <w:t>a = 8 mm min.</w:t>
      </w:r>
    </w:p>
    <w:p w14:paraId="5652D959" w14:textId="5FF10C41" w:rsidR="00253B30" w:rsidRPr="00E36D4D" w:rsidRDefault="00253B30" w:rsidP="00253B30">
      <w:pPr>
        <w:pStyle w:val="SingleTxtG"/>
        <w:ind w:firstLine="567"/>
        <w:rPr>
          <w:lang w:val="fr-FR"/>
        </w:rPr>
      </w:pPr>
      <w:bookmarkStart w:id="3" w:name="_Toc381019026"/>
      <w:bookmarkStart w:id="4" w:name="_Toc381088835"/>
      <w:r w:rsidRPr="009D6D3A">
        <w:rPr>
          <w:lang w:val="fr-FR"/>
        </w:rPr>
        <w:t>La marque d</w:t>
      </w:r>
      <w:r>
        <w:rPr>
          <w:lang w:val="fr-FR"/>
        </w:rPr>
        <w:t>’</w:t>
      </w:r>
      <w:r w:rsidRPr="009D6D3A">
        <w:rPr>
          <w:lang w:val="fr-FR"/>
        </w:rPr>
        <w:t>homologation ci-dessus, apposée sur un véhicule, indique que le type de ce véhicule a été homologué au Royaume-Uni (E</w:t>
      </w:r>
      <w:r w:rsidR="005F4368">
        <w:rPr>
          <w:lang w:val="fr-FR"/>
        </w:rPr>
        <w:t> </w:t>
      </w:r>
      <w:r w:rsidRPr="009D6D3A">
        <w:rPr>
          <w:lang w:val="fr-FR"/>
        </w:rPr>
        <w:t>11)</w:t>
      </w:r>
      <w:r>
        <w:rPr>
          <w:lang w:val="fr-FR"/>
        </w:rPr>
        <w:t>,</w:t>
      </w:r>
      <w:r w:rsidRPr="009D6D3A">
        <w:rPr>
          <w:lang w:val="fr-FR"/>
        </w:rPr>
        <w:t xml:space="preserve"> en ce qui concerne le freinage</w:t>
      </w:r>
      <w:r>
        <w:rPr>
          <w:lang w:val="fr-FR"/>
        </w:rPr>
        <w:t>,</w:t>
      </w:r>
      <w:r w:rsidRPr="009D6D3A">
        <w:rPr>
          <w:lang w:val="fr-FR"/>
        </w:rPr>
        <w:t xml:space="preserve"> en application du Règlement </w:t>
      </w:r>
      <w:r>
        <w:rPr>
          <w:lang w:val="fr-FR"/>
        </w:rPr>
        <w:t xml:space="preserve">ONU </w:t>
      </w:r>
      <w:r w:rsidRPr="009D6D3A">
        <w:rPr>
          <w:rFonts w:eastAsia="MS Mincho"/>
          <w:lang w:val="fr-FR"/>
        </w:rPr>
        <w:t>n</w:t>
      </w:r>
      <w:r w:rsidRPr="009D6D3A">
        <w:rPr>
          <w:rFonts w:eastAsia="MS Mincho"/>
          <w:vertAlign w:val="superscript"/>
          <w:lang w:val="fr-FR"/>
        </w:rPr>
        <w:t>o</w:t>
      </w:r>
      <w:r w:rsidRPr="009D6D3A">
        <w:rPr>
          <w:lang w:val="fr-FR"/>
        </w:rPr>
        <w:t> 13. Pour un véhicule des catégories M</w:t>
      </w:r>
      <w:r w:rsidRPr="009D6D3A">
        <w:rPr>
          <w:vertAlign w:val="subscript"/>
          <w:lang w:val="fr-FR"/>
        </w:rPr>
        <w:t>2</w:t>
      </w:r>
      <w:r w:rsidRPr="009D6D3A">
        <w:rPr>
          <w:lang w:val="fr-FR"/>
        </w:rPr>
        <w:t xml:space="preserve"> ou M</w:t>
      </w:r>
      <w:r w:rsidRPr="009D6D3A">
        <w:rPr>
          <w:vertAlign w:val="subscript"/>
          <w:lang w:val="fr-FR"/>
        </w:rPr>
        <w:t>3</w:t>
      </w:r>
      <w:r w:rsidRPr="009D6D3A">
        <w:rPr>
          <w:lang w:val="fr-FR"/>
        </w:rPr>
        <w:t xml:space="preserve">, </w:t>
      </w:r>
      <w:r>
        <w:rPr>
          <w:lang w:val="fr-FR"/>
        </w:rPr>
        <w:t>une telle</w:t>
      </w:r>
      <w:r w:rsidRPr="009D6D3A">
        <w:rPr>
          <w:lang w:val="fr-FR"/>
        </w:rPr>
        <w:t xml:space="preserve"> marque signifie que ce type de véhicule a été soumis à l</w:t>
      </w:r>
      <w:r>
        <w:rPr>
          <w:lang w:val="fr-FR"/>
        </w:rPr>
        <w:t>’</w:t>
      </w:r>
      <w:r w:rsidRPr="009D6D3A">
        <w:rPr>
          <w:lang w:val="fr-FR"/>
        </w:rPr>
        <w:t>essai du type IIA.</w:t>
      </w:r>
    </w:p>
    <w:p w14:paraId="4369217E" w14:textId="77777777" w:rsidR="00253B30" w:rsidRPr="00E36D4D" w:rsidRDefault="00253B30" w:rsidP="00253B30">
      <w:pPr>
        <w:suppressAutoHyphens w:val="0"/>
        <w:spacing w:line="240" w:lineRule="auto"/>
        <w:rPr>
          <w:lang w:val="fr-FR"/>
        </w:rPr>
      </w:pPr>
      <w:r w:rsidRPr="00E36D4D">
        <w:rPr>
          <w:lang w:val="fr-FR"/>
        </w:rPr>
        <w:br w:type="page"/>
      </w:r>
    </w:p>
    <w:bookmarkEnd w:id="3"/>
    <w:bookmarkEnd w:id="4"/>
    <w:p w14:paraId="3336C9C6" w14:textId="77777777" w:rsidR="00253B30" w:rsidRDefault="00253B30" w:rsidP="005F4368">
      <w:pPr>
        <w:pStyle w:val="SingleTxtG"/>
        <w:jc w:val="left"/>
        <w:rPr>
          <w:lang w:val="fr-FR"/>
        </w:rPr>
      </w:pPr>
      <w:r w:rsidRPr="00DC40CF">
        <w:rPr>
          <w:b/>
          <w:bCs/>
          <w:lang w:val="fr-FR"/>
        </w:rPr>
        <w:lastRenderedPageBreak/>
        <w:t>Modèle C</w:t>
      </w:r>
      <w:r w:rsidRPr="00DC40CF">
        <w:rPr>
          <w:b/>
          <w:bCs/>
          <w:lang w:val="fr-FR"/>
        </w:rPr>
        <w:br/>
      </w:r>
      <w:r w:rsidRPr="00E36D4D">
        <w:rPr>
          <w:lang w:val="fr-FR"/>
        </w:rPr>
        <w:t>(Voir par. 4.6 du présent Règlement)</w:t>
      </w:r>
    </w:p>
    <w:p w14:paraId="57E77317" w14:textId="77777777" w:rsidR="00253B30" w:rsidRPr="004E114B" w:rsidRDefault="00253B30" w:rsidP="00253B30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 w:rsidRPr="004E114B">
        <w:rPr>
          <w:noProof/>
        </w:rPr>
        <w:drawing>
          <wp:inline distT="0" distB="0" distL="0" distR="0" wp14:anchorId="1DDCEA69" wp14:editId="3F198002">
            <wp:extent cx="4419600" cy="962025"/>
            <wp:effectExtent l="0" t="0" r="0" b="9525"/>
            <wp:docPr id="7" name="Picture 4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Une image contenant tabl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221A" w14:textId="77777777" w:rsidR="00253B30" w:rsidRDefault="00253B30" w:rsidP="00253B30">
      <w:pPr>
        <w:keepNext/>
        <w:keepLines/>
        <w:tabs>
          <w:tab w:val="right" w:pos="9470"/>
        </w:tabs>
        <w:ind w:firstLine="7200"/>
      </w:pPr>
      <w:r w:rsidRPr="00E36D4D">
        <w:t>a = 8 mm min.</w:t>
      </w:r>
    </w:p>
    <w:p w14:paraId="0F243D1A" w14:textId="0FAA712B" w:rsidR="00253B30" w:rsidRDefault="00253B30" w:rsidP="005F4368">
      <w:pPr>
        <w:pStyle w:val="SingleTxtG"/>
        <w:ind w:firstLine="567"/>
        <w:rPr>
          <w:lang w:val="fr-FR"/>
        </w:rPr>
      </w:pPr>
      <w:r w:rsidRPr="009D6D3A">
        <w:rPr>
          <w:lang w:val="fr-FR"/>
        </w:rPr>
        <w:t>La marque d</w:t>
      </w:r>
      <w:r>
        <w:rPr>
          <w:lang w:val="fr-FR"/>
        </w:rPr>
        <w:t>’</w:t>
      </w:r>
      <w:r w:rsidRPr="009D6D3A">
        <w:rPr>
          <w:lang w:val="fr-FR"/>
        </w:rPr>
        <w:t>homologation ci-dessus, apposée sur un véhicule, indique que le type de ce véhicule a été homologué au Royaume-Uni (E</w:t>
      </w:r>
      <w:r w:rsidR="005F4368">
        <w:rPr>
          <w:lang w:val="fr-FR"/>
        </w:rPr>
        <w:t> </w:t>
      </w:r>
      <w:r w:rsidRPr="009D6D3A">
        <w:rPr>
          <w:lang w:val="fr-FR"/>
        </w:rPr>
        <w:t>11)</w:t>
      </w:r>
      <w:r>
        <w:rPr>
          <w:lang w:val="fr-FR"/>
        </w:rPr>
        <w:t>,</w:t>
      </w:r>
      <w:r w:rsidRPr="009D6D3A">
        <w:rPr>
          <w:lang w:val="fr-FR"/>
        </w:rPr>
        <w:t xml:space="preserve"> en application des Règlements</w:t>
      </w:r>
      <w:r>
        <w:rPr>
          <w:lang w:val="fr-FR"/>
        </w:rPr>
        <w:t xml:space="preserve"> ONU </w:t>
      </w:r>
      <w:r w:rsidRPr="009D6D3A">
        <w:rPr>
          <w:rFonts w:eastAsia="MS Mincho"/>
          <w:lang w:val="fr-FR"/>
        </w:rPr>
        <w:t>n</w:t>
      </w:r>
      <w:r w:rsidRPr="009D6D3A">
        <w:rPr>
          <w:rFonts w:eastAsia="MS Mincho"/>
          <w:vertAlign w:val="superscript"/>
          <w:lang w:val="fr-FR"/>
        </w:rPr>
        <w:t>o</w:t>
      </w:r>
      <w:r w:rsidRPr="009D6D3A">
        <w:rPr>
          <w:vertAlign w:val="superscript"/>
          <w:lang w:val="fr-FR"/>
        </w:rPr>
        <w:t>s</w:t>
      </w:r>
      <w:r w:rsidRPr="009D6D3A">
        <w:rPr>
          <w:lang w:val="fr-FR"/>
        </w:rPr>
        <w:t> 13 et 24</w:t>
      </w:r>
      <w:r w:rsidRPr="000F7F89">
        <w:rPr>
          <w:sz w:val="18"/>
          <w:szCs w:val="18"/>
          <w:vertAlign w:val="superscript"/>
          <w:lang w:val="fr-FR"/>
        </w:rPr>
        <w:footnoteReference w:id="3"/>
      </w:r>
      <w:r w:rsidRPr="009D6D3A">
        <w:rPr>
          <w:lang w:val="fr-FR"/>
        </w:rPr>
        <w:t>. (Dans le cas de ce dernier Règlement, la valeur corrigée du coefficient d</w:t>
      </w:r>
      <w:r>
        <w:rPr>
          <w:lang w:val="fr-FR"/>
        </w:rPr>
        <w:t>’</w:t>
      </w:r>
      <w:r w:rsidRPr="009D6D3A">
        <w:rPr>
          <w:lang w:val="fr-FR"/>
        </w:rPr>
        <w:t>absorption est 1,30 m</w:t>
      </w:r>
      <w:r w:rsidRPr="009D6D3A">
        <w:rPr>
          <w:vertAlign w:val="superscript"/>
          <w:lang w:val="fr-FR"/>
        </w:rPr>
        <w:noBreakHyphen/>
        <w:t>1</w:t>
      </w:r>
      <w:r w:rsidRPr="009D6D3A">
        <w:rPr>
          <w:lang w:val="fr-FR"/>
        </w:rPr>
        <w:t>.</w:t>
      </w:r>
      <w:r>
        <w:rPr>
          <w:lang w:val="fr-FR"/>
        </w:rPr>
        <w:t>) ».</w:t>
      </w:r>
    </w:p>
    <w:p w14:paraId="18C4485A" w14:textId="6E343107" w:rsidR="005F4368" w:rsidRPr="005F4368" w:rsidRDefault="005F4368" w:rsidP="005F4368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5F4368" w:rsidRPr="005F4368" w:rsidSect="00253B30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589E" w14:textId="77777777" w:rsidR="000D4D01" w:rsidRDefault="000D4D01" w:rsidP="00F95C08">
      <w:pPr>
        <w:spacing w:line="240" w:lineRule="auto"/>
      </w:pPr>
    </w:p>
  </w:endnote>
  <w:endnote w:type="continuationSeparator" w:id="0">
    <w:p w14:paraId="67C4EB83" w14:textId="77777777" w:rsidR="000D4D01" w:rsidRPr="00AC3823" w:rsidRDefault="000D4D01" w:rsidP="00AC3823">
      <w:pPr>
        <w:pStyle w:val="Pieddepage"/>
      </w:pPr>
    </w:p>
  </w:endnote>
  <w:endnote w:type="continuationNotice" w:id="1">
    <w:p w14:paraId="7E0FDD07" w14:textId="77777777" w:rsidR="000D4D01" w:rsidRDefault="000D4D0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17D4" w14:textId="208B1923" w:rsidR="00253B30" w:rsidRPr="00253B30" w:rsidRDefault="00253B30" w:rsidP="00253B30">
    <w:pPr>
      <w:pStyle w:val="Pieddepage"/>
      <w:tabs>
        <w:tab w:val="right" w:pos="9638"/>
      </w:tabs>
    </w:pPr>
    <w:r w:rsidRPr="00253B30">
      <w:rPr>
        <w:b/>
        <w:sz w:val="18"/>
      </w:rPr>
      <w:fldChar w:fldCharType="begin"/>
    </w:r>
    <w:r w:rsidRPr="00253B30">
      <w:rPr>
        <w:b/>
        <w:sz w:val="18"/>
      </w:rPr>
      <w:instrText xml:space="preserve"> PAGE  \* MERGEFORMAT </w:instrText>
    </w:r>
    <w:r w:rsidRPr="00253B30">
      <w:rPr>
        <w:b/>
        <w:sz w:val="18"/>
      </w:rPr>
      <w:fldChar w:fldCharType="separate"/>
    </w:r>
    <w:r w:rsidRPr="00253B30">
      <w:rPr>
        <w:b/>
        <w:noProof/>
        <w:sz w:val="18"/>
      </w:rPr>
      <w:t>2</w:t>
    </w:r>
    <w:r w:rsidRPr="00253B30">
      <w:rPr>
        <w:b/>
        <w:sz w:val="18"/>
      </w:rPr>
      <w:fldChar w:fldCharType="end"/>
    </w:r>
    <w:r>
      <w:rPr>
        <w:b/>
        <w:sz w:val="18"/>
      </w:rPr>
      <w:tab/>
    </w:r>
    <w:r>
      <w:t>GE.23-06505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7FFC" w14:textId="4FB069BD" w:rsidR="00253B30" w:rsidRPr="00253B30" w:rsidRDefault="00253B30" w:rsidP="00253B30">
    <w:pPr>
      <w:pStyle w:val="Pieddepage"/>
      <w:tabs>
        <w:tab w:val="right" w:pos="9638"/>
      </w:tabs>
      <w:rPr>
        <w:b/>
        <w:sz w:val="18"/>
      </w:rPr>
    </w:pPr>
    <w:r>
      <w:t>GE.23-06505</w:t>
    </w:r>
    <w:r>
      <w:tab/>
    </w:r>
    <w:r w:rsidRPr="00253B30">
      <w:rPr>
        <w:b/>
        <w:sz w:val="18"/>
      </w:rPr>
      <w:fldChar w:fldCharType="begin"/>
    </w:r>
    <w:r w:rsidRPr="00253B30">
      <w:rPr>
        <w:b/>
        <w:sz w:val="18"/>
      </w:rPr>
      <w:instrText xml:space="preserve"> PAGE  \* MERGEFORMAT </w:instrText>
    </w:r>
    <w:r w:rsidRPr="00253B30">
      <w:rPr>
        <w:b/>
        <w:sz w:val="18"/>
      </w:rPr>
      <w:fldChar w:fldCharType="separate"/>
    </w:r>
    <w:r w:rsidRPr="00253B30">
      <w:rPr>
        <w:b/>
        <w:noProof/>
        <w:sz w:val="18"/>
      </w:rPr>
      <w:t>3</w:t>
    </w:r>
    <w:r w:rsidRPr="00253B3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C82D" w14:textId="123B94D9" w:rsidR="007F20FA" w:rsidRPr="00253B30" w:rsidRDefault="00253B30" w:rsidP="00253B3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0D94C88" wp14:editId="5541A5C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23-06505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90A0258" wp14:editId="100736C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67870052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40C">
      <w:rPr>
        <w:sz w:val="20"/>
      </w:rPr>
      <w:t xml:space="preserve">    190423    190423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66A1" w14:textId="77777777" w:rsidR="000D4D01" w:rsidRPr="00AC3823" w:rsidRDefault="000D4D0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30554E" w14:textId="77777777" w:rsidR="000D4D01" w:rsidRPr="00AC3823" w:rsidRDefault="000D4D0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8221B0C" w14:textId="77777777" w:rsidR="000D4D01" w:rsidRPr="00AC3823" w:rsidRDefault="000D4D01">
      <w:pPr>
        <w:spacing w:line="240" w:lineRule="auto"/>
        <w:rPr>
          <w:sz w:val="2"/>
          <w:szCs w:val="2"/>
        </w:rPr>
      </w:pPr>
    </w:p>
  </w:footnote>
  <w:footnote w:id="2">
    <w:p w14:paraId="5050999A" w14:textId="087E5AEE" w:rsidR="00253B30" w:rsidRDefault="00253B30" w:rsidP="00253B30">
      <w:pPr>
        <w:pStyle w:val="Notedebasdepage"/>
        <w:rPr>
          <w:lang w:val="fr-FR"/>
        </w:rPr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2023 tel qu’il figure dans le projet de budget-programme pour 2023 (A/77/6 (Sect.</w:t>
      </w:r>
      <w:r w:rsidR="00EB640C">
        <w:rPr>
          <w:lang w:val="fr-FR"/>
        </w:rPr>
        <w:t> </w:t>
      </w:r>
      <w:r>
        <w:rPr>
          <w:lang w:val="fr-FR"/>
        </w:rPr>
        <w:t>20), par.</w:t>
      </w:r>
      <w:r w:rsidR="00EB640C">
        <w:rPr>
          <w:lang w:val="fr-FR"/>
        </w:rPr>
        <w:t> </w:t>
      </w:r>
      <w:r>
        <w:rPr>
          <w:lang w:val="fr-FR"/>
        </w:rPr>
        <w:t>20.6),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72731CF9" w14:textId="77777777" w:rsidR="00EB640C" w:rsidRPr="003A6782" w:rsidRDefault="00EB640C" w:rsidP="00253B30">
      <w:pPr>
        <w:pStyle w:val="Notedebasdepage"/>
      </w:pPr>
    </w:p>
  </w:footnote>
  <w:footnote w:id="3">
    <w:p w14:paraId="3F2190B9" w14:textId="77777777" w:rsidR="00253B30" w:rsidRDefault="00253B30" w:rsidP="00253B30">
      <w:pPr>
        <w:pStyle w:val="Notedebasdepage"/>
      </w:pPr>
      <w:r>
        <w:tab/>
      </w:r>
      <w:r w:rsidRPr="000F7F89">
        <w:rPr>
          <w:vertAlign w:val="superscript"/>
        </w:rPr>
        <w:footnoteRef/>
      </w:r>
      <w:r>
        <w:tab/>
        <w:t>Ce numéro n’est donné qu’à titre d’exemple.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3F55" w14:textId="11F0C513" w:rsidR="00253B30" w:rsidRPr="00253B30" w:rsidRDefault="00253B30">
    <w:pPr>
      <w:pStyle w:val="En-tte"/>
    </w:pPr>
    <w:fldSimple w:instr=" TITLE  \* MERGEFORMAT ">
      <w:r w:rsidR="00416FB8">
        <w:t>ECE/TRANS/WP.29/2023/66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8189" w14:textId="0FD151C0" w:rsidR="00253B30" w:rsidRPr="00253B30" w:rsidRDefault="00253B30" w:rsidP="00253B30">
    <w:pPr>
      <w:pStyle w:val="En-tte"/>
      <w:jc w:val="right"/>
    </w:pPr>
    <w:fldSimple w:instr=" TITLE  \* MERGEFORMAT ">
      <w:r w:rsidR="00416FB8">
        <w:t>ECE/TRANS/WP.29/2023/66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36532513">
    <w:abstractNumId w:val="12"/>
  </w:num>
  <w:num w:numId="2" w16cid:durableId="1018577790">
    <w:abstractNumId w:val="11"/>
  </w:num>
  <w:num w:numId="3" w16cid:durableId="275213815">
    <w:abstractNumId w:val="10"/>
  </w:num>
  <w:num w:numId="4" w16cid:durableId="1162741199">
    <w:abstractNumId w:val="8"/>
  </w:num>
  <w:num w:numId="5" w16cid:durableId="1955670547">
    <w:abstractNumId w:val="3"/>
  </w:num>
  <w:num w:numId="6" w16cid:durableId="1190145275">
    <w:abstractNumId w:val="2"/>
  </w:num>
  <w:num w:numId="7" w16cid:durableId="1606377531">
    <w:abstractNumId w:val="1"/>
  </w:num>
  <w:num w:numId="8" w16cid:durableId="1324896953">
    <w:abstractNumId w:val="0"/>
  </w:num>
  <w:num w:numId="9" w16cid:durableId="2053377881">
    <w:abstractNumId w:val="9"/>
  </w:num>
  <w:num w:numId="10" w16cid:durableId="1865092052">
    <w:abstractNumId w:val="7"/>
  </w:num>
  <w:num w:numId="11" w16cid:durableId="1666741627">
    <w:abstractNumId w:val="6"/>
  </w:num>
  <w:num w:numId="12" w16cid:durableId="189993293">
    <w:abstractNumId w:val="5"/>
  </w:num>
  <w:num w:numId="13" w16cid:durableId="800268202">
    <w:abstractNumId w:val="4"/>
  </w:num>
  <w:num w:numId="14" w16cid:durableId="1415394299">
    <w:abstractNumId w:val="12"/>
  </w:num>
  <w:num w:numId="15" w16cid:durableId="327057149">
    <w:abstractNumId w:val="11"/>
  </w:num>
  <w:num w:numId="16" w16cid:durableId="4856275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1"/>
    <w:rsid w:val="00017F94"/>
    <w:rsid w:val="00023842"/>
    <w:rsid w:val="000334F9"/>
    <w:rsid w:val="00045FEB"/>
    <w:rsid w:val="0007796D"/>
    <w:rsid w:val="000B7790"/>
    <w:rsid w:val="000D4D01"/>
    <w:rsid w:val="00111F2F"/>
    <w:rsid w:val="00130AA1"/>
    <w:rsid w:val="0014365E"/>
    <w:rsid w:val="00143C66"/>
    <w:rsid w:val="00176178"/>
    <w:rsid w:val="001F525A"/>
    <w:rsid w:val="00201148"/>
    <w:rsid w:val="00223272"/>
    <w:rsid w:val="0024779E"/>
    <w:rsid w:val="00253B30"/>
    <w:rsid w:val="00257168"/>
    <w:rsid w:val="002744B8"/>
    <w:rsid w:val="002832AC"/>
    <w:rsid w:val="002D7C93"/>
    <w:rsid w:val="00305801"/>
    <w:rsid w:val="003916DE"/>
    <w:rsid w:val="00416FB8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F4368"/>
    <w:rsid w:val="006D02EE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B640C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FA539"/>
  <w15:docId w15:val="{08C4F36A-8B57-407C-81A2-21C454A4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-E Fußnotentext Car,footnote text Car,Fußnotentext Ursprung Car,Footnote Text Char Char Car,Footnote Text Char Char Char Char Car,Footnote Text1 Car,Footnote Text Char Char Char Car,Fußnotentext Char1 Car"/>
    <w:basedOn w:val="Policepardfaut"/>
    <w:link w:val="Notedebasdepage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53B3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253B30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qFormat/>
    <w:rsid w:val="00253B30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901</Words>
  <Characters>4889</Characters>
  <Application>Microsoft Office Word</Application>
  <DocSecurity>0</DocSecurity>
  <Lines>113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ECE/TRANS/WP.29/2023/66</vt:lpstr>
    </vt:vector>
  </TitlesOfParts>
  <Company>DCM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ECE/TRANS/WP.29/2023/66</dc:title>
  <dc:subject/>
  <dc:creator>Christine CHAUTAGNAT</dc:creator>
  <cp:keywords/>
  <cp:lastModifiedBy>Christine Chautagnat</cp:lastModifiedBy>
  <cp:revision>3</cp:revision>
  <cp:lastPrinted>2023-04-19T11:49:00Z</cp:lastPrinted>
  <dcterms:created xsi:type="dcterms:W3CDTF">2023-04-19T11:49:00Z</dcterms:created>
  <dcterms:modified xsi:type="dcterms:W3CDTF">2023-04-19T11:50:00Z</dcterms:modified>
</cp:coreProperties>
</file>