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6A18A5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E55ED6" w14:textId="77777777" w:rsidR="00F35BAF" w:rsidRPr="00DB58B5" w:rsidRDefault="00F35BAF" w:rsidP="004950F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742E0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17A1A8" w14:textId="03461B29" w:rsidR="00F35BAF" w:rsidRPr="00DB58B5" w:rsidRDefault="004950F1" w:rsidP="004950F1">
            <w:pPr>
              <w:jc w:val="right"/>
            </w:pPr>
            <w:r w:rsidRPr="004950F1">
              <w:rPr>
                <w:sz w:val="40"/>
              </w:rPr>
              <w:t>ECE</w:t>
            </w:r>
            <w:r>
              <w:t>/TRANS/WP.29/2023/65</w:t>
            </w:r>
          </w:p>
        </w:tc>
      </w:tr>
      <w:tr w:rsidR="00F35BAF" w:rsidRPr="00DB58B5" w14:paraId="73A80AA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44088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36D90CE" wp14:editId="0D58F7A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094C8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307A78" w14:textId="77777777" w:rsidR="00F35BAF" w:rsidRDefault="004950F1" w:rsidP="00C97039">
            <w:pPr>
              <w:spacing w:before="240"/>
            </w:pPr>
            <w:r>
              <w:t>Distr. générale</w:t>
            </w:r>
          </w:p>
          <w:p w14:paraId="30469205" w14:textId="77777777" w:rsidR="004950F1" w:rsidRDefault="004950F1" w:rsidP="004950F1">
            <w:pPr>
              <w:spacing w:line="240" w:lineRule="exact"/>
            </w:pPr>
            <w:r>
              <w:t>6 avril 2023</w:t>
            </w:r>
          </w:p>
          <w:p w14:paraId="56F67C9B" w14:textId="77777777" w:rsidR="004950F1" w:rsidRDefault="004950F1" w:rsidP="004950F1">
            <w:pPr>
              <w:spacing w:line="240" w:lineRule="exact"/>
            </w:pPr>
            <w:r>
              <w:t>Français</w:t>
            </w:r>
          </w:p>
          <w:p w14:paraId="46CAF865" w14:textId="50547727" w:rsidR="004950F1" w:rsidRPr="00DB58B5" w:rsidRDefault="004950F1" w:rsidP="004950F1">
            <w:pPr>
              <w:spacing w:line="240" w:lineRule="exact"/>
            </w:pPr>
            <w:r>
              <w:t>Original</w:t>
            </w:r>
            <w:r w:rsidR="00206083">
              <w:t> :</w:t>
            </w:r>
            <w:r>
              <w:t xml:space="preserve"> anglais</w:t>
            </w:r>
          </w:p>
        </w:tc>
      </w:tr>
    </w:tbl>
    <w:p w14:paraId="10AD082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91E7A3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70917C" w14:textId="77777777" w:rsidR="00206083" w:rsidRPr="002E7AA8" w:rsidRDefault="00206083" w:rsidP="00206083">
      <w:pPr>
        <w:spacing w:before="120"/>
        <w:rPr>
          <w:b/>
          <w:sz w:val="24"/>
          <w:szCs w:val="24"/>
          <w:lang w:val="fr-FR"/>
        </w:rPr>
      </w:pPr>
      <w:r w:rsidRPr="002E7AA8">
        <w:rPr>
          <w:b/>
          <w:sz w:val="24"/>
          <w:szCs w:val="24"/>
          <w:lang w:val="fr-FR"/>
        </w:rPr>
        <w:t>Forum mondial de l’harmonisation</w:t>
      </w:r>
      <w:r w:rsidRPr="002E7AA8">
        <w:rPr>
          <w:b/>
          <w:sz w:val="24"/>
          <w:szCs w:val="24"/>
          <w:lang w:val="fr-FR"/>
        </w:rPr>
        <w:br/>
        <w:t>des Règlements concernant les véhicules</w:t>
      </w:r>
    </w:p>
    <w:p w14:paraId="738A136B" w14:textId="77777777" w:rsidR="00206083" w:rsidRPr="002E7AA8" w:rsidRDefault="00206083" w:rsidP="00206083">
      <w:pPr>
        <w:spacing w:before="120" w:line="240" w:lineRule="exact"/>
        <w:rPr>
          <w:b/>
          <w:lang w:val="fr-FR"/>
        </w:rPr>
      </w:pPr>
      <w:r w:rsidRPr="002E7AA8">
        <w:rPr>
          <w:b/>
          <w:bCs/>
          <w:lang w:val="fr-FR"/>
        </w:rPr>
        <w:t>190</w:t>
      </w:r>
      <w:r w:rsidRPr="002E7AA8">
        <w:rPr>
          <w:b/>
          <w:bCs/>
          <w:vertAlign w:val="superscript"/>
          <w:lang w:val="fr-FR"/>
        </w:rPr>
        <w:t>e</w:t>
      </w:r>
      <w:r w:rsidRPr="002E7AA8">
        <w:rPr>
          <w:b/>
          <w:lang w:val="fr-FR"/>
        </w:rPr>
        <w:t xml:space="preserve"> session</w:t>
      </w:r>
    </w:p>
    <w:p w14:paraId="1317D3C1" w14:textId="77777777" w:rsidR="00206083" w:rsidRPr="002E7AA8" w:rsidRDefault="00206083" w:rsidP="00206083">
      <w:pPr>
        <w:rPr>
          <w:lang w:val="fr-FR"/>
        </w:rPr>
      </w:pPr>
      <w:r w:rsidRPr="002E7AA8">
        <w:rPr>
          <w:lang w:val="fr-FR"/>
        </w:rPr>
        <w:t>Genève, 20-22 juin 2023</w:t>
      </w:r>
    </w:p>
    <w:p w14:paraId="14234B8A" w14:textId="77777777" w:rsidR="00206083" w:rsidRPr="002E7AA8" w:rsidRDefault="00206083" w:rsidP="00206083">
      <w:pPr>
        <w:rPr>
          <w:lang w:val="fr-FR"/>
        </w:rPr>
      </w:pPr>
      <w:r w:rsidRPr="002E7AA8">
        <w:rPr>
          <w:lang w:val="fr-FR"/>
        </w:rPr>
        <w:t>Point 4.7.9 de l’ordre du jour provisoire</w:t>
      </w:r>
    </w:p>
    <w:p w14:paraId="3C74C137" w14:textId="349F5A36" w:rsidR="00206083" w:rsidRPr="002E7AA8" w:rsidRDefault="00206083" w:rsidP="00206083">
      <w:pPr>
        <w:rPr>
          <w:b/>
          <w:bCs/>
          <w:lang w:val="fr-FR"/>
        </w:rPr>
      </w:pPr>
      <w:r w:rsidRPr="002E7AA8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:</w:t>
      </w:r>
      <w:r w:rsidR="00212DB7">
        <w:rPr>
          <w:b/>
          <w:bCs/>
          <w:lang w:val="fr-FR"/>
        </w:rPr>
        <w:br/>
      </w:r>
      <w:r w:rsidRPr="002E7AA8">
        <w:rPr>
          <w:b/>
          <w:bCs/>
          <w:lang w:val="fr-FR"/>
        </w:rPr>
        <w:t xml:space="preserve">Examen de projets d’amendements à des Règlements ONU existants, </w:t>
      </w:r>
      <w:r>
        <w:rPr>
          <w:b/>
          <w:bCs/>
          <w:lang w:val="fr-FR"/>
        </w:rPr>
        <w:br/>
      </w:r>
      <w:r w:rsidRPr="002E7AA8">
        <w:rPr>
          <w:b/>
          <w:bCs/>
          <w:lang w:val="fr-FR"/>
        </w:rPr>
        <w:t>soumis par le GRPE</w:t>
      </w:r>
    </w:p>
    <w:p w14:paraId="662541EE" w14:textId="1EEA5D26" w:rsidR="00206083" w:rsidRPr="00206083" w:rsidRDefault="00206083" w:rsidP="00206083">
      <w:pPr>
        <w:pStyle w:val="HChG"/>
      </w:pPr>
      <w:r w:rsidRPr="002E7AA8">
        <w:rPr>
          <w:lang w:val="fr-FR"/>
        </w:rPr>
        <w:tab/>
      </w:r>
      <w:r w:rsidRPr="002E7AA8">
        <w:rPr>
          <w:lang w:val="fr-FR"/>
        </w:rPr>
        <w:tab/>
        <w:t>Proposition de complément 12 à la série 01 d’amendements au Règlement ONU n</w:t>
      </w:r>
      <w:r w:rsidRPr="002E7AA8">
        <w:rPr>
          <w:vertAlign w:val="superscript"/>
          <w:lang w:val="fr-FR"/>
        </w:rPr>
        <w:t>o</w:t>
      </w:r>
      <w:r w:rsidRPr="002E7AA8">
        <w:rPr>
          <w:lang w:val="fr-FR"/>
        </w:rPr>
        <w:t> 101 (Émissions de CO</w:t>
      </w:r>
      <w:r w:rsidRPr="002E7AA8">
        <w:rPr>
          <w:vertAlign w:val="subscript"/>
          <w:lang w:val="fr-FR"/>
        </w:rPr>
        <w:t>2</w:t>
      </w:r>
      <w:r w:rsidRPr="002E7AA8">
        <w:rPr>
          <w:lang w:val="fr-FR"/>
        </w:rPr>
        <w:t>/consommation de carburant)</w:t>
      </w:r>
    </w:p>
    <w:p w14:paraId="3E5F3754" w14:textId="77777777" w:rsidR="00206083" w:rsidRPr="00206083" w:rsidRDefault="00206083" w:rsidP="00206083">
      <w:pPr>
        <w:pStyle w:val="H1G"/>
      </w:pPr>
      <w:r w:rsidRPr="002E7AA8">
        <w:rPr>
          <w:lang w:val="fr-FR"/>
        </w:rPr>
        <w:tab/>
      </w:r>
      <w:r w:rsidRPr="002E7AA8">
        <w:rPr>
          <w:lang w:val="fr-FR"/>
        </w:rPr>
        <w:tab/>
        <w:t>Communication du Groupe de travail de la pollution et de l’énergie</w:t>
      </w:r>
      <w:r w:rsidRPr="00206083">
        <w:rPr>
          <w:b w:val="0"/>
          <w:bCs/>
          <w:sz w:val="20"/>
          <w:lang w:val="fr-FR"/>
        </w:rPr>
        <w:footnoteReference w:customMarkFollows="1" w:id="2"/>
        <w:t>*</w:t>
      </w:r>
    </w:p>
    <w:p w14:paraId="65DA729F" w14:textId="5C23CBCA" w:rsidR="00206083" w:rsidRPr="00206083" w:rsidRDefault="00206083" w:rsidP="00206083">
      <w:pPr>
        <w:pStyle w:val="SingleTxtG"/>
        <w:ind w:firstLine="567"/>
        <w:rPr>
          <w:bCs/>
          <w:spacing w:val="-1"/>
          <w:lang w:val="fr-FR"/>
        </w:rPr>
      </w:pPr>
      <w:bookmarkStart w:id="0" w:name="_Hlk80714824"/>
      <w:r w:rsidRPr="00206083">
        <w:rPr>
          <w:spacing w:val="-1"/>
          <w:lang w:val="fr-FR"/>
        </w:rPr>
        <w:t>Le texte ci-après, adopté par le Groupe de travail de la pollution et de l’énergie (GRPE) à sa quatre-vingt-septième session (ECE/TRANS/WP.29/GRPE/87, par.</w:t>
      </w:r>
      <w:r w:rsidR="00212DB7">
        <w:rPr>
          <w:spacing w:val="-1"/>
          <w:lang w:val="fr-FR"/>
        </w:rPr>
        <w:t> </w:t>
      </w:r>
      <w:r w:rsidRPr="00206083">
        <w:rPr>
          <w:spacing w:val="-1"/>
          <w:lang w:val="fr-FR"/>
        </w:rPr>
        <w:t xml:space="preserve">19), est fondé sur les documents </w:t>
      </w:r>
      <w:r w:rsidRPr="00206083">
        <w:rPr>
          <w:bCs/>
          <w:spacing w:val="-1"/>
          <w:lang w:val="fr-FR"/>
        </w:rPr>
        <w:t>ECE/TRANS/WP.29/GRPE/2023/11, ECE/TRANS/WP.29/GRPE/2023/13 et GRPE-87-07-Rev.1, tels que modifiés par l’annexe VII</w:t>
      </w:r>
      <w:r w:rsidRPr="00206083">
        <w:rPr>
          <w:spacing w:val="-1"/>
          <w:lang w:val="fr-FR" w:eastAsia="en-GB"/>
        </w:rPr>
        <w:t xml:space="preserve"> du rapport.</w:t>
      </w:r>
      <w:r w:rsidRPr="00206083">
        <w:rPr>
          <w:spacing w:val="-1"/>
          <w:lang w:val="fr-FR"/>
        </w:rPr>
        <w:t xml:space="preserve"> Il est soumis au Forum mondial de l’harmonisation des Règlements concernant les véhicules (WP.29) et au Comité d’administration de l’Accord de 1958 (AC.1) pour examen à leurs sessions de juin 2023.</w:t>
      </w:r>
      <w:bookmarkEnd w:id="0"/>
    </w:p>
    <w:p w14:paraId="086C2731" w14:textId="77777777" w:rsidR="00206083" w:rsidRPr="002E7AA8" w:rsidRDefault="00206083" w:rsidP="00206083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 w:rsidRPr="002E7AA8">
        <w:rPr>
          <w:lang w:val="fr-FR"/>
        </w:rPr>
        <w:br w:type="page"/>
      </w:r>
    </w:p>
    <w:p w14:paraId="382825B8" w14:textId="33EB74CA" w:rsidR="00206083" w:rsidRPr="002E7AA8" w:rsidRDefault="00206083" w:rsidP="00206083">
      <w:pPr>
        <w:pStyle w:val="SingleTxtG"/>
        <w:keepNext/>
        <w:rPr>
          <w:i/>
          <w:iCs/>
          <w:lang w:val="fr-FR"/>
        </w:rPr>
      </w:pPr>
      <w:r w:rsidRPr="002E7AA8">
        <w:rPr>
          <w:i/>
          <w:iCs/>
          <w:lang w:val="fr-FR"/>
        </w:rPr>
        <w:lastRenderedPageBreak/>
        <w:t>Paragraphe 5.1.2</w:t>
      </w:r>
      <w:r w:rsidRPr="002E7AA8">
        <w:rPr>
          <w:lang w:val="fr-FR"/>
        </w:rPr>
        <w:t>, lire</w:t>
      </w:r>
      <w:r>
        <w:rPr>
          <w:lang w:val="fr-FR"/>
        </w:rPr>
        <w:t> :</w:t>
      </w:r>
    </w:p>
    <w:p w14:paraId="4CA92BC8" w14:textId="4A48EFBD" w:rsidR="00206083" w:rsidRPr="002E7AA8" w:rsidRDefault="00206083" w:rsidP="00206083">
      <w:pPr>
        <w:pStyle w:val="SingleTxtG"/>
        <w:keepNext/>
        <w:ind w:left="2268" w:hanging="1134"/>
        <w:rPr>
          <w:rFonts w:eastAsia="MS Mincho"/>
          <w:lang w:val="fr-FR"/>
        </w:rPr>
      </w:pPr>
      <w:r w:rsidRPr="002E7AA8">
        <w:rPr>
          <w:lang w:val="fr-FR"/>
        </w:rPr>
        <w:t>« 5.1.2</w:t>
      </w:r>
      <w:r>
        <w:rPr>
          <w:lang w:val="fr-FR"/>
        </w:rPr>
        <w:tab/>
      </w:r>
      <w:r w:rsidRPr="002E7AA8">
        <w:rPr>
          <w:lang w:val="fr-FR"/>
        </w:rPr>
        <w:t>Le véhicule soumis aux essais doit être équipé du système de feux de circulation diurne qui a la plus grande consommation d’énergie électrique parmi ceux qui sont installés par le constructeur sur les véhicules du groupe représenté par le véhicule faisant l’objet d’une homologation de type. À cet égard, le constructeur doit fournir la documentation technique appropriée aux autorités d’homologation de type.</w:t>
      </w:r>
    </w:p>
    <w:p w14:paraId="1101862E" w14:textId="77777777" w:rsidR="00206083" w:rsidRPr="002E7AA8" w:rsidRDefault="00206083" w:rsidP="00206083">
      <w:pPr>
        <w:pStyle w:val="SingleTxtG"/>
        <w:ind w:left="2268"/>
        <w:rPr>
          <w:rFonts w:eastAsia="MS Mincho"/>
          <w:lang w:val="fr-FR"/>
        </w:rPr>
      </w:pPr>
      <w:r w:rsidRPr="002E7AA8">
        <w:rPr>
          <w:lang w:val="fr-FR"/>
        </w:rPr>
        <w:t>Les feux de circulation diurne tels que définis au paragraphe 2 du Règlement ONU n</w:t>
      </w:r>
      <w:r w:rsidRPr="002E7AA8">
        <w:rPr>
          <w:vertAlign w:val="superscript"/>
          <w:lang w:val="fr-FR"/>
        </w:rPr>
        <w:t>o</w:t>
      </w:r>
      <w:r w:rsidRPr="002E7AA8">
        <w:rPr>
          <w:lang w:val="fr-FR"/>
        </w:rPr>
        <w:t> 48 doivent être allumés durant le cycle d’essai. ».</w:t>
      </w:r>
    </w:p>
    <w:p w14:paraId="0285431E" w14:textId="02D36ACA" w:rsidR="00206083" w:rsidRPr="002E7AA8" w:rsidRDefault="00206083" w:rsidP="00206083">
      <w:pPr>
        <w:pStyle w:val="SingleTxtG"/>
        <w:keepNext/>
        <w:rPr>
          <w:lang w:val="fr-FR"/>
        </w:rPr>
      </w:pPr>
      <w:r w:rsidRPr="002E7AA8">
        <w:rPr>
          <w:i/>
          <w:iCs/>
          <w:lang w:val="fr-FR"/>
        </w:rPr>
        <w:t>Ajouter le nouveau paragraphe 5.1.2.1</w:t>
      </w:r>
      <w:r w:rsidRPr="002E7AA8">
        <w:rPr>
          <w:lang w:val="fr-FR"/>
        </w:rPr>
        <w:t>, libellé comme suit</w:t>
      </w:r>
      <w:r>
        <w:rPr>
          <w:lang w:val="fr-FR"/>
        </w:rPr>
        <w:t> :</w:t>
      </w:r>
    </w:p>
    <w:p w14:paraId="4D6C9669" w14:textId="1100726F" w:rsidR="00206083" w:rsidRPr="002E7AA8" w:rsidRDefault="00206083" w:rsidP="00206083">
      <w:pPr>
        <w:spacing w:after="120"/>
        <w:ind w:left="2268" w:right="1134" w:hanging="1134"/>
        <w:jc w:val="both"/>
        <w:rPr>
          <w:lang w:val="fr-FR"/>
        </w:rPr>
      </w:pPr>
      <w:r w:rsidRPr="002E7AA8">
        <w:rPr>
          <w:lang w:val="fr-FR"/>
        </w:rPr>
        <w:t>«</w:t>
      </w:r>
      <w:r w:rsidRPr="002E7AA8">
        <w:rPr>
          <w:b/>
          <w:bCs/>
          <w:lang w:val="fr-FR"/>
        </w:rPr>
        <w:t> </w:t>
      </w:r>
      <w:r w:rsidRPr="002E7AA8">
        <w:rPr>
          <w:lang w:val="fr-FR"/>
        </w:rPr>
        <w:t>5.1.2.1</w:t>
      </w:r>
      <w:r w:rsidRPr="002E7AA8">
        <w:rPr>
          <w:lang w:val="fr-FR"/>
        </w:rPr>
        <w:tab/>
        <w:t>Pour les essais menés conformément au présent Règlement, effectués après le [xx-xx-20xx</w:t>
      </w:r>
      <w:r w:rsidRPr="002E7AA8">
        <w:rPr>
          <w:rStyle w:val="Appelnotedebasdep"/>
          <w:lang w:val="fr-FR"/>
        </w:rPr>
        <w:footnoteReference w:id="3"/>
      </w:r>
      <w:r w:rsidRPr="002E7AA8">
        <w:rPr>
          <w:lang w:val="fr-FR"/>
        </w:rPr>
        <w:t>], les feux de position arrière doivent être réglés selon les prescriptions applicables à une luminosité ambiante supérieure à 7</w:t>
      </w:r>
      <w:r>
        <w:rPr>
          <w:lang w:val="fr-FR"/>
        </w:rPr>
        <w:t> </w:t>
      </w:r>
      <w:r w:rsidRPr="002E7AA8">
        <w:rPr>
          <w:lang w:val="fr-FR"/>
        </w:rPr>
        <w:t>000 lux (dans le mode banc à rouleaux du véhicule, par exemple).</w:t>
      </w:r>
      <w:r w:rsidRPr="002E7AA8">
        <w:rPr>
          <w:b/>
          <w:bCs/>
          <w:lang w:val="fr-FR"/>
        </w:rPr>
        <w:t> </w:t>
      </w:r>
      <w:r w:rsidRPr="002E7AA8">
        <w:rPr>
          <w:lang w:val="fr-FR"/>
        </w:rPr>
        <w:t>».</w:t>
      </w:r>
    </w:p>
    <w:p w14:paraId="59D3230C" w14:textId="40583EE3" w:rsidR="00206083" w:rsidRPr="002E7AA8" w:rsidRDefault="00206083" w:rsidP="00206083">
      <w:pPr>
        <w:keepNext/>
        <w:spacing w:after="120"/>
        <w:ind w:left="2268" w:right="1134" w:hanging="1134"/>
        <w:jc w:val="both"/>
        <w:rPr>
          <w:lang w:val="fr-FR"/>
        </w:rPr>
      </w:pPr>
      <w:r w:rsidRPr="002E7AA8">
        <w:rPr>
          <w:i/>
          <w:iCs/>
          <w:lang w:val="fr-FR"/>
        </w:rPr>
        <w:t>Ajouter le nouveau 13.6</w:t>
      </w:r>
      <w:r w:rsidRPr="002E7AA8">
        <w:rPr>
          <w:lang w:val="fr-FR"/>
        </w:rPr>
        <w:t>, libellé comme suit</w:t>
      </w:r>
      <w:r>
        <w:rPr>
          <w:lang w:val="fr-FR"/>
        </w:rPr>
        <w:t> :</w:t>
      </w:r>
    </w:p>
    <w:p w14:paraId="13F4593B" w14:textId="28150AB8" w:rsidR="00206083" w:rsidRPr="002E7AA8" w:rsidRDefault="00206083" w:rsidP="00206083">
      <w:pPr>
        <w:pStyle w:val="SingleTxtG"/>
        <w:ind w:left="2268" w:hanging="1134"/>
        <w:rPr>
          <w:lang w:val="fr-FR"/>
        </w:rPr>
      </w:pPr>
      <w:r w:rsidRPr="002E7AA8">
        <w:rPr>
          <w:lang w:val="fr-FR"/>
        </w:rPr>
        <w:t>« 13.6</w:t>
      </w:r>
      <w:r w:rsidRPr="002E7AA8">
        <w:rPr>
          <w:lang w:val="fr-FR"/>
        </w:rPr>
        <w:tab/>
        <w:t>Jusqu’au 1</w:t>
      </w:r>
      <w:r w:rsidRPr="002E7AA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2E7AA8">
        <w:rPr>
          <w:lang w:val="fr-FR"/>
        </w:rPr>
        <w:t>septembre 2024, les Parties contractantes appliquant le présent Règlement peuvent continuer à accorder des extensions d’homologation de type en vertu de la série 01 d’amendements audit Règlement, en se fondant sur les procédures d’essai décrites au paragraphe 4.2.2.1 de l’annexe 8 dudit Règlement s’agissant de la décharge du dispositif de stockage de l’énergie électrique ou autre, sans tenir compte des dispositions du complément 12. ».</w:t>
      </w:r>
    </w:p>
    <w:p w14:paraId="200FE60E" w14:textId="5BA32B32" w:rsidR="00206083" w:rsidRPr="002E7AA8" w:rsidRDefault="00206083" w:rsidP="00206083">
      <w:pPr>
        <w:pStyle w:val="SingleTxtG"/>
        <w:keepNext/>
        <w:ind w:left="2268" w:hanging="1134"/>
        <w:rPr>
          <w:lang w:val="fr-FR"/>
        </w:rPr>
      </w:pPr>
      <w:r w:rsidRPr="002E7AA8">
        <w:rPr>
          <w:i/>
          <w:iCs/>
          <w:lang w:val="fr-FR"/>
        </w:rPr>
        <w:t>Annexe 1, ajouter le nouveau paragraphe 1.6</w:t>
      </w:r>
      <w:r w:rsidRPr="002E7AA8">
        <w:rPr>
          <w:lang w:val="fr-FR"/>
        </w:rPr>
        <w:t>, libellé comme suit</w:t>
      </w:r>
      <w:r>
        <w:rPr>
          <w:lang w:val="fr-FR"/>
        </w:rPr>
        <w:t> :</w:t>
      </w:r>
    </w:p>
    <w:p w14:paraId="1CF974B7" w14:textId="701A09EE" w:rsidR="00206083" w:rsidRPr="002E7AA8" w:rsidRDefault="00206083" w:rsidP="00206083">
      <w:pPr>
        <w:pStyle w:val="SingleTxtG"/>
        <w:ind w:left="2268" w:hanging="1134"/>
        <w:rPr>
          <w:rFonts w:eastAsia="MS Mincho"/>
          <w:lang w:val="fr-FR"/>
        </w:rPr>
      </w:pPr>
      <w:r w:rsidRPr="002E7AA8">
        <w:rPr>
          <w:rFonts w:eastAsia="MS Mincho"/>
          <w:lang w:val="fr-FR"/>
        </w:rPr>
        <w:t>« Nom(s) et adresse(s) du ou des ateliers de montage</w:t>
      </w:r>
      <w:r>
        <w:rPr>
          <w:rFonts w:eastAsia="MS Mincho"/>
          <w:lang w:val="fr-FR"/>
        </w:rPr>
        <w:t> :</w:t>
      </w:r>
      <w:r w:rsidRPr="002E7AA8">
        <w:rPr>
          <w:rFonts w:eastAsia="MS Mincho"/>
          <w:lang w:val="fr-FR"/>
        </w:rPr>
        <w:t>… ».</w:t>
      </w:r>
    </w:p>
    <w:p w14:paraId="28FF4ADA" w14:textId="22593DAF" w:rsidR="00206083" w:rsidRPr="002E7AA8" w:rsidRDefault="00206083" w:rsidP="00206083">
      <w:pPr>
        <w:pStyle w:val="SingleTxtG"/>
        <w:keepNext/>
        <w:rPr>
          <w:i/>
          <w:iCs/>
          <w:lang w:val="fr-FR"/>
        </w:rPr>
      </w:pPr>
      <w:r w:rsidRPr="002E7AA8">
        <w:rPr>
          <w:i/>
          <w:iCs/>
          <w:lang w:val="fr-FR"/>
        </w:rPr>
        <w:t>Annexe 8, paragraphe 4.2.2.1</w:t>
      </w:r>
      <w:r w:rsidRPr="002E7AA8">
        <w:rPr>
          <w:lang w:val="fr-FR"/>
        </w:rPr>
        <w:t>, lire</w:t>
      </w:r>
      <w:r>
        <w:rPr>
          <w:lang w:val="fr-FR"/>
        </w:rPr>
        <w:t> :</w:t>
      </w:r>
    </w:p>
    <w:p w14:paraId="64E753C7" w14:textId="5599DE6C" w:rsidR="00206083" w:rsidRDefault="00206083" w:rsidP="00206083">
      <w:pPr>
        <w:pStyle w:val="SingleTxtG"/>
        <w:ind w:left="2268" w:hanging="1134"/>
        <w:rPr>
          <w:lang w:val="fr-FR"/>
        </w:rPr>
      </w:pPr>
      <w:r w:rsidRPr="002E7AA8">
        <w:rPr>
          <w:lang w:val="fr-FR"/>
        </w:rPr>
        <w:t>« 4.2.2.1</w:t>
      </w:r>
      <w:r w:rsidRPr="002E7AA8">
        <w:rPr>
          <w:lang w:val="fr-FR"/>
        </w:rPr>
        <w:tab/>
        <w:t xml:space="preserve">On décharge le dispositif de stockage de l’énergie électrique ou autre en effectuant un parcours avec le sélecteur en mode électrique pur (sur piste d’essai, sur banc à rouleaux, etc.) à une vitesse stabilisée de 70 </w:t>
      </w:r>
      <w:r>
        <w:rPr>
          <w:lang w:val="fr-FR"/>
        </w:rPr>
        <w:sym w:font="Symbol" w:char="F0B1"/>
      </w:r>
      <w:r w:rsidRPr="002E7AA8">
        <w:rPr>
          <w:lang w:val="fr-FR"/>
        </w:rPr>
        <w:t>5 % de la vitesse maximale sur 30</w:t>
      </w:r>
      <w:r w:rsidR="00BB196F">
        <w:rPr>
          <w:lang w:val="fr-FR"/>
        </w:rPr>
        <w:t> </w:t>
      </w:r>
      <w:r w:rsidRPr="002E7AA8">
        <w:rPr>
          <w:lang w:val="fr-FR"/>
        </w:rPr>
        <w:t>min du véhicule en mode électrique pur, à déterminer selon la procédure d’essai des véhicules électriques définie dans le Règlement</w:t>
      </w:r>
      <w:r>
        <w:rPr>
          <w:lang w:val="fr-FR"/>
        </w:rPr>
        <w:t xml:space="preserve"> </w:t>
      </w:r>
      <w:r w:rsidRPr="002E7AA8">
        <w:rPr>
          <w:lang w:val="fr-FR"/>
        </w:rPr>
        <w:t>n</w:t>
      </w:r>
      <w:r w:rsidRPr="002E7AA8">
        <w:rPr>
          <w:vertAlign w:val="superscript"/>
          <w:lang w:val="fr-FR"/>
        </w:rPr>
        <w:t>o</w:t>
      </w:r>
      <w:r w:rsidRPr="002E7AA8">
        <w:rPr>
          <w:lang w:val="fr-FR"/>
        </w:rPr>
        <w:t> 68.</w:t>
      </w:r>
    </w:p>
    <w:p w14:paraId="1985D72E" w14:textId="200FB924" w:rsidR="00206083" w:rsidRPr="002E7AA8" w:rsidRDefault="00206083" w:rsidP="00206083">
      <w:pPr>
        <w:pStyle w:val="SingleTxtG"/>
        <w:keepNext/>
        <w:ind w:left="2268"/>
        <w:rPr>
          <w:rFonts w:eastAsia="MS Mincho"/>
          <w:lang w:val="fr-FR"/>
        </w:rPr>
      </w:pPr>
      <w:r w:rsidRPr="002E7AA8">
        <w:rPr>
          <w:lang w:val="fr-FR"/>
        </w:rPr>
        <w:t>On arrête la décharge</w:t>
      </w:r>
      <w:r>
        <w:rPr>
          <w:lang w:val="fr-FR"/>
        </w:rPr>
        <w:t> :</w:t>
      </w:r>
    </w:p>
    <w:p w14:paraId="3E9CCA0A" w14:textId="45418931" w:rsidR="00206083" w:rsidRDefault="00206083" w:rsidP="00206083">
      <w:pPr>
        <w:pStyle w:val="SingleTxtG"/>
        <w:ind w:left="2835" w:hanging="567"/>
        <w:rPr>
          <w:lang w:val="fr-FR"/>
        </w:rPr>
      </w:pPr>
      <w:r w:rsidRPr="002E7AA8">
        <w:rPr>
          <w:lang w:val="fr-FR"/>
        </w:rPr>
        <w:t>a)</w:t>
      </w:r>
      <w:r w:rsidRPr="002E7AA8">
        <w:rPr>
          <w:lang w:val="fr-FR"/>
        </w:rPr>
        <w:tab/>
        <w:t>Lorsque le véhicule n’est plus en mesure de rouler à 65 % de sa vitesse maximale sur 30</w:t>
      </w:r>
      <w:r>
        <w:rPr>
          <w:lang w:val="fr-FR"/>
        </w:rPr>
        <w:t> </w:t>
      </w:r>
      <w:r w:rsidRPr="002E7AA8">
        <w:rPr>
          <w:lang w:val="fr-FR"/>
        </w:rPr>
        <w:t>min</w:t>
      </w:r>
      <w:r>
        <w:rPr>
          <w:lang w:val="fr-FR"/>
        </w:rPr>
        <w:t> ;</w:t>
      </w:r>
      <w:r w:rsidRPr="002E7AA8">
        <w:rPr>
          <w:lang w:val="fr-FR"/>
        </w:rPr>
        <w:t xml:space="preserve"> ou</w:t>
      </w:r>
    </w:p>
    <w:p w14:paraId="1FFFC2AB" w14:textId="40FFE84A" w:rsidR="00206083" w:rsidRDefault="00206083" w:rsidP="00206083">
      <w:pPr>
        <w:pStyle w:val="SingleTxtG"/>
        <w:ind w:left="2835" w:hanging="567"/>
        <w:rPr>
          <w:lang w:val="fr-FR"/>
        </w:rPr>
      </w:pPr>
      <w:r w:rsidRPr="002E7AA8">
        <w:rPr>
          <w:lang w:val="fr-FR"/>
        </w:rPr>
        <w:t>b)</w:t>
      </w:r>
      <w:r w:rsidRPr="002E7AA8">
        <w:rPr>
          <w:lang w:val="fr-FR"/>
        </w:rPr>
        <w:tab/>
        <w:t>Lorsque les instruments de bord de série indiquent que le véhicule doit être arrêté</w:t>
      </w:r>
      <w:r>
        <w:rPr>
          <w:lang w:val="fr-FR"/>
        </w:rPr>
        <w:t> ;</w:t>
      </w:r>
      <w:r w:rsidRPr="002E7AA8">
        <w:rPr>
          <w:lang w:val="fr-FR"/>
        </w:rPr>
        <w:t xml:space="preserve"> ou</w:t>
      </w:r>
    </w:p>
    <w:p w14:paraId="31DBD637" w14:textId="53BB1BF1" w:rsidR="00206083" w:rsidRPr="002E7AA8" w:rsidRDefault="00206083" w:rsidP="00206083">
      <w:pPr>
        <w:pStyle w:val="SingleTxtG"/>
        <w:ind w:left="2835" w:hanging="567"/>
        <w:rPr>
          <w:rFonts w:eastAsia="MS Mincho"/>
          <w:lang w:val="fr-FR"/>
        </w:rPr>
      </w:pPr>
      <w:r w:rsidRPr="002E7AA8">
        <w:rPr>
          <w:lang w:val="fr-FR"/>
        </w:rPr>
        <w:t>c)</w:t>
      </w:r>
      <w:r w:rsidRPr="002E7AA8">
        <w:rPr>
          <w:lang w:val="fr-FR"/>
        </w:rPr>
        <w:tab/>
        <w:t>Lorsque la distance de 100</w:t>
      </w:r>
      <w:r>
        <w:rPr>
          <w:lang w:val="fr-FR"/>
        </w:rPr>
        <w:t> </w:t>
      </w:r>
      <w:r w:rsidRPr="002E7AA8">
        <w:rPr>
          <w:lang w:val="fr-FR"/>
        </w:rPr>
        <w:t>km a été couverte.</w:t>
      </w:r>
    </w:p>
    <w:p w14:paraId="59B5C961" w14:textId="7356C289" w:rsidR="00206083" w:rsidRPr="002E7AA8" w:rsidRDefault="00206083" w:rsidP="00206083">
      <w:pPr>
        <w:pStyle w:val="SingleTxtG"/>
        <w:ind w:left="2268"/>
        <w:rPr>
          <w:rFonts w:eastAsia="MS Mincho"/>
          <w:lang w:val="fr-FR"/>
        </w:rPr>
      </w:pPr>
      <w:r w:rsidRPr="002E7AA8">
        <w:rPr>
          <w:lang w:val="fr-FR"/>
        </w:rPr>
        <w:t>Si le véhicule n’est pas doté d’un mode électrique pur, le dispositif de stockage de l’énergie électrique ou autre est déchargé en effectuant un parcours (sur piste d’essai, sur banc à rouleaux, etc.)</w:t>
      </w:r>
      <w:r>
        <w:rPr>
          <w:lang w:val="fr-FR"/>
        </w:rPr>
        <w:t> :</w:t>
      </w:r>
    </w:p>
    <w:p w14:paraId="2DFB806E" w14:textId="3101F088" w:rsidR="00206083" w:rsidRPr="002E7AA8" w:rsidRDefault="00206083" w:rsidP="00206083">
      <w:pPr>
        <w:pStyle w:val="SingleTxtG"/>
        <w:ind w:left="2835" w:hanging="567"/>
        <w:rPr>
          <w:rFonts w:eastAsia="MS Mincho"/>
          <w:lang w:val="fr-FR"/>
        </w:rPr>
      </w:pPr>
      <w:r w:rsidRPr="002E7AA8">
        <w:rPr>
          <w:lang w:val="fr-FR"/>
        </w:rPr>
        <w:t>a)</w:t>
      </w:r>
      <w:r w:rsidRPr="002E7AA8">
        <w:rPr>
          <w:lang w:val="fr-FR"/>
        </w:rPr>
        <w:tab/>
        <w:t>À une vitesse stabilisée de 50</w:t>
      </w:r>
      <w:r>
        <w:rPr>
          <w:lang w:val="fr-FR"/>
        </w:rPr>
        <w:t> km/h</w:t>
      </w:r>
      <w:r w:rsidRPr="002E7AA8">
        <w:rPr>
          <w:lang w:val="fr-FR"/>
        </w:rPr>
        <w:t xml:space="preserve"> jusqu’à ce que le moteur thermique démarre</w:t>
      </w:r>
      <w:r>
        <w:rPr>
          <w:lang w:val="fr-FR"/>
        </w:rPr>
        <w:t> ;</w:t>
      </w:r>
    </w:p>
    <w:p w14:paraId="247ACEE9" w14:textId="59339483" w:rsidR="00206083" w:rsidRPr="002E7AA8" w:rsidRDefault="00206083" w:rsidP="00206083">
      <w:pPr>
        <w:pStyle w:val="SingleTxtG"/>
        <w:ind w:left="2835" w:hanging="567"/>
        <w:rPr>
          <w:rFonts w:eastAsia="MS Mincho"/>
          <w:lang w:val="fr-FR"/>
        </w:rPr>
      </w:pPr>
      <w:r w:rsidRPr="002E7AA8">
        <w:rPr>
          <w:lang w:val="fr-FR"/>
        </w:rPr>
        <w:t>b)</w:t>
      </w:r>
      <w:r w:rsidRPr="002E7AA8">
        <w:rPr>
          <w:lang w:val="fr-FR"/>
        </w:rPr>
        <w:tab/>
        <w:t>Ou, si le véhicule ne peut atteindre une vitesse stabilisée de 50</w:t>
      </w:r>
      <w:r>
        <w:rPr>
          <w:lang w:val="fr-FR"/>
        </w:rPr>
        <w:t> km/h</w:t>
      </w:r>
      <w:r w:rsidRPr="002E7AA8">
        <w:rPr>
          <w:lang w:val="fr-FR"/>
        </w:rPr>
        <w:t xml:space="preserve"> sans mise en route du moteur thermique, à une vitesse qui est réduite jusqu’à ce que le véhicule puisse rouler à une vitesse stabilisée juste inférieure à celle de démarrage du moteur thermique pendant une durée ou sur une distance déterminées (à convenir entre le service technique et le constructeur)</w:t>
      </w:r>
      <w:r>
        <w:rPr>
          <w:lang w:val="fr-FR"/>
        </w:rPr>
        <w:t> ;</w:t>
      </w:r>
    </w:p>
    <w:p w14:paraId="1660770C" w14:textId="77777777" w:rsidR="00206083" w:rsidRPr="002E7AA8" w:rsidRDefault="00206083" w:rsidP="00206083">
      <w:pPr>
        <w:pStyle w:val="SingleTxtG"/>
        <w:ind w:left="2835" w:hanging="567"/>
        <w:rPr>
          <w:rFonts w:eastAsia="MS Mincho"/>
          <w:lang w:val="fr-FR"/>
        </w:rPr>
      </w:pPr>
      <w:r w:rsidRPr="002E7AA8">
        <w:rPr>
          <w:lang w:val="fr-FR"/>
        </w:rPr>
        <w:lastRenderedPageBreak/>
        <w:t>c)</w:t>
      </w:r>
      <w:r w:rsidRPr="002E7AA8">
        <w:rPr>
          <w:lang w:val="fr-FR"/>
        </w:rPr>
        <w:tab/>
        <w:t>Ou suivant les recommandations du constructeur.</w:t>
      </w:r>
    </w:p>
    <w:p w14:paraId="0DC3B5E5" w14:textId="1615791F" w:rsidR="00206083" w:rsidRPr="002E7AA8" w:rsidRDefault="00206083" w:rsidP="00206083">
      <w:pPr>
        <w:pStyle w:val="SingleTxtG"/>
        <w:ind w:left="2268"/>
        <w:rPr>
          <w:rFonts w:eastAsia="MS Mincho"/>
          <w:lang w:val="fr-FR"/>
        </w:rPr>
      </w:pPr>
      <w:r w:rsidRPr="002E7AA8">
        <w:rPr>
          <w:lang w:val="fr-FR"/>
        </w:rPr>
        <w:t>Le moteur thermique doit être arrêté dans les 10</w:t>
      </w:r>
      <w:r>
        <w:rPr>
          <w:lang w:val="fr-FR"/>
        </w:rPr>
        <w:t> </w:t>
      </w:r>
      <w:r w:rsidRPr="002E7AA8">
        <w:rPr>
          <w:lang w:val="fr-FR"/>
        </w:rPr>
        <w:t>s qui suivent son démarrage automatique. ».</w:t>
      </w:r>
    </w:p>
    <w:p w14:paraId="25D33433" w14:textId="31235D5E" w:rsidR="00F9573C" w:rsidRPr="00206083" w:rsidRDefault="00206083" w:rsidP="002060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06083" w:rsidSect="004950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98B3" w14:textId="77777777" w:rsidR="008A3243" w:rsidRDefault="008A3243" w:rsidP="00F95C08">
      <w:pPr>
        <w:spacing w:line="240" w:lineRule="auto"/>
      </w:pPr>
    </w:p>
  </w:endnote>
  <w:endnote w:type="continuationSeparator" w:id="0">
    <w:p w14:paraId="0763CB2C" w14:textId="77777777" w:rsidR="008A3243" w:rsidRPr="00AC3823" w:rsidRDefault="008A3243" w:rsidP="00AC3823">
      <w:pPr>
        <w:pStyle w:val="Pieddepage"/>
      </w:pPr>
    </w:p>
  </w:endnote>
  <w:endnote w:type="continuationNotice" w:id="1">
    <w:p w14:paraId="3F0E906F" w14:textId="77777777" w:rsidR="008A3243" w:rsidRDefault="008A32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BACD" w14:textId="061ADAF8" w:rsidR="004950F1" w:rsidRPr="004950F1" w:rsidRDefault="004950F1" w:rsidP="004950F1">
    <w:pPr>
      <w:pStyle w:val="Pieddepage"/>
      <w:tabs>
        <w:tab w:val="right" w:pos="9638"/>
      </w:tabs>
    </w:pPr>
    <w:r w:rsidRPr="004950F1">
      <w:rPr>
        <w:b/>
        <w:sz w:val="18"/>
      </w:rPr>
      <w:fldChar w:fldCharType="begin"/>
    </w:r>
    <w:r w:rsidRPr="004950F1">
      <w:rPr>
        <w:b/>
        <w:sz w:val="18"/>
      </w:rPr>
      <w:instrText xml:space="preserve"> PAGE  \* MERGEFORMAT </w:instrText>
    </w:r>
    <w:r w:rsidRPr="004950F1">
      <w:rPr>
        <w:b/>
        <w:sz w:val="18"/>
      </w:rPr>
      <w:fldChar w:fldCharType="separate"/>
    </w:r>
    <w:r w:rsidRPr="004950F1">
      <w:rPr>
        <w:b/>
        <w:noProof/>
        <w:sz w:val="18"/>
      </w:rPr>
      <w:t>2</w:t>
    </w:r>
    <w:r w:rsidRPr="004950F1">
      <w:rPr>
        <w:b/>
        <w:sz w:val="18"/>
      </w:rPr>
      <w:fldChar w:fldCharType="end"/>
    </w:r>
    <w:r>
      <w:rPr>
        <w:b/>
        <w:sz w:val="18"/>
      </w:rPr>
      <w:tab/>
    </w:r>
    <w:r>
      <w:t>GE.23-06408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356D" w14:textId="3A773425" w:rsidR="004950F1" w:rsidRPr="004950F1" w:rsidRDefault="004950F1" w:rsidP="004950F1">
    <w:pPr>
      <w:pStyle w:val="Pieddepage"/>
      <w:tabs>
        <w:tab w:val="right" w:pos="9638"/>
      </w:tabs>
      <w:rPr>
        <w:b/>
        <w:sz w:val="18"/>
      </w:rPr>
    </w:pPr>
    <w:r>
      <w:t>GE.23-06408</w:t>
    </w:r>
    <w:r>
      <w:tab/>
    </w:r>
    <w:r w:rsidRPr="004950F1">
      <w:rPr>
        <w:b/>
        <w:sz w:val="18"/>
      </w:rPr>
      <w:fldChar w:fldCharType="begin"/>
    </w:r>
    <w:r w:rsidRPr="004950F1">
      <w:rPr>
        <w:b/>
        <w:sz w:val="18"/>
      </w:rPr>
      <w:instrText xml:space="preserve"> PAGE  \* MERGEFORMAT </w:instrText>
    </w:r>
    <w:r w:rsidRPr="004950F1">
      <w:rPr>
        <w:b/>
        <w:sz w:val="18"/>
      </w:rPr>
      <w:fldChar w:fldCharType="separate"/>
    </w:r>
    <w:r w:rsidRPr="004950F1">
      <w:rPr>
        <w:b/>
        <w:noProof/>
        <w:sz w:val="18"/>
      </w:rPr>
      <w:t>3</w:t>
    </w:r>
    <w:r w:rsidRPr="004950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7C4C" w14:textId="292BF31B" w:rsidR="007F20FA" w:rsidRPr="004950F1" w:rsidRDefault="004950F1" w:rsidP="004950F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081038A" wp14:editId="1CDBF3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23-06408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5C1B9B9" wp14:editId="4AFC021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110423    110423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2F61" w14:textId="77777777" w:rsidR="008A3243" w:rsidRPr="00AC3823" w:rsidRDefault="008A32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D5EF2C" w14:textId="77777777" w:rsidR="008A3243" w:rsidRPr="00AC3823" w:rsidRDefault="008A32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81D88B" w14:textId="77777777" w:rsidR="008A3243" w:rsidRPr="00AC3823" w:rsidRDefault="008A3243">
      <w:pPr>
        <w:spacing w:line="240" w:lineRule="auto"/>
        <w:rPr>
          <w:sz w:val="2"/>
          <w:szCs w:val="2"/>
        </w:rPr>
      </w:pPr>
    </w:p>
  </w:footnote>
  <w:footnote w:id="2">
    <w:p w14:paraId="2825BDF4" w14:textId="19E2E76D" w:rsidR="00206083" w:rsidRPr="005417F8" w:rsidRDefault="00206083" w:rsidP="00206083">
      <w:pPr>
        <w:pStyle w:val="Notedebasdepage"/>
      </w:pPr>
      <w:r>
        <w:rPr>
          <w:lang w:val="fr-FR"/>
        </w:rPr>
        <w:tab/>
      </w:r>
      <w:r w:rsidRPr="00206083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</w:t>
      </w:r>
      <w:r w:rsidR="00212DB7"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4AF4F01D" w14:textId="2ABBD147" w:rsidR="00206083" w:rsidRPr="002E7AA8" w:rsidRDefault="00206083" w:rsidP="00206083">
      <w:pPr>
        <w:pStyle w:val="Notedebasdepage"/>
        <w:rPr>
          <w:lang w:val="fr-FR" w:eastAsia="ja-JP"/>
        </w:rPr>
      </w:pPr>
      <w:r>
        <w:rPr>
          <w:lang w:val="fr-FR"/>
        </w:rPr>
        <w:tab/>
      </w:r>
      <w:r w:rsidRPr="002E7AA8">
        <w:rPr>
          <w:rStyle w:val="Appelnotedebasdep"/>
        </w:rPr>
        <w:footnoteRef/>
      </w:r>
      <w:r>
        <w:rPr>
          <w:lang w:val="fr-FR"/>
        </w:rPr>
        <w:tab/>
      </w:r>
      <w:r w:rsidRPr="002E7AA8">
        <w:rPr>
          <w:lang w:val="fr-FR" w:eastAsia="ja-JP"/>
        </w:rPr>
        <w:t>Date à remplacer par la date d</w:t>
      </w:r>
      <w:r>
        <w:rPr>
          <w:lang w:val="fr-FR" w:eastAsia="ja-JP"/>
        </w:rPr>
        <w:t>’</w:t>
      </w:r>
      <w:r w:rsidRPr="002E7AA8">
        <w:rPr>
          <w:lang w:val="fr-FR" w:eastAsia="ja-JP"/>
        </w:rPr>
        <w:t>entrée en vigueur de la présente proposition lorsque cette dernière sera</w:t>
      </w:r>
      <w:r>
        <w:rPr>
          <w:lang w:val="fr-FR" w:eastAsia="ja-JP"/>
        </w:rPr>
        <w:t> </w:t>
      </w:r>
      <w:r w:rsidRPr="002E7AA8">
        <w:rPr>
          <w:lang w:val="fr-FR" w:eastAsia="ja-JP"/>
        </w:rPr>
        <w:t>connue.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0D74" w14:textId="2733724A" w:rsidR="004950F1" w:rsidRPr="004950F1" w:rsidRDefault="004950F1">
    <w:pPr>
      <w:pStyle w:val="En-tte"/>
    </w:pPr>
    <w:fldSimple w:instr=" TITLE  \* MERGEFORMAT ">
      <w:r>
        <w:t>ECE/TRANS/WP.29/2023/65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82BD" w14:textId="66463AF2" w:rsidR="004950F1" w:rsidRPr="004950F1" w:rsidRDefault="004950F1" w:rsidP="004950F1">
    <w:pPr>
      <w:pStyle w:val="En-tte"/>
      <w:jc w:val="right"/>
    </w:pPr>
    <w:fldSimple w:instr=" TITLE  \* MERGEFORMAT ">
      <w:r>
        <w:t>ECE/TRANS/WP.29/2023/65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4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06083"/>
    <w:rsid w:val="00212DB7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950F1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A3243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196F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B2FF"/>
  <w15:docId w15:val="{7AD63C3E-E308-40EF-8BC4-71AEA5E1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20608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20608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530</Words>
  <Characters>3717</Characters>
  <Application>Microsoft Office Word</Application>
  <DocSecurity>0</DocSecurity>
  <Lines>309</Lines>
  <Paragraphs>169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ECE/TRANS/WP.29/2023/65</vt:lpstr>
    </vt:vector>
  </TitlesOfParts>
  <Company>DCM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ECE/TRANS/WP.29/2023/65</dc:title>
  <dc:subject/>
  <dc:creator>Nicolas MORIN</dc:creator>
  <cp:keywords/>
  <cp:lastModifiedBy>Nicolas Morin</cp:lastModifiedBy>
  <cp:revision>2</cp:revision>
  <cp:lastPrinted>2014-05-14T10:59:00Z</cp:lastPrinted>
  <dcterms:created xsi:type="dcterms:W3CDTF">2023-04-11T13:59:00Z</dcterms:created>
  <dcterms:modified xsi:type="dcterms:W3CDTF">2023-04-11T13:59:00Z</dcterms:modified>
</cp:coreProperties>
</file>