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92E5D59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9C318B0" w14:textId="77777777" w:rsidR="00F35BAF" w:rsidRPr="00DB58B5" w:rsidRDefault="00F35BAF" w:rsidP="000A1B5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C9704C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8A0501E" w14:textId="13A809A8" w:rsidR="00F35BAF" w:rsidRPr="00DB58B5" w:rsidRDefault="000A1B5B" w:rsidP="000A1B5B">
            <w:pPr>
              <w:jc w:val="right"/>
            </w:pPr>
            <w:r w:rsidRPr="000A1B5B">
              <w:rPr>
                <w:sz w:val="40"/>
              </w:rPr>
              <w:t>ECE</w:t>
            </w:r>
            <w:r>
              <w:t>/TRANS/WP.29/2023/63</w:t>
            </w:r>
          </w:p>
        </w:tc>
      </w:tr>
      <w:tr w:rsidR="00F35BAF" w:rsidRPr="00DB58B5" w14:paraId="49FBFBE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2BFFFF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226AA04" wp14:editId="505548B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CC72E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184F6F4" w14:textId="77777777" w:rsidR="00F35BAF" w:rsidRDefault="000A1B5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4C5BDDFD" w14:textId="77777777" w:rsidR="000A1B5B" w:rsidRDefault="000A1B5B" w:rsidP="000A1B5B">
            <w:pPr>
              <w:spacing w:line="240" w:lineRule="exact"/>
            </w:pPr>
            <w:r>
              <w:t>5 avril 2023</w:t>
            </w:r>
          </w:p>
          <w:p w14:paraId="3B6F224F" w14:textId="77777777" w:rsidR="000A1B5B" w:rsidRDefault="000A1B5B" w:rsidP="000A1B5B">
            <w:pPr>
              <w:spacing w:line="240" w:lineRule="exact"/>
            </w:pPr>
            <w:r>
              <w:t>Français</w:t>
            </w:r>
          </w:p>
          <w:p w14:paraId="40605079" w14:textId="32A075C7" w:rsidR="000A1B5B" w:rsidRPr="00DB58B5" w:rsidRDefault="000A1B5B" w:rsidP="000A1B5B">
            <w:pPr>
              <w:spacing w:line="240" w:lineRule="exact"/>
            </w:pPr>
            <w:r>
              <w:t>Original : anglais</w:t>
            </w:r>
          </w:p>
        </w:tc>
      </w:tr>
    </w:tbl>
    <w:p w14:paraId="62FBFE3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853BB3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79073EC" w14:textId="77777777" w:rsidR="000A1B5B" w:rsidRPr="00DA3E44" w:rsidRDefault="000A1B5B" w:rsidP="000A1B5B">
      <w:pPr>
        <w:spacing w:before="120"/>
        <w:rPr>
          <w:rFonts w:eastAsia="MS Mincho"/>
          <w:sz w:val="24"/>
          <w:szCs w:val="24"/>
          <w:lang w:val="fr-FR"/>
        </w:rPr>
      </w:pPr>
      <w:r w:rsidRPr="00DA3E44">
        <w:rPr>
          <w:b/>
          <w:bCs/>
          <w:sz w:val="24"/>
          <w:szCs w:val="24"/>
          <w:lang w:val="fr-FR"/>
        </w:rPr>
        <w:t xml:space="preserve">Forum mondial de l’harmonisation des Règlements </w:t>
      </w:r>
      <w:r w:rsidRPr="00DA3E44">
        <w:rPr>
          <w:b/>
          <w:bCs/>
          <w:sz w:val="24"/>
          <w:szCs w:val="24"/>
          <w:lang w:val="fr-FR"/>
        </w:rPr>
        <w:br/>
        <w:t>concernant les véhicules</w:t>
      </w:r>
      <w:r w:rsidRPr="00DA3E44">
        <w:rPr>
          <w:sz w:val="24"/>
          <w:szCs w:val="24"/>
          <w:lang w:val="fr-FR"/>
        </w:rPr>
        <w:t xml:space="preserve"> </w:t>
      </w:r>
    </w:p>
    <w:p w14:paraId="0BBC046C" w14:textId="77777777" w:rsidR="000A1B5B" w:rsidRPr="00191198" w:rsidRDefault="000A1B5B" w:rsidP="000A1B5B">
      <w:pPr>
        <w:spacing w:before="120"/>
        <w:rPr>
          <w:rFonts w:eastAsia="MS Mincho"/>
          <w:b/>
          <w:lang w:val="fr-FR"/>
        </w:rPr>
      </w:pPr>
      <w:bookmarkStart w:id="0" w:name="_Hlk116995826"/>
      <w:r>
        <w:rPr>
          <w:b/>
          <w:bCs/>
          <w:lang w:val="fr-FR"/>
        </w:rPr>
        <w:t>190</w:t>
      </w:r>
      <w:r w:rsidRPr="00846513">
        <w:rPr>
          <w:b/>
          <w:bCs/>
          <w:vertAlign w:val="superscript"/>
          <w:lang w:val="fr-FR"/>
        </w:rPr>
        <w:t>e</w:t>
      </w:r>
      <w:r w:rsidRPr="00191198">
        <w:rPr>
          <w:b/>
          <w:bCs/>
          <w:lang w:val="fr-FR"/>
        </w:rPr>
        <w:t xml:space="preserve"> session</w:t>
      </w:r>
    </w:p>
    <w:p w14:paraId="470254FD" w14:textId="77777777" w:rsidR="000A1B5B" w:rsidRPr="00191198" w:rsidRDefault="000A1B5B" w:rsidP="000A1B5B">
      <w:pPr>
        <w:rPr>
          <w:lang w:val="fr-FR"/>
        </w:rPr>
      </w:pPr>
      <w:bookmarkStart w:id="1" w:name="_Hlk80714809"/>
      <w:r w:rsidRPr="00191198">
        <w:rPr>
          <w:lang w:val="fr-FR"/>
        </w:rPr>
        <w:t xml:space="preserve">Genève, </w:t>
      </w:r>
      <w:r>
        <w:rPr>
          <w:lang w:val="fr-FR"/>
        </w:rPr>
        <w:t>20-22 juin</w:t>
      </w:r>
      <w:r w:rsidRPr="00191198">
        <w:rPr>
          <w:lang w:val="fr-FR"/>
        </w:rPr>
        <w:t xml:space="preserve"> 2023</w:t>
      </w:r>
    </w:p>
    <w:p w14:paraId="3F8338C4" w14:textId="77777777" w:rsidR="000A1B5B" w:rsidRPr="00191198" w:rsidRDefault="000A1B5B" w:rsidP="000A1B5B">
      <w:pPr>
        <w:rPr>
          <w:lang w:val="fr-FR"/>
        </w:rPr>
      </w:pPr>
      <w:r w:rsidRPr="00191198">
        <w:rPr>
          <w:lang w:val="fr-FR"/>
        </w:rPr>
        <w:t xml:space="preserve">Point </w:t>
      </w:r>
      <w:r>
        <w:rPr>
          <w:lang w:val="fr-FR"/>
        </w:rPr>
        <w:t>4.7.7</w:t>
      </w:r>
      <w:r w:rsidRPr="00191198">
        <w:rPr>
          <w:lang w:val="fr-FR"/>
        </w:rPr>
        <w:t xml:space="preserve"> de l</w:t>
      </w:r>
      <w:r>
        <w:rPr>
          <w:lang w:val="fr-FR"/>
        </w:rPr>
        <w:t>’</w:t>
      </w:r>
      <w:r w:rsidRPr="00191198">
        <w:rPr>
          <w:lang w:val="fr-FR"/>
        </w:rPr>
        <w:t>ordre du jour provisoire</w:t>
      </w:r>
    </w:p>
    <w:p w14:paraId="28257C4A" w14:textId="77777777" w:rsidR="000A1B5B" w:rsidRDefault="000A1B5B" w:rsidP="000A1B5B">
      <w:pPr>
        <w:rPr>
          <w:b/>
          <w:bCs/>
          <w:lang w:val="fr-FR"/>
        </w:rPr>
      </w:pPr>
      <w:r>
        <w:rPr>
          <w:b/>
          <w:bCs/>
          <w:lang w:val="fr-FR"/>
        </w:rPr>
        <w:t>Accord de 1958 :</w:t>
      </w:r>
      <w:bookmarkEnd w:id="0"/>
      <w:bookmarkEnd w:id="1"/>
    </w:p>
    <w:p w14:paraId="411DE87E" w14:textId="2B67A438" w:rsidR="000A1B5B" w:rsidRPr="00846513" w:rsidRDefault="000A1B5B" w:rsidP="000A1B5B">
      <w:pPr>
        <w:rPr>
          <w:b/>
          <w:bCs/>
          <w:lang w:val="fr-FR"/>
        </w:rPr>
      </w:pPr>
      <w:r w:rsidRPr="00776834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776834">
        <w:rPr>
          <w:b/>
          <w:bCs/>
          <w:lang w:val="fr-FR"/>
        </w:rPr>
        <w:t xml:space="preserve">amendements à des Règlements ONU existants, </w:t>
      </w:r>
      <w:r w:rsidR="00DA3E44">
        <w:rPr>
          <w:b/>
          <w:bCs/>
          <w:lang w:val="fr-FR"/>
        </w:rPr>
        <w:br/>
      </w:r>
      <w:r w:rsidRPr="00776834">
        <w:rPr>
          <w:b/>
          <w:bCs/>
          <w:lang w:val="fr-FR"/>
        </w:rPr>
        <w:t>soumis par le GRPE</w:t>
      </w:r>
    </w:p>
    <w:p w14:paraId="336CF9CC" w14:textId="77777777" w:rsidR="000A1B5B" w:rsidRPr="006642A9" w:rsidRDefault="000A1B5B" w:rsidP="00DA3E44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Proposition de complément 16 à la série 07 d’amendements au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 83 (Émissions polluantes des véhicules des catégories M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et N</w:t>
      </w:r>
      <w:r>
        <w:rPr>
          <w:vertAlign w:val="subscript"/>
          <w:lang w:val="fr-FR"/>
        </w:rPr>
        <w:t>1</w:t>
      </w:r>
      <w:r>
        <w:rPr>
          <w:lang w:val="fr-FR"/>
        </w:rPr>
        <w:t>)</w:t>
      </w:r>
    </w:p>
    <w:p w14:paraId="76B7E0A5" w14:textId="77777777" w:rsidR="000A1B5B" w:rsidRDefault="000A1B5B" w:rsidP="00DA3E4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du </w:t>
      </w:r>
      <w:r w:rsidRPr="004F05A2">
        <w:rPr>
          <w:lang w:val="fr-FR"/>
        </w:rPr>
        <w:t>Groupe de travail de la pollution et de l</w:t>
      </w:r>
      <w:r>
        <w:rPr>
          <w:lang w:val="fr-FR"/>
        </w:rPr>
        <w:t>’</w:t>
      </w:r>
      <w:r w:rsidRPr="004F05A2">
        <w:rPr>
          <w:lang w:val="fr-FR"/>
        </w:rPr>
        <w:t>énergie</w:t>
      </w:r>
      <w:r w:rsidRPr="00DA3E44">
        <w:rPr>
          <w:b w:val="0"/>
          <w:sz w:val="20"/>
          <w:szCs w:val="16"/>
          <w:lang w:val="fr-FR"/>
        </w:rPr>
        <w:footnoteReference w:customMarkFollows="1" w:id="2"/>
        <w:t>*</w:t>
      </w:r>
    </w:p>
    <w:p w14:paraId="07321C78" w14:textId="64B6E8BA" w:rsidR="000A1B5B" w:rsidRDefault="000A1B5B" w:rsidP="000A1B5B">
      <w:pPr>
        <w:pStyle w:val="SingleTxtG"/>
        <w:ind w:firstLine="567"/>
        <w:rPr>
          <w:bCs/>
          <w:lang w:val="fr-FR"/>
        </w:rPr>
      </w:pPr>
      <w:r w:rsidRPr="00E9166C">
        <w:rPr>
          <w:bCs/>
          <w:lang w:val="fr-FR"/>
        </w:rPr>
        <w:t>Le texte ci-après, adopté par le Groupe de travail de la pollution et de l</w:t>
      </w:r>
      <w:r>
        <w:rPr>
          <w:bCs/>
          <w:lang w:val="fr-FR"/>
        </w:rPr>
        <w:t>’</w:t>
      </w:r>
      <w:r w:rsidRPr="00E9166C">
        <w:rPr>
          <w:bCs/>
          <w:lang w:val="fr-FR"/>
        </w:rPr>
        <w:t>énergie (GRPE) à sa quatre-vingt-septième session</w:t>
      </w:r>
      <w:r>
        <w:rPr>
          <w:bCs/>
          <w:lang w:val="fr-FR"/>
        </w:rPr>
        <w:t xml:space="preserve"> (</w:t>
      </w:r>
      <w:r w:rsidRPr="00E9166C">
        <w:rPr>
          <w:bCs/>
          <w:lang w:val="fr-FR"/>
        </w:rPr>
        <w:t>ECE/TRANS/WP.29/GRPE/87, par</w:t>
      </w:r>
      <w:r w:rsidR="00276948">
        <w:rPr>
          <w:bCs/>
          <w:lang w:val="fr-FR"/>
        </w:rPr>
        <w:t>. </w:t>
      </w:r>
      <w:r w:rsidRPr="00E9166C">
        <w:rPr>
          <w:bCs/>
          <w:lang w:val="fr-FR"/>
        </w:rPr>
        <w:t>16)</w:t>
      </w:r>
      <w:r>
        <w:rPr>
          <w:bCs/>
          <w:lang w:val="fr-FR"/>
        </w:rPr>
        <w:t xml:space="preserve">, est fondé sur le document </w:t>
      </w:r>
      <w:r w:rsidRPr="000E64EE">
        <w:rPr>
          <w:bCs/>
          <w:lang w:val="fr-FR"/>
        </w:rPr>
        <w:t>ECE/TRANS/WP.29/GRPE/2023/10</w:t>
      </w:r>
      <w:r>
        <w:rPr>
          <w:bCs/>
          <w:lang w:val="fr-FR"/>
        </w:rPr>
        <w:t xml:space="preserve"> et le document informel </w:t>
      </w:r>
      <w:r w:rsidRPr="002B7FB5">
        <w:rPr>
          <w:bCs/>
          <w:lang w:val="fr-FR"/>
        </w:rPr>
        <w:t>GRPE</w:t>
      </w:r>
      <w:r w:rsidR="00276948">
        <w:rPr>
          <w:bCs/>
          <w:lang w:val="fr-FR"/>
        </w:rPr>
        <w:noBreakHyphen/>
      </w:r>
      <w:r w:rsidRPr="002B7FB5">
        <w:rPr>
          <w:bCs/>
          <w:lang w:val="fr-FR"/>
        </w:rPr>
        <w:t>87-13-Rev.2</w:t>
      </w:r>
      <w:r>
        <w:rPr>
          <w:bCs/>
          <w:lang w:val="fr-FR"/>
        </w:rPr>
        <w:t>,</w:t>
      </w:r>
      <w:r w:rsidRPr="002B7FB5">
        <w:t xml:space="preserve"> </w:t>
      </w:r>
      <w:r w:rsidRPr="002B7FB5">
        <w:rPr>
          <w:bCs/>
          <w:lang w:val="fr-FR"/>
        </w:rPr>
        <w:t>tels que modifiés par l</w:t>
      </w:r>
      <w:r>
        <w:rPr>
          <w:bCs/>
          <w:lang w:val="fr-FR"/>
        </w:rPr>
        <w:t>’</w:t>
      </w:r>
      <w:r w:rsidRPr="002B7FB5">
        <w:rPr>
          <w:bCs/>
          <w:lang w:val="fr-FR"/>
        </w:rPr>
        <w:t>annexe V</w:t>
      </w:r>
      <w:r>
        <w:rPr>
          <w:bCs/>
          <w:lang w:val="fr-FR"/>
        </w:rPr>
        <w:t>I</w:t>
      </w:r>
      <w:r w:rsidRPr="002B7FB5">
        <w:rPr>
          <w:bCs/>
          <w:lang w:val="fr-FR"/>
        </w:rPr>
        <w:t xml:space="preserve"> du rapport</w:t>
      </w:r>
      <w:r>
        <w:rPr>
          <w:bCs/>
          <w:lang w:val="fr-FR"/>
        </w:rPr>
        <w:t>.</w:t>
      </w:r>
      <w:r w:rsidRPr="002B7FB5">
        <w:t xml:space="preserve"> </w:t>
      </w:r>
      <w:r w:rsidRPr="00F327A5">
        <w:t>Il est soumis au Forum mondial de l</w:t>
      </w:r>
      <w:r>
        <w:t>’</w:t>
      </w:r>
      <w:r w:rsidRPr="00F327A5">
        <w:t>harmonisation des Règlements concernant les véhicules (WP.29) et au Comité d</w:t>
      </w:r>
      <w:r>
        <w:t>’</w:t>
      </w:r>
      <w:r w:rsidRPr="00F327A5">
        <w:t>administration de l</w:t>
      </w:r>
      <w:r>
        <w:t>’</w:t>
      </w:r>
      <w:r w:rsidRPr="00F327A5">
        <w:t>Accord de 1958 (AC.1) pour examen à leurs sessions de</w:t>
      </w:r>
      <w:r>
        <w:t xml:space="preserve"> juin 2023.</w:t>
      </w:r>
    </w:p>
    <w:p w14:paraId="287AEB41" w14:textId="77777777" w:rsidR="000A1B5B" w:rsidRPr="006642A9" w:rsidRDefault="000A1B5B" w:rsidP="000A1B5B">
      <w:pPr>
        <w:rPr>
          <w:b/>
          <w:bCs/>
          <w:lang w:val="fr-FR" w:eastAsia="en-GB"/>
        </w:rPr>
      </w:pPr>
      <w:r w:rsidRPr="006642A9">
        <w:rPr>
          <w:lang w:val="fr-FR"/>
        </w:rPr>
        <w:br w:type="page"/>
      </w:r>
    </w:p>
    <w:p w14:paraId="0E9FF748" w14:textId="77777777" w:rsidR="000A1B5B" w:rsidRDefault="000A1B5B" w:rsidP="004C2CE1">
      <w:pPr>
        <w:pStyle w:val="SingleTxtG"/>
        <w:spacing w:after="100"/>
        <w:rPr>
          <w:i/>
          <w:iCs/>
          <w:lang w:val="fr-FR"/>
        </w:rPr>
      </w:pPr>
      <w:r>
        <w:rPr>
          <w:i/>
          <w:iCs/>
          <w:lang w:val="fr-FR"/>
        </w:rPr>
        <w:lastRenderedPageBreak/>
        <w:t>Annexe 4A</w:t>
      </w:r>
    </w:p>
    <w:p w14:paraId="29DE3064" w14:textId="77777777" w:rsidR="000A1B5B" w:rsidRPr="006642A9" w:rsidRDefault="000A1B5B" w:rsidP="004C2CE1">
      <w:pPr>
        <w:pStyle w:val="SingleTxtG"/>
        <w:keepNext/>
        <w:spacing w:after="100"/>
        <w:rPr>
          <w:lang w:val="fr-FR"/>
        </w:rPr>
      </w:pPr>
      <w:r w:rsidRPr="008F0895">
        <w:rPr>
          <w:i/>
          <w:iCs/>
          <w:lang w:val="fr-FR"/>
        </w:rPr>
        <w:t>P</w:t>
      </w:r>
      <w:r w:rsidRPr="00846513">
        <w:rPr>
          <w:i/>
          <w:iCs/>
          <w:lang w:val="fr-FR"/>
        </w:rPr>
        <w:t>aragraphe 3.2.7</w:t>
      </w:r>
      <w:r>
        <w:rPr>
          <w:lang w:val="fr-FR"/>
        </w:rPr>
        <w:t>, lire :</w:t>
      </w:r>
    </w:p>
    <w:p w14:paraId="4BF33EC0" w14:textId="77777777" w:rsidR="000A1B5B" w:rsidRPr="00846513" w:rsidRDefault="000A1B5B" w:rsidP="004C2CE1">
      <w:pPr>
        <w:pStyle w:val="SingleTxtG"/>
        <w:tabs>
          <w:tab w:val="left" w:pos="2268"/>
        </w:tabs>
        <w:spacing w:after="100"/>
        <w:ind w:left="2268" w:hanging="1134"/>
        <w:rPr>
          <w:rFonts w:eastAsia="MS Mincho"/>
          <w:lang w:val="fr-FR"/>
        </w:rPr>
      </w:pPr>
      <w:r w:rsidRPr="00846513">
        <w:rPr>
          <w:lang w:val="fr-FR"/>
        </w:rPr>
        <w:t>« 3.2.7</w:t>
      </w:r>
      <w:r w:rsidRPr="00846513">
        <w:rPr>
          <w:lang w:val="fr-FR"/>
        </w:rPr>
        <w:tab/>
        <w:t>Le véhicule soumis aux essais doit être équipé du système de feux de circulation diurne qui a la plus grande consommation d</w:t>
      </w:r>
      <w:r>
        <w:rPr>
          <w:lang w:val="fr-FR"/>
        </w:rPr>
        <w:t>’</w:t>
      </w:r>
      <w:r w:rsidRPr="00846513">
        <w:rPr>
          <w:lang w:val="fr-FR"/>
        </w:rPr>
        <w:t>énergie électrique parmi ceux qui sont installés par le constructeur sur les véhicules du groupe représenté par le véhicule faisant l</w:t>
      </w:r>
      <w:r>
        <w:rPr>
          <w:lang w:val="fr-FR"/>
        </w:rPr>
        <w:t>’</w:t>
      </w:r>
      <w:r w:rsidRPr="00846513">
        <w:rPr>
          <w:lang w:val="fr-FR"/>
        </w:rPr>
        <w:t>objet d</w:t>
      </w:r>
      <w:r>
        <w:rPr>
          <w:lang w:val="fr-FR"/>
        </w:rPr>
        <w:t>’</w:t>
      </w:r>
      <w:r w:rsidRPr="00846513">
        <w:rPr>
          <w:lang w:val="fr-FR"/>
        </w:rPr>
        <w:t>une homologation de type. À cet égard, le constructeur doit fournir la documentation technique appropriée aux autorités d</w:t>
      </w:r>
      <w:r>
        <w:rPr>
          <w:lang w:val="fr-FR"/>
        </w:rPr>
        <w:t>’</w:t>
      </w:r>
      <w:r w:rsidRPr="00846513">
        <w:rPr>
          <w:lang w:val="fr-FR"/>
        </w:rPr>
        <w:t>homologation de type.</w:t>
      </w:r>
    </w:p>
    <w:p w14:paraId="4DBB1E18" w14:textId="77777777" w:rsidR="000A1B5B" w:rsidRPr="00BD088C" w:rsidRDefault="000A1B5B" w:rsidP="004C2CE1">
      <w:pPr>
        <w:pStyle w:val="SingleTxtG"/>
        <w:spacing w:after="100"/>
        <w:ind w:left="2268"/>
        <w:rPr>
          <w:rFonts w:eastAsia="MS Mincho"/>
          <w:lang w:val="fr-FR"/>
        </w:rPr>
      </w:pPr>
      <w:r w:rsidRPr="00846513">
        <w:rPr>
          <w:lang w:val="fr-FR"/>
        </w:rPr>
        <w:t xml:space="preserve">Les feux de circulation diurne tels que définis au paragraphe 2 du Règlement </w:t>
      </w:r>
      <w:r>
        <w:rPr>
          <w:lang w:val="fr-FR"/>
        </w:rPr>
        <w:t xml:space="preserve">ONU </w:t>
      </w:r>
      <w:r w:rsidRPr="00846513">
        <w:rPr>
          <w:lang w:val="fr-FR"/>
        </w:rPr>
        <w:t>n</w:t>
      </w:r>
      <w:r w:rsidRPr="00846513">
        <w:rPr>
          <w:vertAlign w:val="superscript"/>
          <w:lang w:val="fr-FR"/>
        </w:rPr>
        <w:t>o</w:t>
      </w:r>
      <w:r w:rsidRPr="00846513">
        <w:rPr>
          <w:lang w:val="fr-FR"/>
        </w:rPr>
        <w:t> 48 doivent être allumés durant le cycle d</w:t>
      </w:r>
      <w:r>
        <w:rPr>
          <w:lang w:val="fr-FR"/>
        </w:rPr>
        <w:t>’</w:t>
      </w:r>
      <w:r w:rsidRPr="00846513">
        <w:rPr>
          <w:lang w:val="fr-FR"/>
        </w:rPr>
        <w:t>essai. »</w:t>
      </w:r>
      <w:r w:rsidRPr="00BD088C">
        <w:rPr>
          <w:lang w:val="fr-FR"/>
        </w:rPr>
        <w:t>.</w:t>
      </w:r>
    </w:p>
    <w:p w14:paraId="1E7E7076" w14:textId="77777777" w:rsidR="000A1B5B" w:rsidRPr="006642A9" w:rsidRDefault="000A1B5B" w:rsidP="004C2CE1">
      <w:pPr>
        <w:pStyle w:val="SingleTxtG"/>
        <w:keepNext/>
        <w:spacing w:after="100"/>
        <w:rPr>
          <w:lang w:val="fr-FR"/>
        </w:rPr>
      </w:pPr>
      <w:r w:rsidRPr="00846513">
        <w:rPr>
          <w:i/>
          <w:iCs/>
          <w:lang w:val="fr-FR"/>
        </w:rPr>
        <w:t>Ajouter le nouveau paragraphe 3.2.8</w:t>
      </w:r>
      <w:r>
        <w:rPr>
          <w:lang w:val="fr-FR"/>
        </w:rPr>
        <w:t>, libellé comme suit :</w:t>
      </w:r>
    </w:p>
    <w:p w14:paraId="73AD2E5D" w14:textId="43DFE4F6" w:rsidR="000A1B5B" w:rsidRDefault="000A1B5B" w:rsidP="004C2CE1">
      <w:pPr>
        <w:pStyle w:val="SingleTxtG"/>
        <w:tabs>
          <w:tab w:val="left" w:pos="2268"/>
        </w:tabs>
        <w:spacing w:after="100"/>
        <w:ind w:left="2268" w:hanging="1134"/>
        <w:rPr>
          <w:lang w:val="fr-FR"/>
        </w:rPr>
      </w:pPr>
      <w:r w:rsidRPr="00572E04">
        <w:rPr>
          <w:lang w:val="fr-FR"/>
        </w:rPr>
        <w:t>« </w:t>
      </w:r>
      <w:r w:rsidRPr="00846513">
        <w:rPr>
          <w:lang w:val="fr-FR"/>
        </w:rPr>
        <w:t>3.2.8</w:t>
      </w:r>
      <w:r w:rsidRPr="00E90EAF">
        <w:rPr>
          <w:lang w:val="fr-FR"/>
        </w:rPr>
        <w:tab/>
      </w:r>
      <w:r w:rsidRPr="00846513">
        <w:rPr>
          <w:lang w:val="fr-FR"/>
        </w:rPr>
        <w:t xml:space="preserve">Pour les essais réalisés conformément au présent Règlement, après </w:t>
      </w:r>
      <w:r>
        <w:rPr>
          <w:lang w:val="fr-FR"/>
        </w:rPr>
        <w:t xml:space="preserve">le </w:t>
      </w:r>
      <w:r w:rsidRPr="00943423">
        <w:t>[xx</w:t>
      </w:r>
      <w:r w:rsidR="00C00C17">
        <w:noBreakHyphen/>
      </w:r>
      <w:r w:rsidRPr="00943423">
        <w:t>xx</w:t>
      </w:r>
      <w:r w:rsidR="00C00C17">
        <w:noBreakHyphen/>
      </w:r>
      <w:r w:rsidRPr="00943423">
        <w:t>20xx</w:t>
      </w:r>
      <w:r w:rsidRPr="00846513">
        <w:rPr>
          <w:rStyle w:val="Appelnotedebasdep"/>
        </w:rPr>
        <w:footnoteReference w:id="3"/>
      </w:r>
      <w:r w:rsidRPr="00943423">
        <w:t>]</w:t>
      </w:r>
      <w:r w:rsidRPr="00846513">
        <w:rPr>
          <w:lang w:val="fr-FR"/>
        </w:rPr>
        <w:t>, les feux de position arrière doivent être réglés selon les conditions de fonctionnement appliquées à une luminosité ambiante supérieure à 7 000 lux (dans le mode banc à rouleaux du véhicule, par exemple).</w:t>
      </w:r>
      <w:r>
        <w:rPr>
          <w:b/>
          <w:bCs/>
          <w:lang w:val="fr-FR"/>
        </w:rPr>
        <w:t> </w:t>
      </w:r>
      <w:r w:rsidRPr="00572E04">
        <w:rPr>
          <w:lang w:val="fr-FR"/>
        </w:rPr>
        <w:t>».</w:t>
      </w:r>
      <w:bookmarkStart w:id="2" w:name="_Hlk116995894"/>
      <w:bookmarkEnd w:id="2"/>
    </w:p>
    <w:p w14:paraId="55D89B46" w14:textId="77777777" w:rsidR="000A1B5B" w:rsidRPr="00846513" w:rsidRDefault="000A1B5B" w:rsidP="004C2CE1">
      <w:pPr>
        <w:pStyle w:val="SingleTxtG"/>
        <w:tabs>
          <w:tab w:val="left" w:pos="2268"/>
        </w:tabs>
        <w:spacing w:after="100"/>
        <w:ind w:left="2268" w:hanging="1134"/>
        <w:rPr>
          <w:rFonts w:eastAsia="MS Mincho"/>
          <w:iCs/>
          <w:lang w:val="fr-FR"/>
        </w:rPr>
      </w:pPr>
      <w:r w:rsidRPr="00846513">
        <w:rPr>
          <w:rFonts w:eastAsia="MS Mincho"/>
          <w:i/>
          <w:lang w:val="fr-FR"/>
        </w:rPr>
        <w:t>Annexe 11, paragraphe 3.2.1.2</w:t>
      </w:r>
      <w:r w:rsidRPr="00846513">
        <w:rPr>
          <w:rFonts w:eastAsia="MS Mincho"/>
          <w:iCs/>
          <w:lang w:val="fr-FR"/>
        </w:rPr>
        <w:t>, lire :</w:t>
      </w:r>
    </w:p>
    <w:p w14:paraId="71C99F13" w14:textId="6AAA9E7D" w:rsidR="000A1B5B" w:rsidRDefault="000A1B5B" w:rsidP="004C2CE1">
      <w:pPr>
        <w:pStyle w:val="SingleTxtG"/>
        <w:tabs>
          <w:tab w:val="left" w:pos="2268"/>
        </w:tabs>
        <w:spacing w:after="100"/>
        <w:ind w:left="2268" w:hanging="1134"/>
        <w:rPr>
          <w:lang w:val="fr-FR"/>
        </w:rPr>
      </w:pPr>
      <w:r>
        <w:rPr>
          <w:lang w:val="fr-FR"/>
        </w:rPr>
        <w:t>« 3.2.1.2</w:t>
      </w:r>
      <w:r>
        <w:rPr>
          <w:lang w:val="fr-FR"/>
        </w:rPr>
        <w:tab/>
      </w:r>
      <w:r w:rsidRPr="00905E3E">
        <w:rPr>
          <w:lang w:val="fr-FR"/>
        </w:rPr>
        <w:t xml:space="preserve">Le constructeur peut désactiver un programme de surveillance OBD particulier pour un cycle de conduite donné à une température ambiante ou une température </w:t>
      </w:r>
      <w:r>
        <w:rPr>
          <w:lang w:val="fr-FR"/>
        </w:rPr>
        <w:t xml:space="preserve">du liquide de refroidissement </w:t>
      </w:r>
      <w:r w:rsidRPr="00905E3E">
        <w:rPr>
          <w:lang w:val="fr-FR"/>
        </w:rPr>
        <w:t>inférieure à 266</w:t>
      </w:r>
      <w:r w:rsidR="00775FED">
        <w:rPr>
          <w:lang w:val="fr-FR"/>
        </w:rPr>
        <w:t> </w:t>
      </w:r>
      <w:r w:rsidRPr="00905E3E">
        <w:rPr>
          <w:lang w:val="fr-FR"/>
        </w:rPr>
        <w:t>K (-7 °C) ou à une altitude de plus de 2</w:t>
      </w:r>
      <w:r w:rsidR="00775FED">
        <w:rPr>
          <w:lang w:val="fr-FR"/>
        </w:rPr>
        <w:t> </w:t>
      </w:r>
      <w:r w:rsidRPr="00905E3E">
        <w:rPr>
          <w:lang w:val="fr-FR"/>
        </w:rPr>
        <w:t>500 m au-dessus du niveau de la mer, à condition qu</w:t>
      </w:r>
      <w:r>
        <w:rPr>
          <w:lang w:val="fr-FR"/>
        </w:rPr>
        <w:t>’</w:t>
      </w:r>
      <w:r w:rsidRPr="00905E3E">
        <w:rPr>
          <w:lang w:val="fr-FR"/>
        </w:rPr>
        <w:t>il produise des données et/ou une évaluation technique prouvant que le système OBD ne serait pas fiable dans ces conditions.</w:t>
      </w:r>
      <w:r w:rsidRPr="00DE3068">
        <w:t xml:space="preserve"> </w:t>
      </w:r>
      <w:r w:rsidRPr="00DE3068">
        <w:rPr>
          <w:lang w:val="fr-FR"/>
        </w:rPr>
        <w:t>Il peut aussi demander la désactivation d</w:t>
      </w:r>
      <w:r>
        <w:rPr>
          <w:lang w:val="fr-FR"/>
        </w:rPr>
        <w:t>’</w:t>
      </w:r>
      <w:r w:rsidRPr="00DE3068">
        <w:rPr>
          <w:lang w:val="fr-FR"/>
        </w:rPr>
        <w:t>un programme de surveillance OBD particulier à d</w:t>
      </w:r>
      <w:r>
        <w:rPr>
          <w:lang w:val="fr-FR"/>
        </w:rPr>
        <w:t>’</w:t>
      </w:r>
      <w:r w:rsidRPr="00DE3068">
        <w:rPr>
          <w:lang w:val="fr-FR"/>
        </w:rPr>
        <w:t xml:space="preserve">autres températures ambiantes ou </w:t>
      </w:r>
      <w:r w:rsidRPr="00905E3E">
        <w:rPr>
          <w:lang w:val="fr-FR"/>
        </w:rPr>
        <w:t>température</w:t>
      </w:r>
      <w:r>
        <w:rPr>
          <w:lang w:val="fr-FR"/>
        </w:rPr>
        <w:t>s</w:t>
      </w:r>
      <w:r w:rsidRPr="00905E3E">
        <w:rPr>
          <w:lang w:val="fr-FR"/>
        </w:rPr>
        <w:t xml:space="preserve"> </w:t>
      </w:r>
      <w:r>
        <w:rPr>
          <w:lang w:val="fr-FR"/>
        </w:rPr>
        <w:t xml:space="preserve">du liquide de refroidissement ou </w:t>
      </w:r>
      <w:r w:rsidRPr="00DE3068">
        <w:rPr>
          <w:lang w:val="fr-FR"/>
        </w:rPr>
        <w:t>à d</w:t>
      </w:r>
      <w:r>
        <w:rPr>
          <w:lang w:val="fr-FR"/>
        </w:rPr>
        <w:t>’</w:t>
      </w:r>
      <w:r w:rsidRPr="00DE3068">
        <w:rPr>
          <w:lang w:val="fr-FR"/>
        </w:rPr>
        <w:t>autres altitudes s</w:t>
      </w:r>
      <w:r>
        <w:rPr>
          <w:lang w:val="fr-FR"/>
        </w:rPr>
        <w:t>’</w:t>
      </w:r>
      <w:r w:rsidRPr="00DE3068">
        <w:rPr>
          <w:lang w:val="fr-FR"/>
        </w:rPr>
        <w:t>il apporte la preuve à l</w:t>
      </w:r>
      <w:r>
        <w:rPr>
          <w:lang w:val="fr-FR"/>
        </w:rPr>
        <w:t>’</w:t>
      </w:r>
      <w:r w:rsidRPr="00DE3068">
        <w:rPr>
          <w:lang w:val="fr-FR"/>
        </w:rPr>
        <w:t>autorité compétente, grâce à des données et/ou à une évaluation technique, que le diagnostic serait faussé dans ces conditions.</w:t>
      </w:r>
      <w:r w:rsidRPr="008D0308">
        <w:t xml:space="preserve"> </w:t>
      </w:r>
      <w:r w:rsidRPr="008D0308">
        <w:rPr>
          <w:lang w:val="fr-FR"/>
        </w:rPr>
        <w:t>Il n</w:t>
      </w:r>
      <w:r>
        <w:rPr>
          <w:lang w:val="fr-FR"/>
        </w:rPr>
        <w:t>’</w:t>
      </w:r>
      <w:r w:rsidRPr="008D0308">
        <w:rPr>
          <w:lang w:val="fr-FR"/>
        </w:rPr>
        <w:t>est pas nécessaire que le témoin de défaillance (TD) s</w:t>
      </w:r>
      <w:r>
        <w:rPr>
          <w:lang w:val="fr-FR"/>
        </w:rPr>
        <w:t>’</w:t>
      </w:r>
      <w:r w:rsidRPr="008D0308">
        <w:rPr>
          <w:lang w:val="fr-FR"/>
        </w:rPr>
        <w:t>allume en cas de dépassement des seuils OBD pendant la régénération, sous réserve qu</w:t>
      </w:r>
      <w:r>
        <w:rPr>
          <w:lang w:val="fr-FR"/>
        </w:rPr>
        <w:t>’</w:t>
      </w:r>
      <w:r w:rsidRPr="008D0308">
        <w:rPr>
          <w:lang w:val="fr-FR"/>
        </w:rPr>
        <w:t>aucun défaut ne soit présent.</w:t>
      </w:r>
    </w:p>
    <w:p w14:paraId="5EE88327" w14:textId="77777777" w:rsidR="000A1B5B" w:rsidRDefault="000A1B5B" w:rsidP="004C2CE1">
      <w:pPr>
        <w:pStyle w:val="SingleTxtG"/>
        <w:spacing w:after="100"/>
        <w:ind w:left="2268"/>
        <w:rPr>
          <w:lang w:val="fr-FR"/>
        </w:rPr>
      </w:pPr>
      <w:r>
        <w:rPr>
          <w:lang w:val="fr-FR"/>
        </w:rPr>
        <w:tab/>
      </w:r>
      <w:r w:rsidRPr="008D0308">
        <w:rPr>
          <w:lang w:val="fr-FR"/>
        </w:rPr>
        <w:t>La température du liquide de refroidissement n</w:t>
      </w:r>
      <w:r>
        <w:rPr>
          <w:lang w:val="fr-FR"/>
        </w:rPr>
        <w:t>’</w:t>
      </w:r>
      <w:r w:rsidRPr="008D0308">
        <w:rPr>
          <w:lang w:val="fr-FR"/>
        </w:rPr>
        <w:t>est considérée comme soumise à homologation que si elle est utilisée en substitution de la température ambiante</w:t>
      </w:r>
      <w:r>
        <w:rPr>
          <w:lang w:val="fr-FR"/>
        </w:rPr>
        <w:t>. ».</w:t>
      </w:r>
    </w:p>
    <w:p w14:paraId="18FC54B3" w14:textId="77777777" w:rsidR="000A1B5B" w:rsidRDefault="000A1B5B" w:rsidP="004C2CE1">
      <w:pPr>
        <w:spacing w:after="100"/>
        <w:ind w:left="2268" w:right="1111" w:hanging="1134"/>
        <w:jc w:val="both"/>
        <w:rPr>
          <w:rFonts w:eastAsia="MS Mincho"/>
          <w:i/>
        </w:rPr>
      </w:pPr>
      <w:r w:rsidRPr="00442B13">
        <w:rPr>
          <w:rFonts w:eastAsia="MS Mincho"/>
          <w:i/>
        </w:rPr>
        <w:t>Annex</w:t>
      </w:r>
      <w:r>
        <w:rPr>
          <w:rFonts w:eastAsia="MS Mincho"/>
          <w:i/>
        </w:rPr>
        <w:t>e</w:t>
      </w:r>
      <w:r w:rsidRPr="00442B13">
        <w:rPr>
          <w:rFonts w:eastAsia="MS Mincho"/>
          <w:i/>
        </w:rPr>
        <w:t xml:space="preserve"> 11, </w:t>
      </w:r>
      <w:r>
        <w:rPr>
          <w:rFonts w:eastAsia="MS Mincho"/>
          <w:i/>
        </w:rPr>
        <w:t>a</w:t>
      </w:r>
      <w:r w:rsidRPr="00442B13">
        <w:rPr>
          <w:rFonts w:eastAsia="MS Mincho"/>
          <w:i/>
        </w:rPr>
        <w:t>ppendi</w:t>
      </w:r>
      <w:r>
        <w:rPr>
          <w:rFonts w:eastAsia="MS Mincho"/>
          <w:i/>
        </w:rPr>
        <w:t>ce</w:t>
      </w:r>
      <w:r w:rsidRPr="00442B13">
        <w:rPr>
          <w:rFonts w:eastAsia="MS Mincho"/>
          <w:i/>
        </w:rPr>
        <w:t xml:space="preserve"> 1</w:t>
      </w:r>
    </w:p>
    <w:p w14:paraId="234A0F3A" w14:textId="77777777" w:rsidR="000A1B5B" w:rsidRDefault="000A1B5B" w:rsidP="004C2CE1">
      <w:pPr>
        <w:pStyle w:val="SingleTxtG"/>
        <w:keepNext/>
        <w:tabs>
          <w:tab w:val="left" w:pos="2268"/>
        </w:tabs>
        <w:spacing w:after="100"/>
        <w:ind w:left="2268" w:hanging="1134"/>
        <w:rPr>
          <w:lang w:val="fr-SN"/>
        </w:rPr>
      </w:pPr>
      <w:r w:rsidRPr="00007098">
        <w:rPr>
          <w:i/>
          <w:iCs/>
          <w:lang w:val="fr-SN"/>
        </w:rPr>
        <w:t>Paragraph</w:t>
      </w:r>
      <w:r>
        <w:rPr>
          <w:i/>
          <w:iCs/>
          <w:lang w:val="fr-SN"/>
        </w:rPr>
        <w:t>e</w:t>
      </w:r>
      <w:r w:rsidRPr="00007098">
        <w:rPr>
          <w:i/>
          <w:iCs/>
          <w:lang w:val="fr-SN"/>
        </w:rPr>
        <w:t xml:space="preserve"> 6.5.1.3</w:t>
      </w:r>
      <w:r w:rsidRPr="0047442E">
        <w:rPr>
          <w:lang w:val="fr-SN"/>
        </w:rPr>
        <w:t xml:space="preserve">, </w:t>
      </w:r>
      <w:r>
        <w:rPr>
          <w:lang w:val="fr-SN"/>
        </w:rPr>
        <w:t>lire :</w:t>
      </w:r>
    </w:p>
    <w:p w14:paraId="6B36E063" w14:textId="369D03FF" w:rsidR="000A1B5B" w:rsidRDefault="000A1B5B" w:rsidP="004C2CE1">
      <w:pPr>
        <w:pStyle w:val="SingleTxtG"/>
        <w:tabs>
          <w:tab w:val="left" w:pos="2268"/>
        </w:tabs>
        <w:spacing w:after="100" w:line="238" w:lineRule="atLeast"/>
        <w:ind w:left="2268" w:hanging="1134"/>
        <w:rPr>
          <w:lang w:val="fr-SN"/>
        </w:rPr>
      </w:pPr>
      <w:r>
        <w:rPr>
          <w:lang w:val="fr-SN"/>
        </w:rPr>
        <w:t>« </w:t>
      </w:r>
      <w:r w:rsidRPr="00473B7B">
        <w:rPr>
          <w:lang w:val="fr-SN"/>
        </w:rPr>
        <w:t>6.5.1.3</w:t>
      </w:r>
      <w:r>
        <w:rPr>
          <w:lang w:val="fr-SN"/>
        </w:rPr>
        <w:tab/>
      </w:r>
      <w:r w:rsidRPr="00132E97">
        <w:rPr>
          <w:lang w:val="fr-SN"/>
        </w:rPr>
        <w:t>Pour tous les systèmes antipollution pour lesquels des essais spécifiques d</w:t>
      </w:r>
      <w:r>
        <w:rPr>
          <w:lang w:val="fr-SN"/>
        </w:rPr>
        <w:t>’</w:t>
      </w:r>
      <w:r w:rsidRPr="00132E97">
        <w:rPr>
          <w:lang w:val="fr-SN"/>
        </w:rPr>
        <w:t>évaluation en fonctionnement sont réalisés</w:t>
      </w:r>
      <w:r>
        <w:rPr>
          <w:lang w:val="fr-SN"/>
        </w:rPr>
        <w:t xml:space="preserve"> conformément à la présente annexe</w:t>
      </w:r>
      <w:r w:rsidRPr="00132E97">
        <w:rPr>
          <w:lang w:val="fr-SN"/>
        </w:rPr>
        <w:t xml:space="preserve"> (catalyseur, sonde à oxygène, etc.) à l</w:t>
      </w:r>
      <w:r>
        <w:rPr>
          <w:lang w:val="fr-SN"/>
        </w:rPr>
        <w:t>’</w:t>
      </w:r>
      <w:r w:rsidRPr="00132E97">
        <w:rPr>
          <w:lang w:val="fr-SN"/>
        </w:rPr>
        <w:t>exception de la détection des ratés d</w:t>
      </w:r>
      <w:r>
        <w:rPr>
          <w:lang w:val="fr-SN"/>
        </w:rPr>
        <w:t>’</w:t>
      </w:r>
      <w:r w:rsidRPr="00132E97">
        <w:rPr>
          <w:lang w:val="fr-SN"/>
        </w:rPr>
        <w:t>allumage, de la surveillance du système d</w:t>
      </w:r>
      <w:r>
        <w:rPr>
          <w:lang w:val="fr-SN"/>
        </w:rPr>
        <w:t>’</w:t>
      </w:r>
      <w:r w:rsidRPr="00132E97">
        <w:rPr>
          <w:lang w:val="fr-SN"/>
        </w:rPr>
        <w:t>alimentation en carburant et de la surveillance complète des composants, les résultats de l</w:t>
      </w:r>
      <w:r>
        <w:rPr>
          <w:lang w:val="fr-SN"/>
        </w:rPr>
        <w:t>’</w:t>
      </w:r>
      <w:r w:rsidRPr="00132E97">
        <w:rPr>
          <w:lang w:val="fr-SN"/>
        </w:rPr>
        <w:t>essai le plus récent subi par le véhicule et les limites par rapport auxquelles le système est comparé peuvent être obtenus par l</w:t>
      </w:r>
      <w:r>
        <w:rPr>
          <w:lang w:val="fr-SN"/>
        </w:rPr>
        <w:t>’</w:t>
      </w:r>
      <w:r w:rsidRPr="00132E97">
        <w:rPr>
          <w:lang w:val="fr-SN"/>
        </w:rPr>
        <w:t>intermédiaire du port série du connecteur de diagnostic normalisé, conformément aux spécifications indiquées au paragraphe</w:t>
      </w:r>
      <w:r w:rsidR="004C2CE1">
        <w:rPr>
          <w:lang w:val="fr-SN"/>
        </w:rPr>
        <w:t> </w:t>
      </w:r>
      <w:r w:rsidRPr="00132E97">
        <w:rPr>
          <w:lang w:val="fr-SN"/>
        </w:rPr>
        <w:t>6.5.3 du présent appendice.</w:t>
      </w:r>
      <w:r w:rsidRPr="001E4064">
        <w:t xml:space="preserve"> </w:t>
      </w:r>
      <w:r w:rsidRPr="001E4064">
        <w:rPr>
          <w:lang w:val="fr-SN"/>
        </w:rPr>
        <w:t>En ce qui concerne les composants et systèmes mentionnés ci-dessus comme faisant l</w:t>
      </w:r>
      <w:r>
        <w:rPr>
          <w:lang w:val="fr-SN"/>
        </w:rPr>
        <w:t>’</w:t>
      </w:r>
      <w:r w:rsidRPr="001E4064">
        <w:rPr>
          <w:lang w:val="fr-SN"/>
        </w:rPr>
        <w:t>objet d</w:t>
      </w:r>
      <w:r>
        <w:rPr>
          <w:lang w:val="fr-SN"/>
        </w:rPr>
        <w:t>’</w:t>
      </w:r>
      <w:r w:rsidRPr="001E4064">
        <w:rPr>
          <w:lang w:val="fr-SN"/>
        </w:rPr>
        <w:t>une exception, une indication de succès ou d</w:t>
      </w:r>
      <w:r>
        <w:rPr>
          <w:lang w:val="fr-SN"/>
        </w:rPr>
        <w:t>’</w:t>
      </w:r>
      <w:r w:rsidRPr="001E4064">
        <w:rPr>
          <w:lang w:val="fr-SN"/>
        </w:rPr>
        <w:t>échec pour l</w:t>
      </w:r>
      <w:r>
        <w:rPr>
          <w:lang w:val="fr-SN"/>
        </w:rPr>
        <w:t>’</w:t>
      </w:r>
      <w:r w:rsidRPr="001E4064">
        <w:rPr>
          <w:lang w:val="fr-SN"/>
        </w:rPr>
        <w:t>essai le plus récent doit être disponible via le connecteur normalisé.</w:t>
      </w:r>
    </w:p>
    <w:p w14:paraId="334B1846" w14:textId="697453F7" w:rsidR="000A1B5B" w:rsidRDefault="000A1B5B" w:rsidP="004C2CE1">
      <w:pPr>
        <w:pStyle w:val="SingleTxtG"/>
        <w:spacing w:after="100" w:line="238" w:lineRule="atLeast"/>
        <w:ind w:left="2268"/>
        <w:rPr>
          <w:lang w:val="fr-SN"/>
        </w:rPr>
      </w:pPr>
      <w:r>
        <w:rPr>
          <w:lang w:val="fr-SN"/>
        </w:rPr>
        <w:tab/>
      </w:r>
      <w:r w:rsidRPr="000E62FF">
        <w:rPr>
          <w:lang w:val="fr-SN"/>
        </w:rPr>
        <w:t>Toutes les données requises devant être enregistrées en ce qui concerne l</w:t>
      </w:r>
      <w:r>
        <w:rPr>
          <w:lang w:val="fr-SN"/>
        </w:rPr>
        <w:t>’</w:t>
      </w:r>
      <w:r w:rsidRPr="000E62FF">
        <w:rPr>
          <w:lang w:val="fr-SN"/>
        </w:rPr>
        <w:t>efficacité en service du système OBD conformément au paragraphe</w:t>
      </w:r>
      <w:r w:rsidR="004C2CE1">
        <w:rPr>
          <w:lang w:val="fr-SN"/>
        </w:rPr>
        <w:t> </w:t>
      </w:r>
      <w:r w:rsidRPr="000E62FF">
        <w:rPr>
          <w:lang w:val="fr-SN"/>
        </w:rPr>
        <w:t>7.6 du présent appendice doivent être disponibles par l</w:t>
      </w:r>
      <w:r>
        <w:rPr>
          <w:lang w:val="fr-SN"/>
        </w:rPr>
        <w:t>’</w:t>
      </w:r>
      <w:r w:rsidRPr="000E62FF">
        <w:rPr>
          <w:lang w:val="fr-SN"/>
        </w:rPr>
        <w:t>intermédiaire du port série du connecteur de diagnostic normalisé conformément aux spécifications visées au paragraphe</w:t>
      </w:r>
      <w:r w:rsidR="004C2CE1">
        <w:rPr>
          <w:lang w:val="fr-SN"/>
        </w:rPr>
        <w:t> </w:t>
      </w:r>
      <w:r w:rsidRPr="000E62FF">
        <w:rPr>
          <w:lang w:val="fr-SN"/>
        </w:rPr>
        <w:t>6.5.3 du présent appendice.</w:t>
      </w:r>
      <w:r>
        <w:rPr>
          <w:lang w:val="fr-SN"/>
        </w:rPr>
        <w:t> ».</w:t>
      </w:r>
    </w:p>
    <w:p w14:paraId="62EEF4E4" w14:textId="77777777" w:rsidR="000A1B5B" w:rsidRDefault="000A1B5B" w:rsidP="00297270">
      <w:pPr>
        <w:pStyle w:val="SingleTxtG"/>
        <w:keepNext/>
        <w:tabs>
          <w:tab w:val="left" w:pos="2268"/>
        </w:tabs>
      </w:pPr>
      <w:r w:rsidRPr="00846513">
        <w:rPr>
          <w:i/>
          <w:iCs/>
        </w:rPr>
        <w:lastRenderedPageBreak/>
        <w:t>Paragraphes 6.5.3.4 et 6.5.3.5</w:t>
      </w:r>
      <w:r w:rsidRPr="00846513">
        <w:t>, lire :</w:t>
      </w:r>
    </w:p>
    <w:p w14:paraId="0435C944" w14:textId="3271C168" w:rsidR="000A1B5B" w:rsidRDefault="000A1B5B" w:rsidP="000A1B5B">
      <w:pPr>
        <w:pStyle w:val="SingleTxtG"/>
        <w:tabs>
          <w:tab w:val="left" w:pos="2268"/>
        </w:tabs>
        <w:ind w:left="2259" w:hanging="1125"/>
        <w:rPr>
          <w:lang w:val="fr-FR"/>
        </w:rPr>
      </w:pPr>
      <w:r w:rsidRPr="00846513">
        <w:rPr>
          <w:lang w:val="fr-FR"/>
        </w:rPr>
        <w:t>« 6.5.3.4</w:t>
      </w:r>
      <w:r>
        <w:rPr>
          <w:lang w:val="fr-FR"/>
        </w:rPr>
        <w:tab/>
      </w:r>
      <w:r w:rsidRPr="00846513">
        <w:rPr>
          <w:lang w:val="fr-FR"/>
        </w:rPr>
        <w:t xml:space="preserve">Les données de diagnostic de base (définies au paragraphe 6.5.1 du présent appendice) et les informations de contrôle bidirectionnel doivent être fournies selon le format et </w:t>
      </w:r>
      <w:r>
        <w:rPr>
          <w:lang w:val="fr-FR"/>
        </w:rPr>
        <w:t>à l’aide d</w:t>
      </w:r>
      <w:r w:rsidRPr="00846513">
        <w:rPr>
          <w:lang w:val="fr-FR"/>
        </w:rPr>
        <w:t>es unités prévues dans la norme indiquée à l</w:t>
      </w:r>
      <w:r>
        <w:rPr>
          <w:lang w:val="fr-FR"/>
        </w:rPr>
        <w:t>’</w:t>
      </w:r>
      <w:r w:rsidRPr="00846513">
        <w:rPr>
          <w:lang w:val="fr-FR"/>
        </w:rPr>
        <w:t>alinéa</w:t>
      </w:r>
      <w:r w:rsidR="00707DEE">
        <w:rPr>
          <w:lang w:val="fr-FR"/>
        </w:rPr>
        <w:t> </w:t>
      </w:r>
      <w:r w:rsidRPr="00846513">
        <w:rPr>
          <w:lang w:val="fr-FR"/>
        </w:rPr>
        <w:t>a) du paragraphe 6.5.3.2 du présent appendice et être accessibles au moyen d</w:t>
      </w:r>
      <w:r>
        <w:rPr>
          <w:lang w:val="fr-FR"/>
        </w:rPr>
        <w:t>’</w:t>
      </w:r>
      <w:r w:rsidRPr="00846513">
        <w:rPr>
          <w:lang w:val="fr-FR"/>
        </w:rPr>
        <w:t>un analyseur de diagnostic respectant les prescriptions de la norme indiquée à l</w:t>
      </w:r>
      <w:r>
        <w:rPr>
          <w:lang w:val="fr-FR"/>
        </w:rPr>
        <w:t>’</w:t>
      </w:r>
      <w:r w:rsidRPr="00846513">
        <w:rPr>
          <w:lang w:val="fr-FR"/>
        </w:rPr>
        <w:t>alinéa b) du paragraphe 6.5.3.2 du présent appendice.</w:t>
      </w:r>
    </w:p>
    <w:p w14:paraId="1E76E18A" w14:textId="77777777" w:rsidR="000A1B5B" w:rsidRDefault="000A1B5B" w:rsidP="000A1B5B">
      <w:pPr>
        <w:pStyle w:val="SingleTxtG"/>
        <w:ind w:left="2268"/>
        <w:rPr>
          <w:lang w:val="fr-SN"/>
        </w:rPr>
      </w:pPr>
      <w:r>
        <w:rPr>
          <w:lang w:val="fr-SN"/>
        </w:rPr>
        <w:tab/>
      </w:r>
      <w:r w:rsidRPr="006F4DAC">
        <w:rPr>
          <w:lang w:val="fr-SN"/>
        </w:rPr>
        <w:t>Le constructeur du véhicule doit communiquer à l</w:t>
      </w:r>
      <w:r>
        <w:rPr>
          <w:lang w:val="fr-SN"/>
        </w:rPr>
        <w:t>’</w:t>
      </w:r>
      <w:r w:rsidRPr="006F4DAC">
        <w:rPr>
          <w:lang w:val="fr-SN"/>
        </w:rPr>
        <w:t xml:space="preserve">organisme de normalisation </w:t>
      </w:r>
      <w:r>
        <w:rPr>
          <w:lang w:val="fr-SN"/>
        </w:rPr>
        <w:t xml:space="preserve">compétent </w:t>
      </w:r>
      <w:r w:rsidRPr="006F4DAC">
        <w:rPr>
          <w:lang w:val="fr-SN"/>
        </w:rPr>
        <w:t>des données détaillées de diagnostic relatif aux émissions, par exemple les identificateurs de paramètre (PID), les identificateurs de programme de surveillance (monitor ID), et les identificateurs d</w:t>
      </w:r>
      <w:r>
        <w:rPr>
          <w:lang w:val="fr-SN"/>
        </w:rPr>
        <w:t>’</w:t>
      </w:r>
      <w:r w:rsidRPr="006F4DAC">
        <w:rPr>
          <w:lang w:val="fr-SN"/>
        </w:rPr>
        <w:t>essai (test ID) non spécifiés dans la norme indiquée à l</w:t>
      </w:r>
      <w:r>
        <w:rPr>
          <w:lang w:val="fr-SN"/>
        </w:rPr>
        <w:t>’</w:t>
      </w:r>
      <w:r w:rsidRPr="006F4DAC">
        <w:rPr>
          <w:lang w:val="fr-SN"/>
        </w:rPr>
        <w:t>alinéa a) du paragraphe 6.5.3.2 du présent appendice mais liés au présent Règlement.</w:t>
      </w:r>
    </w:p>
    <w:p w14:paraId="51B72893" w14:textId="2CE7CAEB" w:rsidR="000A1B5B" w:rsidRDefault="000A1B5B" w:rsidP="000A1B5B">
      <w:pPr>
        <w:pStyle w:val="SingleTxtG"/>
        <w:tabs>
          <w:tab w:val="left" w:pos="2268"/>
        </w:tabs>
        <w:ind w:left="2259" w:hanging="1125"/>
        <w:rPr>
          <w:lang w:val="fr-FR"/>
        </w:rPr>
      </w:pPr>
      <w:r w:rsidRPr="00846513">
        <w:rPr>
          <w:lang w:val="fr-FR"/>
        </w:rPr>
        <w:t xml:space="preserve">6.5.3.5. </w:t>
      </w:r>
      <w:r w:rsidRPr="00846513">
        <w:rPr>
          <w:lang w:val="fr-FR"/>
        </w:rPr>
        <w:tab/>
      </w:r>
      <w:r w:rsidRPr="00482842">
        <w:rPr>
          <w:lang w:val="fr-FR"/>
        </w:rPr>
        <w:t>Lorsqu</w:t>
      </w:r>
      <w:r>
        <w:rPr>
          <w:lang w:val="fr-FR"/>
        </w:rPr>
        <w:t>’</w:t>
      </w:r>
      <w:r w:rsidRPr="00482842">
        <w:rPr>
          <w:lang w:val="fr-FR"/>
        </w:rPr>
        <w:t>une défaillance est enregistrée, le constructeur doit l</w:t>
      </w:r>
      <w:r>
        <w:rPr>
          <w:lang w:val="fr-FR"/>
        </w:rPr>
        <w:t>’</w:t>
      </w:r>
      <w:r w:rsidRPr="00482842">
        <w:rPr>
          <w:lang w:val="fr-FR"/>
        </w:rPr>
        <w:t xml:space="preserve">identifier en utilisant un code </w:t>
      </w:r>
      <w:r>
        <w:rPr>
          <w:lang w:val="fr-FR"/>
        </w:rPr>
        <w:t>d’erreur</w:t>
      </w:r>
      <w:r w:rsidRPr="00482842">
        <w:rPr>
          <w:lang w:val="fr-FR"/>
        </w:rPr>
        <w:t xml:space="preserve"> ISO/SAE approprié comme spécifié dans l</w:t>
      </w:r>
      <w:r>
        <w:rPr>
          <w:lang w:val="fr-FR"/>
        </w:rPr>
        <w:t>’</w:t>
      </w:r>
      <w:r w:rsidRPr="00482842">
        <w:rPr>
          <w:lang w:val="fr-FR"/>
        </w:rPr>
        <w:t>une des normes énumérées à l</w:t>
      </w:r>
      <w:r>
        <w:rPr>
          <w:lang w:val="fr-FR"/>
        </w:rPr>
        <w:t>’</w:t>
      </w:r>
      <w:r w:rsidRPr="00482842">
        <w:rPr>
          <w:lang w:val="fr-FR"/>
        </w:rPr>
        <w:t xml:space="preserve">alinéa d) du paragraphe 6.5.3.2 du présent appendice, concernant les codes </w:t>
      </w:r>
      <w:r>
        <w:rPr>
          <w:lang w:val="fr-FR"/>
        </w:rPr>
        <w:t>d’erreur</w:t>
      </w:r>
      <w:r w:rsidRPr="00482842">
        <w:rPr>
          <w:lang w:val="fr-FR"/>
        </w:rPr>
        <w:t xml:space="preserve"> du système antipollution.</w:t>
      </w:r>
      <w:r w:rsidRPr="00482842">
        <w:t xml:space="preserve"> </w:t>
      </w:r>
      <w:r w:rsidRPr="00482842">
        <w:rPr>
          <w:lang w:val="fr-FR"/>
        </w:rPr>
        <w:t xml:space="preserve">Si cela est </w:t>
      </w:r>
      <w:r>
        <w:rPr>
          <w:lang w:val="fr-FR"/>
        </w:rPr>
        <w:t>im</w:t>
      </w:r>
      <w:r w:rsidRPr="00482842">
        <w:rPr>
          <w:lang w:val="fr-FR"/>
        </w:rPr>
        <w:t>possible, le constructeur peut utiliser les codes d</w:t>
      </w:r>
      <w:r>
        <w:rPr>
          <w:lang w:val="fr-FR"/>
        </w:rPr>
        <w:t>’</w:t>
      </w:r>
      <w:r w:rsidRPr="00482842">
        <w:rPr>
          <w:lang w:val="fr-FR"/>
        </w:rPr>
        <w:t>anomalie visés dans la même norme.</w:t>
      </w:r>
      <w:r w:rsidRPr="00482842">
        <w:t xml:space="preserve"> </w:t>
      </w:r>
      <w:r w:rsidRPr="00482842">
        <w:rPr>
          <w:lang w:val="fr-FR"/>
        </w:rPr>
        <w:t>L</w:t>
      </w:r>
      <w:r>
        <w:rPr>
          <w:lang w:val="fr-FR"/>
        </w:rPr>
        <w:t>’</w:t>
      </w:r>
      <w:r w:rsidRPr="00482842">
        <w:rPr>
          <w:lang w:val="fr-FR"/>
        </w:rPr>
        <w:t xml:space="preserve">accès aux codes </w:t>
      </w:r>
      <w:r>
        <w:rPr>
          <w:lang w:val="fr-FR"/>
        </w:rPr>
        <w:t>d’erreur</w:t>
      </w:r>
      <w:r w:rsidRPr="00482842">
        <w:rPr>
          <w:lang w:val="fr-FR"/>
        </w:rPr>
        <w:t xml:space="preserve"> doit être </w:t>
      </w:r>
      <w:r>
        <w:rPr>
          <w:lang w:val="fr-FR"/>
        </w:rPr>
        <w:t>assuré sans restriction</w:t>
      </w:r>
      <w:r w:rsidRPr="00482842">
        <w:rPr>
          <w:lang w:val="fr-FR"/>
        </w:rPr>
        <w:t xml:space="preserve"> au moyen d</w:t>
      </w:r>
      <w:r>
        <w:rPr>
          <w:lang w:val="fr-FR"/>
        </w:rPr>
        <w:t>’</w:t>
      </w:r>
      <w:r w:rsidRPr="00482842">
        <w:rPr>
          <w:lang w:val="fr-FR"/>
        </w:rPr>
        <w:t>un analyseur de diagnostic normalisé conforme aux dispositions du paragraphe</w:t>
      </w:r>
      <w:r w:rsidR="001939AE">
        <w:rPr>
          <w:lang w:val="fr-FR"/>
        </w:rPr>
        <w:t> </w:t>
      </w:r>
      <w:r w:rsidRPr="00482842">
        <w:rPr>
          <w:lang w:val="fr-FR"/>
        </w:rPr>
        <w:t>6.5.3.3 du présent appendice.</w:t>
      </w:r>
    </w:p>
    <w:p w14:paraId="3A59FA7A" w14:textId="1A5C4A76" w:rsidR="00F9573C" w:rsidRDefault="000A1B5B" w:rsidP="000A1B5B">
      <w:pPr>
        <w:pStyle w:val="SingleTxtG"/>
        <w:ind w:left="2268"/>
        <w:rPr>
          <w:lang w:val="fr-SN"/>
        </w:rPr>
      </w:pPr>
      <w:r w:rsidRPr="006F4DAC">
        <w:rPr>
          <w:lang w:val="fr-SN"/>
        </w:rPr>
        <w:t>Le constructeur du véhicule doit communiquer à l</w:t>
      </w:r>
      <w:r>
        <w:rPr>
          <w:lang w:val="fr-SN"/>
        </w:rPr>
        <w:t>’</w:t>
      </w:r>
      <w:r w:rsidRPr="006F4DAC">
        <w:rPr>
          <w:lang w:val="fr-SN"/>
        </w:rPr>
        <w:t xml:space="preserve">organisme de normalisation </w:t>
      </w:r>
      <w:r>
        <w:rPr>
          <w:lang w:val="fr-SN"/>
        </w:rPr>
        <w:t xml:space="preserve">compétent </w:t>
      </w:r>
      <w:r w:rsidRPr="006F4DAC">
        <w:rPr>
          <w:lang w:val="fr-SN"/>
        </w:rPr>
        <w:t>des données détaillées de diagnostic relatif aux émissions, par exemple les identificateurs de paramètre (PID), les identificateurs de programme de surveillance (monitor ID), et les identificateurs d</w:t>
      </w:r>
      <w:r>
        <w:rPr>
          <w:lang w:val="fr-SN"/>
        </w:rPr>
        <w:t>’</w:t>
      </w:r>
      <w:r w:rsidRPr="006F4DAC">
        <w:rPr>
          <w:lang w:val="fr-SN"/>
        </w:rPr>
        <w:t>essai (test ID) non spécifiés dans la norme indiquée à l</w:t>
      </w:r>
      <w:r>
        <w:rPr>
          <w:lang w:val="fr-SN"/>
        </w:rPr>
        <w:t>’</w:t>
      </w:r>
      <w:r w:rsidRPr="006F4DAC">
        <w:rPr>
          <w:lang w:val="fr-SN"/>
        </w:rPr>
        <w:t>alinéa a) du paragraphe 6.5.3.2 du présent appendice mais liés au présent Règlement.</w:t>
      </w:r>
      <w:r>
        <w:rPr>
          <w:lang w:val="fr-SN"/>
        </w:rPr>
        <w:t> ».</w:t>
      </w:r>
    </w:p>
    <w:p w14:paraId="61A159EC" w14:textId="51C74E7A" w:rsidR="000A1B5B" w:rsidRPr="000A1B5B" w:rsidRDefault="000A1B5B" w:rsidP="000A1B5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1B5B" w:rsidRPr="000A1B5B" w:rsidSect="000A1B5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D3B0" w14:textId="77777777" w:rsidR="00A311D8" w:rsidRDefault="00A311D8" w:rsidP="00F95C08">
      <w:pPr>
        <w:spacing w:line="240" w:lineRule="auto"/>
      </w:pPr>
    </w:p>
  </w:endnote>
  <w:endnote w:type="continuationSeparator" w:id="0">
    <w:p w14:paraId="631A0D55" w14:textId="77777777" w:rsidR="00A311D8" w:rsidRPr="00AC3823" w:rsidRDefault="00A311D8" w:rsidP="00AC3823">
      <w:pPr>
        <w:pStyle w:val="Pieddepage"/>
      </w:pPr>
    </w:p>
  </w:endnote>
  <w:endnote w:type="continuationNotice" w:id="1">
    <w:p w14:paraId="7EDBEAF8" w14:textId="77777777" w:rsidR="00A311D8" w:rsidRDefault="00A311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F98D" w14:textId="4403A099" w:rsidR="000A1B5B" w:rsidRPr="000A1B5B" w:rsidRDefault="000A1B5B" w:rsidP="000A1B5B">
    <w:pPr>
      <w:pStyle w:val="Pieddepage"/>
      <w:tabs>
        <w:tab w:val="right" w:pos="9638"/>
      </w:tabs>
    </w:pPr>
    <w:r w:rsidRPr="000A1B5B">
      <w:rPr>
        <w:b/>
        <w:sz w:val="18"/>
      </w:rPr>
      <w:fldChar w:fldCharType="begin"/>
    </w:r>
    <w:r w:rsidRPr="000A1B5B">
      <w:rPr>
        <w:b/>
        <w:sz w:val="18"/>
      </w:rPr>
      <w:instrText xml:space="preserve"> PAGE  \* MERGEFORMAT </w:instrText>
    </w:r>
    <w:r w:rsidRPr="000A1B5B">
      <w:rPr>
        <w:b/>
        <w:sz w:val="18"/>
      </w:rPr>
      <w:fldChar w:fldCharType="separate"/>
    </w:r>
    <w:r w:rsidRPr="000A1B5B">
      <w:rPr>
        <w:b/>
        <w:noProof/>
        <w:sz w:val="18"/>
      </w:rPr>
      <w:t>2</w:t>
    </w:r>
    <w:r w:rsidRPr="000A1B5B">
      <w:rPr>
        <w:b/>
        <w:sz w:val="18"/>
      </w:rPr>
      <w:fldChar w:fldCharType="end"/>
    </w:r>
    <w:r>
      <w:rPr>
        <w:b/>
        <w:sz w:val="18"/>
      </w:rPr>
      <w:tab/>
    </w:r>
    <w:r>
      <w:t>GE.23-06286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A6E1" w14:textId="2A69738B" w:rsidR="000A1B5B" w:rsidRPr="000A1B5B" w:rsidRDefault="000A1B5B" w:rsidP="000A1B5B">
    <w:pPr>
      <w:pStyle w:val="Pieddepage"/>
      <w:tabs>
        <w:tab w:val="right" w:pos="9638"/>
      </w:tabs>
      <w:rPr>
        <w:b/>
        <w:sz w:val="18"/>
      </w:rPr>
    </w:pPr>
    <w:r>
      <w:t>GE.23-06286</w:t>
    </w:r>
    <w:r>
      <w:tab/>
    </w:r>
    <w:r w:rsidRPr="000A1B5B">
      <w:rPr>
        <w:b/>
        <w:sz w:val="18"/>
      </w:rPr>
      <w:fldChar w:fldCharType="begin"/>
    </w:r>
    <w:r w:rsidRPr="000A1B5B">
      <w:rPr>
        <w:b/>
        <w:sz w:val="18"/>
      </w:rPr>
      <w:instrText xml:space="preserve"> PAGE  \* MERGEFORMAT </w:instrText>
    </w:r>
    <w:r w:rsidRPr="000A1B5B">
      <w:rPr>
        <w:b/>
        <w:sz w:val="18"/>
      </w:rPr>
      <w:fldChar w:fldCharType="separate"/>
    </w:r>
    <w:r w:rsidRPr="000A1B5B">
      <w:rPr>
        <w:b/>
        <w:noProof/>
        <w:sz w:val="18"/>
      </w:rPr>
      <w:t>3</w:t>
    </w:r>
    <w:r w:rsidRPr="000A1B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CDCE" w14:textId="0D0F9A81" w:rsidR="007F20FA" w:rsidRPr="000A1B5B" w:rsidRDefault="000A1B5B" w:rsidP="000A1B5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1560782" wp14:editId="4412DB4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23-06286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5D594D5" wp14:editId="30033B8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180423    190423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CE92" w14:textId="77777777" w:rsidR="00A311D8" w:rsidRPr="00AC3823" w:rsidRDefault="00A311D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D0CD684" w14:textId="77777777" w:rsidR="00A311D8" w:rsidRPr="00AC3823" w:rsidRDefault="00A311D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C9F92BA" w14:textId="77777777" w:rsidR="00A311D8" w:rsidRPr="00AC3823" w:rsidRDefault="00A311D8">
      <w:pPr>
        <w:spacing w:line="240" w:lineRule="auto"/>
        <w:rPr>
          <w:sz w:val="2"/>
          <w:szCs w:val="2"/>
        </w:rPr>
      </w:pPr>
    </w:p>
  </w:footnote>
  <w:footnote w:id="2">
    <w:p w14:paraId="5D2DC4D1" w14:textId="77777777" w:rsidR="000A1B5B" w:rsidRDefault="000A1B5B" w:rsidP="000A1B5B">
      <w:pPr>
        <w:pStyle w:val="Notedebasdepage"/>
        <w:rPr>
          <w:lang w:val="fr-FR"/>
        </w:rPr>
      </w:pPr>
      <w:r>
        <w:rPr>
          <w:lang w:val="fr-FR"/>
        </w:rPr>
        <w:tab/>
      </w:r>
      <w:r w:rsidRPr="00191198">
        <w:rPr>
          <w:sz w:val="20"/>
          <w:szCs w:val="22"/>
          <w:lang w:val="fr-FR"/>
        </w:rPr>
        <w:t>*</w:t>
      </w:r>
      <w:r w:rsidRPr="00191198">
        <w:rPr>
          <w:sz w:val="20"/>
          <w:szCs w:val="22"/>
          <w:lang w:val="fr-FR"/>
        </w:rPr>
        <w:tab/>
      </w:r>
      <w:r>
        <w:rPr>
          <w:lang w:val="fr-FR"/>
        </w:rPr>
        <w:t>Conformément au programme de travail du Comité des transports intérieurs pour 2023 tel qu’il figure dans le projet de budget-programme pour 2023 (A/77/6 (Sect. 20), par. 20.6), le Forum mondial a pour mission d’élaborer, d’harmoniser et de mettre à jour les Règlements ONU en vue d’améliorer les caractéristiques fonctionnelles des véhicules. Le présent document est soumis en vertu de ce mandat.</w:t>
      </w:r>
    </w:p>
    <w:p w14:paraId="3FE45FC4" w14:textId="77777777" w:rsidR="000A1B5B" w:rsidRPr="006642A9" w:rsidRDefault="000A1B5B" w:rsidP="000A1B5B">
      <w:pPr>
        <w:pStyle w:val="Notedebasdepage"/>
        <w:rPr>
          <w:lang w:val="fr-FR"/>
        </w:rPr>
      </w:pPr>
    </w:p>
  </w:footnote>
  <w:footnote w:id="3">
    <w:p w14:paraId="373AB3E0" w14:textId="0E911462" w:rsidR="000A1B5B" w:rsidRPr="00846513" w:rsidRDefault="004C2CE1" w:rsidP="000A1B5B">
      <w:pPr>
        <w:pStyle w:val="Notedebasdepage"/>
        <w:rPr>
          <w:lang w:val="fr-SN" w:eastAsia="ja-JP"/>
        </w:rPr>
      </w:pPr>
      <w:r>
        <w:rPr>
          <w:lang w:val="fr-SN"/>
        </w:rPr>
        <w:tab/>
      </w:r>
      <w:r w:rsidR="000A1B5B" w:rsidRPr="00846513">
        <w:rPr>
          <w:rStyle w:val="Appelnotedebasdep"/>
        </w:rPr>
        <w:footnoteRef/>
      </w:r>
      <w:r>
        <w:rPr>
          <w:lang w:val="fr-SN"/>
        </w:rPr>
        <w:tab/>
      </w:r>
      <w:r w:rsidR="000A1B5B" w:rsidRPr="00007098">
        <w:rPr>
          <w:lang w:val="fr-SN" w:eastAsia="ja-JP"/>
        </w:rPr>
        <w:t xml:space="preserve">Date à remplacer par la date d'entrée en vigueur de la présente proposition lorsque cette </w:t>
      </w:r>
      <w:r w:rsidR="000A1B5B">
        <w:rPr>
          <w:lang w:val="fr-SN" w:eastAsia="ja-JP"/>
        </w:rPr>
        <w:t>date</w:t>
      </w:r>
      <w:r w:rsidR="000A1B5B" w:rsidRPr="00007098">
        <w:rPr>
          <w:lang w:val="fr-SN" w:eastAsia="ja-JP"/>
        </w:rPr>
        <w:t xml:space="preserve"> sera connue.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2E4B" w14:textId="6F514DF2" w:rsidR="000A1B5B" w:rsidRPr="000A1B5B" w:rsidRDefault="000A1B5B">
    <w:pPr>
      <w:pStyle w:val="En-tte"/>
    </w:pPr>
    <w:fldSimple w:instr=" TITLE  \* MERGEFORMAT ">
      <w:r>
        <w:t>ECE/TRANS/WP.29/2023/63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E51D" w14:textId="0B6BAF68" w:rsidR="000A1B5B" w:rsidRPr="000A1B5B" w:rsidRDefault="000A1B5B" w:rsidP="000A1B5B">
    <w:pPr>
      <w:pStyle w:val="En-tte"/>
      <w:jc w:val="right"/>
    </w:pPr>
    <w:fldSimple w:instr=" TITLE  \* MERGEFORMAT ">
      <w:r>
        <w:t>ECE/TRANS/WP.29/2023/63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97306620">
    <w:abstractNumId w:val="12"/>
  </w:num>
  <w:num w:numId="2" w16cid:durableId="1007754266">
    <w:abstractNumId w:val="11"/>
  </w:num>
  <w:num w:numId="3" w16cid:durableId="1164397076">
    <w:abstractNumId w:val="10"/>
  </w:num>
  <w:num w:numId="4" w16cid:durableId="502360651">
    <w:abstractNumId w:val="8"/>
  </w:num>
  <w:num w:numId="5" w16cid:durableId="1641381533">
    <w:abstractNumId w:val="3"/>
  </w:num>
  <w:num w:numId="6" w16cid:durableId="684525498">
    <w:abstractNumId w:val="2"/>
  </w:num>
  <w:num w:numId="7" w16cid:durableId="885339094">
    <w:abstractNumId w:val="1"/>
  </w:num>
  <w:num w:numId="8" w16cid:durableId="742801774">
    <w:abstractNumId w:val="0"/>
  </w:num>
  <w:num w:numId="9" w16cid:durableId="131407846">
    <w:abstractNumId w:val="9"/>
  </w:num>
  <w:num w:numId="10" w16cid:durableId="2127843401">
    <w:abstractNumId w:val="7"/>
  </w:num>
  <w:num w:numId="11" w16cid:durableId="433139274">
    <w:abstractNumId w:val="6"/>
  </w:num>
  <w:num w:numId="12" w16cid:durableId="450514453">
    <w:abstractNumId w:val="5"/>
  </w:num>
  <w:num w:numId="13" w16cid:durableId="425884752">
    <w:abstractNumId w:val="4"/>
  </w:num>
  <w:num w:numId="14" w16cid:durableId="1808433140">
    <w:abstractNumId w:val="12"/>
  </w:num>
  <w:num w:numId="15" w16cid:durableId="1031417885">
    <w:abstractNumId w:val="11"/>
  </w:num>
  <w:num w:numId="16" w16cid:durableId="11088183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D8"/>
    <w:rsid w:val="00017F94"/>
    <w:rsid w:val="00023842"/>
    <w:rsid w:val="000334F9"/>
    <w:rsid w:val="00045FEB"/>
    <w:rsid w:val="0007796D"/>
    <w:rsid w:val="000A1B5B"/>
    <w:rsid w:val="000B7790"/>
    <w:rsid w:val="00111F2F"/>
    <w:rsid w:val="0014365E"/>
    <w:rsid w:val="00143C66"/>
    <w:rsid w:val="00176178"/>
    <w:rsid w:val="001939AE"/>
    <w:rsid w:val="001F525A"/>
    <w:rsid w:val="00201148"/>
    <w:rsid w:val="00223272"/>
    <w:rsid w:val="0024779E"/>
    <w:rsid w:val="00251AFE"/>
    <w:rsid w:val="00257168"/>
    <w:rsid w:val="002744B8"/>
    <w:rsid w:val="00276948"/>
    <w:rsid w:val="002832AC"/>
    <w:rsid w:val="00297270"/>
    <w:rsid w:val="002D7C93"/>
    <w:rsid w:val="00305801"/>
    <w:rsid w:val="00326A61"/>
    <w:rsid w:val="003916DE"/>
    <w:rsid w:val="00421996"/>
    <w:rsid w:val="00441C3B"/>
    <w:rsid w:val="00446FE5"/>
    <w:rsid w:val="00452396"/>
    <w:rsid w:val="00477EB2"/>
    <w:rsid w:val="004837D8"/>
    <w:rsid w:val="004C2CE1"/>
    <w:rsid w:val="004E2EED"/>
    <w:rsid w:val="004E468C"/>
    <w:rsid w:val="005505B7"/>
    <w:rsid w:val="00573BE5"/>
    <w:rsid w:val="00586ED3"/>
    <w:rsid w:val="00596AA9"/>
    <w:rsid w:val="00707DEE"/>
    <w:rsid w:val="0071601D"/>
    <w:rsid w:val="00775FE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311D8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0C17"/>
    <w:rsid w:val="00C02897"/>
    <w:rsid w:val="00C97039"/>
    <w:rsid w:val="00D3439C"/>
    <w:rsid w:val="00D7622E"/>
    <w:rsid w:val="00DA3E44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B71774"/>
  <w15:docId w15:val="{0B4EA72C-C2BA-4679-B976-834B8B2F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8E71E-833D-4F6D-A00A-81B716FF5BF2}"/>
</file>

<file path=customXml/itemProps2.xml><?xml version="1.0" encoding="utf-8"?>
<ds:datastoreItem xmlns:ds="http://schemas.openxmlformats.org/officeDocument/2006/customXml" ds:itemID="{4C40B538-79BC-4098-97EB-CE57EDC6AA32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809</Words>
  <Characters>5668</Characters>
  <Application>Microsoft Office Word</Application>
  <DocSecurity>0</DocSecurity>
  <Lines>472</Lines>
  <Paragraphs>259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ECE/TRANS/WP.29/2023/63</vt:lpstr>
    </vt:vector>
  </TitlesOfParts>
  <Company>DCM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ECE/TRANS/WP.29/2023/63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2023-04-19T07:38:00Z</dcterms:created>
  <dcterms:modified xsi:type="dcterms:W3CDTF">2023-04-19T07:38:00Z</dcterms:modified>
</cp:coreProperties>
</file>