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9D60D72" w14:textId="77777777" w:rsidTr="00C97039">
        <w:trPr>
          <w:trHeight w:hRule="exact" w:val="851"/>
        </w:trPr>
        <w:tc>
          <w:tcPr>
            <w:tcW w:w="1276" w:type="dxa"/>
            <w:tcBorders>
              <w:bottom w:val="single" w:sz="4" w:space="0" w:color="auto"/>
            </w:tcBorders>
          </w:tcPr>
          <w:p w14:paraId="029C0E06" w14:textId="77777777" w:rsidR="00F35BAF" w:rsidRPr="00DB58B5" w:rsidRDefault="00F35BAF" w:rsidP="00670662"/>
        </w:tc>
        <w:tc>
          <w:tcPr>
            <w:tcW w:w="2268" w:type="dxa"/>
            <w:tcBorders>
              <w:bottom w:val="single" w:sz="4" w:space="0" w:color="auto"/>
            </w:tcBorders>
            <w:vAlign w:val="bottom"/>
          </w:tcPr>
          <w:p w14:paraId="37D2B8C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A0841EE" w14:textId="0AA3ECE7" w:rsidR="00F35BAF" w:rsidRPr="00DB58B5" w:rsidRDefault="00670662" w:rsidP="00670662">
            <w:pPr>
              <w:jc w:val="right"/>
            </w:pPr>
            <w:r w:rsidRPr="00670662">
              <w:rPr>
                <w:sz w:val="40"/>
              </w:rPr>
              <w:t>ECE</w:t>
            </w:r>
            <w:r>
              <w:t>/TRANS/WP.29/2023/51</w:t>
            </w:r>
          </w:p>
        </w:tc>
      </w:tr>
      <w:tr w:rsidR="00F35BAF" w:rsidRPr="00DB58B5" w14:paraId="0B2C88C8" w14:textId="77777777" w:rsidTr="00C97039">
        <w:trPr>
          <w:trHeight w:hRule="exact" w:val="2835"/>
        </w:trPr>
        <w:tc>
          <w:tcPr>
            <w:tcW w:w="1276" w:type="dxa"/>
            <w:tcBorders>
              <w:top w:val="single" w:sz="4" w:space="0" w:color="auto"/>
              <w:bottom w:val="single" w:sz="12" w:space="0" w:color="auto"/>
            </w:tcBorders>
          </w:tcPr>
          <w:p w14:paraId="43CE9AEA" w14:textId="77777777" w:rsidR="00F35BAF" w:rsidRPr="00DB58B5" w:rsidRDefault="00F35BAF" w:rsidP="00C97039">
            <w:pPr>
              <w:spacing w:before="120"/>
              <w:jc w:val="center"/>
            </w:pPr>
            <w:r>
              <w:rPr>
                <w:noProof/>
                <w:lang w:eastAsia="fr-CH"/>
              </w:rPr>
              <w:drawing>
                <wp:inline distT="0" distB="0" distL="0" distR="0" wp14:anchorId="0869CD81" wp14:editId="5DFD852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819EE4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593C569" w14:textId="77777777" w:rsidR="00F35BAF" w:rsidRDefault="00670662" w:rsidP="00C97039">
            <w:pPr>
              <w:spacing w:before="240"/>
            </w:pPr>
            <w:r>
              <w:t>Distr. générale</w:t>
            </w:r>
          </w:p>
          <w:p w14:paraId="100CCACB" w14:textId="216E8CFF" w:rsidR="00670662" w:rsidRDefault="00670662" w:rsidP="00670662">
            <w:pPr>
              <w:spacing w:line="240" w:lineRule="exact"/>
            </w:pPr>
            <w:r>
              <w:t>30 mars 2023</w:t>
            </w:r>
          </w:p>
          <w:p w14:paraId="063958D1" w14:textId="77777777" w:rsidR="00670662" w:rsidRDefault="00670662" w:rsidP="00670662">
            <w:pPr>
              <w:spacing w:line="240" w:lineRule="exact"/>
            </w:pPr>
            <w:r>
              <w:t>Français</w:t>
            </w:r>
          </w:p>
          <w:p w14:paraId="45D8045F" w14:textId="5F70B5CE" w:rsidR="00670662" w:rsidRPr="00DB58B5" w:rsidRDefault="00670662" w:rsidP="00670662">
            <w:pPr>
              <w:spacing w:line="240" w:lineRule="exact"/>
            </w:pPr>
            <w:r>
              <w:t>Original : anglais</w:t>
            </w:r>
          </w:p>
        </w:tc>
      </w:tr>
    </w:tbl>
    <w:p w14:paraId="46881315" w14:textId="77777777" w:rsidR="007F20FA" w:rsidRPr="000312C0" w:rsidRDefault="007F20FA" w:rsidP="007F20FA">
      <w:pPr>
        <w:spacing w:before="120"/>
        <w:rPr>
          <w:b/>
          <w:sz w:val="28"/>
          <w:szCs w:val="28"/>
        </w:rPr>
      </w:pPr>
      <w:r w:rsidRPr="000312C0">
        <w:rPr>
          <w:b/>
          <w:sz w:val="28"/>
          <w:szCs w:val="28"/>
        </w:rPr>
        <w:t>Commission économique pour l’Europe</w:t>
      </w:r>
    </w:p>
    <w:p w14:paraId="6D50EFD5" w14:textId="77777777" w:rsidR="007F20FA" w:rsidRDefault="007F20FA" w:rsidP="007F20FA">
      <w:pPr>
        <w:spacing w:before="120"/>
        <w:rPr>
          <w:sz w:val="28"/>
          <w:szCs w:val="28"/>
        </w:rPr>
      </w:pPr>
      <w:r w:rsidRPr="00685843">
        <w:rPr>
          <w:sz w:val="28"/>
          <w:szCs w:val="28"/>
        </w:rPr>
        <w:t>Comité des transports intérieurs</w:t>
      </w:r>
    </w:p>
    <w:p w14:paraId="45BC9CF0" w14:textId="50DB8A4E" w:rsidR="00670662" w:rsidRDefault="00670662"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FDD850B" w14:textId="3424512A" w:rsidR="00670662" w:rsidRDefault="00670662" w:rsidP="00AF0CB5">
      <w:pPr>
        <w:spacing w:before="120" w:line="240" w:lineRule="exact"/>
        <w:rPr>
          <w:b/>
        </w:rPr>
      </w:pPr>
      <w:r>
        <w:rPr>
          <w:b/>
        </w:rPr>
        <w:t>190</w:t>
      </w:r>
      <w:r w:rsidRPr="00670662">
        <w:rPr>
          <w:b/>
          <w:vertAlign w:val="superscript"/>
        </w:rPr>
        <w:t>e</w:t>
      </w:r>
      <w:r>
        <w:rPr>
          <w:b/>
        </w:rPr>
        <w:t> session</w:t>
      </w:r>
    </w:p>
    <w:p w14:paraId="2045D961" w14:textId="04AD3E82" w:rsidR="00670662" w:rsidRDefault="00670662" w:rsidP="00AF0CB5">
      <w:pPr>
        <w:spacing w:line="240" w:lineRule="exact"/>
      </w:pPr>
      <w:r>
        <w:t>Genève, 20-22 juin 2023</w:t>
      </w:r>
    </w:p>
    <w:p w14:paraId="32B124BF" w14:textId="0F120989" w:rsidR="00670662" w:rsidRDefault="00670662" w:rsidP="00AF0CB5">
      <w:pPr>
        <w:spacing w:line="240" w:lineRule="exact"/>
      </w:pPr>
      <w:r>
        <w:t>Point 4.6.6 de l’ordre du jour provisoire</w:t>
      </w:r>
    </w:p>
    <w:p w14:paraId="3629385D" w14:textId="4FE15B82" w:rsidR="00670662" w:rsidRPr="008833EC" w:rsidRDefault="00670662" w:rsidP="00670662">
      <w:pPr>
        <w:rPr>
          <w:b/>
        </w:rPr>
      </w:pPr>
      <w:r>
        <w:rPr>
          <w:b/>
        </w:rPr>
        <w:t>Accord de 1958 :</w:t>
      </w:r>
      <w:r>
        <w:rPr>
          <w:b/>
        </w:rPr>
        <w:t xml:space="preserve"> </w:t>
      </w:r>
      <w:r w:rsidRPr="0010069A">
        <w:rPr>
          <w:b/>
        </w:rPr>
        <w:t>Examen de projets d</w:t>
      </w:r>
      <w:r>
        <w:rPr>
          <w:b/>
        </w:rPr>
        <w:t>’</w:t>
      </w:r>
      <w:r w:rsidRPr="0010069A">
        <w:rPr>
          <w:b/>
        </w:rPr>
        <w:t xml:space="preserve">amendements </w:t>
      </w:r>
      <w:r>
        <w:rPr>
          <w:b/>
        </w:rPr>
        <w:br/>
      </w:r>
      <w:r w:rsidRPr="0010069A">
        <w:rPr>
          <w:b/>
        </w:rPr>
        <w:t>à des Règlements ONU existants, soumis par le GRSP</w:t>
      </w:r>
    </w:p>
    <w:p w14:paraId="66640EE4" w14:textId="77777777" w:rsidR="00670662" w:rsidRPr="008833EC" w:rsidRDefault="00670662" w:rsidP="00670662">
      <w:pPr>
        <w:pStyle w:val="HChG"/>
      </w:pPr>
      <w:r>
        <w:tab/>
      </w:r>
      <w:r>
        <w:tab/>
      </w:r>
      <w:r w:rsidRPr="00831610">
        <w:rPr>
          <w:szCs w:val="28"/>
        </w:rPr>
        <w:t>Proposition de complément </w:t>
      </w:r>
      <w:r>
        <w:rPr>
          <w:szCs w:val="28"/>
        </w:rPr>
        <w:t>9</w:t>
      </w:r>
      <w:r w:rsidRPr="00831610">
        <w:rPr>
          <w:szCs w:val="28"/>
        </w:rPr>
        <w:t xml:space="preserve"> à la série</w:t>
      </w:r>
      <w:r>
        <w:t xml:space="preserve"> 03 d’amendements </w:t>
      </w:r>
      <w:r w:rsidRPr="00D05217">
        <w:rPr>
          <w:rFonts w:ascii="Times New Roman Gras" w:hAnsi="Times New Roman Gras"/>
          <w:spacing w:val="-1"/>
        </w:rPr>
        <w:t>au Règlement ONU n</w:t>
      </w:r>
      <w:r w:rsidRPr="00D05217">
        <w:rPr>
          <w:rFonts w:ascii="Times New Roman Gras" w:hAnsi="Times New Roman Gras"/>
          <w:spacing w:val="-1"/>
          <w:vertAlign w:val="superscript"/>
        </w:rPr>
        <w:t>o</w:t>
      </w:r>
      <w:r w:rsidRPr="00D05217">
        <w:rPr>
          <w:rFonts w:ascii="Times New Roman Gras" w:hAnsi="Times New Roman Gras"/>
          <w:spacing w:val="-1"/>
        </w:rPr>
        <w:t> 129 (</w:t>
      </w:r>
      <w:bookmarkStart w:id="0" w:name="_Hlk32503001"/>
      <w:r w:rsidRPr="00D05217">
        <w:rPr>
          <w:rFonts w:ascii="Times New Roman Gras" w:hAnsi="Times New Roman Gras"/>
          <w:spacing w:val="-1"/>
        </w:rPr>
        <w:t>Systèmes améliorés de retenue</w:t>
      </w:r>
      <w:r>
        <w:t xml:space="preserve"> pour enfants</w:t>
      </w:r>
      <w:bookmarkEnd w:id="0"/>
      <w:r>
        <w:t>)</w:t>
      </w:r>
    </w:p>
    <w:p w14:paraId="279C2921" w14:textId="217C7925" w:rsidR="00670662" w:rsidRPr="008833EC" w:rsidRDefault="00670662" w:rsidP="00670662">
      <w:pPr>
        <w:pStyle w:val="H1G"/>
        <w:tabs>
          <w:tab w:val="clear" w:pos="851"/>
        </w:tabs>
      </w:pPr>
      <w:r w:rsidRPr="00D05217">
        <w:rPr>
          <w:rFonts w:ascii="Times New Roman Gras" w:hAnsi="Times New Roman Gras"/>
          <w:spacing w:val="-2"/>
        </w:rPr>
        <w:tab/>
      </w:r>
      <w:r w:rsidRPr="00D05217">
        <w:rPr>
          <w:rFonts w:ascii="Times New Roman Gras" w:hAnsi="Times New Roman Gras"/>
          <w:spacing w:val="-2"/>
        </w:rPr>
        <w:tab/>
        <w:t xml:space="preserve">Communication </w:t>
      </w:r>
      <w:r>
        <w:rPr>
          <w:rFonts w:ascii="Times New Roman Gras" w:hAnsi="Times New Roman Gras"/>
          <w:spacing w:val="-2"/>
        </w:rPr>
        <w:t>du</w:t>
      </w:r>
      <w:r w:rsidRPr="00F91C0D">
        <w:t xml:space="preserve"> </w:t>
      </w:r>
      <w:r w:rsidRPr="00F91C0D">
        <w:rPr>
          <w:rFonts w:ascii="Times New Roman Gras" w:hAnsi="Times New Roman Gras"/>
          <w:spacing w:val="-2"/>
        </w:rPr>
        <w:t>Groupe de travail de la sécurité passive</w:t>
      </w:r>
      <w:r w:rsidRPr="00D17FE6">
        <w:rPr>
          <w:rStyle w:val="Appelnotedebasdep"/>
          <w:b w:val="0"/>
          <w:bCs/>
          <w:spacing w:val="-2"/>
          <w:sz w:val="20"/>
          <w:vertAlign w:val="baseline"/>
        </w:rPr>
        <w:footnoteReference w:customMarkFollows="1" w:id="2"/>
        <w:t>*</w:t>
      </w:r>
    </w:p>
    <w:p w14:paraId="2AFAD629" w14:textId="6E1B14D8" w:rsidR="00F9573C" w:rsidRDefault="00670662" w:rsidP="00670662">
      <w:pPr>
        <w:pStyle w:val="SingleTxtG"/>
        <w:ind w:firstLine="567"/>
      </w:pPr>
      <w:bookmarkStart w:id="1" w:name="_Hlk31700179"/>
      <w:r>
        <w:t xml:space="preserve">Le </w:t>
      </w:r>
      <w:r>
        <w:rPr>
          <w:snapToGrid w:val="0"/>
        </w:rPr>
        <w:t xml:space="preserve">texte ci-après, adopté par le </w:t>
      </w:r>
      <w:r w:rsidRPr="00FA337D">
        <w:rPr>
          <w:snapToGrid w:val="0"/>
        </w:rPr>
        <w:t>Groupe de travail de la sécurité passive</w:t>
      </w:r>
      <w:r>
        <w:rPr>
          <w:snapToGrid w:val="0"/>
        </w:rPr>
        <w:t xml:space="preserve"> (GRSP) à sa soixante-douzième session </w:t>
      </w:r>
      <w:r w:rsidRPr="003877BB">
        <w:rPr>
          <w:lang w:val="fr-FR"/>
        </w:rPr>
        <w:t>(</w:t>
      </w:r>
      <w:r w:rsidRPr="0078793E">
        <w:t>ECE/TRANS/WP.29/GRS</w:t>
      </w:r>
      <w:r>
        <w:t>P</w:t>
      </w:r>
      <w:r w:rsidRPr="0078793E">
        <w:t>/</w:t>
      </w:r>
      <w:r>
        <w:t>72, par.</w:t>
      </w:r>
      <w:r>
        <w:t> </w:t>
      </w:r>
      <w:r>
        <w:t>26 à 29</w:t>
      </w:r>
      <w:r w:rsidRPr="003877BB">
        <w:rPr>
          <w:lang w:val="fr-FR"/>
        </w:rPr>
        <w:t>)</w:t>
      </w:r>
      <w:r>
        <w:rPr>
          <w:lang w:val="fr-FR"/>
        </w:rPr>
        <w:t xml:space="preserve">, est fondé sur les documents informels </w:t>
      </w:r>
      <w:r w:rsidRPr="003877BB">
        <w:rPr>
          <w:lang w:val="fr-FR"/>
        </w:rPr>
        <w:t xml:space="preserve">GRSP-72-01 </w:t>
      </w:r>
      <w:r>
        <w:rPr>
          <w:lang w:val="fr-FR"/>
        </w:rPr>
        <w:t>et</w:t>
      </w:r>
      <w:r w:rsidRPr="003877BB">
        <w:rPr>
          <w:lang w:val="fr-FR"/>
        </w:rPr>
        <w:t xml:space="preserve"> GRSP-72-16</w:t>
      </w:r>
      <w:r>
        <w:rPr>
          <w:lang w:val="fr-FR"/>
        </w:rPr>
        <w:t xml:space="preserve"> tels que reproduits à l’annexe</w:t>
      </w:r>
      <w:r>
        <w:rPr>
          <w:lang w:val="fr-FR"/>
        </w:rPr>
        <w:t> </w:t>
      </w:r>
      <w:r>
        <w:rPr>
          <w:lang w:val="fr-FR"/>
        </w:rPr>
        <w:t xml:space="preserve">V du rapport, ainsi que sur les documents </w:t>
      </w:r>
      <w:r w:rsidRPr="0078793E">
        <w:t>ECE/TRANS/WP.29/GRS</w:t>
      </w:r>
      <w:r>
        <w:t>P</w:t>
      </w:r>
      <w:r w:rsidRPr="0078793E">
        <w:t>/</w:t>
      </w:r>
      <w:r>
        <w:t>2021/26, tel que modifié par l’annexe</w:t>
      </w:r>
      <w:r w:rsidR="00D17FE6">
        <w:t> </w:t>
      </w:r>
      <w:r>
        <w:t xml:space="preserve">V du rapport, et </w:t>
      </w:r>
      <w:r w:rsidRPr="0078793E">
        <w:t>ECE/TRANS/WP.29/GRS</w:t>
      </w:r>
      <w:r>
        <w:t>P</w:t>
      </w:r>
      <w:r w:rsidRPr="0078793E">
        <w:t>/</w:t>
      </w:r>
      <w:r>
        <w:t>2022/25, non modifié.</w:t>
      </w:r>
      <w:r w:rsidRPr="00245849">
        <w:t xml:space="preserve"> Il est soumis au Forum mondial de l</w:t>
      </w:r>
      <w:r>
        <w:t>’</w:t>
      </w:r>
      <w:r w:rsidRPr="00245849">
        <w:t>harmonisation des Règlements concernant les véhicules (WP.29) et au Comité d</w:t>
      </w:r>
      <w:r>
        <w:t>’</w:t>
      </w:r>
      <w:r w:rsidRPr="00245849">
        <w:t>administration de l</w:t>
      </w:r>
      <w:r>
        <w:t>’</w:t>
      </w:r>
      <w:r w:rsidRPr="00245849">
        <w:t>Accord de 1958 (AC.1) pour examen à leurs sessions de</w:t>
      </w:r>
      <w:r>
        <w:t xml:space="preserve"> juin</w:t>
      </w:r>
      <w:r>
        <w:t> </w:t>
      </w:r>
      <w:r>
        <w:t>2023.</w:t>
      </w:r>
      <w:bookmarkEnd w:id="1"/>
    </w:p>
    <w:p w14:paraId="7D65D391" w14:textId="2C69CEC3" w:rsidR="00670662" w:rsidRDefault="00670662" w:rsidP="00670662">
      <w:pPr>
        <w:pStyle w:val="SingleTxtG"/>
        <w:ind w:firstLine="567"/>
      </w:pPr>
      <w:r>
        <w:br w:type="page"/>
      </w:r>
    </w:p>
    <w:p w14:paraId="4186F10F" w14:textId="77777777" w:rsidR="00670662" w:rsidRPr="008833EC" w:rsidRDefault="00670662" w:rsidP="00670662">
      <w:pPr>
        <w:pStyle w:val="SingleTxtG"/>
      </w:pPr>
      <w:r w:rsidRPr="00D05217">
        <w:rPr>
          <w:i/>
          <w:iCs/>
        </w:rPr>
        <w:lastRenderedPageBreak/>
        <w:t>Paragraphe 6.3.</w:t>
      </w:r>
      <w:r>
        <w:rPr>
          <w:i/>
          <w:iCs/>
        </w:rPr>
        <w:t>1</w:t>
      </w:r>
      <w:r w:rsidRPr="00D05217">
        <w:rPr>
          <w:i/>
          <w:iCs/>
        </w:rPr>
        <w:t>.1</w:t>
      </w:r>
      <w:r>
        <w:t>, lire :</w:t>
      </w:r>
    </w:p>
    <w:p w14:paraId="70DA9474" w14:textId="1F6252B2" w:rsidR="00670662" w:rsidRDefault="00670662" w:rsidP="00670662">
      <w:pPr>
        <w:pStyle w:val="SingleTxtG"/>
        <w:ind w:left="2268" w:hanging="1134"/>
        <w:rPr>
          <w:lang w:val="fr-FR"/>
        </w:rPr>
      </w:pPr>
      <w:r>
        <w:t>«</w:t>
      </w:r>
      <w:r w:rsidR="00D17FE6">
        <w:t> </w:t>
      </w:r>
      <w:r>
        <w:t>6.3.1.1</w:t>
      </w:r>
      <w:r>
        <w:tab/>
        <w:t> </w:t>
      </w:r>
      <w:r w:rsidRPr="003877BB">
        <w:rPr>
          <w:lang w:val="fr-FR"/>
        </w:rPr>
        <w:t>Les fabricants de systèmes améliorés de retenue pour enfants … de la norme EN</w:t>
      </w:r>
      <w:r w:rsidR="00D17FE6">
        <w:rPr>
          <w:lang w:val="fr-FR"/>
        </w:rPr>
        <w:t> </w:t>
      </w:r>
      <w:r w:rsidRPr="003877BB">
        <w:rPr>
          <w:lang w:val="fr-FR"/>
        </w:rPr>
        <w:t>71-3:2019+A1:2021 …</w:t>
      </w:r>
      <w:r>
        <w:rPr>
          <w:lang w:val="fr-FR"/>
        </w:rPr>
        <w:t> »</w:t>
      </w:r>
      <w:r w:rsidRPr="003877BB">
        <w:rPr>
          <w:lang w:val="fr-FR"/>
        </w:rPr>
        <w:t>.</w:t>
      </w:r>
    </w:p>
    <w:p w14:paraId="0C7E1556" w14:textId="77777777" w:rsidR="00670662" w:rsidRPr="003877BB" w:rsidRDefault="00670662" w:rsidP="00670662">
      <w:pPr>
        <w:pStyle w:val="SingleTxtG"/>
      </w:pPr>
      <w:r w:rsidRPr="00D05217">
        <w:rPr>
          <w:i/>
          <w:iCs/>
        </w:rPr>
        <w:t>Paragraphe 6.3.</w:t>
      </w:r>
      <w:r>
        <w:rPr>
          <w:i/>
          <w:iCs/>
        </w:rPr>
        <w:t>1</w:t>
      </w:r>
      <w:r w:rsidRPr="00D05217">
        <w:rPr>
          <w:i/>
          <w:iCs/>
        </w:rPr>
        <w:t>.</w:t>
      </w:r>
      <w:r>
        <w:rPr>
          <w:i/>
          <w:iCs/>
        </w:rPr>
        <w:t>2</w:t>
      </w:r>
      <w:r>
        <w:t>, lire :</w:t>
      </w:r>
    </w:p>
    <w:p w14:paraId="5C054CFF" w14:textId="5FC35BB9" w:rsidR="00670662" w:rsidRDefault="00670662" w:rsidP="00670662">
      <w:pPr>
        <w:pStyle w:val="SingleTxtG"/>
        <w:ind w:left="2254" w:hanging="1120"/>
        <w:rPr>
          <w:lang w:val="fr-FR"/>
        </w:rPr>
      </w:pPr>
      <w:r w:rsidRPr="00953170">
        <w:rPr>
          <w:lang w:val="fr-FR"/>
        </w:rPr>
        <w:t>«</w:t>
      </w:r>
      <w:r w:rsidR="00D17FE6">
        <w:rPr>
          <w:lang w:val="fr-FR"/>
        </w:rPr>
        <w:t> </w:t>
      </w:r>
      <w:r w:rsidRPr="00953170">
        <w:rPr>
          <w:lang w:val="fr-FR"/>
        </w:rPr>
        <w:t>6.3.1.2</w:t>
      </w:r>
      <w:r>
        <w:rPr>
          <w:lang w:val="fr-FR"/>
        </w:rPr>
        <w:tab/>
      </w:r>
      <w:r w:rsidRPr="00953170">
        <w:rPr>
          <w:lang w:val="fr-FR"/>
        </w:rPr>
        <w:t>L</w:t>
      </w:r>
      <w:r>
        <w:rPr>
          <w:lang w:val="fr-FR"/>
        </w:rPr>
        <w:t>’</w:t>
      </w:r>
      <w:r w:rsidRPr="00953170">
        <w:rPr>
          <w:lang w:val="fr-FR"/>
        </w:rPr>
        <w:t>inflammabilité des systèmes améliorés de retenue pour enfants présentés à</w:t>
      </w:r>
      <w:r>
        <w:rPr>
          <w:lang w:val="fr-FR"/>
        </w:rPr>
        <w:t xml:space="preserve"> </w:t>
      </w:r>
      <w:r w:rsidRPr="00953170">
        <w:rPr>
          <w:lang w:val="fr-FR"/>
        </w:rPr>
        <w:t>l</w:t>
      </w:r>
      <w:r>
        <w:rPr>
          <w:lang w:val="fr-FR"/>
        </w:rPr>
        <w:t>’</w:t>
      </w:r>
      <w:r w:rsidRPr="00953170">
        <w:rPr>
          <w:lang w:val="fr-FR"/>
        </w:rPr>
        <w:t>homologation doit être évaluée par l</w:t>
      </w:r>
      <w:r>
        <w:rPr>
          <w:lang w:val="fr-FR"/>
        </w:rPr>
        <w:t>’</w:t>
      </w:r>
      <w:r w:rsidRPr="00953170">
        <w:rPr>
          <w:lang w:val="fr-FR"/>
        </w:rPr>
        <w:t>une des méthodes suivantes</w:t>
      </w:r>
      <w:r w:rsidR="00D17FE6">
        <w:rPr>
          <w:lang w:val="fr-FR"/>
        </w:rPr>
        <w:t> </w:t>
      </w:r>
      <w:r w:rsidRPr="00953170">
        <w:rPr>
          <w:lang w:val="fr-FR"/>
        </w:rPr>
        <w:t>:</w:t>
      </w:r>
    </w:p>
    <w:p w14:paraId="5267BAC9" w14:textId="4E96F360" w:rsidR="00670662" w:rsidRPr="003877BB" w:rsidRDefault="00670662" w:rsidP="00670662">
      <w:pPr>
        <w:pStyle w:val="SingleTxtG"/>
        <w:ind w:left="2254"/>
        <w:rPr>
          <w:lang w:val="fr-FR"/>
        </w:rPr>
      </w:pPr>
      <w:r w:rsidRPr="00953170">
        <w:rPr>
          <w:lang w:val="fr-FR"/>
        </w:rPr>
        <w:t>… de la norme EN</w:t>
      </w:r>
      <w:r w:rsidR="00D17FE6">
        <w:rPr>
          <w:lang w:val="fr-FR"/>
        </w:rPr>
        <w:t> </w:t>
      </w:r>
      <w:r w:rsidRPr="00953170">
        <w:rPr>
          <w:lang w:val="fr-FR"/>
        </w:rPr>
        <w:t>71-2:2021, sans que la vitesse de propagation …</w:t>
      </w:r>
      <w:r>
        <w:rPr>
          <w:lang w:val="fr-FR"/>
        </w:rPr>
        <w:t> »</w:t>
      </w:r>
      <w:r w:rsidRPr="00953170">
        <w:rPr>
          <w:lang w:val="fr-FR"/>
        </w:rPr>
        <w:t>.</w:t>
      </w:r>
    </w:p>
    <w:p w14:paraId="70759D4A" w14:textId="77777777" w:rsidR="00670662" w:rsidRPr="008833EC" w:rsidRDefault="00670662" w:rsidP="00670662">
      <w:pPr>
        <w:pStyle w:val="SingleTxtG"/>
      </w:pPr>
      <w:r w:rsidRPr="00D05217">
        <w:rPr>
          <w:i/>
          <w:iCs/>
        </w:rPr>
        <w:t>Paragraphe 6.3.5.1</w:t>
      </w:r>
      <w:r>
        <w:t>, lire :</w:t>
      </w:r>
    </w:p>
    <w:p w14:paraId="6B200BC7" w14:textId="77777777" w:rsidR="00670662" w:rsidRPr="008833EC" w:rsidRDefault="00670662" w:rsidP="00670662">
      <w:pPr>
        <w:pStyle w:val="SingleTxtG"/>
        <w:ind w:left="2268" w:hanging="1134"/>
        <w:rPr>
          <w:bCs/>
        </w:rPr>
      </w:pPr>
      <w:r>
        <w:t>« 6.3.5.1.</w:t>
      </w:r>
      <w:r>
        <w:tab/>
        <w:t>Prescriptions géométriques applicables à la jambe de force et au socle de la jambe de force</w:t>
      </w:r>
    </w:p>
    <w:p w14:paraId="4770C0B6" w14:textId="77777777" w:rsidR="00670662" w:rsidRPr="008833EC" w:rsidRDefault="00670662" w:rsidP="00670662">
      <w:pPr>
        <w:pStyle w:val="SingleTxtG"/>
        <w:ind w:left="2268"/>
        <w:rPr>
          <w:snapToGrid w:val="0"/>
        </w:rPr>
      </w:pPr>
      <w:r>
        <w:rPr>
          <w:snapToGrid w:val="0"/>
        </w:rPr>
        <w:t>La jambe de force, y compris son attache au système amélioré de retenue pour enfants, et le socle de la jambe de force doivent s’inscrire intégralement dans le volume imparti aux dimensions de la jambe de force (voir aussi les figures 1 et 2 de l’annexe 19 du présent Règlement), qui est défini comme suit :</w:t>
      </w:r>
    </w:p>
    <w:p w14:paraId="4B9DE3DA" w14:textId="77777777" w:rsidR="00670662" w:rsidRPr="008833EC" w:rsidRDefault="00670662" w:rsidP="00670662">
      <w:pPr>
        <w:pStyle w:val="SingleTxtG"/>
        <w:ind w:left="2835" w:hanging="567"/>
        <w:rPr>
          <w:snapToGrid w:val="0"/>
        </w:rPr>
      </w:pPr>
      <w:r>
        <w:rPr>
          <w:snapToGrid w:val="0"/>
        </w:rPr>
        <w:t>a)</w:t>
      </w:r>
      <w:r>
        <w:rPr>
          <w:snapToGrid w:val="0"/>
        </w:rPr>
        <w:tab/>
        <w:t>En largeur par deux plans parallèles au plan X’-Z’ séparés de 200 mm, et centrés autour de l’origine ; et</w:t>
      </w:r>
    </w:p>
    <w:p w14:paraId="033B04F4" w14:textId="77777777" w:rsidR="00670662" w:rsidRPr="008833EC" w:rsidRDefault="00670662" w:rsidP="00670662">
      <w:pPr>
        <w:pStyle w:val="SingleTxtG"/>
        <w:ind w:left="2835" w:hanging="567"/>
        <w:rPr>
          <w:snapToGrid w:val="0"/>
        </w:rPr>
      </w:pPr>
      <w:r>
        <w:rPr>
          <w:snapToGrid w:val="0"/>
        </w:rPr>
        <w:t>b)</w:t>
      </w:r>
      <w:r>
        <w:rPr>
          <w:snapToGrid w:val="0"/>
        </w:rPr>
        <w:tab/>
        <w:t>En longueur, par deux plans parallèles au plan Z’-Y’, respectivement à 585 mm et 695 mm vers l’avant par rapport à l’origine située le long de l’axe des X’ ;</w:t>
      </w:r>
    </w:p>
    <w:p w14:paraId="0A39C78E" w14:textId="77777777" w:rsidR="00670662" w:rsidRPr="008833EC" w:rsidRDefault="00670662" w:rsidP="00670662">
      <w:pPr>
        <w:pStyle w:val="SingleTxtG"/>
        <w:ind w:left="2835" w:hanging="567"/>
        <w:rPr>
          <w:snapToGrid w:val="0"/>
        </w:rPr>
      </w:pPr>
      <w:r>
        <w:rPr>
          <w:snapToGrid w:val="0"/>
        </w:rPr>
        <w:t>c)</w:t>
      </w:r>
      <w:r>
        <w:rPr>
          <w:snapToGrid w:val="0"/>
        </w:rPr>
        <w:tab/>
        <w:t xml:space="preserve">En hauteur, par un plan parallèle au plan X’-Y’, situé à </w:t>
      </w:r>
      <w:r w:rsidRPr="003877BB">
        <w:rPr>
          <w:bCs/>
          <w:snapToGrid w:val="0"/>
        </w:rPr>
        <w:t>185</w:t>
      </w:r>
      <w:r>
        <w:rPr>
          <w:snapToGrid w:val="0"/>
        </w:rPr>
        <w:t> mm au</w:t>
      </w:r>
      <w:r>
        <w:rPr>
          <w:snapToGrid w:val="0"/>
        </w:rPr>
        <w:noBreakHyphen/>
        <w:t xml:space="preserve">dessus de l’origine et mesuré perpendiculairement au plan X’-Y’. Les parties rigides, non réglables, de la jambe de force ne dépassent pas un plan parallèle au plan X’-Y’, situé à 285 mm au-dessous de l’origine </w:t>
      </w:r>
      <w:r w:rsidRPr="003877BB">
        <w:rPr>
          <w:snapToGrid w:val="0"/>
          <w:lang w:val="fr-FR"/>
        </w:rPr>
        <w:t>pour un système amélioré de retenue pour enfants faisant face vers l</w:t>
      </w:r>
      <w:r>
        <w:rPr>
          <w:snapToGrid w:val="0"/>
          <w:lang w:val="fr-FR"/>
        </w:rPr>
        <w:t>’</w:t>
      </w:r>
      <w:r w:rsidRPr="003877BB">
        <w:rPr>
          <w:snapToGrid w:val="0"/>
          <w:lang w:val="fr-FR"/>
        </w:rPr>
        <w:t>avant ou à 185 mm au-dessus de l</w:t>
      </w:r>
      <w:r>
        <w:rPr>
          <w:snapToGrid w:val="0"/>
          <w:lang w:val="fr-FR"/>
        </w:rPr>
        <w:t>’</w:t>
      </w:r>
      <w:r w:rsidRPr="003877BB">
        <w:rPr>
          <w:snapToGrid w:val="0"/>
          <w:lang w:val="fr-FR"/>
        </w:rPr>
        <w:t>origine pour un système amélioré de retenue pour enfants faisant face vers l</w:t>
      </w:r>
      <w:r>
        <w:rPr>
          <w:snapToGrid w:val="0"/>
          <w:lang w:val="fr-FR"/>
        </w:rPr>
        <w:t>’</w:t>
      </w:r>
      <w:r w:rsidRPr="003877BB">
        <w:rPr>
          <w:snapToGrid w:val="0"/>
          <w:lang w:val="fr-FR"/>
        </w:rPr>
        <w:t>arrière</w:t>
      </w:r>
      <w:r w:rsidRPr="003918BD">
        <w:rPr>
          <w:b/>
          <w:bCs/>
          <w:snapToGrid w:val="0"/>
          <w:lang w:val="fr-FR"/>
        </w:rPr>
        <w:t xml:space="preserve"> </w:t>
      </w:r>
      <w:r>
        <w:rPr>
          <w:snapToGrid w:val="0"/>
        </w:rPr>
        <w:t>et</w:t>
      </w:r>
      <w:r w:rsidRPr="003877BB">
        <w:rPr>
          <w:snapToGrid w:val="0"/>
          <w:lang w:val="fr-FR"/>
        </w:rPr>
        <w:t>, dans tous les cas,</w:t>
      </w:r>
      <w:r w:rsidRPr="001703EE">
        <w:rPr>
          <w:snapToGrid w:val="0"/>
          <w:lang w:val="fr-FR"/>
        </w:rPr>
        <w:t xml:space="preserve"> </w:t>
      </w:r>
      <w:r w:rsidRPr="003918BD">
        <w:rPr>
          <w:snapToGrid w:val="0"/>
          <w:lang w:val="fr-FR"/>
        </w:rPr>
        <w:t>mesuré</w:t>
      </w:r>
      <w:r>
        <w:rPr>
          <w:snapToGrid w:val="0"/>
        </w:rPr>
        <w:t xml:space="preserve"> perpendiculaire au plan X’-Y’.</w:t>
      </w:r>
    </w:p>
    <w:p w14:paraId="65A94DEE" w14:textId="77777777" w:rsidR="00670662" w:rsidRDefault="00670662" w:rsidP="00670662">
      <w:pPr>
        <w:pStyle w:val="SingleTxtG"/>
        <w:ind w:left="2268"/>
      </w:pPr>
      <w:r>
        <w:rPr>
          <w:snapToGrid w:val="0"/>
        </w:rPr>
        <w:t>La jambe de force peut excéder par ses dimensions le volume qui lui est imparti, à condition qu’elle ne dépasse pas le volume du système de retenue pour enfants applicable.</w:t>
      </w:r>
      <w:r>
        <w:t> ».</w:t>
      </w:r>
    </w:p>
    <w:p w14:paraId="2B1F8EE6" w14:textId="77777777" w:rsidR="00670662" w:rsidRDefault="00670662" w:rsidP="00670662">
      <w:pPr>
        <w:pStyle w:val="SingleTxtG"/>
      </w:pPr>
      <w:r w:rsidRPr="00D05217">
        <w:rPr>
          <w:i/>
          <w:iCs/>
        </w:rPr>
        <w:t>Paragraphe </w:t>
      </w:r>
      <w:r>
        <w:rPr>
          <w:i/>
          <w:iCs/>
        </w:rPr>
        <w:t>6.6.4.4.1.1</w:t>
      </w:r>
      <w:r>
        <w:t>, lire :</w:t>
      </w:r>
    </w:p>
    <w:p w14:paraId="74B9EA3D" w14:textId="77777777" w:rsidR="00670662" w:rsidRPr="00AB0916" w:rsidRDefault="00670662" w:rsidP="00670662">
      <w:pPr>
        <w:pStyle w:val="SingleTxtG"/>
        <w:rPr>
          <w:lang w:val="fr-FR"/>
        </w:rPr>
      </w:pPr>
      <w:bookmarkStart w:id="2" w:name="_Hlk111114823"/>
      <w:r w:rsidRPr="001A482F">
        <w:rPr>
          <w:lang w:val="fr-FR"/>
        </w:rPr>
        <w:t>« </w:t>
      </w:r>
      <w:r w:rsidRPr="003877BB">
        <w:rPr>
          <w:lang w:val="fr-FR"/>
        </w:rPr>
        <w:t>6.6.4.4.1.1</w:t>
      </w:r>
      <w:r w:rsidRPr="003877BB">
        <w:rPr>
          <w:lang w:val="fr-FR"/>
        </w:rPr>
        <w:tab/>
        <w:t>Systèmes améliorés de retenue pour enfants faisant face vers l</w:t>
      </w:r>
      <w:r>
        <w:rPr>
          <w:lang w:val="fr-FR"/>
        </w:rPr>
        <w:t>’</w:t>
      </w:r>
      <w:r w:rsidRPr="003877BB">
        <w:rPr>
          <w:lang w:val="fr-FR"/>
        </w:rPr>
        <w:t>avant</w:t>
      </w:r>
    </w:p>
    <w:p w14:paraId="1B5C1A74" w14:textId="0E6BB7C8" w:rsidR="00670662" w:rsidRPr="003877BB" w:rsidRDefault="00670662" w:rsidP="00670662">
      <w:pPr>
        <w:pStyle w:val="SingleTxtG"/>
        <w:ind w:left="2268"/>
        <w:rPr>
          <w:lang w:val="fr-FR"/>
        </w:rPr>
      </w:pPr>
      <w:r w:rsidRPr="003877BB">
        <w:rPr>
          <w:lang w:val="fr-FR"/>
        </w:rPr>
        <w:t>Systèmes améliorés de retenue pour enfants intégraux : Aucune partie de la tête du mannequin ne doit franchir les plans BA, DA et DE, tels qu</w:t>
      </w:r>
      <w:r>
        <w:rPr>
          <w:lang w:val="fr-FR"/>
        </w:rPr>
        <w:t>’</w:t>
      </w:r>
      <w:r w:rsidRPr="003877BB">
        <w:rPr>
          <w:lang w:val="fr-FR"/>
        </w:rPr>
        <w:t>ils sont définis dans la figure</w:t>
      </w:r>
      <w:r w:rsidR="00D17FE6">
        <w:rPr>
          <w:lang w:val="fr-FR"/>
        </w:rPr>
        <w:t> </w:t>
      </w:r>
      <w:r w:rsidRPr="003877BB">
        <w:rPr>
          <w:lang w:val="fr-FR"/>
        </w:rPr>
        <w:t>4 ci-dessous :</w:t>
      </w:r>
    </w:p>
    <w:p w14:paraId="376F8405" w14:textId="77777777" w:rsidR="00670662" w:rsidRPr="003877BB" w:rsidRDefault="00670662" w:rsidP="00670662">
      <w:pPr>
        <w:pStyle w:val="SingleTxtG"/>
        <w:ind w:left="2835" w:hanging="567"/>
        <w:rPr>
          <w:lang w:val="fr-FR"/>
        </w:rPr>
      </w:pPr>
      <w:r w:rsidRPr="003877BB">
        <w:rPr>
          <w:lang w:val="fr-FR"/>
        </w:rPr>
        <w:t>a)</w:t>
      </w:r>
      <w:r w:rsidRPr="00AB0916">
        <w:rPr>
          <w:lang w:val="fr-FR"/>
        </w:rPr>
        <w:tab/>
      </w:r>
      <w:r w:rsidRPr="003877BB">
        <w:rPr>
          <w:lang w:val="fr-FR"/>
        </w:rPr>
        <w:t>Le plan BA est distant de 500 mm ;</w:t>
      </w:r>
      <w:r w:rsidRPr="00AB0916">
        <w:rPr>
          <w:lang w:val="fr-FR"/>
        </w:rPr>
        <w:t xml:space="preserve"> </w:t>
      </w:r>
      <w:r w:rsidRPr="003877BB">
        <w:rPr>
          <w:lang w:val="fr-FR"/>
        </w:rPr>
        <w:t>et</w:t>
      </w:r>
    </w:p>
    <w:p w14:paraId="4C289047" w14:textId="19E7ECE3" w:rsidR="00670662" w:rsidRPr="003877BB" w:rsidRDefault="00670662" w:rsidP="00670662">
      <w:pPr>
        <w:pStyle w:val="SingleTxtG"/>
        <w:ind w:left="2835" w:hanging="567"/>
        <w:rPr>
          <w:lang w:val="fr-FR"/>
        </w:rPr>
      </w:pPr>
      <w:r w:rsidRPr="003877BB">
        <w:rPr>
          <w:lang w:val="fr-FR"/>
        </w:rPr>
        <w:t>b)</w:t>
      </w:r>
      <w:r w:rsidRPr="00AB0916">
        <w:rPr>
          <w:lang w:val="fr-FR"/>
        </w:rPr>
        <w:tab/>
      </w:r>
      <w:r w:rsidRPr="003877BB">
        <w:rPr>
          <w:lang w:val="fr-FR"/>
        </w:rPr>
        <w:t>Le plan DA est distant de 800</w:t>
      </w:r>
      <w:r w:rsidR="00D17FE6">
        <w:rPr>
          <w:lang w:val="fr-FR"/>
        </w:rPr>
        <w:t> </w:t>
      </w:r>
      <w:r w:rsidRPr="003877BB">
        <w:rPr>
          <w:lang w:val="fr-FR"/>
        </w:rPr>
        <w:t>mm, sauf s</w:t>
      </w:r>
      <w:r>
        <w:rPr>
          <w:lang w:val="fr-FR"/>
        </w:rPr>
        <w:t>’</w:t>
      </w:r>
      <w:r w:rsidRPr="003877BB">
        <w:rPr>
          <w:lang w:val="fr-FR"/>
        </w:rPr>
        <w:t>il s</w:t>
      </w:r>
      <w:r>
        <w:rPr>
          <w:lang w:val="fr-FR"/>
        </w:rPr>
        <w:t>’</w:t>
      </w:r>
      <w:r w:rsidRPr="003877BB">
        <w:rPr>
          <w:lang w:val="fr-FR"/>
        </w:rPr>
        <w:t>agit d</w:t>
      </w:r>
      <w:r>
        <w:rPr>
          <w:lang w:val="fr-FR"/>
        </w:rPr>
        <w:t>’</w:t>
      </w:r>
      <w:r w:rsidRPr="003877BB">
        <w:rPr>
          <w:lang w:val="fr-FR"/>
        </w:rPr>
        <w:t>un essai avec le mannequin</w:t>
      </w:r>
      <w:r w:rsidR="00D17FE6">
        <w:rPr>
          <w:lang w:val="fr-FR"/>
        </w:rPr>
        <w:t> </w:t>
      </w:r>
      <w:r w:rsidRPr="003877BB">
        <w:rPr>
          <w:lang w:val="fr-FR"/>
        </w:rPr>
        <w:t>Q3 ou Q6, auquel cas le plan est distant de 840</w:t>
      </w:r>
      <w:r w:rsidR="00D17FE6">
        <w:rPr>
          <w:lang w:val="fr-FR"/>
        </w:rPr>
        <w:t> </w:t>
      </w:r>
      <w:r w:rsidRPr="003877BB">
        <w:rPr>
          <w:lang w:val="fr-FR"/>
        </w:rPr>
        <w:t>mm ;</w:t>
      </w:r>
      <w:r w:rsidRPr="00AB0916">
        <w:rPr>
          <w:lang w:val="fr-FR"/>
        </w:rPr>
        <w:t xml:space="preserve"> </w:t>
      </w:r>
      <w:r w:rsidRPr="003877BB">
        <w:rPr>
          <w:lang w:val="fr-FR"/>
        </w:rPr>
        <w:t>et</w:t>
      </w:r>
    </w:p>
    <w:p w14:paraId="4B33D32D" w14:textId="13424134" w:rsidR="00670662" w:rsidRPr="003877BB" w:rsidRDefault="00670662" w:rsidP="00670662">
      <w:pPr>
        <w:pStyle w:val="SingleTxtG"/>
        <w:ind w:left="2835" w:hanging="567"/>
        <w:rPr>
          <w:lang w:val="fr-FR"/>
        </w:rPr>
      </w:pPr>
      <w:r w:rsidRPr="003877BB">
        <w:rPr>
          <w:lang w:val="fr-FR"/>
        </w:rPr>
        <w:t>c)</w:t>
      </w:r>
      <w:r w:rsidRPr="00AB0916">
        <w:rPr>
          <w:lang w:val="fr-FR"/>
        </w:rPr>
        <w:tab/>
      </w:r>
      <w:r w:rsidRPr="003877BB">
        <w:rPr>
          <w:lang w:val="fr-FR"/>
        </w:rPr>
        <w:t>La tête du mannequin peut toutefois franchir le plan DE, si le repose</w:t>
      </w:r>
      <w:r w:rsidR="00D17FE6">
        <w:rPr>
          <w:lang w:val="fr-FR"/>
        </w:rPr>
        <w:noBreakHyphen/>
      </w:r>
      <w:r w:rsidRPr="003877BB">
        <w:rPr>
          <w:lang w:val="fr-FR"/>
        </w:rPr>
        <w:t>tête ou le dossier du système de retenue se trouvant derrière la tête du mannequin, au niveau du sommet de la tête, franchit le plan DE ;</w:t>
      </w:r>
      <w:r w:rsidRPr="00AB0916">
        <w:rPr>
          <w:lang w:val="fr-FR"/>
        </w:rPr>
        <w:t xml:space="preserve"> </w:t>
      </w:r>
      <w:r w:rsidRPr="003877BB">
        <w:rPr>
          <w:lang w:val="fr-FR"/>
        </w:rPr>
        <w:t>et</w:t>
      </w:r>
    </w:p>
    <w:p w14:paraId="1E3947F5" w14:textId="6FCC1944" w:rsidR="00670662" w:rsidRPr="003877BB" w:rsidRDefault="00670662" w:rsidP="00670662">
      <w:pPr>
        <w:pStyle w:val="SingleTxtG"/>
        <w:ind w:left="2835" w:hanging="567"/>
        <w:rPr>
          <w:lang w:val="fr-FR"/>
        </w:rPr>
      </w:pPr>
      <w:r w:rsidRPr="003877BB">
        <w:rPr>
          <w:lang w:val="fr-FR"/>
        </w:rPr>
        <w:t>d)</w:t>
      </w:r>
      <w:r w:rsidRPr="00AB0916">
        <w:rPr>
          <w:lang w:val="fr-FR"/>
        </w:rPr>
        <w:tab/>
      </w:r>
      <w:r w:rsidRPr="003877BB">
        <w:rPr>
          <w:lang w:val="fr-FR"/>
        </w:rPr>
        <w:t>En cas de contact du mannequin avec une partie rigide de l</w:t>
      </w:r>
      <w:r>
        <w:rPr>
          <w:lang w:val="fr-FR"/>
        </w:rPr>
        <w:t>’</w:t>
      </w:r>
      <w:r w:rsidRPr="003877BB">
        <w:rPr>
          <w:lang w:val="fr-FR"/>
        </w:rPr>
        <w:t>appareillage d</w:t>
      </w:r>
      <w:r>
        <w:rPr>
          <w:lang w:val="fr-FR"/>
        </w:rPr>
        <w:t>’</w:t>
      </w:r>
      <w:r w:rsidRPr="003877BB">
        <w:rPr>
          <w:lang w:val="fr-FR"/>
        </w:rPr>
        <w:t>essai pendant la phase de rebond, le critère d</w:t>
      </w:r>
      <w:r>
        <w:rPr>
          <w:lang w:val="fr-FR"/>
        </w:rPr>
        <w:t>’</w:t>
      </w:r>
      <w:r w:rsidRPr="003877BB">
        <w:rPr>
          <w:lang w:val="fr-FR"/>
        </w:rPr>
        <w:t>accélération de la tête pendant ce contact n</w:t>
      </w:r>
      <w:r>
        <w:rPr>
          <w:lang w:val="fr-FR"/>
        </w:rPr>
        <w:t>’</w:t>
      </w:r>
      <w:r w:rsidRPr="003877BB">
        <w:rPr>
          <w:lang w:val="fr-FR"/>
        </w:rPr>
        <w:t>est pas pris en compte.</w:t>
      </w:r>
      <w:bookmarkStart w:id="3" w:name="_Hlk19172077"/>
      <w:bookmarkEnd w:id="3"/>
    </w:p>
    <w:p w14:paraId="168A36FB" w14:textId="03F23A72" w:rsidR="00670662" w:rsidRPr="003877BB" w:rsidRDefault="00670662" w:rsidP="00670662">
      <w:pPr>
        <w:pStyle w:val="SingleTxtG"/>
        <w:ind w:left="2268"/>
        <w:rPr>
          <w:lang w:val="fr-FR"/>
        </w:rPr>
      </w:pPr>
      <w:r w:rsidRPr="003877BB">
        <w:rPr>
          <w:lang w:val="fr-FR"/>
        </w:rPr>
        <w:t>Ce critère doit être respecté pendant les 300 ms qui suivent le choc ou jusqu</w:t>
      </w:r>
      <w:r>
        <w:rPr>
          <w:lang w:val="fr-FR"/>
        </w:rPr>
        <w:t>’</w:t>
      </w:r>
      <w:r w:rsidRPr="003877BB">
        <w:rPr>
          <w:lang w:val="fr-FR"/>
        </w:rPr>
        <w:t>au moment où le mannequin s</w:t>
      </w:r>
      <w:r>
        <w:rPr>
          <w:lang w:val="fr-FR"/>
        </w:rPr>
        <w:t>’</w:t>
      </w:r>
      <w:r w:rsidRPr="003877BB">
        <w:rPr>
          <w:lang w:val="fr-FR"/>
        </w:rPr>
        <w:t>immobilise définitivement, si cela se produit plus tôt.</w:t>
      </w:r>
    </w:p>
    <w:p w14:paraId="4F6BFEC5" w14:textId="14B22E81" w:rsidR="00670662" w:rsidRPr="003877BB" w:rsidRDefault="00670662" w:rsidP="00670662">
      <w:pPr>
        <w:pStyle w:val="SingleTxtG"/>
        <w:ind w:left="2268"/>
        <w:rPr>
          <w:lang w:val="fr-FR"/>
        </w:rPr>
      </w:pPr>
      <w:r w:rsidRPr="003877BB">
        <w:rPr>
          <w:lang w:val="fr-FR"/>
        </w:rPr>
        <w:lastRenderedPageBreak/>
        <w:t>Siège rehausseur non intégral : Aucune partie de la tête du mannequin ne doit franchir les plans BA et DA, tels qu</w:t>
      </w:r>
      <w:r>
        <w:rPr>
          <w:lang w:val="fr-FR"/>
        </w:rPr>
        <w:t>’</w:t>
      </w:r>
      <w:r w:rsidRPr="003877BB">
        <w:rPr>
          <w:lang w:val="fr-FR"/>
        </w:rPr>
        <w:t>ils sont définis dans la figure</w:t>
      </w:r>
      <w:r w:rsidR="00D17FE6">
        <w:rPr>
          <w:lang w:val="fr-FR"/>
        </w:rPr>
        <w:t> </w:t>
      </w:r>
      <w:r w:rsidRPr="003877BB">
        <w:rPr>
          <w:lang w:val="fr-FR"/>
        </w:rPr>
        <w:t>4 ci</w:t>
      </w:r>
      <w:r w:rsidRPr="003877BB">
        <w:rPr>
          <w:lang w:val="fr-FR"/>
        </w:rPr>
        <w:noBreakHyphen/>
        <w:t>dessous.</w:t>
      </w:r>
      <w:r w:rsidRPr="00AB0916">
        <w:rPr>
          <w:lang w:val="fr-FR"/>
        </w:rPr>
        <w:t xml:space="preserve"> </w:t>
      </w:r>
    </w:p>
    <w:p w14:paraId="7D199F42" w14:textId="005D92A0" w:rsidR="00670662" w:rsidRPr="003877BB" w:rsidRDefault="00670662" w:rsidP="00670662">
      <w:pPr>
        <w:pStyle w:val="SingleTxtG"/>
        <w:ind w:left="2268"/>
        <w:rPr>
          <w:lang w:val="fr-FR"/>
        </w:rPr>
      </w:pPr>
      <w:r w:rsidRPr="003877BB">
        <w:rPr>
          <w:lang w:val="fr-FR"/>
        </w:rPr>
        <w:t>Ce critère doit être respecté pendant les 300 ms qui suivent le choc ou jusqu</w:t>
      </w:r>
      <w:r>
        <w:rPr>
          <w:lang w:val="fr-FR"/>
        </w:rPr>
        <w:t>’</w:t>
      </w:r>
      <w:r w:rsidRPr="003877BB">
        <w:rPr>
          <w:lang w:val="fr-FR"/>
        </w:rPr>
        <w:t>au moment où le mannequin s</w:t>
      </w:r>
      <w:r>
        <w:rPr>
          <w:lang w:val="fr-FR"/>
        </w:rPr>
        <w:t>’</w:t>
      </w:r>
      <w:r w:rsidRPr="003877BB">
        <w:rPr>
          <w:lang w:val="fr-FR"/>
        </w:rPr>
        <w:t>immobilise définitivement, si cela se produit plus</w:t>
      </w:r>
      <w:r w:rsidR="00D17FE6">
        <w:rPr>
          <w:lang w:val="fr-FR"/>
        </w:rPr>
        <w:t> </w:t>
      </w:r>
      <w:r w:rsidRPr="003877BB">
        <w:rPr>
          <w:lang w:val="fr-FR"/>
        </w:rPr>
        <w:t>tôt.</w:t>
      </w:r>
    </w:p>
    <w:p w14:paraId="5AFFA30E" w14:textId="336F5740" w:rsidR="00670662" w:rsidRPr="003877BB" w:rsidRDefault="00670662" w:rsidP="00670662">
      <w:pPr>
        <w:pStyle w:val="SingleTxtG"/>
        <w:ind w:left="2268"/>
        <w:rPr>
          <w:lang w:val="fr-FR"/>
        </w:rPr>
      </w:pPr>
      <w:r w:rsidRPr="003877BB">
        <w:rPr>
          <w:lang w:val="fr-FR"/>
        </w:rPr>
        <w:t>Dans le cas d</w:t>
      </w:r>
      <w:r>
        <w:rPr>
          <w:lang w:val="fr-FR"/>
        </w:rPr>
        <w:t>’</w:t>
      </w:r>
      <w:r w:rsidRPr="003877BB">
        <w:rPr>
          <w:lang w:val="fr-FR"/>
        </w:rPr>
        <w:t>un essai avec le mannequin</w:t>
      </w:r>
      <w:r w:rsidR="00D17FE6">
        <w:rPr>
          <w:lang w:val="fr-FR"/>
        </w:rPr>
        <w:t> </w:t>
      </w:r>
      <w:r w:rsidRPr="003877BB">
        <w:rPr>
          <w:lang w:val="fr-FR"/>
        </w:rPr>
        <w:t>Q3 ou Q6 :</w:t>
      </w:r>
    </w:p>
    <w:p w14:paraId="1C1F4880" w14:textId="77777777" w:rsidR="00670662" w:rsidRPr="003877BB" w:rsidRDefault="00670662" w:rsidP="00670662">
      <w:pPr>
        <w:pStyle w:val="SingleTxtG"/>
        <w:ind w:left="2268"/>
        <w:rPr>
          <w:lang w:val="fr-FR"/>
        </w:rPr>
      </w:pPr>
      <w:r w:rsidRPr="003877BB">
        <w:rPr>
          <w:lang w:val="fr-FR"/>
        </w:rPr>
        <w:t>Le plan DA est distant de 840 mm.</w:t>
      </w:r>
    </w:p>
    <w:p w14:paraId="772D0600" w14:textId="5173124F" w:rsidR="00670662" w:rsidRPr="003877BB" w:rsidRDefault="00670662" w:rsidP="00670662">
      <w:pPr>
        <w:pStyle w:val="SingleTxtG"/>
        <w:ind w:left="2268"/>
        <w:rPr>
          <w:lang w:val="fr-FR"/>
        </w:rPr>
      </w:pPr>
      <w:r w:rsidRPr="003877BB">
        <w:rPr>
          <w:lang w:val="fr-FR"/>
        </w:rPr>
        <w:t>Dans le cas d</w:t>
      </w:r>
      <w:r>
        <w:rPr>
          <w:lang w:val="fr-FR"/>
        </w:rPr>
        <w:t>’</w:t>
      </w:r>
      <w:r w:rsidRPr="003877BB">
        <w:rPr>
          <w:lang w:val="fr-FR"/>
        </w:rPr>
        <w:t>un essai avec le mannequin Q10 :</w:t>
      </w:r>
    </w:p>
    <w:p w14:paraId="154C3459" w14:textId="77777777" w:rsidR="00670662" w:rsidRPr="003877BB" w:rsidRDefault="00670662" w:rsidP="00670662">
      <w:pPr>
        <w:pStyle w:val="SingleTxtG"/>
        <w:ind w:left="2835" w:hanging="567"/>
        <w:rPr>
          <w:lang w:val="fr-FR"/>
        </w:rPr>
      </w:pPr>
      <w:r w:rsidRPr="003877BB">
        <w:rPr>
          <w:lang w:val="fr-FR"/>
        </w:rPr>
        <w:t>a)</w:t>
      </w:r>
      <w:r w:rsidRPr="00AB0916">
        <w:rPr>
          <w:lang w:val="fr-FR"/>
        </w:rPr>
        <w:tab/>
      </w:r>
      <w:r w:rsidRPr="003877BB">
        <w:rPr>
          <w:lang w:val="fr-FR"/>
        </w:rPr>
        <w:t>Le plan BA est distant de 550 mm ;</w:t>
      </w:r>
      <w:r w:rsidRPr="00AB0916">
        <w:rPr>
          <w:lang w:val="fr-FR"/>
        </w:rPr>
        <w:t xml:space="preserve"> </w:t>
      </w:r>
      <w:r w:rsidRPr="003877BB">
        <w:rPr>
          <w:lang w:val="fr-FR"/>
        </w:rPr>
        <w:t>et</w:t>
      </w:r>
    </w:p>
    <w:p w14:paraId="27810809" w14:textId="77777777" w:rsidR="00670662" w:rsidRPr="003877BB" w:rsidRDefault="00670662" w:rsidP="00670662">
      <w:pPr>
        <w:pStyle w:val="SingleTxtG"/>
        <w:ind w:left="2835" w:hanging="567"/>
        <w:rPr>
          <w:lang w:val="fr-FR"/>
        </w:rPr>
      </w:pPr>
      <w:r w:rsidRPr="003877BB">
        <w:rPr>
          <w:lang w:val="fr-FR"/>
        </w:rPr>
        <w:t>b)</w:t>
      </w:r>
      <w:r w:rsidRPr="00AB0916">
        <w:rPr>
          <w:lang w:val="fr-FR"/>
        </w:rPr>
        <w:tab/>
      </w:r>
      <w:r w:rsidRPr="003877BB">
        <w:rPr>
          <w:lang w:val="fr-FR"/>
        </w:rPr>
        <w:t>Le plan DA est distant de 840 mm ;</w:t>
      </w:r>
      <w:r w:rsidRPr="00AB0916">
        <w:rPr>
          <w:lang w:val="fr-FR"/>
        </w:rPr>
        <w:t xml:space="preserve"> </w:t>
      </w:r>
      <w:r w:rsidRPr="003877BB">
        <w:rPr>
          <w:lang w:val="fr-FR"/>
        </w:rPr>
        <w:t>et</w:t>
      </w:r>
    </w:p>
    <w:p w14:paraId="1C1E029C" w14:textId="77777777" w:rsidR="00670662" w:rsidRPr="003877BB" w:rsidRDefault="00670662" w:rsidP="00670662">
      <w:pPr>
        <w:pStyle w:val="SingleTxtG"/>
        <w:ind w:left="2835" w:hanging="567"/>
        <w:rPr>
          <w:lang w:val="fr-FR"/>
        </w:rPr>
      </w:pPr>
      <w:r w:rsidRPr="003877BB">
        <w:rPr>
          <w:lang w:val="fr-FR"/>
        </w:rPr>
        <w:t>c)</w:t>
      </w:r>
      <w:r w:rsidRPr="00AB0916">
        <w:rPr>
          <w:lang w:val="fr-FR"/>
        </w:rPr>
        <w:tab/>
      </w:r>
      <w:r w:rsidRPr="003877BB">
        <w:rPr>
          <w:lang w:val="fr-FR"/>
        </w:rPr>
        <w:t>On ne tient pas compte de la phase de rebond pour évaluer les résultats pour le plan DA.</w:t>
      </w:r>
    </w:p>
    <w:p w14:paraId="4656DD22" w14:textId="77777777" w:rsidR="00670662" w:rsidRPr="003877BB" w:rsidRDefault="00670662" w:rsidP="00670662">
      <w:pPr>
        <w:pStyle w:val="SingleTxtG"/>
        <w:ind w:left="2268"/>
        <w:rPr>
          <w:lang w:val="fr-FR"/>
        </w:rPr>
      </w:pPr>
      <w:r w:rsidRPr="003877BB">
        <w:rPr>
          <w:lang w:val="fr-FR"/>
        </w:rPr>
        <w:t>Coussin d</w:t>
      </w:r>
      <w:r>
        <w:rPr>
          <w:lang w:val="fr-FR"/>
        </w:rPr>
        <w:t>’</w:t>
      </w:r>
      <w:r w:rsidRPr="003877BB">
        <w:rPr>
          <w:lang w:val="fr-FR"/>
        </w:rPr>
        <w:t>appoint non intégral : Aucune partie de la tête du mannequin ne doit franchir les plans BA et DA, tels qu</w:t>
      </w:r>
      <w:r>
        <w:rPr>
          <w:lang w:val="fr-FR"/>
        </w:rPr>
        <w:t>’</w:t>
      </w:r>
      <w:r w:rsidRPr="003877BB">
        <w:rPr>
          <w:lang w:val="fr-FR"/>
        </w:rPr>
        <w:t>ils sont définis dans la figure 4 ci-dessous.</w:t>
      </w:r>
      <w:r w:rsidRPr="00AB0916">
        <w:rPr>
          <w:lang w:val="fr-FR"/>
        </w:rPr>
        <w:t xml:space="preserve"> </w:t>
      </w:r>
    </w:p>
    <w:p w14:paraId="0D6E3F9D" w14:textId="6B9170E0" w:rsidR="00670662" w:rsidRPr="003877BB" w:rsidRDefault="00670662" w:rsidP="00670662">
      <w:pPr>
        <w:pStyle w:val="SingleTxtG"/>
        <w:ind w:left="2268"/>
        <w:rPr>
          <w:lang w:val="fr-FR"/>
        </w:rPr>
      </w:pPr>
      <w:r w:rsidRPr="003877BB">
        <w:rPr>
          <w:lang w:val="fr-FR"/>
        </w:rPr>
        <w:t>Ce critère doit être respecté pendant les 300 ms qui suivent le choc ou jusqu</w:t>
      </w:r>
      <w:r>
        <w:rPr>
          <w:lang w:val="fr-FR"/>
        </w:rPr>
        <w:t>’</w:t>
      </w:r>
      <w:r w:rsidRPr="003877BB">
        <w:rPr>
          <w:lang w:val="fr-FR"/>
        </w:rPr>
        <w:t>au moment où le mannequin s</w:t>
      </w:r>
      <w:r>
        <w:rPr>
          <w:lang w:val="fr-FR"/>
        </w:rPr>
        <w:t>’</w:t>
      </w:r>
      <w:r w:rsidRPr="003877BB">
        <w:rPr>
          <w:lang w:val="fr-FR"/>
        </w:rPr>
        <w:t>immobilise définitivement, si cela se produit plus</w:t>
      </w:r>
      <w:r w:rsidR="00D17FE6">
        <w:rPr>
          <w:lang w:val="fr-FR"/>
        </w:rPr>
        <w:t> </w:t>
      </w:r>
      <w:r w:rsidRPr="003877BB">
        <w:rPr>
          <w:lang w:val="fr-FR"/>
        </w:rPr>
        <w:t>tôt.</w:t>
      </w:r>
    </w:p>
    <w:p w14:paraId="598B30D7" w14:textId="77777777" w:rsidR="00670662" w:rsidRPr="003877BB" w:rsidRDefault="00670662" w:rsidP="00670662">
      <w:pPr>
        <w:pStyle w:val="SingleTxtG"/>
        <w:ind w:left="2268"/>
        <w:rPr>
          <w:lang w:val="fr-FR"/>
        </w:rPr>
      </w:pPr>
      <w:r w:rsidRPr="003877BB">
        <w:rPr>
          <w:lang w:val="fr-FR"/>
        </w:rPr>
        <w:t>Dans le cas d</w:t>
      </w:r>
      <w:r>
        <w:rPr>
          <w:lang w:val="fr-FR"/>
        </w:rPr>
        <w:t>’</w:t>
      </w:r>
      <w:r w:rsidRPr="003877BB">
        <w:rPr>
          <w:lang w:val="fr-FR"/>
        </w:rPr>
        <w:t>un essai avec le mannequin Q6 :</w:t>
      </w:r>
    </w:p>
    <w:p w14:paraId="4BDD9AE5" w14:textId="498B9B7A" w:rsidR="00670662" w:rsidRPr="003877BB" w:rsidRDefault="00670662" w:rsidP="00670662">
      <w:pPr>
        <w:pStyle w:val="SingleTxtG"/>
        <w:ind w:left="2268"/>
        <w:rPr>
          <w:lang w:val="fr-FR"/>
        </w:rPr>
      </w:pPr>
      <w:r w:rsidRPr="003877BB">
        <w:rPr>
          <w:lang w:val="fr-FR"/>
        </w:rPr>
        <w:t>Le plan DA est distant de 840</w:t>
      </w:r>
      <w:r w:rsidR="00D17FE6">
        <w:rPr>
          <w:lang w:val="fr-FR"/>
        </w:rPr>
        <w:t> </w:t>
      </w:r>
      <w:r w:rsidRPr="003877BB">
        <w:rPr>
          <w:lang w:val="fr-FR"/>
        </w:rPr>
        <w:t>mm.</w:t>
      </w:r>
    </w:p>
    <w:p w14:paraId="0F8C2786" w14:textId="77777777" w:rsidR="00670662" w:rsidRPr="003877BB" w:rsidRDefault="00670662" w:rsidP="00670662">
      <w:pPr>
        <w:pStyle w:val="SingleTxtG"/>
        <w:ind w:left="2268"/>
        <w:rPr>
          <w:lang w:val="fr-FR"/>
        </w:rPr>
      </w:pPr>
      <w:r w:rsidRPr="003877BB">
        <w:rPr>
          <w:lang w:val="fr-FR"/>
        </w:rPr>
        <w:t>Dans le cas d</w:t>
      </w:r>
      <w:r>
        <w:rPr>
          <w:lang w:val="fr-FR"/>
        </w:rPr>
        <w:t>’</w:t>
      </w:r>
      <w:r w:rsidRPr="003877BB">
        <w:rPr>
          <w:lang w:val="fr-FR"/>
        </w:rPr>
        <w:t>un essai avec le mannequin Q10 :</w:t>
      </w:r>
    </w:p>
    <w:p w14:paraId="0ED4FB7A" w14:textId="0B430F02" w:rsidR="00670662" w:rsidRPr="003877BB" w:rsidRDefault="00670662" w:rsidP="00670662">
      <w:pPr>
        <w:pStyle w:val="SingleTxtG"/>
        <w:ind w:left="2835" w:hanging="567"/>
        <w:rPr>
          <w:lang w:val="fr-FR"/>
        </w:rPr>
      </w:pPr>
      <w:r w:rsidRPr="003877BB">
        <w:rPr>
          <w:lang w:val="fr-FR"/>
        </w:rPr>
        <w:t>a)</w:t>
      </w:r>
      <w:r w:rsidRPr="00AB0916">
        <w:rPr>
          <w:lang w:val="fr-FR"/>
        </w:rPr>
        <w:tab/>
      </w:r>
      <w:r w:rsidRPr="003877BB">
        <w:rPr>
          <w:lang w:val="fr-FR"/>
        </w:rPr>
        <w:t>Le plan BA est distant de 550</w:t>
      </w:r>
      <w:r w:rsidR="00D17FE6">
        <w:rPr>
          <w:lang w:val="fr-FR"/>
        </w:rPr>
        <w:t> </w:t>
      </w:r>
      <w:r w:rsidRPr="003877BB">
        <w:rPr>
          <w:lang w:val="fr-FR"/>
        </w:rPr>
        <w:t>mm ;</w:t>
      </w:r>
      <w:r w:rsidRPr="00AB0916">
        <w:rPr>
          <w:lang w:val="fr-FR"/>
        </w:rPr>
        <w:t xml:space="preserve"> </w:t>
      </w:r>
      <w:r w:rsidRPr="003877BB">
        <w:rPr>
          <w:lang w:val="fr-FR"/>
        </w:rPr>
        <w:t>et</w:t>
      </w:r>
    </w:p>
    <w:p w14:paraId="1BC028DA" w14:textId="77777777" w:rsidR="00670662" w:rsidRPr="003877BB" w:rsidRDefault="00670662" w:rsidP="00670662">
      <w:pPr>
        <w:pStyle w:val="SingleTxtG"/>
        <w:ind w:left="2835" w:hanging="567"/>
        <w:rPr>
          <w:lang w:val="fr-FR"/>
        </w:rPr>
      </w:pPr>
      <w:r w:rsidRPr="003877BB">
        <w:rPr>
          <w:lang w:val="fr-FR"/>
        </w:rPr>
        <w:t>b)</w:t>
      </w:r>
      <w:r w:rsidRPr="00AB0916">
        <w:rPr>
          <w:lang w:val="fr-FR"/>
        </w:rPr>
        <w:tab/>
      </w:r>
      <w:r w:rsidRPr="003877BB">
        <w:rPr>
          <w:lang w:val="fr-FR"/>
        </w:rPr>
        <w:t>Le plan DA est distant de 840 mm ;</w:t>
      </w:r>
      <w:r w:rsidRPr="00AB0916">
        <w:rPr>
          <w:lang w:val="fr-FR"/>
        </w:rPr>
        <w:t xml:space="preserve"> </w:t>
      </w:r>
      <w:r w:rsidRPr="003877BB">
        <w:rPr>
          <w:lang w:val="fr-FR"/>
        </w:rPr>
        <w:t>et</w:t>
      </w:r>
    </w:p>
    <w:p w14:paraId="35EBE925" w14:textId="77777777" w:rsidR="00670662" w:rsidRPr="003877BB" w:rsidRDefault="00670662" w:rsidP="00670662">
      <w:pPr>
        <w:pStyle w:val="SingleTxtG"/>
        <w:ind w:left="2835" w:hanging="567"/>
        <w:rPr>
          <w:lang w:val="fr-FR"/>
        </w:rPr>
      </w:pPr>
      <w:r w:rsidRPr="003877BB">
        <w:rPr>
          <w:lang w:val="fr-FR"/>
        </w:rPr>
        <w:t>c)</w:t>
      </w:r>
      <w:r w:rsidRPr="00AB0916">
        <w:rPr>
          <w:lang w:val="fr-FR"/>
        </w:rPr>
        <w:tab/>
      </w:r>
      <w:r w:rsidRPr="003877BB">
        <w:rPr>
          <w:lang w:val="fr-FR"/>
        </w:rPr>
        <w:t>On ne tient pas compte de la phase de rebond pour évaluer les résultats pour le plan DA ;</w:t>
      </w:r>
      <w:r w:rsidRPr="00AB0916">
        <w:rPr>
          <w:lang w:val="fr-FR"/>
        </w:rPr>
        <w:t xml:space="preserve"> </w:t>
      </w:r>
      <w:r w:rsidRPr="003877BB">
        <w:rPr>
          <w:lang w:val="fr-FR"/>
        </w:rPr>
        <w:t>et</w:t>
      </w:r>
    </w:p>
    <w:p w14:paraId="365C01E4" w14:textId="77777777" w:rsidR="00670662" w:rsidRPr="003877BB" w:rsidRDefault="00670662" w:rsidP="00670662">
      <w:pPr>
        <w:pStyle w:val="SingleTxtG"/>
        <w:ind w:left="2835" w:hanging="567"/>
        <w:rPr>
          <w:lang w:val="fr-FR"/>
        </w:rPr>
      </w:pPr>
      <w:r w:rsidRPr="003877BB">
        <w:rPr>
          <w:lang w:val="fr-FR"/>
        </w:rPr>
        <w:t>d)</w:t>
      </w:r>
      <w:r w:rsidRPr="00AB0916">
        <w:rPr>
          <w:lang w:val="fr-FR"/>
        </w:rPr>
        <w:tab/>
      </w:r>
      <w:r w:rsidRPr="003877BB">
        <w:rPr>
          <w:lang w:val="fr-FR"/>
        </w:rPr>
        <w:t>En cas de contact du mannequin avec une partie rigide de l</w:t>
      </w:r>
      <w:r>
        <w:rPr>
          <w:lang w:val="fr-FR"/>
        </w:rPr>
        <w:t>’</w:t>
      </w:r>
      <w:r w:rsidRPr="003877BB">
        <w:rPr>
          <w:lang w:val="fr-FR"/>
        </w:rPr>
        <w:t>appareillage d</w:t>
      </w:r>
      <w:r>
        <w:rPr>
          <w:lang w:val="fr-FR"/>
        </w:rPr>
        <w:t>’</w:t>
      </w:r>
      <w:r w:rsidRPr="003877BB">
        <w:rPr>
          <w:lang w:val="fr-FR"/>
        </w:rPr>
        <w:t>essai pendant la phase de rebond, le critère d</w:t>
      </w:r>
      <w:r>
        <w:rPr>
          <w:lang w:val="fr-FR"/>
        </w:rPr>
        <w:t>’</w:t>
      </w:r>
      <w:r w:rsidRPr="003877BB">
        <w:rPr>
          <w:lang w:val="fr-FR"/>
        </w:rPr>
        <w:t>accélération de la tête pendant ce contact n</w:t>
      </w:r>
      <w:r>
        <w:rPr>
          <w:lang w:val="fr-FR"/>
        </w:rPr>
        <w:t>’</w:t>
      </w:r>
      <w:r w:rsidRPr="003877BB">
        <w:rPr>
          <w:lang w:val="fr-FR"/>
        </w:rPr>
        <w:t>est pas pris en compte.</w:t>
      </w:r>
    </w:p>
    <w:p w14:paraId="02C14C51" w14:textId="12386217" w:rsidR="00670662" w:rsidRPr="003877BB" w:rsidRDefault="00670662" w:rsidP="00670662">
      <w:pPr>
        <w:pStyle w:val="SingleTxtG"/>
        <w:ind w:left="2268" w:hanging="1134"/>
        <w:rPr>
          <w:lang w:val="fr-FR"/>
        </w:rPr>
      </w:pPr>
      <w:bookmarkStart w:id="4" w:name="_Hlk113521921"/>
      <w:bookmarkEnd w:id="2"/>
      <w:r w:rsidRPr="003877BB">
        <w:rPr>
          <w:lang w:val="fr-FR"/>
        </w:rPr>
        <w:t>6.6.4.4.1.1.1</w:t>
      </w:r>
      <w:r w:rsidRPr="00AB0916">
        <w:rPr>
          <w:lang w:val="fr-FR"/>
        </w:rPr>
        <w:tab/>
      </w:r>
      <w:r w:rsidRPr="003877BB">
        <w:rPr>
          <w:lang w:val="fr-FR"/>
        </w:rPr>
        <w:t>Si l</w:t>
      </w:r>
      <w:r>
        <w:rPr>
          <w:lang w:val="fr-FR"/>
        </w:rPr>
        <w:t>’</w:t>
      </w:r>
      <w:r w:rsidRPr="003877BB">
        <w:rPr>
          <w:lang w:val="fr-FR"/>
        </w:rPr>
        <w:t>essai est effectué conformément aux paragraphes 6.6.4.1.6.1.1, 6.6.4.1.6.1.2 ou 6.6.4.1.8.2 ci-dessus, une tolérance de +10 % est appliquée à la valeur de déplacement de la tête entre le point</w:t>
      </w:r>
      <w:r w:rsidR="00D17FE6">
        <w:rPr>
          <w:lang w:val="fr-FR"/>
        </w:rPr>
        <w:t> </w:t>
      </w:r>
      <w:r w:rsidRPr="003877BB">
        <w:rPr>
          <w:lang w:val="fr-FR"/>
        </w:rPr>
        <w:t>Cr et le plan</w:t>
      </w:r>
      <w:r w:rsidR="00D17FE6">
        <w:rPr>
          <w:lang w:val="fr-FR"/>
        </w:rPr>
        <w:t> </w:t>
      </w:r>
      <w:r w:rsidRPr="003877BB">
        <w:rPr>
          <w:lang w:val="fr-FR"/>
        </w:rPr>
        <w:t>AB.</w:t>
      </w:r>
      <w:bookmarkEnd w:id="4"/>
    </w:p>
    <w:p w14:paraId="4C9973A6" w14:textId="0F0959CB" w:rsidR="00670662" w:rsidRPr="001A482F" w:rsidRDefault="00D17FE6" w:rsidP="00D17FE6">
      <w:pPr>
        <w:pStyle w:val="H23G"/>
        <w:rPr>
          <w:lang w:val="fr-FR"/>
        </w:rPr>
      </w:pPr>
      <w:r w:rsidRPr="00D17FE6">
        <w:rPr>
          <w:b w:val="0"/>
          <w:bCs/>
          <w:lang w:val="fr-FR"/>
        </w:rPr>
        <w:lastRenderedPageBreak/>
        <w:tab/>
      </w:r>
      <w:r w:rsidRPr="00D17FE6">
        <w:rPr>
          <w:b w:val="0"/>
          <w:bCs/>
          <w:lang w:val="fr-FR"/>
        </w:rPr>
        <w:tab/>
      </w:r>
      <w:r w:rsidR="00670662" w:rsidRPr="00D17FE6">
        <w:rPr>
          <w:b w:val="0"/>
          <w:bCs/>
          <w:lang w:val="fr-FR"/>
        </w:rPr>
        <w:t>Figure 4</w:t>
      </w:r>
      <w:r w:rsidR="00670662" w:rsidRPr="001A482F">
        <w:rPr>
          <w:lang w:val="fr-FR"/>
        </w:rPr>
        <w:t xml:space="preserve"> </w:t>
      </w:r>
      <w:r w:rsidR="00670662">
        <w:rPr>
          <w:lang w:val="fr-FR"/>
        </w:rPr>
        <w:br/>
      </w:r>
      <w:r w:rsidR="00670662" w:rsidRPr="001A482F">
        <w:rPr>
          <w:lang w:val="fr-FR"/>
        </w:rPr>
        <w:t>Disposition avant essai du système de retenue faisant face vers l</w:t>
      </w:r>
      <w:r w:rsidR="00670662">
        <w:rPr>
          <w:lang w:val="fr-FR"/>
        </w:rPr>
        <w:t>’</w:t>
      </w:r>
      <w:r w:rsidR="00670662" w:rsidRPr="001A482F">
        <w:rPr>
          <w:lang w:val="fr-FR"/>
        </w:rPr>
        <w:t>avant</w:t>
      </w:r>
    </w:p>
    <w:p w14:paraId="35F6984D" w14:textId="2BBE46BA" w:rsidR="00670662" w:rsidRDefault="00D17FE6" w:rsidP="00D17FE6">
      <w:pPr>
        <w:pStyle w:val="SingleTxtG"/>
        <w:spacing w:line="200" w:lineRule="atLeast"/>
        <w:rPr>
          <w:lang w:val="fr-FR"/>
        </w:rPr>
      </w:pPr>
      <w:r>
        <w:rPr>
          <w:noProof/>
          <w:lang w:val="fr-FR"/>
        </w:rPr>
        <mc:AlternateContent>
          <mc:Choice Requires="wps">
            <w:drawing>
              <wp:anchor distT="0" distB="0" distL="114300" distR="114300" simplePos="0" relativeHeight="251659264" behindDoc="0" locked="0" layoutInCell="1" allowOverlap="1" wp14:anchorId="0F69F2AF" wp14:editId="40FF258D">
                <wp:simplePos x="0" y="0"/>
                <wp:positionH relativeFrom="column">
                  <wp:posOffset>2793586</wp:posOffset>
                </wp:positionH>
                <wp:positionV relativeFrom="paragraph">
                  <wp:posOffset>2862222</wp:posOffset>
                </wp:positionV>
                <wp:extent cx="1164379" cy="232622"/>
                <wp:effectExtent l="0" t="0" r="4445" b="0"/>
                <wp:wrapNone/>
                <wp:docPr id="5" name="Zone de texte 5"/>
                <wp:cNvGraphicFramePr/>
                <a:graphic xmlns:a="http://schemas.openxmlformats.org/drawingml/2006/main">
                  <a:graphicData uri="http://schemas.microsoft.com/office/word/2010/wordprocessingShape">
                    <wps:wsp>
                      <wps:cNvSpPr txBox="1"/>
                      <wps:spPr>
                        <a:xfrm>
                          <a:off x="0" y="0"/>
                          <a:ext cx="1164379" cy="232622"/>
                        </a:xfrm>
                        <a:prstGeom prst="rect">
                          <a:avLst/>
                        </a:prstGeom>
                        <a:solidFill>
                          <a:schemeClr val="lt1"/>
                        </a:solidFill>
                        <a:ln w="6350">
                          <a:noFill/>
                        </a:ln>
                      </wps:spPr>
                      <wps:txbx>
                        <w:txbxContent>
                          <w:p w14:paraId="292BD0E2" w14:textId="3DAC0804" w:rsidR="00670662" w:rsidRDefault="00670662" w:rsidP="00670662">
                            <w:r w:rsidRPr="00260095">
                              <w:rPr>
                                <w14:textOutline w14:w="9525" w14:cap="rnd" w14:cmpd="sng" w14:algn="ctr">
                                  <w14:noFill/>
                                  <w14:prstDash w14:val="solid"/>
                                  <w14:bevel/>
                                </w14:textOutline>
                              </w:rPr>
                              <w:t>Dimensions</w:t>
                            </w:r>
                            <w:r>
                              <w:t xml:space="preserve"> en mm</w:t>
                            </w:r>
                            <w:r w:rsidR="00D17FE6">
                              <w: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F69F2AF" id="_x0000_t202" coordsize="21600,21600" o:spt="202" path="m,l,21600r21600,l21600,xe">
                <v:stroke joinstyle="miter"/>
                <v:path gradientshapeok="t" o:connecttype="rect"/>
              </v:shapetype>
              <v:shape id="Zone de texte 5" o:spid="_x0000_s1026" type="#_x0000_t202" style="position:absolute;left:0;text-align:left;margin-left:219.95pt;margin-top:225.35pt;width:91.7pt;height:18.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" fillcolor="white [3201]" stroked="f" strokeweight=".5pt">
                <v:textbox inset="0,0,0,0">
                  <w:txbxContent>
                    <w:p w14:paraId="292BD0E2" w14:textId="3DAC0804" w:rsidR="00670662" w:rsidRDefault="00670662" w:rsidP="00670662">
                      <w:r w:rsidRPr="00260095">
                        <w:rPr>
                          <w14:textOutline w14:w="9525" w14:cap="rnd" w14:cmpd="sng" w14:algn="ctr">
                            <w14:noFill/>
                            <w14:prstDash w14:val="solid"/>
                            <w14:bevel/>
                          </w14:textOutline>
                        </w:rPr>
                        <w:t>Dimensions</w:t>
                      </w:r>
                      <w:r>
                        <w:t xml:space="preserve"> en mm</w:t>
                      </w:r>
                      <w:r w:rsidR="00D17FE6">
                        <w:t> ».</w:t>
                      </w:r>
                    </w:p>
                  </w:txbxContent>
                </v:textbox>
              </v:shape>
            </w:pict>
          </mc:Fallback>
        </mc:AlternateContent>
      </w:r>
      <w:r w:rsidR="00670662" w:rsidRPr="001A482F">
        <w:rPr>
          <w:noProof/>
          <w:lang w:val="fr-FR"/>
        </w:rPr>
        <w:drawing>
          <wp:inline distT="0" distB="0" distL="0" distR="0" wp14:anchorId="1E25EBD0" wp14:editId="76D7CD01">
            <wp:extent cx="3240000" cy="3009017"/>
            <wp:effectExtent l="0" t="0" r="0" b="889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010" t="21604" r="65376" b="16940"/>
                    <a:stretch/>
                  </pic:blipFill>
                  <pic:spPr bwMode="auto">
                    <a:xfrm>
                      <a:off x="0" y="0"/>
                      <a:ext cx="3240000" cy="3009017"/>
                    </a:xfrm>
                    <a:prstGeom prst="rect">
                      <a:avLst/>
                    </a:prstGeom>
                    <a:ln>
                      <a:noFill/>
                    </a:ln>
                    <a:extLst>
                      <a:ext uri="{53640926-AAD7-44D8-BBD7-CCE9431645EC}">
                        <a14:shadowObscured xmlns:a14="http://schemas.microsoft.com/office/drawing/2010/main"/>
                      </a:ext>
                    </a:extLst>
                  </pic:spPr>
                </pic:pic>
              </a:graphicData>
            </a:graphic>
          </wp:inline>
        </w:drawing>
      </w:r>
    </w:p>
    <w:p w14:paraId="503D8927" w14:textId="673315DC" w:rsidR="00670662" w:rsidRPr="001A482F" w:rsidRDefault="00670662" w:rsidP="00670662">
      <w:pPr>
        <w:pStyle w:val="SingleTxtG"/>
        <w:rPr>
          <w:lang w:val="fr-FR"/>
        </w:rPr>
      </w:pPr>
      <w:r w:rsidRPr="001A482F">
        <w:rPr>
          <w:i/>
          <w:iCs/>
          <w:lang w:val="fr-FR"/>
        </w:rPr>
        <w:t>Paragraphe 7.1.3.6.4</w:t>
      </w:r>
      <w:r w:rsidRPr="001A482F">
        <w:rPr>
          <w:lang w:val="fr-FR"/>
        </w:rPr>
        <w:t xml:space="preserve">, </w:t>
      </w:r>
      <w:bookmarkStart w:id="5" w:name="_Hlk114129077"/>
      <w:bookmarkEnd w:id="5"/>
      <w:r w:rsidRPr="001A482F">
        <w:rPr>
          <w:lang w:val="fr-FR"/>
        </w:rPr>
        <w:t>lire</w:t>
      </w:r>
      <w:r>
        <w:rPr>
          <w:lang w:val="fr-FR"/>
        </w:rPr>
        <w:t> </w:t>
      </w:r>
      <w:r w:rsidRPr="001A482F">
        <w:rPr>
          <w:lang w:val="fr-FR"/>
        </w:rPr>
        <w:t>:</w:t>
      </w:r>
    </w:p>
    <w:p w14:paraId="63C38C6F" w14:textId="475D3E84" w:rsidR="00670662" w:rsidRDefault="00670662" w:rsidP="00670662">
      <w:pPr>
        <w:pStyle w:val="SingleTxtG"/>
        <w:ind w:left="2254" w:hanging="1120"/>
        <w:rPr>
          <w:lang w:val="fr-FR"/>
        </w:rPr>
      </w:pPr>
      <w:r w:rsidRPr="001A482F">
        <w:rPr>
          <w:lang w:val="fr-FR"/>
        </w:rPr>
        <w:t>« 7.1.3.6.4</w:t>
      </w:r>
      <w:r w:rsidRPr="001A482F">
        <w:rPr>
          <w:lang w:val="fr-FR"/>
        </w:rPr>
        <w:tab/>
        <w:t>L</w:t>
      </w:r>
      <w:r>
        <w:rPr>
          <w:lang w:val="fr-FR"/>
        </w:rPr>
        <w:t>’</w:t>
      </w:r>
      <w:r w:rsidRPr="001A482F">
        <w:rPr>
          <w:lang w:val="fr-FR"/>
        </w:rPr>
        <w:t>essai défini au paragraphe</w:t>
      </w:r>
      <w:r w:rsidR="00D17FE6">
        <w:rPr>
          <w:lang w:val="fr-FR"/>
        </w:rPr>
        <w:t> </w:t>
      </w:r>
      <w:r w:rsidRPr="003877BB">
        <w:rPr>
          <w:lang w:val="fr-FR"/>
        </w:rPr>
        <w:t>6.6.4.1.6.1.1</w:t>
      </w:r>
      <w:r w:rsidRPr="003C5A6B">
        <w:rPr>
          <w:lang w:val="fr-FR"/>
        </w:rPr>
        <w:t xml:space="preserve"> </w:t>
      </w:r>
      <w:r w:rsidRPr="001A482F">
        <w:rPr>
          <w:lang w:val="fr-FR"/>
        </w:rPr>
        <w:t>ci-dessus s</w:t>
      </w:r>
      <w:r>
        <w:rPr>
          <w:lang w:val="fr-FR"/>
        </w:rPr>
        <w:t>’</w:t>
      </w:r>
      <w:r w:rsidRPr="001A482F">
        <w:rPr>
          <w:lang w:val="fr-FR"/>
        </w:rPr>
        <w:t>applique uniquement au mannequin le plus grand pour lequel le système de retenue est conçu. ».</w:t>
      </w:r>
    </w:p>
    <w:p w14:paraId="5FEF7469" w14:textId="5868AE5E" w:rsidR="00670662" w:rsidRDefault="00670662" w:rsidP="00670662">
      <w:pPr>
        <w:pStyle w:val="SingleTxtG"/>
        <w:rPr>
          <w:lang w:val="fr-FR"/>
        </w:rPr>
      </w:pPr>
      <w:r w:rsidRPr="00D17FE6">
        <w:rPr>
          <w:i/>
          <w:iCs/>
          <w:lang w:val="fr-FR"/>
        </w:rPr>
        <w:t>Paragraphe</w:t>
      </w:r>
      <w:r w:rsidR="00D17FE6" w:rsidRPr="00D17FE6">
        <w:rPr>
          <w:i/>
          <w:iCs/>
          <w:lang w:val="fr-FR"/>
        </w:rPr>
        <w:t> </w:t>
      </w:r>
      <w:r w:rsidRPr="00D17FE6">
        <w:rPr>
          <w:i/>
          <w:iCs/>
          <w:lang w:val="fr-FR"/>
        </w:rPr>
        <w:t>9.2</w:t>
      </w:r>
      <w:r w:rsidRPr="00C8312D">
        <w:rPr>
          <w:lang w:val="fr-FR"/>
        </w:rPr>
        <w:t>, lire</w:t>
      </w:r>
      <w:r w:rsidR="00D17FE6">
        <w:rPr>
          <w:lang w:val="fr-FR"/>
        </w:rPr>
        <w:t> </w:t>
      </w:r>
      <w:r w:rsidRPr="00C8312D">
        <w:rPr>
          <w:lang w:val="fr-FR"/>
        </w:rPr>
        <w:t>:</w:t>
      </w:r>
    </w:p>
    <w:p w14:paraId="0051C42E" w14:textId="3A57F14B" w:rsidR="00670662" w:rsidRDefault="00670662" w:rsidP="00670662">
      <w:pPr>
        <w:pStyle w:val="SingleTxtG"/>
        <w:rPr>
          <w:lang w:val="fr-FR"/>
        </w:rPr>
      </w:pPr>
      <w:r w:rsidRPr="00C8312D">
        <w:rPr>
          <w:lang w:val="fr-FR"/>
        </w:rPr>
        <w:t>«</w:t>
      </w:r>
      <w:r w:rsidR="00D17FE6">
        <w:rPr>
          <w:lang w:val="fr-FR"/>
        </w:rPr>
        <w:t> </w:t>
      </w:r>
      <w:r w:rsidRPr="00C8312D">
        <w:rPr>
          <w:lang w:val="fr-FR"/>
        </w:rPr>
        <w:t>9.2</w:t>
      </w:r>
      <w:r>
        <w:rPr>
          <w:lang w:val="fr-FR"/>
        </w:rPr>
        <w:tab/>
      </w:r>
      <w:r>
        <w:rPr>
          <w:lang w:val="fr-FR"/>
        </w:rPr>
        <w:tab/>
      </w:r>
      <w:r w:rsidRPr="00C8312D">
        <w:rPr>
          <w:lang w:val="fr-FR"/>
        </w:rPr>
        <w:t>Qualification de la production des systèmes améliorés de retenue pour enfants</w:t>
      </w:r>
    </w:p>
    <w:p w14:paraId="5BDFB8A1" w14:textId="458BCD46" w:rsidR="00670662" w:rsidRDefault="00670662" w:rsidP="00670662">
      <w:pPr>
        <w:pStyle w:val="SingleTxtG"/>
        <w:ind w:left="2268"/>
        <w:rPr>
          <w:lang w:val="fr-FR"/>
        </w:rPr>
      </w:pPr>
      <w:r w:rsidRPr="00C8312D">
        <w:rPr>
          <w:lang w:val="fr-FR"/>
        </w:rPr>
        <w:t>La production de chaque nouveau type homologué de système amélioré de retenue pour enfants doit être soumise à des essais de qualification. Lorsque le système amélioré de retenue pour enfants visé par l</w:t>
      </w:r>
      <w:r>
        <w:rPr>
          <w:lang w:val="fr-FR"/>
        </w:rPr>
        <w:t>’</w:t>
      </w:r>
      <w:r w:rsidRPr="00C8312D">
        <w:rPr>
          <w:lang w:val="fr-FR"/>
        </w:rPr>
        <w:t>homologation de type se compose de différents modules, des essais de qualification de la production sont effectués sur chaque module du système.</w:t>
      </w:r>
    </w:p>
    <w:p w14:paraId="30BAE0DE" w14:textId="522FB320" w:rsidR="00670662" w:rsidRDefault="00670662" w:rsidP="00670662">
      <w:pPr>
        <w:pStyle w:val="SingleTxtG"/>
        <w:ind w:left="2268"/>
        <w:rPr>
          <w:lang w:val="fr-FR"/>
        </w:rPr>
      </w:pPr>
      <w:r w:rsidRPr="00C8312D">
        <w:rPr>
          <w:lang w:val="fr-FR"/>
        </w:rPr>
        <w:t>Des qualifications supplémentaires peuvent être prescrites conformément au paragraphe</w:t>
      </w:r>
      <w:r w:rsidR="00D17FE6">
        <w:rPr>
          <w:lang w:val="fr-FR"/>
        </w:rPr>
        <w:t> </w:t>
      </w:r>
      <w:r w:rsidRPr="00C8312D">
        <w:rPr>
          <w:lang w:val="fr-FR"/>
        </w:rPr>
        <w:t>11.4 ci-dessous.</w:t>
      </w:r>
    </w:p>
    <w:p w14:paraId="0C51677D" w14:textId="5E1B3ACF" w:rsidR="00670662" w:rsidRDefault="00670662" w:rsidP="00D17FE6">
      <w:pPr>
        <w:pStyle w:val="SingleTxtG"/>
        <w:ind w:left="2268"/>
        <w:jc w:val="right"/>
        <w:rPr>
          <w:lang w:val="fr-FR"/>
        </w:rPr>
      </w:pPr>
      <w:r w:rsidRPr="00C8312D">
        <w:rPr>
          <w:lang w:val="fr-FR"/>
        </w:rPr>
        <w:t>…</w:t>
      </w:r>
      <w:r w:rsidR="00D17FE6">
        <w:rPr>
          <w:lang w:val="fr-FR"/>
        </w:rPr>
        <w:t> </w:t>
      </w:r>
      <w:r w:rsidRPr="00C8312D">
        <w:rPr>
          <w:lang w:val="fr-FR"/>
        </w:rPr>
        <w:t>».</w:t>
      </w:r>
    </w:p>
    <w:p w14:paraId="29FBDAC9" w14:textId="77777777" w:rsidR="00670662" w:rsidRPr="008833EC" w:rsidRDefault="00670662" w:rsidP="00D17FE6">
      <w:pPr>
        <w:pStyle w:val="SingleTxtG"/>
        <w:keepNext/>
        <w:keepLines/>
        <w:rPr>
          <w:i/>
        </w:rPr>
      </w:pPr>
      <w:r>
        <w:rPr>
          <w:i/>
        </w:rPr>
        <w:lastRenderedPageBreak/>
        <w:t>Annexe 19</w:t>
      </w:r>
      <w:r>
        <w:rPr>
          <w:i/>
          <w:iCs/>
        </w:rPr>
        <w:t>, figure 1,</w:t>
      </w:r>
      <w:r>
        <w:t xml:space="preserve"> lire :</w:t>
      </w:r>
    </w:p>
    <w:p w14:paraId="67192DCA" w14:textId="16459C19" w:rsidR="00670662" w:rsidRPr="008833EC" w:rsidRDefault="00670662" w:rsidP="00D17FE6">
      <w:pPr>
        <w:pStyle w:val="H23G"/>
      </w:pPr>
      <w:r>
        <w:tab/>
      </w:r>
      <w:r w:rsidRPr="00AF634F">
        <w:rPr>
          <w:b w:val="0"/>
          <w:bCs/>
        </w:rPr>
        <w:tab/>
        <w:t>« Figure 1</w:t>
      </w:r>
      <w:r w:rsidRPr="00D17FE6">
        <w:rPr>
          <w:b w:val="0"/>
          <w:bCs/>
        </w:rPr>
        <w:t xml:space="preserve"> </w:t>
      </w:r>
      <w:r>
        <w:br/>
        <w:t>Vue en coupe du volume imparti aux dimensions de la jambe de force</w:t>
      </w:r>
    </w:p>
    <w:tbl>
      <w:tblPr>
        <w:tblW w:w="0" w:type="auto"/>
        <w:tblInd w:w="1134" w:type="dxa"/>
        <w:tblLayout w:type="fixed"/>
        <w:tblLook w:val="04A0" w:firstRow="1" w:lastRow="0" w:firstColumn="1" w:lastColumn="0" w:noHBand="0" w:noVBand="1"/>
      </w:tblPr>
      <w:tblGrid>
        <w:gridCol w:w="4814"/>
        <w:gridCol w:w="4814"/>
      </w:tblGrid>
      <w:tr w:rsidR="00670662" w:rsidRPr="00064660" w14:paraId="55124091" w14:textId="77777777" w:rsidTr="00AB60EA">
        <w:tc>
          <w:tcPr>
            <w:tcW w:w="4814" w:type="dxa"/>
          </w:tcPr>
          <w:p w14:paraId="4BFE9777" w14:textId="77777777" w:rsidR="00670662" w:rsidRDefault="00670662" w:rsidP="00D17FE6">
            <w:pPr>
              <w:keepNext/>
              <w:keepLines/>
              <w:spacing w:after="120"/>
              <w:ind w:right="1134"/>
              <w:jc w:val="both"/>
              <w:rPr>
                <w:b/>
              </w:rPr>
            </w:pPr>
            <w:r>
              <w:rPr>
                <w:b/>
                <w:noProof/>
              </w:rPr>
              <w:drawing>
                <wp:inline distT="0" distB="0" distL="0" distR="0" wp14:anchorId="7E1D4320" wp14:editId="43A52BAB">
                  <wp:extent cx="1603863" cy="1971304"/>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695"/>
                          <a:stretch/>
                        </pic:blipFill>
                        <pic:spPr bwMode="auto">
                          <a:xfrm>
                            <a:off x="0" y="0"/>
                            <a:ext cx="1616907" cy="1987336"/>
                          </a:xfrm>
                          <a:prstGeom prst="rect">
                            <a:avLst/>
                          </a:prstGeom>
                          <a:noFill/>
                          <a:ln>
                            <a:noFill/>
                          </a:ln>
                          <a:extLst>
                            <a:ext uri="{53640926-AAD7-44D8-BBD7-CCE9431645EC}">
                              <a14:shadowObscured xmlns:a14="http://schemas.microsoft.com/office/drawing/2010/main"/>
                            </a:ext>
                          </a:extLst>
                        </pic:spPr>
                      </pic:pic>
                    </a:graphicData>
                  </a:graphic>
                </wp:inline>
              </w:drawing>
            </w:r>
          </w:p>
          <w:p w14:paraId="01059E74" w14:textId="4BC4A30C" w:rsidR="00670662" w:rsidRPr="00D17FE6" w:rsidRDefault="00670662" w:rsidP="00D17FE6">
            <w:pPr>
              <w:keepNext/>
              <w:keepLines/>
              <w:spacing w:after="120"/>
              <w:ind w:right="1134"/>
              <w:jc w:val="center"/>
              <w:rPr>
                <w:lang w:val="fr-FR"/>
              </w:rPr>
            </w:pPr>
            <w:r w:rsidRPr="00D17FE6">
              <w:rPr>
                <w:lang w:val="fr-FR"/>
              </w:rPr>
              <w:t>Système amélioré de retenue pour enfants faisant face vers l’avant</w:t>
            </w:r>
          </w:p>
        </w:tc>
        <w:tc>
          <w:tcPr>
            <w:tcW w:w="4814" w:type="dxa"/>
          </w:tcPr>
          <w:p w14:paraId="4F9C8309" w14:textId="77777777" w:rsidR="00670662" w:rsidRDefault="00670662" w:rsidP="00D17FE6">
            <w:pPr>
              <w:keepNext/>
              <w:keepLines/>
              <w:spacing w:after="240"/>
              <w:ind w:right="1134"/>
              <w:jc w:val="both"/>
              <w:rPr>
                <w:b/>
              </w:rPr>
            </w:pPr>
            <w:r w:rsidRPr="008833EC">
              <w:rPr>
                <w:noProof/>
                <w:lang w:eastAsia="en-GB"/>
              </w:rPr>
              <w:drawing>
                <wp:inline distT="0" distB="0" distL="0" distR="0" wp14:anchorId="32892181" wp14:editId="51D7184C">
                  <wp:extent cx="1525556" cy="1876302"/>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216" r="7854" b="5378"/>
                          <a:stretch/>
                        </pic:blipFill>
                        <pic:spPr bwMode="auto">
                          <a:xfrm>
                            <a:off x="0" y="0"/>
                            <a:ext cx="1545897" cy="1901320"/>
                          </a:xfrm>
                          <a:prstGeom prst="rect">
                            <a:avLst/>
                          </a:prstGeom>
                          <a:noFill/>
                          <a:ln>
                            <a:noFill/>
                          </a:ln>
                          <a:extLst>
                            <a:ext uri="{53640926-AAD7-44D8-BBD7-CCE9431645EC}">
                              <a14:shadowObscured xmlns:a14="http://schemas.microsoft.com/office/drawing/2010/main"/>
                            </a:ext>
                          </a:extLst>
                        </pic:spPr>
                      </pic:pic>
                    </a:graphicData>
                  </a:graphic>
                </wp:inline>
              </w:drawing>
            </w:r>
          </w:p>
          <w:p w14:paraId="425BC145" w14:textId="76E08A13" w:rsidR="00670662" w:rsidRPr="00D17FE6" w:rsidRDefault="00670662" w:rsidP="00D17FE6">
            <w:pPr>
              <w:keepNext/>
              <w:keepLines/>
              <w:spacing w:before="120" w:after="120"/>
              <w:ind w:right="1134"/>
              <w:rPr>
                <w:lang w:val="fr-FR"/>
              </w:rPr>
            </w:pPr>
            <w:r w:rsidRPr="00D17FE6">
              <w:rPr>
                <w:lang w:val="fr-FR"/>
              </w:rPr>
              <w:t xml:space="preserve">Système amélioré de retenue </w:t>
            </w:r>
            <w:r w:rsidR="00D17FE6">
              <w:rPr>
                <w:lang w:val="fr-FR"/>
              </w:rPr>
              <w:br/>
            </w:r>
            <w:r w:rsidRPr="00D17FE6">
              <w:rPr>
                <w:lang w:val="fr-FR"/>
              </w:rPr>
              <w:t>pour enfants faisant face vers l’arrière</w:t>
            </w:r>
          </w:p>
        </w:tc>
      </w:tr>
    </w:tbl>
    <w:p w14:paraId="1FDA5F7F" w14:textId="77777777" w:rsidR="00670662" w:rsidRPr="00D05217" w:rsidRDefault="00670662" w:rsidP="00670662">
      <w:pPr>
        <w:pStyle w:val="SingleTxtG"/>
        <w:rPr>
          <w:bCs/>
          <w:iCs/>
        </w:rPr>
      </w:pPr>
      <w:r>
        <w:rPr>
          <w:i/>
        </w:rPr>
        <w:t>Légende </w:t>
      </w:r>
      <w:r>
        <w:rPr>
          <w:iCs/>
        </w:rPr>
        <w:t>:</w:t>
      </w:r>
    </w:p>
    <w:p w14:paraId="178E3D0B" w14:textId="77777777" w:rsidR="00670662" w:rsidRPr="00D05217" w:rsidRDefault="00670662" w:rsidP="00670662">
      <w:pPr>
        <w:pStyle w:val="SingleTxtG"/>
        <w:spacing w:after="0"/>
        <w:ind w:firstLine="170"/>
        <w:rPr>
          <w:bCs/>
          <w:sz w:val="18"/>
          <w:szCs w:val="18"/>
        </w:rPr>
      </w:pPr>
      <w:r w:rsidRPr="00D05217">
        <w:rPr>
          <w:sz w:val="18"/>
          <w:szCs w:val="18"/>
        </w:rPr>
        <w:t>1.</w:t>
      </w:r>
      <w:r w:rsidRPr="00D05217">
        <w:rPr>
          <w:sz w:val="18"/>
          <w:szCs w:val="18"/>
        </w:rPr>
        <w:tab/>
        <w:t>Gabarit du système amélioré de retenue pour enfants.</w:t>
      </w:r>
    </w:p>
    <w:p w14:paraId="46C8816C" w14:textId="77777777" w:rsidR="00670662" w:rsidRPr="00D05217" w:rsidRDefault="00670662" w:rsidP="00670662">
      <w:pPr>
        <w:pStyle w:val="SingleTxtG"/>
        <w:spacing w:after="0"/>
        <w:ind w:firstLine="170"/>
        <w:rPr>
          <w:bCs/>
          <w:sz w:val="18"/>
          <w:szCs w:val="18"/>
        </w:rPr>
      </w:pPr>
      <w:r w:rsidRPr="00D05217">
        <w:rPr>
          <w:sz w:val="18"/>
          <w:szCs w:val="18"/>
        </w:rPr>
        <w:t>2.</w:t>
      </w:r>
      <w:r w:rsidRPr="00D05217">
        <w:rPr>
          <w:sz w:val="18"/>
          <w:szCs w:val="18"/>
        </w:rPr>
        <w:tab/>
        <w:t>Barre d</w:t>
      </w:r>
      <w:r>
        <w:rPr>
          <w:sz w:val="18"/>
          <w:szCs w:val="18"/>
        </w:rPr>
        <w:t>’</w:t>
      </w:r>
      <w:r w:rsidRPr="00D05217">
        <w:rPr>
          <w:sz w:val="18"/>
          <w:szCs w:val="18"/>
        </w:rPr>
        <w:t>ancrage inférieure ISOFIX.</w:t>
      </w:r>
    </w:p>
    <w:p w14:paraId="1519EF71" w14:textId="77777777" w:rsidR="00670662" w:rsidRPr="00D05217" w:rsidRDefault="00670662" w:rsidP="00670662">
      <w:pPr>
        <w:pStyle w:val="SingleTxtG"/>
        <w:spacing w:after="0"/>
        <w:ind w:left="1701" w:hanging="397"/>
        <w:rPr>
          <w:bCs/>
          <w:sz w:val="18"/>
          <w:szCs w:val="18"/>
        </w:rPr>
      </w:pPr>
      <w:r w:rsidRPr="00D05217">
        <w:rPr>
          <w:sz w:val="18"/>
          <w:szCs w:val="18"/>
        </w:rPr>
        <w:t>3.</w:t>
      </w:r>
      <w:r w:rsidRPr="00D05217">
        <w:rPr>
          <w:sz w:val="18"/>
          <w:szCs w:val="18"/>
        </w:rPr>
        <w:tab/>
        <w:t>Plan formé par la surface inférieure du gabarit ; il est parallèle au plan X</w:t>
      </w:r>
      <w:r>
        <w:rPr>
          <w:sz w:val="18"/>
          <w:szCs w:val="18"/>
        </w:rPr>
        <w:t>’</w:t>
      </w:r>
      <w:r w:rsidRPr="00D05217">
        <w:rPr>
          <w:sz w:val="18"/>
          <w:szCs w:val="18"/>
        </w:rPr>
        <w:t>-Y</w:t>
      </w:r>
      <w:r>
        <w:rPr>
          <w:sz w:val="18"/>
          <w:szCs w:val="18"/>
        </w:rPr>
        <w:t>’</w:t>
      </w:r>
      <w:r w:rsidRPr="00D05217">
        <w:rPr>
          <w:sz w:val="18"/>
          <w:szCs w:val="18"/>
        </w:rPr>
        <w:t xml:space="preserve"> du système de coordonnées et se trouve 15 mm au-dessous de celui-ci.</w:t>
      </w:r>
    </w:p>
    <w:p w14:paraId="1F038869" w14:textId="77777777" w:rsidR="00670662" w:rsidRPr="00D05217" w:rsidRDefault="00670662" w:rsidP="00670662">
      <w:pPr>
        <w:pStyle w:val="SingleTxtG"/>
        <w:spacing w:after="0"/>
        <w:ind w:firstLine="170"/>
        <w:rPr>
          <w:bCs/>
          <w:sz w:val="18"/>
          <w:szCs w:val="18"/>
        </w:rPr>
      </w:pPr>
      <w:r w:rsidRPr="00D05217">
        <w:rPr>
          <w:sz w:val="18"/>
          <w:szCs w:val="18"/>
        </w:rPr>
        <w:t>4.</w:t>
      </w:r>
      <w:r w:rsidRPr="00D05217">
        <w:rPr>
          <w:sz w:val="18"/>
          <w:szCs w:val="18"/>
        </w:rPr>
        <w:tab/>
        <w:t>Plan Z</w:t>
      </w:r>
      <w:r>
        <w:rPr>
          <w:sz w:val="18"/>
          <w:szCs w:val="18"/>
        </w:rPr>
        <w:t>’</w:t>
      </w:r>
      <w:r w:rsidRPr="00D05217">
        <w:rPr>
          <w:sz w:val="18"/>
          <w:szCs w:val="18"/>
        </w:rPr>
        <w:t>-Y</w:t>
      </w:r>
      <w:r>
        <w:rPr>
          <w:sz w:val="18"/>
          <w:szCs w:val="18"/>
        </w:rPr>
        <w:t>’</w:t>
      </w:r>
      <w:r w:rsidRPr="00D05217">
        <w:rPr>
          <w:sz w:val="18"/>
          <w:szCs w:val="18"/>
        </w:rPr>
        <w:t xml:space="preserve"> du système de coordonnées.</w:t>
      </w:r>
    </w:p>
    <w:p w14:paraId="6594ED1F" w14:textId="77777777" w:rsidR="00670662" w:rsidRPr="00D05217" w:rsidRDefault="00670662" w:rsidP="00670662">
      <w:pPr>
        <w:pStyle w:val="SingleTxtG"/>
        <w:spacing w:after="240"/>
        <w:ind w:left="1701" w:hanging="397"/>
        <w:rPr>
          <w:bCs/>
          <w:sz w:val="18"/>
          <w:szCs w:val="18"/>
        </w:rPr>
      </w:pPr>
      <w:r w:rsidRPr="00D05217">
        <w:rPr>
          <w:sz w:val="18"/>
          <w:szCs w:val="18"/>
        </w:rPr>
        <w:t>5.</w:t>
      </w:r>
      <w:r w:rsidRPr="00D05217">
        <w:rPr>
          <w:sz w:val="18"/>
          <w:szCs w:val="18"/>
        </w:rPr>
        <w:tab/>
        <w:t>Partie supérieure du volume imparti aux dimensions de la jambe de force, représentant les limites dimensionnelles selon l</w:t>
      </w:r>
      <w:r>
        <w:rPr>
          <w:sz w:val="18"/>
          <w:szCs w:val="18"/>
        </w:rPr>
        <w:t>’</w:t>
      </w:r>
      <w:r w:rsidRPr="00D05217">
        <w:rPr>
          <w:sz w:val="18"/>
          <w:szCs w:val="18"/>
        </w:rPr>
        <w:t>axe des X</w:t>
      </w:r>
      <w:r>
        <w:rPr>
          <w:sz w:val="18"/>
          <w:szCs w:val="18"/>
        </w:rPr>
        <w:t>’</w:t>
      </w:r>
      <w:r w:rsidRPr="00D05217">
        <w:rPr>
          <w:sz w:val="18"/>
          <w:szCs w:val="18"/>
        </w:rPr>
        <w:t xml:space="preserve"> et des Y</w:t>
      </w:r>
      <w:r>
        <w:rPr>
          <w:sz w:val="18"/>
          <w:szCs w:val="18"/>
        </w:rPr>
        <w:t>’</w:t>
      </w:r>
      <w:r w:rsidRPr="00D05217">
        <w:rPr>
          <w:sz w:val="18"/>
          <w:szCs w:val="18"/>
        </w:rPr>
        <w:t>, la limite de hauteur supérieure selon l</w:t>
      </w:r>
      <w:r>
        <w:rPr>
          <w:sz w:val="18"/>
          <w:szCs w:val="18"/>
        </w:rPr>
        <w:t>’</w:t>
      </w:r>
      <w:r w:rsidRPr="00D05217">
        <w:rPr>
          <w:sz w:val="18"/>
          <w:szCs w:val="18"/>
        </w:rPr>
        <w:t>axe des Z</w:t>
      </w:r>
      <w:r>
        <w:rPr>
          <w:sz w:val="18"/>
          <w:szCs w:val="18"/>
        </w:rPr>
        <w:t>’</w:t>
      </w:r>
      <w:r w:rsidRPr="00D05217">
        <w:rPr>
          <w:sz w:val="18"/>
          <w:szCs w:val="18"/>
        </w:rPr>
        <w:t>, ainsi que la limite de hauteur inférieure selon l</w:t>
      </w:r>
      <w:r>
        <w:rPr>
          <w:sz w:val="18"/>
          <w:szCs w:val="18"/>
        </w:rPr>
        <w:t>’</w:t>
      </w:r>
      <w:r w:rsidRPr="00D05217">
        <w:rPr>
          <w:sz w:val="18"/>
          <w:szCs w:val="18"/>
        </w:rPr>
        <w:t>axe des Z</w:t>
      </w:r>
      <w:r>
        <w:rPr>
          <w:sz w:val="18"/>
          <w:szCs w:val="18"/>
        </w:rPr>
        <w:t>’</w:t>
      </w:r>
      <w:r w:rsidRPr="00D05217">
        <w:rPr>
          <w:sz w:val="18"/>
          <w:szCs w:val="18"/>
        </w:rPr>
        <w:t xml:space="preserve"> correspondant aux éléments rigides de la jambe de force, qui ne peuvent être réglés dans l</w:t>
      </w:r>
      <w:r>
        <w:rPr>
          <w:sz w:val="18"/>
          <w:szCs w:val="18"/>
        </w:rPr>
        <w:t>’</w:t>
      </w:r>
      <w:r w:rsidRPr="00D05217">
        <w:rPr>
          <w:sz w:val="18"/>
          <w:szCs w:val="18"/>
        </w:rPr>
        <w:t>axe des Z</w:t>
      </w:r>
      <w:r>
        <w:rPr>
          <w:sz w:val="18"/>
          <w:szCs w:val="18"/>
        </w:rPr>
        <w:t>’</w:t>
      </w:r>
      <w:r w:rsidRPr="00D05217">
        <w:rPr>
          <w:sz w:val="18"/>
          <w:szCs w:val="18"/>
        </w:rPr>
        <w:t>.</w:t>
      </w:r>
    </w:p>
    <w:p w14:paraId="1D59BB52" w14:textId="77777777" w:rsidR="00670662" w:rsidRPr="008833EC" w:rsidRDefault="00670662" w:rsidP="00670662">
      <w:pPr>
        <w:pStyle w:val="SingleTxtG"/>
        <w:rPr>
          <w:bCs/>
        </w:rPr>
      </w:pPr>
      <w:r w:rsidRPr="00D05217">
        <w:rPr>
          <w:i/>
        </w:rPr>
        <w:t>Note</w:t>
      </w:r>
      <w:r w:rsidRPr="00D05217">
        <w:t> :</w:t>
      </w:r>
    </w:p>
    <w:p w14:paraId="1673F256" w14:textId="77777777" w:rsidR="00670662" w:rsidRPr="008833EC" w:rsidRDefault="00670662" w:rsidP="00670662">
      <w:pPr>
        <w:pStyle w:val="SingleTxtG"/>
        <w:spacing w:after="240"/>
        <w:ind w:firstLine="170"/>
        <w:rPr>
          <w:bCs/>
        </w:rPr>
      </w:pPr>
      <w:r>
        <w:t>1.</w:t>
      </w:r>
      <w:r>
        <w:tab/>
        <w:t>Le dessin n’est pas à l’échelle. ».</w:t>
      </w:r>
    </w:p>
    <w:p w14:paraId="792493E5" w14:textId="77777777" w:rsidR="00670662" w:rsidRPr="008833EC" w:rsidRDefault="00670662" w:rsidP="00670662">
      <w:pPr>
        <w:pStyle w:val="SingleTxtG"/>
        <w:rPr>
          <w:i/>
        </w:rPr>
      </w:pPr>
      <w:r>
        <w:rPr>
          <w:i/>
        </w:rPr>
        <w:t>Annexe 19</w:t>
      </w:r>
      <w:r>
        <w:rPr>
          <w:i/>
          <w:iCs/>
        </w:rPr>
        <w:t>, figure 2,</w:t>
      </w:r>
      <w:r>
        <w:t xml:space="preserve"> lire :</w:t>
      </w:r>
    </w:p>
    <w:p w14:paraId="4E375980" w14:textId="3242FD4A" w:rsidR="00670662" w:rsidRPr="00D17FE6" w:rsidRDefault="00670662" w:rsidP="00D17FE6">
      <w:pPr>
        <w:pStyle w:val="H23G"/>
      </w:pPr>
      <w:r w:rsidRPr="00AF634F">
        <w:rPr>
          <w:b w:val="0"/>
          <w:bCs/>
        </w:rPr>
        <w:tab/>
      </w:r>
      <w:r w:rsidRPr="00AF634F">
        <w:rPr>
          <w:b w:val="0"/>
          <w:bCs/>
        </w:rPr>
        <w:tab/>
        <w:t>« Figure </w:t>
      </w:r>
      <w:r w:rsidRPr="00D17FE6">
        <w:rPr>
          <w:b w:val="0"/>
          <w:bCs/>
        </w:rPr>
        <w:t xml:space="preserve">2 </w:t>
      </w:r>
      <w:r>
        <w:br/>
        <w:t>Représentation en 3D du volume imparti aux dimensions de la jambe de force</w:t>
      </w:r>
    </w:p>
    <w:tbl>
      <w:tblPr>
        <w:tblW w:w="0" w:type="auto"/>
        <w:tblInd w:w="1134" w:type="dxa"/>
        <w:tblLayout w:type="fixed"/>
        <w:tblLook w:val="04A0" w:firstRow="1" w:lastRow="0" w:firstColumn="1" w:lastColumn="0" w:noHBand="0" w:noVBand="1"/>
      </w:tblPr>
      <w:tblGrid>
        <w:gridCol w:w="3958"/>
        <w:gridCol w:w="4259"/>
      </w:tblGrid>
      <w:tr w:rsidR="00670662" w:rsidRPr="00064660" w14:paraId="0220F6B5" w14:textId="77777777" w:rsidTr="00AB60EA">
        <w:tc>
          <w:tcPr>
            <w:tcW w:w="3958" w:type="dxa"/>
          </w:tcPr>
          <w:p w14:paraId="3C7172D8" w14:textId="77777777" w:rsidR="00670662" w:rsidRDefault="00670662" w:rsidP="00AB60EA">
            <w:pPr>
              <w:keepNext/>
              <w:keepLines/>
              <w:tabs>
                <w:tab w:val="num" w:pos="1134"/>
              </w:tabs>
              <w:ind w:right="1134"/>
              <w:rPr>
                <w:b/>
              </w:rPr>
            </w:pPr>
            <w:r>
              <w:rPr>
                <w:b/>
                <w:noProof/>
              </w:rPr>
              <w:drawing>
                <wp:inline distT="0" distB="0" distL="0" distR="0" wp14:anchorId="43CBEB8F" wp14:editId="01189F86">
                  <wp:extent cx="1573480" cy="1907622"/>
                  <wp:effectExtent l="0" t="0" r="8255"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2591" cy="1918668"/>
                          </a:xfrm>
                          <a:prstGeom prst="rect">
                            <a:avLst/>
                          </a:prstGeom>
                          <a:noFill/>
                        </pic:spPr>
                      </pic:pic>
                    </a:graphicData>
                  </a:graphic>
                </wp:inline>
              </w:drawing>
            </w:r>
          </w:p>
          <w:p w14:paraId="674F9F29" w14:textId="77777777" w:rsidR="00670662" w:rsidRPr="00D17FE6" w:rsidRDefault="00670662" w:rsidP="00AB60EA">
            <w:pPr>
              <w:keepNext/>
              <w:keepLines/>
              <w:tabs>
                <w:tab w:val="num" w:pos="1134"/>
              </w:tabs>
              <w:ind w:right="1134"/>
              <w:jc w:val="center"/>
              <w:rPr>
                <w:lang w:val="fr-FR"/>
              </w:rPr>
            </w:pPr>
            <w:r w:rsidRPr="00D17FE6">
              <w:rPr>
                <w:lang w:val="fr-FR"/>
              </w:rPr>
              <w:t xml:space="preserve">Système amélioré de retenue pour enfants faisant face </w:t>
            </w:r>
            <w:r w:rsidRPr="00D17FE6">
              <w:rPr>
                <w:lang w:val="fr-FR"/>
              </w:rPr>
              <w:br/>
              <w:t>vers l’avant</w:t>
            </w:r>
          </w:p>
        </w:tc>
        <w:tc>
          <w:tcPr>
            <w:tcW w:w="4259" w:type="dxa"/>
          </w:tcPr>
          <w:p w14:paraId="7499C7CD" w14:textId="77777777" w:rsidR="00670662" w:rsidRDefault="00670662" w:rsidP="00AB60EA">
            <w:pPr>
              <w:keepNext/>
              <w:keepLines/>
              <w:tabs>
                <w:tab w:val="num" w:pos="1134"/>
              </w:tabs>
              <w:ind w:right="1134"/>
              <w:rPr>
                <w:b/>
              </w:rPr>
            </w:pPr>
            <w:r w:rsidRPr="008833EC">
              <w:rPr>
                <w:bCs/>
                <w:noProof/>
                <w:sz w:val="16"/>
                <w:szCs w:val="16"/>
              </w:rPr>
              <w:drawing>
                <wp:inline distT="0" distB="0" distL="0" distR="0" wp14:anchorId="28AC919A" wp14:editId="7F5A8414">
                  <wp:extent cx="1468447" cy="1793174"/>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827"/>
                          <a:stretch/>
                        </pic:blipFill>
                        <pic:spPr bwMode="auto">
                          <a:xfrm>
                            <a:off x="0" y="0"/>
                            <a:ext cx="1478800" cy="1805816"/>
                          </a:xfrm>
                          <a:prstGeom prst="rect">
                            <a:avLst/>
                          </a:prstGeom>
                          <a:noFill/>
                          <a:ln>
                            <a:noFill/>
                          </a:ln>
                          <a:extLst>
                            <a:ext uri="{53640926-AAD7-44D8-BBD7-CCE9431645EC}">
                              <a14:shadowObscured xmlns:a14="http://schemas.microsoft.com/office/drawing/2010/main"/>
                            </a:ext>
                          </a:extLst>
                        </pic:spPr>
                      </pic:pic>
                    </a:graphicData>
                  </a:graphic>
                </wp:inline>
              </w:drawing>
            </w:r>
          </w:p>
          <w:p w14:paraId="4A92F07E" w14:textId="77777777" w:rsidR="00670662" w:rsidRPr="00D17FE6" w:rsidRDefault="00670662" w:rsidP="00D17FE6">
            <w:pPr>
              <w:keepNext/>
              <w:keepLines/>
              <w:tabs>
                <w:tab w:val="num" w:pos="1134"/>
              </w:tabs>
              <w:spacing w:before="240"/>
              <w:ind w:right="1134"/>
              <w:jc w:val="center"/>
              <w:rPr>
                <w:lang w:val="fr-FR"/>
              </w:rPr>
            </w:pPr>
            <w:r w:rsidRPr="00D17FE6">
              <w:rPr>
                <w:lang w:val="fr-FR"/>
              </w:rPr>
              <w:t>Système amélioré de retenue pour enfants faisant face vers l’arrière</w:t>
            </w:r>
          </w:p>
        </w:tc>
      </w:tr>
    </w:tbl>
    <w:p w14:paraId="45A52491" w14:textId="77777777" w:rsidR="00670662" w:rsidRPr="008833EC" w:rsidRDefault="00670662" w:rsidP="00670662">
      <w:pPr>
        <w:ind w:left="1134" w:right="1134"/>
        <w:rPr>
          <w:bCs/>
          <w:sz w:val="16"/>
          <w:szCs w:val="16"/>
        </w:rPr>
      </w:pPr>
    </w:p>
    <w:p w14:paraId="722DEA66" w14:textId="2A8058F4" w:rsidR="00670662" w:rsidRDefault="00670662" w:rsidP="00670662">
      <w:pPr>
        <w:pStyle w:val="SingleTxtG"/>
        <w:ind w:firstLine="567"/>
        <w:rPr>
          <w:sz w:val="18"/>
          <w:szCs w:val="18"/>
        </w:rPr>
      </w:pPr>
      <w:r w:rsidRPr="00D05217">
        <w:rPr>
          <w:i/>
          <w:iCs/>
          <w:sz w:val="18"/>
          <w:szCs w:val="18"/>
        </w:rPr>
        <w:t>Note</w:t>
      </w:r>
      <w:r w:rsidRPr="00D05217">
        <w:rPr>
          <w:sz w:val="18"/>
          <w:szCs w:val="18"/>
        </w:rPr>
        <w:t> : Le dessin n</w:t>
      </w:r>
      <w:r>
        <w:rPr>
          <w:sz w:val="18"/>
          <w:szCs w:val="18"/>
        </w:rPr>
        <w:t>’</w:t>
      </w:r>
      <w:r w:rsidRPr="00D05217">
        <w:rPr>
          <w:sz w:val="18"/>
          <w:szCs w:val="18"/>
        </w:rPr>
        <w:t>est pas à l</w:t>
      </w:r>
      <w:r>
        <w:rPr>
          <w:sz w:val="18"/>
          <w:szCs w:val="18"/>
        </w:rPr>
        <w:t>’</w:t>
      </w:r>
      <w:r w:rsidRPr="00D05217">
        <w:rPr>
          <w:sz w:val="18"/>
          <w:szCs w:val="18"/>
        </w:rPr>
        <w:t>échelle. »</w:t>
      </w:r>
      <w:r>
        <w:rPr>
          <w:sz w:val="18"/>
          <w:szCs w:val="18"/>
        </w:rPr>
        <w:t>.</w:t>
      </w:r>
    </w:p>
    <w:p w14:paraId="18E147E2" w14:textId="399FD743" w:rsidR="00670662" w:rsidRPr="00670662" w:rsidRDefault="00670662" w:rsidP="00670662">
      <w:pPr>
        <w:pStyle w:val="SingleTxtG"/>
        <w:spacing w:before="240" w:after="0"/>
        <w:jc w:val="center"/>
        <w:rPr>
          <w:u w:val="single"/>
        </w:rPr>
      </w:pPr>
      <w:r>
        <w:rPr>
          <w:u w:val="single"/>
        </w:rPr>
        <w:tab/>
      </w:r>
      <w:r>
        <w:rPr>
          <w:u w:val="single"/>
        </w:rPr>
        <w:tab/>
      </w:r>
      <w:r>
        <w:rPr>
          <w:u w:val="single"/>
        </w:rPr>
        <w:tab/>
      </w:r>
      <w:r>
        <w:rPr>
          <w:u w:val="single"/>
        </w:rPr>
        <w:tab/>
      </w:r>
    </w:p>
    <w:sectPr w:rsidR="00670662" w:rsidRPr="00670662" w:rsidSect="00670662">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165E6" w14:textId="77777777" w:rsidR="000E6EE8" w:rsidRDefault="000E6EE8" w:rsidP="00F95C08">
      <w:pPr>
        <w:spacing w:line="240" w:lineRule="auto"/>
      </w:pPr>
    </w:p>
  </w:endnote>
  <w:endnote w:type="continuationSeparator" w:id="0">
    <w:p w14:paraId="62258D33" w14:textId="77777777" w:rsidR="000E6EE8" w:rsidRPr="00AC3823" w:rsidRDefault="000E6EE8" w:rsidP="00AC3823">
      <w:pPr>
        <w:pStyle w:val="Pieddepage"/>
      </w:pPr>
    </w:p>
  </w:endnote>
  <w:endnote w:type="continuationNotice" w:id="1">
    <w:p w14:paraId="77F50165" w14:textId="77777777" w:rsidR="000E6EE8" w:rsidRDefault="000E6E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C15B" w14:textId="11ADE6DE" w:rsidR="00670662" w:rsidRPr="00670662" w:rsidRDefault="00670662" w:rsidP="00670662">
    <w:pPr>
      <w:pStyle w:val="Pieddepage"/>
      <w:tabs>
        <w:tab w:val="right" w:pos="9638"/>
      </w:tabs>
    </w:pPr>
    <w:r w:rsidRPr="00670662">
      <w:rPr>
        <w:b/>
        <w:sz w:val="18"/>
      </w:rPr>
      <w:fldChar w:fldCharType="begin"/>
    </w:r>
    <w:r w:rsidRPr="00670662">
      <w:rPr>
        <w:b/>
        <w:sz w:val="18"/>
      </w:rPr>
      <w:instrText xml:space="preserve"> PAGE  \* MERGEFORMAT </w:instrText>
    </w:r>
    <w:r w:rsidRPr="00670662">
      <w:rPr>
        <w:b/>
        <w:sz w:val="18"/>
      </w:rPr>
      <w:fldChar w:fldCharType="separate"/>
    </w:r>
    <w:r w:rsidRPr="00670662">
      <w:rPr>
        <w:b/>
        <w:noProof/>
        <w:sz w:val="18"/>
      </w:rPr>
      <w:t>2</w:t>
    </w:r>
    <w:r w:rsidRPr="00670662">
      <w:rPr>
        <w:b/>
        <w:sz w:val="18"/>
      </w:rPr>
      <w:fldChar w:fldCharType="end"/>
    </w:r>
    <w:r>
      <w:rPr>
        <w:b/>
        <w:sz w:val="18"/>
      </w:rPr>
      <w:tab/>
    </w:r>
    <w:r>
      <w:t>GE.23-05923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44E" w14:textId="3FA0A7F4" w:rsidR="00670662" w:rsidRPr="00670662" w:rsidRDefault="00670662" w:rsidP="00670662">
    <w:pPr>
      <w:pStyle w:val="Pieddepage"/>
      <w:tabs>
        <w:tab w:val="right" w:pos="9638"/>
      </w:tabs>
      <w:rPr>
        <w:b/>
        <w:sz w:val="18"/>
      </w:rPr>
    </w:pPr>
    <w:r>
      <w:t>GE.23-05923</w:t>
    </w:r>
    <w:r>
      <w:tab/>
    </w:r>
    <w:r w:rsidRPr="00670662">
      <w:rPr>
        <w:b/>
        <w:sz w:val="18"/>
      </w:rPr>
      <w:fldChar w:fldCharType="begin"/>
    </w:r>
    <w:r w:rsidRPr="00670662">
      <w:rPr>
        <w:b/>
        <w:sz w:val="18"/>
      </w:rPr>
      <w:instrText xml:space="preserve"> PAGE  \* MERGEFORMAT </w:instrText>
    </w:r>
    <w:r w:rsidRPr="00670662">
      <w:rPr>
        <w:b/>
        <w:sz w:val="18"/>
      </w:rPr>
      <w:fldChar w:fldCharType="separate"/>
    </w:r>
    <w:r w:rsidRPr="00670662">
      <w:rPr>
        <w:b/>
        <w:noProof/>
        <w:sz w:val="18"/>
      </w:rPr>
      <w:t>3</w:t>
    </w:r>
    <w:r w:rsidRPr="006706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B2AA" w14:textId="6D1A057A" w:rsidR="007F20FA" w:rsidRPr="00670662" w:rsidRDefault="00670662" w:rsidP="0067066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3D751DD" wp14:editId="0AEF9D6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23-05923  (F)</w:t>
    </w:r>
    <w:r>
      <w:rPr>
        <w:noProof/>
        <w:sz w:val="20"/>
      </w:rPr>
      <w:drawing>
        <wp:anchor distT="0" distB="0" distL="114300" distR="114300" simplePos="0" relativeHeight="251660288" behindDoc="0" locked="0" layoutInCell="1" allowOverlap="1" wp14:anchorId="192CC5A0" wp14:editId="10A7DD1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110423    110423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A51AE" w14:textId="77777777" w:rsidR="000E6EE8" w:rsidRPr="00AC3823" w:rsidRDefault="000E6EE8" w:rsidP="00AC3823">
      <w:pPr>
        <w:pStyle w:val="Pieddepage"/>
        <w:tabs>
          <w:tab w:val="right" w:pos="2155"/>
        </w:tabs>
        <w:spacing w:after="80" w:line="240" w:lineRule="atLeast"/>
        <w:ind w:left="680"/>
        <w:rPr>
          <w:u w:val="single"/>
        </w:rPr>
      </w:pPr>
      <w:r>
        <w:rPr>
          <w:u w:val="single"/>
        </w:rPr>
        <w:tab/>
      </w:r>
    </w:p>
  </w:footnote>
  <w:footnote w:type="continuationSeparator" w:id="0">
    <w:p w14:paraId="1015B4A5" w14:textId="77777777" w:rsidR="000E6EE8" w:rsidRPr="00AC3823" w:rsidRDefault="000E6EE8" w:rsidP="00AC3823">
      <w:pPr>
        <w:pStyle w:val="Pieddepage"/>
        <w:tabs>
          <w:tab w:val="right" w:pos="2155"/>
        </w:tabs>
        <w:spacing w:after="80" w:line="240" w:lineRule="atLeast"/>
        <w:ind w:left="680"/>
        <w:rPr>
          <w:u w:val="single"/>
        </w:rPr>
      </w:pPr>
      <w:r>
        <w:rPr>
          <w:u w:val="single"/>
        </w:rPr>
        <w:tab/>
      </w:r>
    </w:p>
  </w:footnote>
  <w:footnote w:type="continuationNotice" w:id="1">
    <w:p w14:paraId="788CCAA5" w14:textId="77777777" w:rsidR="000E6EE8" w:rsidRPr="00AC3823" w:rsidRDefault="000E6EE8">
      <w:pPr>
        <w:spacing w:line="240" w:lineRule="auto"/>
        <w:rPr>
          <w:sz w:val="2"/>
          <w:szCs w:val="2"/>
        </w:rPr>
      </w:pPr>
    </w:p>
  </w:footnote>
  <w:footnote w:id="2">
    <w:p w14:paraId="3F403C29" w14:textId="234B7B22" w:rsidR="00670662" w:rsidRPr="00670662" w:rsidRDefault="00670662">
      <w:pPr>
        <w:pStyle w:val="Notedebasdepage"/>
      </w:pPr>
      <w:r>
        <w:rPr>
          <w:rStyle w:val="Appelnotedebasdep"/>
        </w:rPr>
        <w:tab/>
      </w:r>
      <w:r w:rsidRPr="00670662">
        <w:rPr>
          <w:rStyle w:val="Appelnotedebasdep"/>
          <w:sz w:val="20"/>
          <w:vertAlign w:val="baseline"/>
        </w:rPr>
        <w:t>*</w:t>
      </w:r>
      <w:r>
        <w:rPr>
          <w:rStyle w:val="Appelnotedebasdep"/>
          <w:sz w:val="20"/>
          <w:vertAlign w:val="baseline"/>
        </w:rPr>
        <w:tab/>
      </w:r>
      <w: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DE0F" w14:textId="081FD787" w:rsidR="00670662" w:rsidRPr="00670662" w:rsidRDefault="00670662">
    <w:pPr>
      <w:pStyle w:val="En-tte"/>
    </w:pPr>
    <w:fldSimple w:instr=" TITLE  \* MERGEFORMAT ">
      <w:r>
        <w:t>ECE/TRANS/WP.29/2023/51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8931" w14:textId="1EBA5130" w:rsidR="00670662" w:rsidRPr="00670662" w:rsidRDefault="00670662" w:rsidP="00670662">
    <w:pPr>
      <w:pStyle w:val="En-tte"/>
      <w:jc w:val="right"/>
    </w:pPr>
    <w:fldSimple w:instr=" TITLE  \* MERGEFORMAT ">
      <w:r>
        <w:t>ECE/TRANS/WP.29/2023/51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EE8"/>
    <w:rsid w:val="00017F94"/>
    <w:rsid w:val="00023842"/>
    <w:rsid w:val="000334F9"/>
    <w:rsid w:val="00045FEB"/>
    <w:rsid w:val="0007796D"/>
    <w:rsid w:val="000B7790"/>
    <w:rsid w:val="000E6EE8"/>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471E2"/>
    <w:rsid w:val="00670662"/>
    <w:rsid w:val="0071601D"/>
    <w:rsid w:val="007A62E6"/>
    <w:rsid w:val="007F20FA"/>
    <w:rsid w:val="0080684C"/>
    <w:rsid w:val="00870C34"/>
    <w:rsid w:val="00871C75"/>
    <w:rsid w:val="008776DC"/>
    <w:rsid w:val="008D5EF9"/>
    <w:rsid w:val="009446C0"/>
    <w:rsid w:val="009705C8"/>
    <w:rsid w:val="009C1CF4"/>
    <w:rsid w:val="009F6B74"/>
    <w:rsid w:val="00A3029F"/>
    <w:rsid w:val="00A30353"/>
    <w:rsid w:val="00AC3823"/>
    <w:rsid w:val="00AE040D"/>
    <w:rsid w:val="00AE323C"/>
    <w:rsid w:val="00AF0CB5"/>
    <w:rsid w:val="00AF38D9"/>
    <w:rsid w:val="00B00181"/>
    <w:rsid w:val="00B00B0D"/>
    <w:rsid w:val="00B45F2E"/>
    <w:rsid w:val="00B765F7"/>
    <w:rsid w:val="00B77993"/>
    <w:rsid w:val="00BA0CA9"/>
    <w:rsid w:val="00C02897"/>
    <w:rsid w:val="00C97039"/>
    <w:rsid w:val="00D17FE6"/>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60569"/>
  <w15:docId w15:val="{9EEF6B8E-73C9-4E38-8F8D-DB7F0341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5</Pages>
  <Words>1352</Words>
  <Characters>6494</Characters>
  <Application>Microsoft Office Word</Application>
  <DocSecurity>0</DocSecurity>
  <Lines>159</Lines>
  <Paragraphs>80</Paragraphs>
  <ScaleCrop>false</ScaleCrop>
  <HeadingPairs>
    <vt:vector size="2" baseType="variant">
      <vt:variant>
        <vt:lpstr>Titre</vt:lpstr>
      </vt:variant>
      <vt:variant>
        <vt:i4>1</vt:i4>
      </vt:variant>
    </vt:vector>
  </HeadingPairs>
  <TitlesOfParts>
    <vt:vector size="1" baseType="lpstr">
      <vt:lpstr>ECE/TRANS/WP.29/2023/51</vt:lpstr>
    </vt:vector>
  </TitlesOfParts>
  <Company>DCM</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ECE/TRANS/WP.29/2023/51</dc:title>
  <dc:subject/>
  <dc:creator>Marie DESCHAMPS</dc:creator>
  <cp:keywords/>
  <cp:lastModifiedBy>Marie Deschamps</cp:lastModifiedBy>
  <cp:revision>2</cp:revision>
  <cp:lastPrinted>2014-05-14T10:59:00Z</cp:lastPrinted>
  <dcterms:created xsi:type="dcterms:W3CDTF">2023-04-11T15:05:00Z</dcterms:created>
  <dcterms:modified xsi:type="dcterms:W3CDTF">2023-04-11T15:05:00Z</dcterms:modified>
</cp:coreProperties>
</file>