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FE64" w14:textId="77777777" w:rsidR="00E95CC7" w:rsidRPr="00E95CC7" w:rsidRDefault="00E95CC7" w:rsidP="00E95CC7">
      <w:pPr>
        <w:spacing w:before="120" w:after="200" w:line="276" w:lineRule="auto"/>
        <w:rPr>
          <w:rFonts w:asciiTheme="majorBidi" w:eastAsia="Calibri" w:hAnsiTheme="majorBidi" w:cstheme="majorBidi"/>
          <w:b/>
          <w:sz w:val="28"/>
          <w:szCs w:val="28"/>
        </w:rPr>
      </w:pPr>
      <w:r w:rsidRPr="00E95CC7">
        <w:rPr>
          <w:rFonts w:asciiTheme="majorBidi" w:eastAsia="Calibri" w:hAnsiTheme="majorBidi" w:cstheme="majorBidi"/>
          <w:b/>
          <w:sz w:val="28"/>
          <w:szCs w:val="28"/>
        </w:rPr>
        <w:t>Economic Commission for Europe</w:t>
      </w:r>
    </w:p>
    <w:p w14:paraId="04411CB2" w14:textId="77777777" w:rsidR="00E95CC7" w:rsidRPr="00E95CC7" w:rsidRDefault="00E95CC7" w:rsidP="00E95CC7">
      <w:pPr>
        <w:spacing w:before="120" w:after="0" w:line="240" w:lineRule="auto"/>
        <w:rPr>
          <w:rFonts w:asciiTheme="majorBidi" w:eastAsia="Times New Roman" w:hAnsiTheme="majorBidi" w:cstheme="majorBidi"/>
          <w:sz w:val="20"/>
          <w:szCs w:val="20"/>
          <w:lang w:val="en-US"/>
        </w:rPr>
      </w:pPr>
      <w:r w:rsidRPr="00E95CC7">
        <w:rPr>
          <w:rFonts w:asciiTheme="majorBidi" w:eastAsia="Times New Roman" w:hAnsiTheme="majorBidi" w:cstheme="majorBidi"/>
          <w:sz w:val="20"/>
          <w:szCs w:val="20"/>
          <w:lang w:val="en-US"/>
        </w:rPr>
        <w:t xml:space="preserve">Meeting of the Parties to the Convention on </w:t>
      </w:r>
      <w:r w:rsidRPr="00E95CC7">
        <w:rPr>
          <w:rFonts w:asciiTheme="majorBidi" w:eastAsia="Times New Roman" w:hAnsiTheme="majorBidi" w:cstheme="majorBidi"/>
          <w:sz w:val="20"/>
          <w:szCs w:val="20"/>
          <w:lang w:val="en-US"/>
        </w:rPr>
        <w:br/>
        <w:t xml:space="preserve">Access to Information, Public Participation </w:t>
      </w:r>
      <w:r w:rsidRPr="00E95CC7">
        <w:rPr>
          <w:rFonts w:asciiTheme="majorBidi" w:eastAsia="Times New Roman" w:hAnsiTheme="majorBidi" w:cstheme="majorBidi"/>
          <w:sz w:val="20"/>
          <w:szCs w:val="20"/>
          <w:lang w:val="en-US"/>
        </w:rPr>
        <w:br/>
        <w:t xml:space="preserve">in Decision-making and Access to Justice </w:t>
      </w:r>
      <w:r w:rsidRPr="00E95CC7">
        <w:rPr>
          <w:rFonts w:asciiTheme="majorBidi" w:eastAsia="Times New Roman" w:hAnsiTheme="majorBidi" w:cstheme="majorBidi"/>
          <w:sz w:val="20"/>
          <w:szCs w:val="20"/>
          <w:lang w:val="en-US"/>
        </w:rPr>
        <w:br/>
        <w:t>in Environmental Matters</w:t>
      </w:r>
    </w:p>
    <w:p w14:paraId="50F68E63" w14:textId="77777777" w:rsidR="00E95CC7" w:rsidRPr="00E95CC7" w:rsidRDefault="00E95CC7" w:rsidP="00E95CC7">
      <w:pPr>
        <w:spacing w:before="120" w:after="0" w:line="240" w:lineRule="auto"/>
        <w:rPr>
          <w:rFonts w:asciiTheme="majorBidi" w:eastAsia="Times New Roman" w:hAnsiTheme="majorBidi" w:cstheme="majorBidi"/>
          <w:b/>
          <w:sz w:val="20"/>
          <w:szCs w:val="20"/>
          <w:lang w:val="en-US"/>
        </w:rPr>
      </w:pPr>
      <w:r w:rsidRPr="00E95CC7">
        <w:rPr>
          <w:rFonts w:asciiTheme="majorBidi" w:eastAsia="Times New Roman" w:hAnsiTheme="majorBidi" w:cstheme="majorBidi"/>
          <w:b/>
          <w:sz w:val="20"/>
          <w:szCs w:val="20"/>
          <w:lang w:val="en-US"/>
        </w:rPr>
        <w:t>Task Force on Access to Justice</w:t>
      </w:r>
    </w:p>
    <w:p w14:paraId="1DC14EDF" w14:textId="77777777" w:rsidR="00E95CC7" w:rsidRPr="00E95CC7" w:rsidRDefault="00E95CC7" w:rsidP="00E95CC7">
      <w:pPr>
        <w:spacing w:before="120" w:after="0" w:line="240" w:lineRule="auto"/>
        <w:rPr>
          <w:rFonts w:asciiTheme="majorBidi" w:eastAsia="Times New Roman" w:hAnsiTheme="majorBidi" w:cstheme="majorBidi"/>
          <w:b/>
          <w:sz w:val="20"/>
          <w:szCs w:val="20"/>
          <w:lang w:val="en-US"/>
        </w:rPr>
      </w:pPr>
      <w:r w:rsidRPr="00E95CC7">
        <w:rPr>
          <w:rFonts w:asciiTheme="majorBidi" w:eastAsia="Times New Roman" w:hAnsiTheme="majorBidi" w:cstheme="majorBidi"/>
          <w:b/>
          <w:sz w:val="20"/>
          <w:szCs w:val="20"/>
          <w:lang w:val="en-US"/>
        </w:rPr>
        <w:t>Fifteenth meeting</w:t>
      </w:r>
    </w:p>
    <w:p w14:paraId="1BFB91DD" w14:textId="77777777" w:rsidR="00E95CC7" w:rsidRPr="00E95CC7" w:rsidRDefault="00E95CC7" w:rsidP="00E95CC7">
      <w:pPr>
        <w:spacing w:after="0" w:line="240" w:lineRule="auto"/>
        <w:rPr>
          <w:rFonts w:asciiTheme="majorBidi" w:eastAsia="Times New Roman" w:hAnsiTheme="majorBidi" w:cstheme="majorBidi"/>
          <w:sz w:val="20"/>
          <w:szCs w:val="20"/>
          <w:lang w:val="en-US"/>
        </w:rPr>
      </w:pPr>
      <w:r w:rsidRPr="00E95CC7">
        <w:rPr>
          <w:rFonts w:asciiTheme="majorBidi" w:eastAsia="Times New Roman" w:hAnsiTheme="majorBidi" w:cstheme="majorBidi"/>
          <w:sz w:val="20"/>
          <w:szCs w:val="20"/>
          <w:lang w:val="en-US"/>
        </w:rPr>
        <w:t>Geneva, 4 and 5 April 2023</w:t>
      </w:r>
    </w:p>
    <w:p w14:paraId="1D177E64" w14:textId="77777777" w:rsidR="00E95CC7" w:rsidRPr="00E95CC7" w:rsidRDefault="00E95CC7" w:rsidP="00E95CC7">
      <w:pPr>
        <w:spacing w:after="0" w:line="240" w:lineRule="auto"/>
        <w:rPr>
          <w:rFonts w:asciiTheme="majorBidi" w:eastAsia="Times New Roman" w:hAnsiTheme="majorBidi" w:cstheme="majorBidi"/>
          <w:sz w:val="20"/>
          <w:szCs w:val="20"/>
          <w:lang w:val="en-US"/>
        </w:rPr>
      </w:pPr>
      <w:r w:rsidRPr="00E95CC7">
        <w:rPr>
          <w:rFonts w:asciiTheme="majorBidi" w:eastAsia="Times New Roman" w:hAnsiTheme="majorBidi" w:cstheme="majorBidi"/>
          <w:sz w:val="20"/>
          <w:szCs w:val="20"/>
          <w:lang w:val="en-US"/>
        </w:rPr>
        <w:t>Item 3 of the provisional agenda</w:t>
      </w:r>
    </w:p>
    <w:p w14:paraId="29587129" w14:textId="77777777" w:rsidR="00E95CC7" w:rsidRPr="00E95CC7" w:rsidRDefault="00E95CC7" w:rsidP="00E95CC7">
      <w:pPr>
        <w:spacing w:after="0" w:line="240" w:lineRule="auto"/>
        <w:rPr>
          <w:rFonts w:asciiTheme="majorBidi" w:eastAsia="Times New Roman" w:hAnsiTheme="majorBidi" w:cstheme="majorBidi"/>
          <w:b/>
          <w:sz w:val="20"/>
          <w:szCs w:val="20"/>
          <w:lang w:val="en-US"/>
        </w:rPr>
      </w:pPr>
      <w:r w:rsidRPr="00E95CC7">
        <w:rPr>
          <w:rFonts w:asciiTheme="majorBidi" w:eastAsia="Times New Roman" w:hAnsiTheme="majorBidi" w:cstheme="majorBidi"/>
          <w:b/>
          <w:sz w:val="20"/>
          <w:szCs w:val="20"/>
          <w:lang w:val="en-US"/>
        </w:rPr>
        <w:t>Access to justice in energy-related cases</w:t>
      </w:r>
    </w:p>
    <w:p w14:paraId="40F9F987" w14:textId="77777777" w:rsidR="00E95CC7" w:rsidRPr="00E95CC7" w:rsidRDefault="00E95CC7" w:rsidP="00E95CC7">
      <w:pPr>
        <w:spacing w:before="120" w:after="0" w:line="240" w:lineRule="auto"/>
        <w:rPr>
          <w:rFonts w:asciiTheme="majorBidi" w:eastAsia="Calibri" w:hAnsiTheme="majorBidi" w:cstheme="majorBidi"/>
          <w:b/>
          <w:sz w:val="24"/>
          <w:szCs w:val="24"/>
        </w:rPr>
      </w:pPr>
      <w:r w:rsidRPr="00E95CC7">
        <w:rPr>
          <w:rFonts w:asciiTheme="majorBidi" w:eastAsia="Calibri" w:hAnsiTheme="majorBidi" w:cstheme="majorBidi"/>
          <w:b/>
          <w:sz w:val="24"/>
          <w:szCs w:val="24"/>
        </w:rPr>
        <w:t>Information paper N2</w:t>
      </w:r>
    </w:p>
    <w:p w14:paraId="50E67C65" w14:textId="77777777" w:rsidR="00E95CC7" w:rsidRPr="00E95CC7" w:rsidRDefault="00E95CC7" w:rsidP="00E95CC7">
      <w:pPr>
        <w:spacing w:after="0" w:line="240" w:lineRule="auto"/>
        <w:jc w:val="both"/>
        <w:rPr>
          <w:rFonts w:asciiTheme="majorBidi" w:eastAsia="Times New Roman" w:hAnsiTheme="majorBidi" w:cstheme="majorBidi"/>
        </w:rPr>
      </w:pPr>
    </w:p>
    <w:p w14:paraId="353F0C0E" w14:textId="77777777" w:rsidR="00E95CC7" w:rsidRPr="00E95CC7" w:rsidRDefault="00E95CC7" w:rsidP="00E95CC7">
      <w:pPr>
        <w:spacing w:after="0" w:line="240" w:lineRule="auto"/>
        <w:jc w:val="center"/>
        <w:rPr>
          <w:rFonts w:ascii="Times New Roman" w:eastAsia="Times New Roman" w:hAnsi="Times New Roman" w:cs="Times New Roman"/>
          <w:b/>
          <w:sz w:val="28"/>
          <w:szCs w:val="20"/>
          <w:lang w:eastAsia="en-GB"/>
        </w:rPr>
      </w:pPr>
      <w:r w:rsidRPr="00E95CC7">
        <w:rPr>
          <w:rFonts w:ascii="Times New Roman" w:eastAsia="Times New Roman" w:hAnsi="Times New Roman" w:cs="Times New Roman"/>
          <w:b/>
          <w:sz w:val="28"/>
          <w:szCs w:val="20"/>
          <w:lang w:eastAsia="en-GB"/>
        </w:rPr>
        <w:t xml:space="preserve">Analysis of energy-related cases for improving </w:t>
      </w:r>
      <w:r w:rsidRPr="00E95CC7">
        <w:rPr>
          <w:rFonts w:ascii="Times New Roman" w:eastAsia="Times New Roman" w:hAnsi="Times New Roman" w:cs="Times New Roman"/>
          <w:b/>
          <w:sz w:val="28"/>
          <w:szCs w:val="20"/>
          <w:lang w:eastAsia="en-GB"/>
        </w:rPr>
        <w:br/>
        <w:t>implementation of the Convention</w:t>
      </w:r>
    </w:p>
    <w:p w14:paraId="4EBE3500" w14:textId="77777777" w:rsidR="00E95CC7" w:rsidRPr="00E95CC7" w:rsidRDefault="00E95CC7" w:rsidP="00E95CC7">
      <w:pPr>
        <w:spacing w:after="0" w:line="240" w:lineRule="auto"/>
        <w:jc w:val="center"/>
        <w:rPr>
          <w:rFonts w:ascii="Times New Roman" w:eastAsia="Times New Roman" w:hAnsi="Times New Roman" w:cs="Times New Roman"/>
          <w:b/>
          <w:lang w:eastAsia="en-GB"/>
        </w:rPr>
      </w:pPr>
      <w:r w:rsidRPr="00E95CC7">
        <w:rPr>
          <w:rFonts w:ascii="Times New Roman" w:eastAsia="Times New Roman" w:hAnsi="Times New Roman" w:cs="Times New Roman"/>
          <w:b/>
          <w:lang w:eastAsia="en-GB"/>
        </w:rPr>
        <w:t>Scope and methodology draft outline</w:t>
      </w:r>
    </w:p>
    <w:p w14:paraId="72041883" w14:textId="77777777" w:rsidR="00E95CC7" w:rsidRPr="00E95CC7" w:rsidRDefault="00E95CC7" w:rsidP="00E95CC7">
      <w:pPr>
        <w:spacing w:after="0" w:line="240" w:lineRule="auto"/>
        <w:jc w:val="both"/>
        <w:rPr>
          <w:rFonts w:asciiTheme="majorBidi" w:eastAsia="Times New Roman" w:hAnsiTheme="majorBidi" w:cstheme="majorBidi"/>
        </w:rPr>
      </w:pPr>
    </w:p>
    <w:p w14:paraId="222D5FCA" w14:textId="6925B70A" w:rsidR="00E95CC7" w:rsidRDefault="00E95CC7" w:rsidP="00E95CC7">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szCs w:val="24"/>
        </w:rPr>
      </w:pPr>
      <w:r w:rsidRPr="00E95CC7">
        <w:rPr>
          <w:rFonts w:asciiTheme="majorBidi" w:eastAsia="Calibri" w:hAnsiTheme="majorBidi" w:cstheme="majorBidi"/>
          <w:sz w:val="20"/>
          <w:szCs w:val="24"/>
        </w:rPr>
        <w:t>At its fourteenth meeting</w:t>
      </w:r>
      <w:r w:rsidRPr="00E95CC7">
        <w:rPr>
          <w:rFonts w:asciiTheme="majorBidi" w:eastAsia="Calibri" w:hAnsiTheme="majorBidi" w:cstheme="majorBidi"/>
          <w:sz w:val="20"/>
          <w:szCs w:val="24"/>
          <w:vertAlign w:val="superscript"/>
        </w:rPr>
        <w:footnoteReference w:id="2"/>
      </w:r>
      <w:r w:rsidRPr="00E95CC7">
        <w:rPr>
          <w:rFonts w:asciiTheme="majorBidi" w:eastAsia="Calibri" w:hAnsiTheme="majorBidi" w:cstheme="majorBidi"/>
          <w:sz w:val="20"/>
          <w:szCs w:val="24"/>
        </w:rPr>
        <w:t xml:space="preserve">, the Task Force on Access to Justice </w:t>
      </w:r>
      <w:r w:rsidR="00B611AB">
        <w:rPr>
          <w:rFonts w:asciiTheme="majorBidi" w:eastAsia="Calibri" w:hAnsiTheme="majorBidi" w:cstheme="majorBidi"/>
          <w:sz w:val="20"/>
          <w:szCs w:val="24"/>
        </w:rPr>
        <w:t>noted</w:t>
      </w:r>
      <w:r w:rsidRPr="00E95CC7">
        <w:rPr>
          <w:rFonts w:asciiTheme="majorBidi" w:eastAsia="Calibri" w:hAnsiTheme="majorBidi" w:cstheme="majorBidi"/>
          <w:sz w:val="20"/>
          <w:szCs w:val="24"/>
        </w:rPr>
        <w:t xml:space="preserve"> a growing number of </w:t>
      </w:r>
      <w:r w:rsidR="00324656">
        <w:rPr>
          <w:rFonts w:asciiTheme="majorBidi" w:eastAsia="Calibri" w:hAnsiTheme="majorBidi" w:cstheme="majorBidi"/>
          <w:sz w:val="20"/>
          <w:szCs w:val="24"/>
        </w:rPr>
        <w:t xml:space="preserve">environmental </w:t>
      </w:r>
      <w:r w:rsidRPr="00E95CC7">
        <w:rPr>
          <w:rFonts w:asciiTheme="majorBidi" w:eastAsia="Calibri" w:hAnsiTheme="majorBidi" w:cstheme="majorBidi"/>
          <w:sz w:val="20"/>
          <w:szCs w:val="24"/>
        </w:rPr>
        <w:t>cases brought by the members of the public in different countries to challenge energy-related decisions, acts and omission</w:t>
      </w:r>
      <w:r w:rsidR="00417AC1">
        <w:rPr>
          <w:rFonts w:asciiTheme="majorBidi" w:eastAsia="Calibri" w:hAnsiTheme="majorBidi" w:cstheme="majorBidi"/>
          <w:sz w:val="20"/>
          <w:szCs w:val="24"/>
        </w:rPr>
        <w:t>s by</w:t>
      </w:r>
      <w:r w:rsidRPr="00E95CC7">
        <w:rPr>
          <w:rFonts w:asciiTheme="majorBidi" w:eastAsia="Calibri" w:hAnsiTheme="majorBidi" w:cstheme="majorBidi"/>
          <w:sz w:val="20"/>
          <w:szCs w:val="24"/>
        </w:rPr>
        <w:t xml:space="preserve"> </w:t>
      </w:r>
      <w:r w:rsidR="00417AC1" w:rsidRPr="00E95CC7">
        <w:rPr>
          <w:rFonts w:asciiTheme="majorBidi" w:eastAsia="Calibri" w:hAnsiTheme="majorBidi" w:cstheme="majorBidi"/>
          <w:sz w:val="20"/>
          <w:szCs w:val="24"/>
        </w:rPr>
        <w:t xml:space="preserve">private persons </w:t>
      </w:r>
      <w:r w:rsidR="00417AC1">
        <w:rPr>
          <w:rFonts w:asciiTheme="majorBidi" w:eastAsia="Calibri" w:hAnsiTheme="majorBidi" w:cstheme="majorBidi"/>
          <w:sz w:val="20"/>
          <w:szCs w:val="24"/>
        </w:rPr>
        <w:t xml:space="preserve">and </w:t>
      </w:r>
      <w:r w:rsidRPr="00E95CC7">
        <w:rPr>
          <w:rFonts w:asciiTheme="majorBidi" w:eastAsia="Calibri" w:hAnsiTheme="majorBidi" w:cstheme="majorBidi"/>
          <w:sz w:val="20"/>
          <w:szCs w:val="24"/>
        </w:rPr>
        <w:t>public authorities</w:t>
      </w:r>
      <w:r w:rsidR="00417AC1">
        <w:rPr>
          <w:rFonts w:asciiTheme="majorBidi" w:eastAsia="Calibri" w:hAnsiTheme="majorBidi" w:cstheme="majorBidi"/>
          <w:sz w:val="20"/>
          <w:szCs w:val="24"/>
        </w:rPr>
        <w:t>. The Task Force</w:t>
      </w:r>
      <w:r w:rsidRPr="00E95CC7">
        <w:rPr>
          <w:rFonts w:asciiTheme="majorBidi" w:eastAsia="Calibri" w:hAnsiTheme="majorBidi" w:cstheme="majorBidi"/>
          <w:sz w:val="20"/>
          <w:szCs w:val="24"/>
        </w:rPr>
        <w:t xml:space="preserve"> </w:t>
      </w:r>
      <w:r w:rsidR="00580139">
        <w:rPr>
          <w:rFonts w:asciiTheme="majorBidi" w:eastAsia="Calibri" w:hAnsiTheme="majorBidi" w:cstheme="majorBidi"/>
          <w:sz w:val="20"/>
          <w:szCs w:val="24"/>
        </w:rPr>
        <w:t xml:space="preserve">also </w:t>
      </w:r>
      <w:r w:rsidRPr="00E95CC7">
        <w:rPr>
          <w:rFonts w:asciiTheme="majorBidi" w:eastAsia="Calibri" w:hAnsiTheme="majorBidi" w:cstheme="majorBidi"/>
          <w:sz w:val="20"/>
          <w:szCs w:val="24"/>
        </w:rPr>
        <w:t xml:space="preserve">noted that a regular analysis of such cases could help to address existing challenges and improve the procedures for public participation in decision-making and access to justice in this area. Furthermore, the Task Force </w:t>
      </w:r>
      <w:r w:rsidR="00946788">
        <w:rPr>
          <w:rFonts w:asciiTheme="majorBidi" w:eastAsia="Calibri" w:hAnsiTheme="majorBidi" w:cstheme="majorBidi"/>
          <w:sz w:val="20"/>
          <w:szCs w:val="24"/>
        </w:rPr>
        <w:t>agreed</w:t>
      </w:r>
      <w:r w:rsidRPr="00E95CC7">
        <w:rPr>
          <w:rFonts w:asciiTheme="majorBidi" w:eastAsia="Calibri" w:hAnsiTheme="majorBidi" w:cstheme="majorBidi"/>
          <w:sz w:val="20"/>
          <w:szCs w:val="24"/>
        </w:rPr>
        <w:t xml:space="preserve"> to discuss the scope and methodology for such analysis. </w:t>
      </w:r>
    </w:p>
    <w:p w14:paraId="41C08826" w14:textId="1746573D" w:rsidR="00E95CC7" w:rsidRPr="00E95CC7" w:rsidRDefault="00931DF8" w:rsidP="00931DF8">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szCs w:val="24"/>
        </w:rPr>
      </w:pPr>
      <w:r>
        <w:rPr>
          <w:rFonts w:asciiTheme="majorBidi" w:eastAsia="Calibri" w:hAnsiTheme="majorBidi" w:cstheme="majorBidi"/>
          <w:sz w:val="20"/>
          <w:szCs w:val="24"/>
        </w:rPr>
        <w:t>In order</w:t>
      </w:r>
      <w:r w:rsidRPr="00E95CC7">
        <w:rPr>
          <w:rFonts w:asciiTheme="majorBidi" w:eastAsia="Calibri" w:hAnsiTheme="majorBidi" w:cstheme="majorBidi"/>
          <w:sz w:val="20"/>
          <w:szCs w:val="24"/>
        </w:rPr>
        <w:t xml:space="preserve"> </w:t>
      </w:r>
      <w:r>
        <w:rPr>
          <w:rFonts w:asciiTheme="majorBidi" w:eastAsia="Calibri" w:hAnsiTheme="majorBidi" w:cstheme="majorBidi"/>
          <w:sz w:val="20"/>
          <w:szCs w:val="24"/>
        </w:rPr>
        <w:t xml:space="preserve">to facilitate such </w:t>
      </w:r>
      <w:r w:rsidRPr="00E95CC7">
        <w:rPr>
          <w:rFonts w:asciiTheme="majorBidi" w:eastAsia="Calibri" w:hAnsiTheme="majorBidi" w:cstheme="majorBidi"/>
          <w:sz w:val="20"/>
          <w:szCs w:val="24"/>
        </w:rPr>
        <w:t>discuss</w:t>
      </w:r>
      <w:r>
        <w:rPr>
          <w:rFonts w:asciiTheme="majorBidi" w:eastAsia="Calibri" w:hAnsiTheme="majorBidi" w:cstheme="majorBidi"/>
          <w:sz w:val="20"/>
          <w:szCs w:val="24"/>
        </w:rPr>
        <w:t>ion</w:t>
      </w:r>
      <w:r w:rsidR="008066D2">
        <w:rPr>
          <w:rFonts w:asciiTheme="majorBidi" w:eastAsia="Calibri" w:hAnsiTheme="majorBidi" w:cstheme="majorBidi"/>
          <w:sz w:val="20"/>
          <w:szCs w:val="24"/>
        </w:rPr>
        <w:t>,</w:t>
      </w:r>
      <w:r w:rsidRPr="003B6893" w:rsidDel="003B21B0">
        <w:rPr>
          <w:rFonts w:ascii="Times New Roman" w:eastAsia="Times New Roman" w:hAnsi="Times New Roman" w:cs="Times New Roman"/>
          <w:sz w:val="20"/>
          <w:szCs w:val="20"/>
          <w:lang w:eastAsia="en-GB"/>
        </w:rPr>
        <w:t xml:space="preserve"> </w:t>
      </w:r>
      <w:r w:rsidR="00E95CC7" w:rsidRPr="00E95CC7">
        <w:rPr>
          <w:rFonts w:asciiTheme="majorBidi" w:eastAsia="Calibri" w:hAnsiTheme="majorBidi" w:cstheme="majorBidi"/>
          <w:sz w:val="20"/>
          <w:szCs w:val="24"/>
        </w:rPr>
        <w:t xml:space="preserve">the </w:t>
      </w:r>
      <w:r w:rsidR="005A255D" w:rsidRPr="00E95CC7">
        <w:rPr>
          <w:rFonts w:asciiTheme="majorBidi" w:eastAsia="Calibri" w:hAnsiTheme="majorBidi" w:cstheme="majorBidi"/>
          <w:sz w:val="20"/>
          <w:szCs w:val="24"/>
        </w:rPr>
        <w:t xml:space="preserve">Chair </w:t>
      </w:r>
      <w:r w:rsidR="00235F0D">
        <w:rPr>
          <w:rFonts w:asciiTheme="majorBidi" w:eastAsia="Calibri" w:hAnsiTheme="majorBidi" w:cstheme="majorBidi"/>
          <w:sz w:val="20"/>
          <w:szCs w:val="24"/>
        </w:rPr>
        <w:t>with the support of</w:t>
      </w:r>
      <w:r w:rsidR="005A255D" w:rsidRPr="005A255D">
        <w:rPr>
          <w:rFonts w:asciiTheme="majorBidi" w:eastAsia="Calibri" w:hAnsiTheme="majorBidi" w:cstheme="majorBidi"/>
          <w:sz w:val="20"/>
          <w:szCs w:val="24"/>
        </w:rPr>
        <w:t xml:space="preserve"> </w:t>
      </w:r>
      <w:r w:rsidR="005A255D" w:rsidRPr="00E95CC7">
        <w:rPr>
          <w:rFonts w:asciiTheme="majorBidi" w:eastAsia="Calibri" w:hAnsiTheme="majorBidi" w:cstheme="majorBidi"/>
          <w:sz w:val="20"/>
          <w:szCs w:val="24"/>
        </w:rPr>
        <w:t>the</w:t>
      </w:r>
      <w:r w:rsidR="005A255D" w:rsidRPr="005A255D">
        <w:rPr>
          <w:rFonts w:asciiTheme="majorBidi" w:eastAsia="Calibri" w:hAnsiTheme="majorBidi" w:cstheme="majorBidi"/>
          <w:sz w:val="20"/>
          <w:szCs w:val="24"/>
        </w:rPr>
        <w:t xml:space="preserve"> </w:t>
      </w:r>
      <w:r w:rsidR="005A255D" w:rsidRPr="00E95CC7">
        <w:rPr>
          <w:rFonts w:asciiTheme="majorBidi" w:eastAsia="Calibri" w:hAnsiTheme="majorBidi" w:cstheme="majorBidi"/>
          <w:sz w:val="20"/>
          <w:szCs w:val="24"/>
        </w:rPr>
        <w:t>secretariat</w:t>
      </w:r>
      <w:r>
        <w:rPr>
          <w:rFonts w:asciiTheme="majorBidi" w:eastAsia="Calibri" w:hAnsiTheme="majorBidi" w:cstheme="majorBidi"/>
          <w:sz w:val="20"/>
          <w:szCs w:val="24"/>
        </w:rPr>
        <w:t xml:space="preserve"> </w:t>
      </w:r>
      <w:r w:rsidR="0048181B">
        <w:rPr>
          <w:rFonts w:asciiTheme="majorBidi" w:eastAsia="Calibri" w:hAnsiTheme="majorBidi" w:cstheme="majorBidi"/>
          <w:sz w:val="20"/>
          <w:szCs w:val="24"/>
        </w:rPr>
        <w:t>prepared t</w:t>
      </w:r>
      <w:r w:rsidR="000F43CC">
        <w:rPr>
          <w:rFonts w:asciiTheme="majorBidi" w:eastAsia="Calibri" w:hAnsiTheme="majorBidi" w:cstheme="majorBidi"/>
          <w:sz w:val="20"/>
          <w:szCs w:val="24"/>
        </w:rPr>
        <w:t xml:space="preserve">he </w:t>
      </w:r>
      <w:r w:rsidR="0048181B">
        <w:rPr>
          <w:rFonts w:asciiTheme="majorBidi" w:eastAsia="Calibri" w:hAnsiTheme="majorBidi" w:cstheme="majorBidi"/>
          <w:sz w:val="20"/>
          <w:szCs w:val="24"/>
        </w:rPr>
        <w:t xml:space="preserve">current </w:t>
      </w:r>
      <w:r w:rsidR="000F43CC">
        <w:rPr>
          <w:rFonts w:asciiTheme="majorBidi" w:eastAsia="Calibri" w:hAnsiTheme="majorBidi" w:cstheme="majorBidi"/>
          <w:sz w:val="20"/>
          <w:szCs w:val="24"/>
        </w:rPr>
        <w:t>document</w:t>
      </w:r>
      <w:r w:rsidR="0048181B">
        <w:rPr>
          <w:rFonts w:asciiTheme="majorBidi" w:eastAsia="Calibri" w:hAnsiTheme="majorBidi" w:cstheme="majorBidi"/>
          <w:sz w:val="20"/>
          <w:szCs w:val="24"/>
        </w:rPr>
        <w:t xml:space="preserve">, which </w:t>
      </w:r>
      <w:r w:rsidR="00E95CC7" w:rsidRPr="00E95CC7">
        <w:rPr>
          <w:rFonts w:asciiTheme="majorBidi" w:eastAsia="Calibri" w:hAnsiTheme="majorBidi" w:cstheme="majorBidi"/>
          <w:sz w:val="20"/>
          <w:szCs w:val="24"/>
        </w:rPr>
        <w:t>outlines a possible scope and methodology for the analysis</w:t>
      </w:r>
      <w:r w:rsidR="0048181B">
        <w:rPr>
          <w:rFonts w:asciiTheme="majorBidi" w:eastAsia="Calibri" w:hAnsiTheme="majorBidi" w:cstheme="majorBidi"/>
          <w:sz w:val="20"/>
          <w:szCs w:val="24"/>
        </w:rPr>
        <w:t>.</w:t>
      </w:r>
    </w:p>
    <w:p w14:paraId="1233E363" w14:textId="6F7BFE89" w:rsidR="00E95CC7" w:rsidRPr="00E95CC7" w:rsidRDefault="00E95CC7" w:rsidP="00E95CC7">
      <w:pPr>
        <w:pBdr>
          <w:top w:val="single" w:sz="4" w:space="1" w:color="auto"/>
          <w:left w:val="single" w:sz="4" w:space="4" w:color="auto"/>
          <w:bottom w:val="single" w:sz="4" w:space="1" w:color="auto"/>
          <w:right w:val="single" w:sz="4" w:space="4" w:color="auto"/>
        </w:pBdr>
        <w:spacing w:before="120" w:after="120" w:line="276" w:lineRule="auto"/>
        <w:jc w:val="both"/>
        <w:rPr>
          <w:rFonts w:asciiTheme="majorBidi" w:eastAsia="Calibri" w:hAnsiTheme="majorBidi" w:cstheme="majorBidi"/>
          <w:sz w:val="20"/>
          <w:szCs w:val="24"/>
        </w:rPr>
      </w:pPr>
      <w:r w:rsidRPr="00E95CC7">
        <w:rPr>
          <w:rFonts w:ascii="Times New Roman" w:eastAsia="Times New Roman" w:hAnsi="Times New Roman" w:cs="Times New Roman"/>
          <w:sz w:val="20"/>
          <w:szCs w:val="20"/>
        </w:rPr>
        <w:t>Delegates are invited to consult this document in advance of the meeting.</w:t>
      </w:r>
    </w:p>
    <w:p w14:paraId="02EAE828" w14:textId="77777777" w:rsidR="00E95CC7" w:rsidRPr="00E95CC7" w:rsidRDefault="00E95CC7" w:rsidP="00E95CC7">
      <w:pPr>
        <w:spacing w:before="100" w:beforeAutospacing="1" w:after="100" w:afterAutospacing="1" w:line="240" w:lineRule="auto"/>
        <w:jc w:val="both"/>
        <w:outlineLvl w:val="1"/>
        <w:rPr>
          <w:rFonts w:asciiTheme="majorBidi" w:eastAsia="Times New Roman" w:hAnsiTheme="majorBidi" w:cstheme="majorBidi"/>
          <w:b/>
          <w:bCs/>
          <w:lang w:val="en-US"/>
        </w:rPr>
      </w:pPr>
      <w:r w:rsidRPr="00E95CC7">
        <w:rPr>
          <w:rFonts w:asciiTheme="majorBidi" w:eastAsia="Times New Roman" w:hAnsiTheme="majorBidi" w:cstheme="majorBidi"/>
          <w:b/>
          <w:bCs/>
        </w:rPr>
        <w:t>I.</w:t>
      </w:r>
      <w:r w:rsidRPr="00E95CC7">
        <w:rPr>
          <w:rFonts w:asciiTheme="majorBidi" w:eastAsia="Times New Roman" w:hAnsiTheme="majorBidi" w:cstheme="majorBidi"/>
          <w:b/>
          <w:bCs/>
        </w:rPr>
        <w:tab/>
      </w:r>
      <w:r w:rsidRPr="00E95CC7">
        <w:rPr>
          <w:rFonts w:asciiTheme="majorBidi" w:eastAsia="Times New Roman" w:hAnsiTheme="majorBidi" w:cstheme="majorBidi"/>
          <w:b/>
          <w:bCs/>
          <w:lang w:val="en-US"/>
        </w:rPr>
        <w:t>Objective</w:t>
      </w:r>
      <w:r w:rsidRPr="00E95CC7">
        <w:rPr>
          <w:rFonts w:asciiTheme="majorBidi" w:eastAsia="Times New Roman" w:hAnsiTheme="majorBidi" w:cstheme="majorBidi"/>
          <w:b/>
          <w:bCs/>
        </w:rPr>
        <w:t xml:space="preserve"> </w:t>
      </w:r>
      <w:r w:rsidRPr="00E95CC7">
        <w:rPr>
          <w:rFonts w:asciiTheme="majorBidi" w:eastAsia="Times New Roman" w:hAnsiTheme="majorBidi" w:cstheme="majorBidi"/>
          <w:b/>
          <w:bCs/>
          <w:lang w:val="en-US"/>
        </w:rPr>
        <w:t>of the analysis</w:t>
      </w:r>
    </w:p>
    <w:p w14:paraId="08D8E9D4" w14:textId="16BA0D79" w:rsidR="00E95CC7" w:rsidRPr="00E95CC7" w:rsidRDefault="00E95CC7" w:rsidP="00E95CC7">
      <w:pPr>
        <w:suppressAutoHyphens/>
        <w:spacing w:after="120" w:line="240" w:lineRule="atLeast"/>
        <w:ind w:right="-46"/>
        <w:jc w:val="both"/>
        <w:rPr>
          <w:rFonts w:ascii="Times New Roman" w:eastAsia="Times New Roman" w:hAnsi="Times New Roman" w:cs="Times New Roman"/>
          <w:sz w:val="20"/>
          <w:szCs w:val="20"/>
          <w:lang w:eastAsia="fr-FR"/>
        </w:rPr>
      </w:pPr>
      <w:r w:rsidRPr="00E95CC7">
        <w:rPr>
          <w:rFonts w:ascii="Times New Roman" w:eastAsia="Times New Roman" w:hAnsi="Times New Roman" w:cs="Times New Roman"/>
          <w:sz w:val="20"/>
          <w:szCs w:val="20"/>
          <w:lang w:eastAsia="en-GB"/>
        </w:rPr>
        <w:t>1.</w:t>
      </w:r>
      <w:r w:rsidRPr="00E95CC7">
        <w:rPr>
          <w:rFonts w:ascii="Times New Roman" w:eastAsia="Times New Roman" w:hAnsi="Times New Roman" w:cs="Times New Roman"/>
          <w:sz w:val="20"/>
          <w:szCs w:val="20"/>
          <w:lang w:eastAsia="en-GB"/>
        </w:rPr>
        <w:tab/>
        <w:t>The effective implementation of the Convention in the energy sector is particularly important due to the pressing needs for energy transformation in most countries, which require rapidly evolving decision-making in energy-related matters</w:t>
      </w:r>
      <w:r w:rsidR="007C6871">
        <w:rPr>
          <w:rFonts w:ascii="Times New Roman" w:eastAsia="Times New Roman" w:hAnsi="Times New Roman" w:cs="Times New Roman"/>
          <w:sz w:val="20"/>
          <w:szCs w:val="20"/>
          <w:lang w:eastAsia="en-GB"/>
        </w:rPr>
        <w:t>,</w:t>
      </w:r>
      <w:r w:rsidRPr="00E95CC7">
        <w:rPr>
          <w:rFonts w:ascii="Times New Roman" w:eastAsia="Times New Roman" w:hAnsi="Times New Roman" w:cs="Times New Roman"/>
          <w:sz w:val="20"/>
          <w:szCs w:val="20"/>
          <w:lang w:eastAsia="en-GB"/>
        </w:rPr>
        <w:t xml:space="preserve"> especially in relation to renewable energy projects, </w:t>
      </w:r>
      <w:proofErr w:type="gramStart"/>
      <w:r w:rsidRPr="00E95CC7">
        <w:rPr>
          <w:rFonts w:ascii="Times New Roman" w:eastAsia="Times New Roman" w:hAnsi="Times New Roman" w:cs="Times New Roman"/>
          <w:sz w:val="20"/>
          <w:szCs w:val="20"/>
          <w:lang w:eastAsia="en-GB"/>
        </w:rPr>
        <w:t>programmes</w:t>
      </w:r>
      <w:proofErr w:type="gramEnd"/>
      <w:r w:rsidRPr="00E95CC7">
        <w:rPr>
          <w:rFonts w:ascii="Times New Roman" w:eastAsia="Times New Roman" w:hAnsi="Times New Roman" w:cs="Times New Roman"/>
          <w:sz w:val="20"/>
          <w:szCs w:val="20"/>
          <w:lang w:eastAsia="en-GB"/>
        </w:rPr>
        <w:t xml:space="preserve"> and policies. Additionally, there is a growing number of cases when members of the public challenge them. </w:t>
      </w:r>
    </w:p>
    <w:p w14:paraId="048F0C57" w14:textId="77777777" w:rsidR="00E95CC7" w:rsidRPr="00E95CC7" w:rsidRDefault="00E95CC7" w:rsidP="00E95CC7">
      <w:pPr>
        <w:suppressAutoHyphens/>
        <w:spacing w:after="120" w:line="240" w:lineRule="atLeast"/>
        <w:ind w:right="-46"/>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2.</w:t>
      </w:r>
      <w:r w:rsidRPr="00E95CC7">
        <w:rPr>
          <w:rFonts w:ascii="Times New Roman" w:eastAsia="Times New Roman" w:hAnsi="Times New Roman" w:cs="Times New Roman"/>
          <w:sz w:val="20"/>
          <w:szCs w:val="20"/>
          <w:lang w:eastAsia="en-GB"/>
        </w:rPr>
        <w:tab/>
      </w:r>
      <w:r w:rsidRPr="00E95CC7">
        <w:rPr>
          <w:rFonts w:ascii="Times New Roman" w:eastAsia="Times New Roman" w:hAnsi="Times New Roman" w:cs="Times New Roman"/>
          <w:sz w:val="20"/>
          <w:szCs w:val="20"/>
          <w:lang w:eastAsia="fr-FR"/>
        </w:rPr>
        <w:t>At its seventh session (Geneva, 18-21 October 2021), the Meeting of the Parties</w:t>
      </w:r>
      <w:r w:rsidRPr="00E95CC7">
        <w:rPr>
          <w:rFonts w:ascii="Times New Roman" w:eastAsia="Times New Roman" w:hAnsi="Times New Roman" w:cs="Times New Roman"/>
          <w:sz w:val="20"/>
          <w:szCs w:val="20"/>
          <w:lang w:eastAsia="en-GB"/>
        </w:rPr>
        <w:t xml:space="preserve"> requested the Task Force </w:t>
      </w:r>
      <w:r w:rsidRPr="00E95CC7">
        <w:rPr>
          <w:rFonts w:ascii="Times New Roman" w:eastAsia="Times New Roman" w:hAnsi="Times New Roman" w:cs="Times New Roman"/>
          <w:sz w:val="20"/>
          <w:szCs w:val="20"/>
          <w:lang w:eastAsia="fr-FR"/>
        </w:rPr>
        <w:t>to promote the exchange of information, experiences, challenges and good practices relating to the implementation of the third pillar of the Convention, with the focus on possibilities for members of the public to challenge acts or omissions that contravene permit requirements or laws relating to the environment, in particular, in relation to projects, plans and policies related to energy matters</w:t>
      </w:r>
      <w:r w:rsidRPr="00E95CC7">
        <w:rPr>
          <w:rFonts w:ascii="Times New Roman" w:eastAsia="Times New Roman" w:hAnsi="Times New Roman" w:cs="Times New Roman"/>
          <w:sz w:val="20"/>
          <w:szCs w:val="20"/>
          <w:vertAlign w:val="superscript"/>
          <w:lang w:eastAsia="fr-FR"/>
        </w:rPr>
        <w:footnoteReference w:id="3"/>
      </w:r>
      <w:r w:rsidRPr="00E95CC7">
        <w:rPr>
          <w:rFonts w:ascii="Times New Roman" w:eastAsia="Times New Roman" w:hAnsi="Times New Roman" w:cs="Times New Roman"/>
          <w:sz w:val="20"/>
          <w:szCs w:val="20"/>
          <w:lang w:eastAsia="fr-FR"/>
        </w:rPr>
        <w:t>.</w:t>
      </w:r>
    </w:p>
    <w:p w14:paraId="7ED9110D" w14:textId="6AE4529D" w:rsidR="00E95CC7" w:rsidRPr="00E95CC7" w:rsidRDefault="00E95CC7" w:rsidP="00E95CC7">
      <w:pPr>
        <w:suppressAutoHyphens/>
        <w:spacing w:after="120" w:line="240" w:lineRule="atLeast"/>
        <w:ind w:right="-46"/>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3.</w:t>
      </w:r>
      <w:r w:rsidRPr="00E95CC7">
        <w:rPr>
          <w:rFonts w:ascii="Times New Roman" w:eastAsia="Times New Roman" w:hAnsi="Times New Roman" w:cs="Times New Roman"/>
          <w:sz w:val="20"/>
          <w:szCs w:val="20"/>
          <w:lang w:eastAsia="en-GB"/>
        </w:rPr>
        <w:tab/>
        <w:t>At the fourteenth meeting (Geneva, 27-28 April 2023), the Task Force considered the matter and e</w:t>
      </w:r>
      <w:r w:rsidRPr="00E95CC7">
        <w:rPr>
          <w:rFonts w:ascii="Times New Roman" w:eastAsia="Times New Roman" w:hAnsi="Times New Roman" w:cs="Times New Roman"/>
          <w:sz w:val="20"/>
          <w:szCs w:val="20"/>
          <w:lang w:eastAsia="fr-FR"/>
        </w:rPr>
        <w:t xml:space="preserve">ncouraged Parties to take the necessary legislative, </w:t>
      </w:r>
      <w:proofErr w:type="gramStart"/>
      <w:r w:rsidRPr="00E95CC7">
        <w:rPr>
          <w:rFonts w:ascii="Times New Roman" w:eastAsia="Times New Roman" w:hAnsi="Times New Roman" w:cs="Times New Roman"/>
          <w:sz w:val="20"/>
          <w:szCs w:val="20"/>
          <w:lang w:eastAsia="fr-FR"/>
        </w:rPr>
        <w:t>enforcement</w:t>
      </w:r>
      <w:proofErr w:type="gramEnd"/>
      <w:r w:rsidRPr="00E95CC7">
        <w:rPr>
          <w:rFonts w:ascii="Times New Roman" w:eastAsia="Times New Roman" w:hAnsi="Times New Roman" w:cs="Times New Roman"/>
          <w:sz w:val="20"/>
          <w:szCs w:val="20"/>
          <w:lang w:eastAsia="fr-FR"/>
        </w:rPr>
        <w:t xml:space="preserve"> and other measures to ensure</w:t>
      </w:r>
      <w:r w:rsidR="00AF10F2">
        <w:rPr>
          <w:rFonts w:ascii="Times New Roman" w:eastAsia="Times New Roman" w:hAnsi="Times New Roman" w:cs="Times New Roman"/>
          <w:sz w:val="20"/>
          <w:szCs w:val="20"/>
          <w:lang w:eastAsia="fr-FR"/>
        </w:rPr>
        <w:t>,</w:t>
      </w:r>
      <w:r w:rsidRPr="00E95CC7">
        <w:rPr>
          <w:rFonts w:ascii="Times New Roman" w:eastAsia="Times New Roman" w:hAnsi="Times New Roman" w:cs="Times New Roman"/>
          <w:sz w:val="20"/>
          <w:szCs w:val="20"/>
          <w:lang w:eastAsia="fr-FR"/>
        </w:rPr>
        <w:t xml:space="preserve"> </w:t>
      </w:r>
      <w:r w:rsidR="00AF10F2" w:rsidRPr="00E95CC7">
        <w:rPr>
          <w:rFonts w:ascii="Times New Roman" w:eastAsia="Times New Roman" w:hAnsi="Times New Roman" w:cs="Times New Roman"/>
          <w:sz w:val="20"/>
          <w:szCs w:val="20"/>
          <w:lang w:eastAsia="fr-FR"/>
        </w:rPr>
        <w:t>in accordance with the Convention</w:t>
      </w:r>
      <w:r w:rsidR="00AF10F2">
        <w:rPr>
          <w:rFonts w:ascii="Times New Roman" w:eastAsia="Times New Roman" w:hAnsi="Times New Roman" w:cs="Times New Roman"/>
          <w:sz w:val="20"/>
          <w:szCs w:val="20"/>
          <w:lang w:eastAsia="fr-FR"/>
        </w:rPr>
        <w:t>,</w:t>
      </w:r>
      <w:r w:rsidR="00AF10F2" w:rsidRPr="00E95CC7">
        <w:rPr>
          <w:rFonts w:ascii="Times New Roman" w:eastAsia="Times New Roman" w:hAnsi="Times New Roman" w:cs="Times New Roman"/>
          <w:sz w:val="20"/>
          <w:szCs w:val="20"/>
          <w:lang w:eastAsia="fr-FR"/>
        </w:rPr>
        <w:t xml:space="preserve"> </w:t>
      </w:r>
      <w:r w:rsidRPr="00E95CC7">
        <w:rPr>
          <w:rFonts w:ascii="Times New Roman" w:eastAsia="Times New Roman" w:hAnsi="Times New Roman" w:cs="Times New Roman"/>
          <w:sz w:val="20"/>
          <w:szCs w:val="20"/>
          <w:lang w:eastAsia="fr-FR"/>
        </w:rPr>
        <w:t>compatibility between the provisions of national legislation implementing access to information, public participation and access</w:t>
      </w:r>
      <w:r w:rsidR="0083430D">
        <w:rPr>
          <w:rFonts w:ascii="Times New Roman" w:eastAsia="Times New Roman" w:hAnsi="Times New Roman" w:cs="Times New Roman"/>
          <w:sz w:val="20"/>
          <w:szCs w:val="20"/>
          <w:lang w:eastAsia="fr-FR"/>
        </w:rPr>
        <w:t xml:space="preserve"> </w:t>
      </w:r>
      <w:r w:rsidRPr="00E95CC7">
        <w:rPr>
          <w:rFonts w:ascii="Times New Roman" w:eastAsia="Times New Roman" w:hAnsi="Times New Roman" w:cs="Times New Roman"/>
          <w:sz w:val="20"/>
          <w:szCs w:val="20"/>
          <w:lang w:eastAsia="fr-FR"/>
        </w:rPr>
        <w:t>to</w:t>
      </w:r>
      <w:r w:rsidR="003C3169">
        <w:rPr>
          <w:rFonts w:ascii="Times New Roman" w:eastAsia="Times New Roman" w:hAnsi="Times New Roman" w:cs="Times New Roman"/>
          <w:sz w:val="20"/>
          <w:szCs w:val="20"/>
          <w:lang w:eastAsia="fr-FR"/>
        </w:rPr>
        <w:t xml:space="preserve"> </w:t>
      </w:r>
      <w:r w:rsidRPr="00E95CC7">
        <w:rPr>
          <w:rFonts w:ascii="Times New Roman" w:eastAsia="Times New Roman" w:hAnsi="Times New Roman" w:cs="Times New Roman"/>
          <w:sz w:val="20"/>
          <w:szCs w:val="20"/>
          <w:lang w:eastAsia="fr-FR"/>
        </w:rPr>
        <w:t>justice</w:t>
      </w:r>
      <w:r w:rsidR="00FF5DCA">
        <w:rPr>
          <w:rFonts w:ascii="Times New Roman" w:eastAsia="Times New Roman" w:hAnsi="Times New Roman" w:cs="Times New Roman"/>
          <w:sz w:val="20"/>
          <w:szCs w:val="20"/>
          <w:lang w:eastAsia="fr-FR"/>
        </w:rPr>
        <w:t>, which</w:t>
      </w:r>
      <w:r w:rsidR="00AB5EA1">
        <w:rPr>
          <w:rFonts w:ascii="Times New Roman" w:eastAsia="Times New Roman" w:hAnsi="Times New Roman" w:cs="Times New Roman"/>
          <w:sz w:val="20"/>
          <w:szCs w:val="20"/>
          <w:lang w:eastAsia="fr-FR"/>
        </w:rPr>
        <w:t xml:space="preserve"> are</w:t>
      </w:r>
      <w:r w:rsidR="00DA722E">
        <w:rPr>
          <w:rFonts w:ascii="Times New Roman" w:eastAsia="Times New Roman" w:hAnsi="Times New Roman" w:cs="Times New Roman"/>
          <w:sz w:val="20"/>
          <w:szCs w:val="20"/>
          <w:lang w:eastAsia="fr-FR"/>
        </w:rPr>
        <w:t xml:space="preserve"> relevant for </w:t>
      </w:r>
      <w:r w:rsidRPr="00C663B3">
        <w:rPr>
          <w:rFonts w:ascii="Times New Roman" w:eastAsia="Times New Roman" w:hAnsi="Times New Roman" w:cs="Times New Roman"/>
          <w:sz w:val="20"/>
          <w:szCs w:val="20"/>
          <w:lang w:eastAsia="fr-FR"/>
        </w:rPr>
        <w:t>energy</w:t>
      </w:r>
      <w:r w:rsidR="00F117DA" w:rsidRPr="00C663B3">
        <w:rPr>
          <w:rFonts w:ascii="Times New Roman" w:eastAsia="Times New Roman" w:hAnsi="Times New Roman" w:cs="Times New Roman"/>
          <w:sz w:val="20"/>
          <w:szCs w:val="20"/>
          <w:lang w:eastAsia="fr-FR"/>
        </w:rPr>
        <w:t xml:space="preserve"> sector</w:t>
      </w:r>
      <w:r w:rsidR="009E7A37">
        <w:rPr>
          <w:rStyle w:val="FootnoteReference"/>
          <w:rFonts w:ascii="Times New Roman" w:eastAsia="Times New Roman" w:hAnsi="Times New Roman" w:cs="Times New Roman"/>
          <w:sz w:val="20"/>
          <w:szCs w:val="20"/>
          <w:lang w:eastAsia="fr-FR"/>
        </w:rPr>
        <w:footnoteReference w:id="4"/>
      </w:r>
      <w:r w:rsidR="00E5748B" w:rsidRPr="00C663B3">
        <w:rPr>
          <w:rFonts w:ascii="Times New Roman" w:eastAsia="Times New Roman" w:hAnsi="Times New Roman" w:cs="Times New Roman"/>
          <w:sz w:val="20"/>
          <w:szCs w:val="20"/>
          <w:lang w:eastAsia="fr-FR"/>
        </w:rPr>
        <w:t>.</w:t>
      </w:r>
    </w:p>
    <w:p w14:paraId="68701E27" w14:textId="4A21ADB3" w:rsidR="00E95CC7" w:rsidRPr="00E95CC7" w:rsidRDefault="00E95CC7" w:rsidP="00E95CC7">
      <w:pPr>
        <w:suppressAutoHyphens/>
        <w:spacing w:after="120" w:line="240" w:lineRule="atLeast"/>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4.</w:t>
      </w:r>
      <w:r w:rsidRPr="00E95CC7">
        <w:rPr>
          <w:rFonts w:ascii="Times New Roman" w:eastAsia="Times New Roman" w:hAnsi="Times New Roman" w:cs="Times New Roman"/>
          <w:sz w:val="20"/>
          <w:szCs w:val="20"/>
          <w:lang w:eastAsia="en-GB"/>
        </w:rPr>
        <w:tab/>
      </w:r>
      <w:r w:rsidR="00F67C80">
        <w:rPr>
          <w:rFonts w:ascii="Times New Roman" w:eastAsia="Times New Roman" w:hAnsi="Times New Roman" w:cs="Times New Roman"/>
          <w:sz w:val="20"/>
          <w:szCs w:val="20"/>
          <w:lang w:eastAsia="en-GB"/>
        </w:rPr>
        <w:t>Furthermore,</w:t>
      </w:r>
      <w:r w:rsidR="00224B88">
        <w:rPr>
          <w:rFonts w:ascii="Times New Roman" w:eastAsia="Times New Roman" w:hAnsi="Times New Roman" w:cs="Times New Roman"/>
          <w:sz w:val="20"/>
          <w:szCs w:val="20"/>
          <w:lang w:eastAsia="en-GB"/>
        </w:rPr>
        <w:t xml:space="preserve"> at this meeting</w:t>
      </w:r>
      <w:r w:rsidR="00163E0D">
        <w:rPr>
          <w:rFonts w:ascii="Times New Roman" w:eastAsia="Times New Roman" w:hAnsi="Times New Roman" w:cs="Times New Roman"/>
          <w:sz w:val="20"/>
          <w:szCs w:val="20"/>
          <w:lang w:eastAsia="en-GB"/>
        </w:rPr>
        <w:t>,</w:t>
      </w:r>
      <w:r w:rsidR="00224B88">
        <w:rPr>
          <w:rFonts w:ascii="Times New Roman" w:eastAsia="Times New Roman" w:hAnsi="Times New Roman" w:cs="Times New Roman"/>
          <w:sz w:val="20"/>
          <w:szCs w:val="20"/>
          <w:lang w:eastAsia="en-GB"/>
        </w:rPr>
        <w:t xml:space="preserve"> </w:t>
      </w:r>
      <w:r w:rsidR="00224B88" w:rsidRPr="00E95CC7">
        <w:rPr>
          <w:rFonts w:ascii="Times New Roman" w:eastAsia="Times New Roman" w:hAnsi="Times New Roman" w:cs="Times New Roman"/>
          <w:sz w:val="20"/>
          <w:szCs w:val="20"/>
          <w:lang w:eastAsia="en-GB"/>
        </w:rPr>
        <w:t xml:space="preserve">the </w:t>
      </w:r>
      <w:r w:rsidRPr="00E95CC7">
        <w:rPr>
          <w:rFonts w:ascii="Times New Roman" w:eastAsia="Times New Roman" w:hAnsi="Times New Roman" w:cs="Times New Roman"/>
          <w:sz w:val="20"/>
          <w:szCs w:val="20"/>
          <w:lang w:eastAsia="en-GB"/>
        </w:rPr>
        <w:t xml:space="preserve">Task Force </w:t>
      </w:r>
      <w:r w:rsidRPr="00E95CC7">
        <w:rPr>
          <w:rFonts w:asciiTheme="majorBidi" w:eastAsia="Calibri" w:hAnsiTheme="majorBidi" w:cstheme="majorBidi"/>
          <w:sz w:val="20"/>
          <w:szCs w:val="20"/>
          <w:lang w:eastAsia="fr-FR"/>
        </w:rPr>
        <w:t xml:space="preserve">noted that a regular analysis of </w:t>
      </w:r>
      <w:r w:rsidR="00F878A9" w:rsidRPr="00E95CC7">
        <w:rPr>
          <w:rFonts w:asciiTheme="majorBidi" w:eastAsia="Calibri" w:hAnsiTheme="majorBidi" w:cstheme="majorBidi"/>
          <w:sz w:val="20"/>
          <w:szCs w:val="24"/>
        </w:rPr>
        <w:t>cases brought by the members of the public to challenge energy-related decisions, acts and omission</w:t>
      </w:r>
      <w:r w:rsidR="00F878A9">
        <w:rPr>
          <w:rFonts w:asciiTheme="majorBidi" w:eastAsia="Calibri" w:hAnsiTheme="majorBidi" w:cstheme="majorBidi"/>
          <w:sz w:val="20"/>
          <w:szCs w:val="24"/>
        </w:rPr>
        <w:t>s by</w:t>
      </w:r>
      <w:r w:rsidR="00F878A9" w:rsidRPr="00E95CC7">
        <w:rPr>
          <w:rFonts w:asciiTheme="majorBidi" w:eastAsia="Calibri" w:hAnsiTheme="majorBidi" w:cstheme="majorBidi"/>
          <w:sz w:val="20"/>
          <w:szCs w:val="24"/>
        </w:rPr>
        <w:t xml:space="preserve"> private persons </w:t>
      </w:r>
      <w:r w:rsidR="00F878A9">
        <w:rPr>
          <w:rFonts w:asciiTheme="majorBidi" w:eastAsia="Calibri" w:hAnsiTheme="majorBidi" w:cstheme="majorBidi"/>
          <w:sz w:val="20"/>
          <w:szCs w:val="24"/>
        </w:rPr>
        <w:t xml:space="preserve">and </w:t>
      </w:r>
      <w:r w:rsidR="00F878A9" w:rsidRPr="00E95CC7">
        <w:rPr>
          <w:rFonts w:asciiTheme="majorBidi" w:eastAsia="Calibri" w:hAnsiTheme="majorBidi" w:cstheme="majorBidi"/>
          <w:sz w:val="20"/>
          <w:szCs w:val="24"/>
        </w:rPr>
        <w:t xml:space="preserve">public authorities </w:t>
      </w:r>
      <w:r w:rsidRPr="00E95CC7">
        <w:rPr>
          <w:rFonts w:asciiTheme="majorBidi" w:eastAsia="Calibri" w:hAnsiTheme="majorBidi" w:cstheme="majorBidi"/>
          <w:sz w:val="20"/>
          <w:szCs w:val="20"/>
          <w:lang w:eastAsia="fr-FR"/>
        </w:rPr>
        <w:t xml:space="preserve">could help to address existing challenges and improve the procedures for public participation in </w:t>
      </w:r>
      <w:r w:rsidRPr="00E95CC7">
        <w:rPr>
          <w:rFonts w:asciiTheme="majorBidi" w:eastAsia="Calibri" w:hAnsiTheme="majorBidi" w:cstheme="majorBidi"/>
          <w:sz w:val="20"/>
          <w:szCs w:val="20"/>
          <w:lang w:eastAsia="fr-FR"/>
        </w:rPr>
        <w:lastRenderedPageBreak/>
        <w:t>decision-making and access to justice in this area and was invited to discuss the scope and methodology for such analysis.</w:t>
      </w:r>
    </w:p>
    <w:p w14:paraId="7CFBCFB1" w14:textId="553E0C63" w:rsidR="00A83366" w:rsidRDefault="00EC193F" w:rsidP="00B315F4">
      <w:pPr>
        <w:spacing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r w:rsidR="00946A8A">
        <w:rPr>
          <w:rFonts w:ascii="Times New Roman" w:eastAsia="Times New Roman" w:hAnsi="Times New Roman" w:cs="Times New Roman"/>
          <w:sz w:val="20"/>
          <w:szCs w:val="20"/>
          <w:lang w:eastAsia="en-GB"/>
        </w:rPr>
        <w:t>.</w:t>
      </w:r>
      <w:r w:rsidR="00946A8A">
        <w:rPr>
          <w:rFonts w:ascii="Times New Roman" w:eastAsia="Times New Roman" w:hAnsi="Times New Roman" w:cs="Times New Roman"/>
          <w:sz w:val="20"/>
          <w:szCs w:val="20"/>
          <w:lang w:eastAsia="en-GB"/>
        </w:rPr>
        <w:tab/>
      </w:r>
      <w:r w:rsidR="00565805">
        <w:rPr>
          <w:rFonts w:ascii="Times New Roman" w:eastAsia="Times New Roman" w:hAnsi="Times New Roman" w:cs="Times New Roman"/>
          <w:sz w:val="20"/>
          <w:szCs w:val="20"/>
          <w:lang w:eastAsia="en-GB"/>
        </w:rPr>
        <w:t xml:space="preserve">Any </w:t>
      </w:r>
      <w:r w:rsidR="00737231">
        <w:rPr>
          <w:rFonts w:ascii="Times New Roman" w:eastAsia="Times New Roman" w:hAnsi="Times New Roman" w:cs="Times New Roman"/>
          <w:sz w:val="20"/>
          <w:szCs w:val="20"/>
          <w:lang w:eastAsia="en-GB"/>
        </w:rPr>
        <w:t>i</w:t>
      </w:r>
      <w:r w:rsidR="00946A8A">
        <w:rPr>
          <w:rFonts w:ascii="Times New Roman" w:eastAsia="Times New Roman" w:hAnsi="Times New Roman" w:cs="Times New Roman"/>
          <w:sz w:val="20"/>
          <w:szCs w:val="20"/>
          <w:lang w:eastAsia="en-GB"/>
        </w:rPr>
        <w:t>nterested p</w:t>
      </w:r>
      <w:r w:rsidR="00946A8A" w:rsidRPr="00E95CC7">
        <w:rPr>
          <w:rFonts w:ascii="Times New Roman" w:eastAsia="Times New Roman" w:hAnsi="Times New Roman" w:cs="Times New Roman"/>
          <w:sz w:val="20"/>
          <w:szCs w:val="20"/>
          <w:lang w:eastAsia="en-GB"/>
        </w:rPr>
        <w:t>ublic authorit</w:t>
      </w:r>
      <w:r w:rsidR="00A356E1">
        <w:rPr>
          <w:rFonts w:ascii="Times New Roman" w:eastAsia="Times New Roman" w:hAnsi="Times New Roman" w:cs="Times New Roman"/>
          <w:sz w:val="20"/>
          <w:szCs w:val="20"/>
          <w:lang w:eastAsia="en-GB"/>
        </w:rPr>
        <w:t>y</w:t>
      </w:r>
      <w:r w:rsidR="00946A8A" w:rsidRPr="00E95CC7">
        <w:rPr>
          <w:rFonts w:ascii="Times New Roman" w:eastAsia="Times New Roman" w:hAnsi="Times New Roman" w:cs="Times New Roman"/>
          <w:sz w:val="20"/>
          <w:szCs w:val="20"/>
          <w:lang w:eastAsia="en-GB"/>
        </w:rPr>
        <w:t xml:space="preserve">, partner organization </w:t>
      </w:r>
      <w:r w:rsidR="0088232F">
        <w:rPr>
          <w:rFonts w:ascii="Times New Roman" w:eastAsia="Times New Roman" w:hAnsi="Times New Roman" w:cs="Times New Roman"/>
          <w:sz w:val="20"/>
          <w:szCs w:val="20"/>
          <w:lang w:eastAsia="en-GB"/>
        </w:rPr>
        <w:t>or stakeholder</w:t>
      </w:r>
      <w:r w:rsidR="003C31A3">
        <w:rPr>
          <w:rFonts w:ascii="Times New Roman" w:eastAsia="Times New Roman" w:hAnsi="Times New Roman" w:cs="Times New Roman"/>
          <w:sz w:val="20"/>
          <w:szCs w:val="20"/>
          <w:lang w:eastAsia="en-GB"/>
        </w:rPr>
        <w:t xml:space="preserve"> in </w:t>
      </w:r>
      <w:r w:rsidR="00A41703">
        <w:rPr>
          <w:rFonts w:ascii="Times New Roman" w:eastAsia="Times New Roman" w:hAnsi="Times New Roman" w:cs="Times New Roman"/>
          <w:sz w:val="20"/>
          <w:szCs w:val="20"/>
          <w:lang w:eastAsia="en-GB"/>
        </w:rPr>
        <w:t xml:space="preserve">Parties or </w:t>
      </w:r>
      <w:r w:rsidR="003D3376">
        <w:rPr>
          <w:rFonts w:ascii="Times New Roman" w:eastAsia="Times New Roman" w:hAnsi="Times New Roman" w:cs="Times New Roman"/>
          <w:sz w:val="20"/>
          <w:szCs w:val="20"/>
          <w:lang w:eastAsia="en-GB"/>
        </w:rPr>
        <w:t xml:space="preserve">in </w:t>
      </w:r>
      <w:r w:rsidR="00A41703">
        <w:rPr>
          <w:rFonts w:ascii="Times New Roman" w:eastAsia="Times New Roman" w:hAnsi="Times New Roman" w:cs="Times New Roman"/>
          <w:sz w:val="20"/>
          <w:szCs w:val="20"/>
          <w:lang w:eastAsia="en-GB"/>
        </w:rPr>
        <w:t xml:space="preserve">other interested member States </w:t>
      </w:r>
      <w:r w:rsidR="00B34DF9">
        <w:rPr>
          <w:rFonts w:ascii="Times New Roman" w:eastAsia="Times New Roman" w:hAnsi="Times New Roman" w:cs="Times New Roman"/>
          <w:sz w:val="20"/>
          <w:szCs w:val="20"/>
          <w:lang w:eastAsia="en-GB"/>
        </w:rPr>
        <w:t xml:space="preserve">can initiate and carry out the </w:t>
      </w:r>
      <w:r w:rsidR="00565805">
        <w:rPr>
          <w:rFonts w:ascii="Times New Roman" w:eastAsia="Times New Roman" w:hAnsi="Times New Roman" w:cs="Times New Roman"/>
          <w:sz w:val="20"/>
          <w:szCs w:val="20"/>
          <w:lang w:eastAsia="en-GB"/>
        </w:rPr>
        <w:t>analysis</w:t>
      </w:r>
      <w:r w:rsidR="00DC78C0">
        <w:rPr>
          <w:rFonts w:ascii="Times New Roman" w:eastAsia="Times New Roman" w:hAnsi="Times New Roman" w:cs="Times New Roman"/>
          <w:sz w:val="20"/>
          <w:szCs w:val="20"/>
          <w:lang w:eastAsia="en-GB"/>
        </w:rPr>
        <w:t xml:space="preserve">. </w:t>
      </w:r>
      <w:r w:rsidR="00CD434C">
        <w:rPr>
          <w:rFonts w:ascii="Times New Roman" w:eastAsia="Times New Roman" w:hAnsi="Times New Roman" w:cs="Times New Roman"/>
          <w:sz w:val="20"/>
          <w:szCs w:val="20"/>
          <w:lang w:eastAsia="en-GB"/>
        </w:rPr>
        <w:t xml:space="preserve">To </w:t>
      </w:r>
      <w:r w:rsidR="0002323E">
        <w:rPr>
          <w:rFonts w:ascii="Times New Roman" w:eastAsia="Times New Roman" w:hAnsi="Times New Roman" w:cs="Times New Roman"/>
          <w:sz w:val="20"/>
          <w:szCs w:val="20"/>
          <w:lang w:eastAsia="en-GB"/>
        </w:rPr>
        <w:t xml:space="preserve">support </w:t>
      </w:r>
      <w:r w:rsidR="00ED6D2A">
        <w:rPr>
          <w:rFonts w:ascii="Times New Roman" w:eastAsia="Times New Roman" w:hAnsi="Times New Roman" w:cs="Times New Roman"/>
          <w:sz w:val="20"/>
          <w:szCs w:val="20"/>
          <w:lang w:eastAsia="en-GB"/>
        </w:rPr>
        <w:t>an effective</w:t>
      </w:r>
      <w:r w:rsidR="0002323E">
        <w:rPr>
          <w:rFonts w:ascii="Times New Roman" w:eastAsia="Times New Roman" w:hAnsi="Times New Roman" w:cs="Times New Roman"/>
          <w:sz w:val="20"/>
          <w:szCs w:val="20"/>
          <w:lang w:eastAsia="en-GB"/>
        </w:rPr>
        <w:t xml:space="preserve"> analysis and </w:t>
      </w:r>
      <w:r w:rsidR="00CF3796">
        <w:rPr>
          <w:rFonts w:ascii="Times New Roman" w:eastAsia="Times New Roman" w:hAnsi="Times New Roman" w:cs="Times New Roman"/>
          <w:sz w:val="20"/>
          <w:szCs w:val="20"/>
          <w:lang w:eastAsia="en-GB"/>
        </w:rPr>
        <w:t>the implementation of its outcomes</w:t>
      </w:r>
      <w:r w:rsidR="0002323E">
        <w:rPr>
          <w:rFonts w:ascii="Times New Roman" w:eastAsia="Times New Roman" w:hAnsi="Times New Roman" w:cs="Times New Roman"/>
          <w:sz w:val="20"/>
          <w:szCs w:val="20"/>
          <w:lang w:eastAsia="en-GB"/>
        </w:rPr>
        <w:t>, the</w:t>
      </w:r>
      <w:r w:rsidR="004C5D98">
        <w:rPr>
          <w:rFonts w:ascii="Times New Roman" w:eastAsia="Times New Roman" w:hAnsi="Times New Roman" w:cs="Times New Roman"/>
          <w:sz w:val="20"/>
          <w:szCs w:val="20"/>
          <w:lang w:eastAsia="en-GB"/>
        </w:rPr>
        <w:t xml:space="preserve"> initiat</w:t>
      </w:r>
      <w:r w:rsidR="002E6A10">
        <w:rPr>
          <w:rFonts w:ascii="Times New Roman" w:eastAsia="Times New Roman" w:hAnsi="Times New Roman" w:cs="Times New Roman"/>
          <w:sz w:val="20"/>
          <w:szCs w:val="20"/>
          <w:lang w:eastAsia="en-GB"/>
        </w:rPr>
        <w:t>ing organization</w:t>
      </w:r>
      <w:r w:rsidR="0002323E">
        <w:rPr>
          <w:rFonts w:ascii="Times New Roman" w:eastAsia="Times New Roman" w:hAnsi="Times New Roman" w:cs="Times New Roman"/>
          <w:sz w:val="20"/>
          <w:szCs w:val="20"/>
          <w:lang w:eastAsia="en-GB"/>
        </w:rPr>
        <w:t xml:space="preserve"> can </w:t>
      </w:r>
      <w:r w:rsidR="00534198">
        <w:rPr>
          <w:rFonts w:ascii="Times New Roman" w:eastAsia="Times New Roman" w:hAnsi="Times New Roman" w:cs="Times New Roman"/>
          <w:sz w:val="20"/>
          <w:szCs w:val="20"/>
          <w:lang w:eastAsia="en-GB"/>
        </w:rPr>
        <w:t xml:space="preserve">adapt the current document to the national context and </w:t>
      </w:r>
      <w:r w:rsidR="0002323E">
        <w:rPr>
          <w:rFonts w:ascii="Times New Roman" w:eastAsia="Times New Roman" w:hAnsi="Times New Roman" w:cs="Times New Roman"/>
          <w:sz w:val="20"/>
          <w:szCs w:val="20"/>
          <w:lang w:eastAsia="en-GB"/>
        </w:rPr>
        <w:t xml:space="preserve">establish </w:t>
      </w:r>
      <w:r w:rsidR="0002323E" w:rsidRPr="00E95CC7">
        <w:rPr>
          <w:rFonts w:ascii="Times New Roman" w:eastAsia="Times New Roman" w:hAnsi="Times New Roman" w:cs="Times New Roman"/>
          <w:sz w:val="20"/>
          <w:szCs w:val="20"/>
          <w:lang w:eastAsia="en-GB"/>
        </w:rPr>
        <w:t xml:space="preserve">a multi-stakeholder </w:t>
      </w:r>
      <w:r w:rsidR="004C7DD1">
        <w:rPr>
          <w:rFonts w:ascii="Times New Roman" w:eastAsia="Times New Roman" w:hAnsi="Times New Roman" w:cs="Times New Roman"/>
          <w:sz w:val="20"/>
          <w:szCs w:val="20"/>
          <w:lang w:eastAsia="en-GB"/>
        </w:rPr>
        <w:t xml:space="preserve">steering </w:t>
      </w:r>
      <w:r w:rsidR="00605775">
        <w:rPr>
          <w:rFonts w:ascii="Times New Roman" w:eastAsia="Times New Roman" w:hAnsi="Times New Roman" w:cs="Times New Roman"/>
          <w:sz w:val="20"/>
          <w:szCs w:val="20"/>
          <w:lang w:eastAsia="en-GB"/>
        </w:rPr>
        <w:t>committee</w:t>
      </w:r>
      <w:r w:rsidR="0002323E" w:rsidRPr="00E95CC7">
        <w:rPr>
          <w:rFonts w:ascii="Times New Roman" w:eastAsia="Times New Roman" w:hAnsi="Times New Roman" w:cs="Times New Roman"/>
          <w:sz w:val="20"/>
          <w:szCs w:val="20"/>
          <w:lang w:eastAsia="en-GB"/>
        </w:rPr>
        <w:t xml:space="preserve"> with the involvement of relevant public authorities, non-governmental organizations, Aarhus Centres, academia, and other stakeholders</w:t>
      </w:r>
      <w:r w:rsidR="00CF3796">
        <w:rPr>
          <w:rFonts w:ascii="Times New Roman" w:eastAsia="Times New Roman" w:hAnsi="Times New Roman" w:cs="Times New Roman"/>
          <w:sz w:val="20"/>
          <w:szCs w:val="20"/>
          <w:lang w:eastAsia="en-GB"/>
        </w:rPr>
        <w:t>.</w:t>
      </w:r>
    </w:p>
    <w:p w14:paraId="0A4790BE" w14:textId="68959E3C" w:rsidR="00C7707B" w:rsidRPr="00E95CC7" w:rsidRDefault="00EC193F" w:rsidP="00B315F4">
      <w:pPr>
        <w:spacing w:after="12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r w:rsidR="00C7707B">
        <w:rPr>
          <w:rFonts w:ascii="Times New Roman" w:eastAsia="Times New Roman" w:hAnsi="Times New Roman" w:cs="Times New Roman"/>
          <w:sz w:val="20"/>
          <w:szCs w:val="20"/>
          <w:lang w:eastAsia="en-GB"/>
        </w:rPr>
        <w:t>.</w:t>
      </w:r>
      <w:r w:rsidR="00C7707B">
        <w:rPr>
          <w:rFonts w:ascii="Times New Roman" w:eastAsia="Times New Roman" w:hAnsi="Times New Roman" w:cs="Times New Roman"/>
          <w:sz w:val="20"/>
          <w:szCs w:val="20"/>
          <w:lang w:eastAsia="en-GB"/>
        </w:rPr>
        <w:tab/>
        <w:t xml:space="preserve">The outcomes of the analysis can be </w:t>
      </w:r>
      <w:r w:rsidR="00615D2E">
        <w:rPr>
          <w:rFonts w:ascii="Times New Roman" w:eastAsia="Times New Roman" w:hAnsi="Times New Roman" w:cs="Times New Roman"/>
          <w:sz w:val="20"/>
          <w:szCs w:val="20"/>
          <w:lang w:eastAsia="en-GB"/>
        </w:rPr>
        <w:t>used as neede</w:t>
      </w:r>
      <w:r w:rsidR="00E330A1">
        <w:rPr>
          <w:rFonts w:ascii="Times New Roman" w:eastAsia="Times New Roman" w:hAnsi="Times New Roman" w:cs="Times New Roman"/>
          <w:sz w:val="20"/>
          <w:szCs w:val="20"/>
          <w:lang w:eastAsia="en-GB"/>
        </w:rPr>
        <w:t>d</w:t>
      </w:r>
      <w:r w:rsidR="00615D2E">
        <w:rPr>
          <w:rFonts w:ascii="Times New Roman" w:eastAsia="Times New Roman" w:hAnsi="Times New Roman" w:cs="Times New Roman"/>
          <w:sz w:val="20"/>
          <w:szCs w:val="20"/>
          <w:lang w:eastAsia="en-GB"/>
        </w:rPr>
        <w:t xml:space="preserve"> by the </w:t>
      </w:r>
      <w:r w:rsidR="00A237B7">
        <w:rPr>
          <w:rFonts w:ascii="Times New Roman" w:eastAsia="Times New Roman" w:hAnsi="Times New Roman" w:cs="Times New Roman"/>
          <w:sz w:val="20"/>
          <w:szCs w:val="20"/>
          <w:lang w:eastAsia="en-GB"/>
        </w:rPr>
        <w:t>A</w:t>
      </w:r>
      <w:r w:rsidR="00615D2E">
        <w:rPr>
          <w:rFonts w:ascii="Times New Roman" w:eastAsia="Times New Roman" w:hAnsi="Times New Roman" w:cs="Times New Roman"/>
          <w:sz w:val="20"/>
          <w:szCs w:val="20"/>
          <w:lang w:eastAsia="en-GB"/>
        </w:rPr>
        <w:t xml:space="preserve">arhus Convention </w:t>
      </w:r>
      <w:r w:rsidR="00A237B7">
        <w:rPr>
          <w:rFonts w:ascii="Times New Roman" w:eastAsia="Times New Roman" w:hAnsi="Times New Roman" w:cs="Times New Roman"/>
          <w:sz w:val="20"/>
          <w:szCs w:val="20"/>
          <w:lang w:eastAsia="en-GB"/>
        </w:rPr>
        <w:t>T</w:t>
      </w:r>
      <w:r w:rsidR="00615D2E">
        <w:rPr>
          <w:rFonts w:ascii="Times New Roman" w:eastAsia="Times New Roman" w:hAnsi="Times New Roman" w:cs="Times New Roman"/>
          <w:sz w:val="20"/>
          <w:szCs w:val="20"/>
          <w:lang w:eastAsia="en-GB"/>
        </w:rPr>
        <w:t>ask Force on Public Participation in Decision-making</w:t>
      </w:r>
      <w:r w:rsidR="00F34738">
        <w:rPr>
          <w:rFonts w:ascii="Times New Roman" w:eastAsia="Times New Roman" w:hAnsi="Times New Roman" w:cs="Times New Roman"/>
          <w:sz w:val="20"/>
          <w:szCs w:val="20"/>
          <w:lang w:eastAsia="en-GB"/>
        </w:rPr>
        <w:t xml:space="preserve">, relevant partner organisations </w:t>
      </w:r>
      <w:r w:rsidR="00445F5C">
        <w:rPr>
          <w:rFonts w:ascii="Times New Roman" w:eastAsia="Times New Roman" w:hAnsi="Times New Roman" w:cs="Times New Roman"/>
          <w:sz w:val="20"/>
          <w:szCs w:val="20"/>
          <w:lang w:eastAsia="en-GB"/>
        </w:rPr>
        <w:t xml:space="preserve">and </w:t>
      </w:r>
      <w:r w:rsidR="00153F73">
        <w:rPr>
          <w:rFonts w:ascii="Times New Roman" w:eastAsia="Times New Roman" w:hAnsi="Times New Roman" w:cs="Times New Roman"/>
          <w:sz w:val="20"/>
          <w:szCs w:val="20"/>
          <w:lang w:eastAsia="en-GB"/>
        </w:rPr>
        <w:t xml:space="preserve">other </w:t>
      </w:r>
      <w:r w:rsidR="00445F5C">
        <w:rPr>
          <w:rFonts w:ascii="Times New Roman" w:eastAsia="Times New Roman" w:hAnsi="Times New Roman" w:cs="Times New Roman"/>
          <w:sz w:val="20"/>
          <w:szCs w:val="20"/>
          <w:lang w:eastAsia="en-GB"/>
        </w:rPr>
        <w:t xml:space="preserve">stakeholders. </w:t>
      </w:r>
      <w:r w:rsidR="006B448D">
        <w:rPr>
          <w:rFonts w:ascii="Times New Roman" w:eastAsia="Times New Roman" w:hAnsi="Times New Roman" w:cs="Times New Roman"/>
          <w:sz w:val="20"/>
          <w:szCs w:val="20"/>
          <w:lang w:eastAsia="en-GB"/>
        </w:rPr>
        <w:t xml:space="preserve">Furthermore, </w:t>
      </w:r>
      <w:r w:rsidR="0034527B">
        <w:rPr>
          <w:rFonts w:ascii="Times New Roman" w:eastAsia="Times New Roman" w:hAnsi="Times New Roman" w:cs="Times New Roman"/>
          <w:sz w:val="20"/>
          <w:szCs w:val="20"/>
          <w:lang w:eastAsia="en-GB"/>
        </w:rPr>
        <w:t xml:space="preserve">outcomes of the analysis can </w:t>
      </w:r>
      <w:r w:rsidR="00632F10">
        <w:rPr>
          <w:rFonts w:ascii="Times New Roman" w:eastAsia="Times New Roman" w:hAnsi="Times New Roman" w:cs="Times New Roman"/>
          <w:sz w:val="20"/>
          <w:szCs w:val="20"/>
          <w:lang w:eastAsia="en-GB"/>
        </w:rPr>
        <w:t xml:space="preserve">be </w:t>
      </w:r>
      <w:r w:rsidR="00C7707B">
        <w:rPr>
          <w:rFonts w:ascii="Times New Roman" w:eastAsia="Times New Roman" w:hAnsi="Times New Roman" w:cs="Times New Roman"/>
          <w:sz w:val="20"/>
          <w:szCs w:val="20"/>
          <w:lang w:eastAsia="en-GB"/>
        </w:rPr>
        <w:t xml:space="preserve">referenced </w:t>
      </w:r>
      <w:r w:rsidR="00A0778D">
        <w:rPr>
          <w:rFonts w:ascii="Times New Roman" w:eastAsia="Times New Roman" w:hAnsi="Times New Roman" w:cs="Times New Roman"/>
          <w:sz w:val="20"/>
          <w:szCs w:val="20"/>
          <w:lang w:eastAsia="en-GB"/>
        </w:rPr>
        <w:t xml:space="preserve">by </w:t>
      </w:r>
      <w:r w:rsidR="00E330A1">
        <w:rPr>
          <w:rFonts w:ascii="Times New Roman" w:eastAsia="Times New Roman" w:hAnsi="Times New Roman" w:cs="Times New Roman"/>
          <w:sz w:val="20"/>
          <w:szCs w:val="20"/>
          <w:lang w:eastAsia="en-GB"/>
        </w:rPr>
        <w:t xml:space="preserve">Parties </w:t>
      </w:r>
      <w:r w:rsidR="00C7707B">
        <w:rPr>
          <w:rFonts w:ascii="Times New Roman" w:eastAsia="Times New Roman" w:hAnsi="Times New Roman" w:cs="Times New Roman"/>
          <w:sz w:val="20"/>
          <w:szCs w:val="20"/>
          <w:lang w:eastAsia="en-GB"/>
        </w:rPr>
        <w:t xml:space="preserve">in </w:t>
      </w:r>
      <w:r w:rsidR="00E330A1">
        <w:rPr>
          <w:rFonts w:ascii="Times New Roman" w:eastAsia="Times New Roman" w:hAnsi="Times New Roman" w:cs="Times New Roman"/>
          <w:sz w:val="20"/>
          <w:szCs w:val="20"/>
          <w:lang w:eastAsia="en-GB"/>
        </w:rPr>
        <w:t xml:space="preserve">their </w:t>
      </w:r>
      <w:r w:rsidR="00C7707B">
        <w:rPr>
          <w:rFonts w:ascii="Times New Roman" w:eastAsia="Times New Roman" w:hAnsi="Times New Roman" w:cs="Times New Roman"/>
          <w:sz w:val="20"/>
          <w:szCs w:val="20"/>
          <w:lang w:eastAsia="en-GB"/>
        </w:rPr>
        <w:t>national imple</w:t>
      </w:r>
      <w:r w:rsidR="0056521F">
        <w:rPr>
          <w:rFonts w:ascii="Times New Roman" w:eastAsia="Times New Roman" w:hAnsi="Times New Roman" w:cs="Times New Roman"/>
          <w:sz w:val="20"/>
          <w:szCs w:val="20"/>
          <w:lang w:eastAsia="en-GB"/>
        </w:rPr>
        <w:t>mentation reports (</w:t>
      </w:r>
      <w:r w:rsidR="00504D7C">
        <w:rPr>
          <w:rFonts w:ascii="Times New Roman" w:eastAsia="Times New Roman" w:hAnsi="Times New Roman" w:cs="Times New Roman"/>
          <w:sz w:val="20"/>
          <w:szCs w:val="20"/>
          <w:lang w:eastAsia="en-GB"/>
        </w:rPr>
        <w:t xml:space="preserve">for example, </w:t>
      </w:r>
      <w:r w:rsidR="0056521F">
        <w:rPr>
          <w:rFonts w:ascii="Times New Roman" w:eastAsia="Times New Roman" w:hAnsi="Times New Roman" w:cs="Times New Roman"/>
          <w:sz w:val="20"/>
          <w:szCs w:val="20"/>
          <w:lang w:eastAsia="en-GB"/>
        </w:rPr>
        <w:t xml:space="preserve">question </w:t>
      </w:r>
      <w:r w:rsidR="00215419">
        <w:rPr>
          <w:rFonts w:ascii="Times New Roman" w:eastAsia="Times New Roman" w:hAnsi="Times New Roman" w:cs="Times New Roman"/>
          <w:sz w:val="20"/>
          <w:szCs w:val="20"/>
          <w:lang w:eastAsia="en-GB"/>
        </w:rPr>
        <w:t>XXX</w:t>
      </w:r>
      <w:r w:rsidR="0056521F">
        <w:rPr>
          <w:rFonts w:ascii="Times New Roman" w:eastAsia="Times New Roman" w:hAnsi="Times New Roman" w:cs="Times New Roman"/>
          <w:sz w:val="20"/>
          <w:szCs w:val="20"/>
          <w:lang w:eastAsia="en-GB"/>
        </w:rPr>
        <w:t>)</w:t>
      </w:r>
      <w:r w:rsidR="00504D7C">
        <w:rPr>
          <w:rFonts w:ascii="Times New Roman" w:eastAsia="Times New Roman" w:hAnsi="Times New Roman" w:cs="Times New Roman"/>
          <w:sz w:val="20"/>
          <w:szCs w:val="20"/>
          <w:lang w:eastAsia="en-GB"/>
        </w:rPr>
        <w:t>.</w:t>
      </w:r>
      <w:r w:rsidR="00D546C3">
        <w:rPr>
          <w:rFonts w:ascii="Times New Roman" w:eastAsia="Times New Roman" w:hAnsi="Times New Roman" w:cs="Times New Roman"/>
          <w:sz w:val="20"/>
          <w:szCs w:val="20"/>
          <w:lang w:eastAsia="en-GB"/>
        </w:rPr>
        <w:t xml:space="preserve"> </w:t>
      </w:r>
    </w:p>
    <w:p w14:paraId="228D3D06" w14:textId="77777777" w:rsidR="00E95CC7" w:rsidRPr="00E95CC7" w:rsidRDefault="00E95CC7" w:rsidP="00E95CC7">
      <w:pPr>
        <w:spacing w:before="100" w:beforeAutospacing="1" w:after="100" w:afterAutospacing="1" w:line="240" w:lineRule="auto"/>
        <w:jc w:val="both"/>
        <w:outlineLvl w:val="1"/>
        <w:rPr>
          <w:rFonts w:asciiTheme="majorBidi" w:eastAsia="Times New Roman" w:hAnsiTheme="majorBidi" w:cstheme="majorBidi"/>
          <w:b/>
          <w:bCs/>
        </w:rPr>
      </w:pPr>
      <w:r w:rsidRPr="00E95CC7">
        <w:rPr>
          <w:rFonts w:asciiTheme="majorBidi" w:eastAsia="Times New Roman" w:hAnsiTheme="majorBidi" w:cstheme="majorBidi"/>
          <w:b/>
          <w:bCs/>
          <w:lang w:val="en-US"/>
        </w:rPr>
        <w:t xml:space="preserve">II. </w:t>
      </w:r>
      <w:r w:rsidRPr="00E95CC7">
        <w:rPr>
          <w:rFonts w:asciiTheme="majorBidi" w:eastAsia="Times New Roman" w:hAnsiTheme="majorBidi" w:cstheme="majorBidi"/>
          <w:b/>
          <w:bCs/>
        </w:rPr>
        <w:t xml:space="preserve">Scope of the analysis </w:t>
      </w:r>
    </w:p>
    <w:p w14:paraId="1F6ADD55" w14:textId="14B27D9D" w:rsidR="00E95CC7" w:rsidRPr="00E95CC7" w:rsidRDefault="00E95CC7" w:rsidP="00E95CC7">
      <w:pPr>
        <w:suppressAutoHyphens/>
        <w:spacing w:after="120" w:line="240" w:lineRule="atLeast"/>
        <w:ind w:right="-46"/>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8.</w:t>
      </w:r>
      <w:r w:rsidRPr="00E95CC7">
        <w:rPr>
          <w:rFonts w:ascii="Times New Roman" w:eastAsia="Times New Roman" w:hAnsi="Times New Roman" w:cs="Times New Roman"/>
          <w:sz w:val="20"/>
          <w:szCs w:val="20"/>
          <w:lang w:eastAsia="en-GB"/>
        </w:rPr>
        <w:tab/>
        <w:t>The scope of the analysis will depend on the national context</w:t>
      </w:r>
      <w:r w:rsidR="00A60DD1">
        <w:rPr>
          <w:rFonts w:ascii="Times New Roman" w:eastAsia="Times New Roman" w:hAnsi="Times New Roman" w:cs="Times New Roman"/>
          <w:sz w:val="20"/>
          <w:szCs w:val="20"/>
          <w:lang w:eastAsia="en-GB"/>
        </w:rPr>
        <w:t>, including</w:t>
      </w:r>
      <w:r w:rsidRPr="00E95CC7">
        <w:rPr>
          <w:rFonts w:ascii="Times New Roman" w:eastAsia="Times New Roman" w:hAnsi="Times New Roman" w:cs="Times New Roman"/>
          <w:sz w:val="20"/>
          <w:szCs w:val="20"/>
          <w:lang w:eastAsia="en-GB"/>
        </w:rPr>
        <w:t xml:space="preserve"> </w:t>
      </w:r>
      <w:r w:rsidR="001A7DC8">
        <w:rPr>
          <w:rFonts w:ascii="Times New Roman" w:eastAsia="Times New Roman" w:hAnsi="Times New Roman" w:cs="Times New Roman"/>
          <w:sz w:val="20"/>
          <w:szCs w:val="20"/>
          <w:lang w:eastAsia="en-GB"/>
        </w:rPr>
        <w:t xml:space="preserve">an </w:t>
      </w:r>
      <w:r w:rsidRPr="00E95CC7">
        <w:rPr>
          <w:rFonts w:ascii="Times New Roman" w:eastAsia="Times New Roman" w:hAnsi="Times New Roman" w:cs="Times New Roman"/>
          <w:sz w:val="20"/>
          <w:szCs w:val="20"/>
          <w:lang w:eastAsia="en-GB"/>
        </w:rPr>
        <w:t>energy-related regulatory framework</w:t>
      </w:r>
      <w:r w:rsidR="00A12CAA">
        <w:rPr>
          <w:rFonts w:ascii="Times New Roman" w:eastAsia="Times New Roman" w:hAnsi="Times New Roman" w:cs="Times New Roman"/>
          <w:sz w:val="20"/>
          <w:szCs w:val="20"/>
          <w:lang w:eastAsia="en-GB"/>
        </w:rPr>
        <w:t>.</w:t>
      </w:r>
      <w:r w:rsidRPr="00E95CC7">
        <w:rPr>
          <w:rFonts w:ascii="Times New Roman" w:eastAsia="Times New Roman" w:hAnsi="Times New Roman" w:cs="Times New Roman"/>
          <w:sz w:val="20"/>
          <w:szCs w:val="20"/>
          <w:lang w:eastAsia="en-GB"/>
        </w:rPr>
        <w:t xml:space="preserve"> </w:t>
      </w:r>
      <w:r w:rsidR="001A7DC8">
        <w:rPr>
          <w:rFonts w:ascii="Times New Roman" w:eastAsia="Times New Roman" w:hAnsi="Times New Roman" w:cs="Times New Roman"/>
          <w:sz w:val="20"/>
          <w:szCs w:val="20"/>
          <w:lang w:eastAsia="en-GB"/>
        </w:rPr>
        <w:t>The scope</w:t>
      </w:r>
      <w:r w:rsidRPr="00E95CC7">
        <w:rPr>
          <w:rFonts w:ascii="Times New Roman" w:eastAsia="Times New Roman" w:hAnsi="Times New Roman" w:cs="Times New Roman"/>
          <w:sz w:val="20"/>
          <w:szCs w:val="20"/>
          <w:lang w:eastAsia="en-GB"/>
        </w:rPr>
        <w:t xml:space="preserve"> should be clearly defined to ensure the necessary collection of information and data.</w:t>
      </w:r>
    </w:p>
    <w:p w14:paraId="61B9CAA9" w14:textId="1E89BA71" w:rsidR="00E95CC7" w:rsidRPr="00E95CC7" w:rsidRDefault="00E95CC7" w:rsidP="00E95CC7">
      <w:pPr>
        <w:spacing w:after="120" w:line="240" w:lineRule="auto"/>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9.</w:t>
      </w:r>
      <w:r w:rsidRPr="00E95CC7">
        <w:rPr>
          <w:rFonts w:ascii="Times New Roman" w:eastAsia="Times New Roman" w:hAnsi="Times New Roman" w:cs="Times New Roman"/>
          <w:sz w:val="20"/>
          <w:szCs w:val="20"/>
          <w:lang w:eastAsia="en-GB"/>
        </w:rPr>
        <w:tab/>
        <w:t xml:space="preserve">The analysis </w:t>
      </w:r>
      <w:r w:rsidR="00B34DF9">
        <w:rPr>
          <w:rFonts w:ascii="Times New Roman" w:eastAsia="Times New Roman" w:hAnsi="Times New Roman" w:cs="Times New Roman"/>
          <w:sz w:val="20"/>
          <w:szCs w:val="20"/>
          <w:lang w:eastAsia="en-GB"/>
        </w:rPr>
        <w:t>sh</w:t>
      </w:r>
      <w:r w:rsidRPr="00E95CC7">
        <w:rPr>
          <w:rFonts w:ascii="Times New Roman" w:eastAsia="Times New Roman" w:hAnsi="Times New Roman" w:cs="Times New Roman"/>
          <w:sz w:val="20"/>
          <w:szCs w:val="20"/>
          <w:lang w:eastAsia="en-GB"/>
        </w:rPr>
        <w:t>ould cover cases brought by the members of the public challenging decisions, acts and omissions:</w:t>
      </w:r>
    </w:p>
    <w:p w14:paraId="2FA0ABDC" w14:textId="6BAAA3FC" w:rsidR="00E95CC7" w:rsidRPr="00E95CC7" w:rsidRDefault="00E95CC7" w:rsidP="00E95CC7">
      <w:pPr>
        <w:spacing w:after="120" w:line="240" w:lineRule="auto"/>
        <w:ind w:firstLine="709"/>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 xml:space="preserve">(a) subject to the provisions of article 6 and, where so provided for under national law and without prejudice to article </w:t>
      </w:r>
      <w:proofErr w:type="gramStart"/>
      <w:r w:rsidRPr="00E95CC7">
        <w:rPr>
          <w:rFonts w:ascii="Times New Roman" w:eastAsia="Times New Roman" w:hAnsi="Times New Roman" w:cs="Times New Roman"/>
          <w:sz w:val="20"/>
          <w:szCs w:val="20"/>
          <w:lang w:eastAsia="en-GB"/>
        </w:rPr>
        <w:t>9 (3),</w:t>
      </w:r>
      <w:proofErr w:type="gramEnd"/>
      <w:r w:rsidRPr="00E95CC7">
        <w:rPr>
          <w:rFonts w:ascii="Times New Roman" w:eastAsia="Times New Roman" w:hAnsi="Times New Roman" w:cs="Times New Roman"/>
          <w:sz w:val="20"/>
          <w:szCs w:val="20"/>
          <w:lang w:eastAsia="en-GB"/>
        </w:rPr>
        <w:t xml:space="preserve"> of other relevant provisions of this Convention (article 9 (2) of the Convention)</w:t>
      </w:r>
      <w:r w:rsidR="007149D6">
        <w:rPr>
          <w:rFonts w:ascii="Times New Roman" w:eastAsia="Times New Roman" w:hAnsi="Times New Roman" w:cs="Times New Roman"/>
          <w:sz w:val="20"/>
          <w:szCs w:val="20"/>
          <w:lang w:eastAsia="en-GB"/>
        </w:rPr>
        <w:t>;</w:t>
      </w:r>
    </w:p>
    <w:p w14:paraId="41EDD111" w14:textId="272282A8" w:rsidR="00E95CC7" w:rsidRPr="00E95CC7" w:rsidRDefault="00E95CC7" w:rsidP="00E95CC7">
      <w:pPr>
        <w:spacing w:after="120" w:line="240" w:lineRule="auto"/>
        <w:ind w:firstLine="709"/>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 xml:space="preserve">(b) which </w:t>
      </w:r>
      <w:r w:rsidR="0099671C" w:rsidRPr="00E95CC7">
        <w:rPr>
          <w:rFonts w:ascii="Times New Roman" w:eastAsia="Times New Roman" w:hAnsi="Times New Roman" w:cs="Times New Roman"/>
          <w:sz w:val="20"/>
          <w:szCs w:val="20"/>
          <w:lang w:eastAsia="en-GB"/>
        </w:rPr>
        <w:t>contr</w:t>
      </w:r>
      <w:r w:rsidR="0099671C">
        <w:rPr>
          <w:rFonts w:ascii="Times New Roman" w:eastAsia="Times New Roman" w:hAnsi="Times New Roman" w:cs="Times New Roman"/>
          <w:sz w:val="20"/>
          <w:szCs w:val="20"/>
          <w:lang w:eastAsia="en-GB"/>
        </w:rPr>
        <w:t>av</w:t>
      </w:r>
      <w:r w:rsidR="0099671C" w:rsidRPr="00E95CC7">
        <w:rPr>
          <w:rFonts w:ascii="Times New Roman" w:eastAsia="Times New Roman" w:hAnsi="Times New Roman" w:cs="Times New Roman"/>
          <w:sz w:val="20"/>
          <w:szCs w:val="20"/>
          <w:lang w:eastAsia="en-GB"/>
        </w:rPr>
        <w:t>e</w:t>
      </w:r>
      <w:r w:rsidR="0099671C">
        <w:rPr>
          <w:rFonts w:ascii="Times New Roman" w:eastAsia="Times New Roman" w:hAnsi="Times New Roman" w:cs="Times New Roman"/>
          <w:sz w:val="20"/>
          <w:szCs w:val="20"/>
          <w:lang w:eastAsia="en-GB"/>
        </w:rPr>
        <w:t>n</w:t>
      </w:r>
      <w:r w:rsidR="0099671C" w:rsidRPr="00E95CC7">
        <w:rPr>
          <w:rFonts w:ascii="Times New Roman" w:eastAsia="Times New Roman" w:hAnsi="Times New Roman" w:cs="Times New Roman"/>
          <w:sz w:val="20"/>
          <w:szCs w:val="20"/>
          <w:lang w:eastAsia="en-GB"/>
        </w:rPr>
        <w:t>e</w:t>
      </w:r>
      <w:r w:rsidRPr="00E95CC7">
        <w:rPr>
          <w:rFonts w:ascii="Times New Roman" w:eastAsia="Times New Roman" w:hAnsi="Times New Roman" w:cs="Times New Roman"/>
          <w:sz w:val="20"/>
          <w:szCs w:val="20"/>
          <w:lang w:eastAsia="en-GB"/>
        </w:rPr>
        <w:t xml:space="preserve"> provisions of national law relating to the environment (article 9 (3) of the Convention).</w:t>
      </w:r>
    </w:p>
    <w:p w14:paraId="5B7A5137" w14:textId="77777777" w:rsidR="00E95CC7" w:rsidRPr="00E95CC7" w:rsidRDefault="00E95CC7" w:rsidP="00E95CC7">
      <w:pPr>
        <w:spacing w:after="120" w:line="240" w:lineRule="auto"/>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10.</w:t>
      </w:r>
      <w:r w:rsidRPr="00E95CC7">
        <w:rPr>
          <w:rFonts w:ascii="Times New Roman" w:eastAsia="Times New Roman" w:hAnsi="Times New Roman" w:cs="Times New Roman"/>
          <w:sz w:val="20"/>
          <w:szCs w:val="20"/>
          <w:lang w:eastAsia="en-GB"/>
        </w:rPr>
        <w:tab/>
        <w:t>The scope of the analysis should identify:</w:t>
      </w:r>
    </w:p>
    <w:p w14:paraId="7E8A953A"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 xml:space="preserve">(a) Types of </w:t>
      </w:r>
      <w:proofErr w:type="gramStart"/>
      <w:r w:rsidRPr="00E95CC7">
        <w:rPr>
          <w:rFonts w:ascii="Times New Roman" w:eastAsia="Times New Roman" w:hAnsi="Times New Roman" w:cs="Times New Roman"/>
          <w:sz w:val="20"/>
          <w:szCs w:val="20"/>
          <w:lang w:eastAsia="en-GB"/>
        </w:rPr>
        <w:t>cases;</w:t>
      </w:r>
      <w:proofErr w:type="gramEnd"/>
    </w:p>
    <w:p w14:paraId="258BC1A4"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 xml:space="preserve">(b) Types of activities in energy </w:t>
      </w:r>
      <w:proofErr w:type="gramStart"/>
      <w:r w:rsidRPr="00E95CC7">
        <w:rPr>
          <w:rFonts w:ascii="Times New Roman" w:eastAsia="Times New Roman" w:hAnsi="Times New Roman" w:cs="Times New Roman"/>
          <w:sz w:val="20"/>
          <w:szCs w:val="20"/>
          <w:lang w:eastAsia="en-GB"/>
        </w:rPr>
        <w:t>sector;</w:t>
      </w:r>
      <w:proofErr w:type="gramEnd"/>
      <w:r w:rsidRPr="00E95CC7">
        <w:rPr>
          <w:rFonts w:ascii="Times New Roman" w:eastAsia="Times New Roman" w:hAnsi="Times New Roman" w:cs="Times New Roman"/>
          <w:sz w:val="20"/>
          <w:szCs w:val="20"/>
          <w:lang w:eastAsia="en-GB"/>
        </w:rPr>
        <w:t xml:space="preserve"> </w:t>
      </w:r>
    </w:p>
    <w:p w14:paraId="7D9075E2"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 xml:space="preserve">(c) Types of decisions, acts or </w:t>
      </w:r>
      <w:proofErr w:type="gramStart"/>
      <w:r w:rsidRPr="00E95CC7">
        <w:rPr>
          <w:rFonts w:ascii="Times New Roman" w:eastAsia="Times New Roman" w:hAnsi="Times New Roman" w:cs="Times New Roman"/>
          <w:sz w:val="20"/>
          <w:szCs w:val="20"/>
          <w:lang w:eastAsia="en-GB"/>
        </w:rPr>
        <w:t>omissions;</w:t>
      </w:r>
      <w:proofErr w:type="gramEnd"/>
    </w:p>
    <w:p w14:paraId="2A075FFB" w14:textId="1E9ECD90" w:rsidR="00E95CC7" w:rsidRPr="00E95CC7" w:rsidRDefault="00E95CC7" w:rsidP="00E95CC7">
      <w:pPr>
        <w:spacing w:after="120" w:line="240" w:lineRule="auto"/>
        <w:ind w:firstLine="709"/>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 xml:space="preserve">(d) Provisions of </w:t>
      </w:r>
      <w:r w:rsidR="00227CA6">
        <w:rPr>
          <w:rFonts w:ascii="Times New Roman" w:eastAsia="Times New Roman" w:hAnsi="Times New Roman" w:cs="Times New Roman"/>
          <w:sz w:val="20"/>
          <w:szCs w:val="20"/>
          <w:lang w:eastAsia="en-GB"/>
        </w:rPr>
        <w:t xml:space="preserve">relevant </w:t>
      </w:r>
      <w:r w:rsidRPr="00E95CC7">
        <w:rPr>
          <w:rFonts w:ascii="Times New Roman" w:eastAsia="Times New Roman" w:hAnsi="Times New Roman" w:cs="Times New Roman"/>
          <w:sz w:val="20"/>
          <w:szCs w:val="20"/>
          <w:lang w:eastAsia="en-GB"/>
        </w:rPr>
        <w:t xml:space="preserve">national </w:t>
      </w:r>
      <w:proofErr w:type="gramStart"/>
      <w:r w:rsidRPr="00E95CC7">
        <w:rPr>
          <w:rFonts w:ascii="Times New Roman" w:eastAsia="Times New Roman" w:hAnsi="Times New Roman" w:cs="Times New Roman"/>
          <w:sz w:val="20"/>
          <w:szCs w:val="20"/>
          <w:lang w:eastAsia="en-GB"/>
        </w:rPr>
        <w:t>law;</w:t>
      </w:r>
      <w:proofErr w:type="gramEnd"/>
    </w:p>
    <w:p w14:paraId="77F9E3D7"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(e) Appropriate time period.</w:t>
      </w:r>
    </w:p>
    <w:p w14:paraId="48A6B022" w14:textId="77777777" w:rsidR="00E95CC7" w:rsidRPr="00E95CC7" w:rsidRDefault="00E95CC7" w:rsidP="00E95CC7">
      <w:pPr>
        <w:spacing w:before="240" w:after="240" w:line="240" w:lineRule="auto"/>
        <w:jc w:val="both"/>
        <w:rPr>
          <w:rFonts w:ascii="Times New Roman" w:eastAsia="Times New Roman" w:hAnsi="Times New Roman" w:cs="Times New Roman"/>
          <w:i/>
          <w:iCs/>
          <w:sz w:val="20"/>
          <w:szCs w:val="20"/>
        </w:rPr>
      </w:pPr>
      <w:r w:rsidRPr="00E95CC7">
        <w:rPr>
          <w:rFonts w:ascii="Times New Roman" w:eastAsia="Times New Roman" w:hAnsi="Times New Roman" w:cs="Times New Roman"/>
          <w:i/>
          <w:iCs/>
          <w:sz w:val="20"/>
          <w:szCs w:val="20"/>
        </w:rPr>
        <w:t>Types of cases</w:t>
      </w:r>
    </w:p>
    <w:p w14:paraId="3DBFDA19" w14:textId="31F54E51" w:rsidR="00E95CC7" w:rsidRPr="00E95CC7" w:rsidRDefault="00E95CC7" w:rsidP="00E95CC7">
      <w:pPr>
        <w:spacing w:after="120" w:line="240" w:lineRule="auto"/>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11.</w:t>
      </w:r>
      <w:r w:rsidRPr="00E95CC7">
        <w:rPr>
          <w:rFonts w:ascii="Times New Roman" w:eastAsia="Times New Roman" w:hAnsi="Times New Roman" w:cs="Times New Roman"/>
          <w:sz w:val="20"/>
          <w:szCs w:val="20"/>
          <w:lang w:eastAsia="en-GB"/>
        </w:rPr>
        <w:tab/>
        <w:t>The analysis can cover various types of cases related to dispute settlement before administrative and judicial review, complaints mechanisms of international financial institutions or alternative dispute resolution methods (</w:t>
      </w:r>
      <w:proofErr w:type="gramStart"/>
      <w:r w:rsidRPr="00E95CC7">
        <w:rPr>
          <w:rFonts w:ascii="Times New Roman" w:eastAsia="Times New Roman" w:hAnsi="Times New Roman" w:cs="Times New Roman"/>
          <w:sz w:val="20"/>
          <w:szCs w:val="20"/>
          <w:lang w:eastAsia="en-GB"/>
        </w:rPr>
        <w:t>e.g.</w:t>
      </w:r>
      <w:proofErr w:type="gramEnd"/>
      <w:r w:rsidRPr="00E95CC7">
        <w:rPr>
          <w:rFonts w:ascii="Times New Roman" w:eastAsia="Times New Roman" w:hAnsi="Times New Roman" w:cs="Times New Roman"/>
          <w:sz w:val="20"/>
          <w:szCs w:val="20"/>
          <w:lang w:eastAsia="en-GB"/>
        </w:rPr>
        <w:t xml:space="preserve"> mediation). Including more types of cases that can be </w:t>
      </w:r>
      <w:r w:rsidR="00A57B08">
        <w:rPr>
          <w:rFonts w:ascii="Times New Roman" w:eastAsia="Times New Roman" w:hAnsi="Times New Roman" w:cs="Times New Roman"/>
          <w:sz w:val="20"/>
          <w:szCs w:val="20"/>
          <w:lang w:eastAsia="en-GB"/>
        </w:rPr>
        <w:t>covered by</w:t>
      </w:r>
      <w:r w:rsidRPr="00E95CC7">
        <w:rPr>
          <w:rFonts w:ascii="Times New Roman" w:eastAsia="Times New Roman" w:hAnsi="Times New Roman" w:cs="Times New Roman"/>
          <w:sz w:val="20"/>
          <w:szCs w:val="20"/>
          <w:lang w:eastAsia="en-GB"/>
        </w:rPr>
        <w:t xml:space="preserve"> the analysis can provide a more objective understanding of existing challenges and deficiencies in the legal framework and practice and how to improve them. The analysis also can cover cases at different stages depending on their type, for example pre-trial, trial, </w:t>
      </w:r>
      <w:proofErr w:type="gramStart"/>
      <w:r w:rsidRPr="00E95CC7">
        <w:rPr>
          <w:rFonts w:ascii="Times New Roman" w:eastAsia="Times New Roman" w:hAnsi="Times New Roman" w:cs="Times New Roman"/>
          <w:sz w:val="20"/>
          <w:szCs w:val="20"/>
          <w:lang w:eastAsia="en-GB"/>
        </w:rPr>
        <w:t>judgement</w:t>
      </w:r>
      <w:proofErr w:type="gramEnd"/>
      <w:r w:rsidR="009F1439">
        <w:rPr>
          <w:rFonts w:ascii="Times New Roman" w:eastAsia="Times New Roman" w:hAnsi="Times New Roman" w:cs="Times New Roman"/>
          <w:sz w:val="20"/>
          <w:szCs w:val="20"/>
          <w:lang w:eastAsia="en-GB"/>
        </w:rPr>
        <w:t xml:space="preserve"> or</w:t>
      </w:r>
      <w:r w:rsidRPr="00E95CC7">
        <w:rPr>
          <w:rFonts w:ascii="Times New Roman" w:eastAsia="Times New Roman" w:hAnsi="Times New Roman" w:cs="Times New Roman"/>
          <w:sz w:val="20"/>
          <w:szCs w:val="20"/>
          <w:lang w:eastAsia="en-GB"/>
        </w:rPr>
        <w:t xml:space="preserve"> appeal. </w:t>
      </w:r>
      <w:r w:rsidR="00843D1C" w:rsidRPr="00E95CC7">
        <w:rPr>
          <w:rFonts w:ascii="Times New Roman" w:eastAsia="Times New Roman" w:hAnsi="Times New Roman" w:cs="Times New Roman"/>
          <w:sz w:val="20"/>
          <w:szCs w:val="20"/>
          <w:lang w:eastAsia="en-GB"/>
        </w:rPr>
        <w:t xml:space="preserve">The </w:t>
      </w:r>
      <w:r w:rsidRPr="00E95CC7">
        <w:rPr>
          <w:rFonts w:ascii="Times New Roman" w:eastAsia="Times New Roman" w:hAnsi="Times New Roman" w:cs="Times New Roman"/>
          <w:sz w:val="20"/>
          <w:szCs w:val="20"/>
          <w:lang w:eastAsia="en-GB"/>
        </w:rPr>
        <w:t xml:space="preserve">analysis can reveal the types of claims, preferred dispute settlement for such cases, challenges to review substantive or procedural legality or the reasons behind the success or failure of the alternative dispute resolution mechanisms. </w:t>
      </w:r>
    </w:p>
    <w:p w14:paraId="49D418A8" w14:textId="77777777" w:rsidR="00E95CC7" w:rsidRPr="00E95CC7" w:rsidRDefault="00E95CC7" w:rsidP="00E95CC7">
      <w:pPr>
        <w:spacing w:before="240" w:after="240" w:line="240" w:lineRule="auto"/>
        <w:jc w:val="both"/>
        <w:rPr>
          <w:rFonts w:ascii="Times New Roman" w:eastAsia="Times New Roman" w:hAnsi="Times New Roman" w:cs="Times New Roman"/>
          <w:i/>
          <w:iCs/>
          <w:sz w:val="20"/>
          <w:szCs w:val="20"/>
        </w:rPr>
      </w:pPr>
      <w:r w:rsidRPr="00E95CC7">
        <w:rPr>
          <w:rFonts w:ascii="Times New Roman" w:eastAsia="Times New Roman" w:hAnsi="Times New Roman" w:cs="Times New Roman"/>
          <w:i/>
          <w:iCs/>
          <w:sz w:val="20"/>
          <w:szCs w:val="20"/>
        </w:rPr>
        <w:t>Types of activities in energy sector</w:t>
      </w:r>
    </w:p>
    <w:p w14:paraId="68C2D3D9" w14:textId="2F03824A" w:rsidR="00E95CC7" w:rsidRPr="00E95CC7" w:rsidRDefault="00E95CC7" w:rsidP="00E95CC7">
      <w:pPr>
        <w:spacing w:after="120" w:line="240" w:lineRule="auto"/>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12.</w:t>
      </w:r>
      <w:r w:rsidRPr="00E95CC7">
        <w:rPr>
          <w:rFonts w:ascii="Times New Roman" w:eastAsia="Times New Roman" w:hAnsi="Times New Roman" w:cs="Times New Roman"/>
          <w:sz w:val="20"/>
          <w:szCs w:val="20"/>
          <w:lang w:eastAsia="en-GB"/>
        </w:rPr>
        <w:tab/>
        <w:t>The analysis can cover the entire energy sector or only selected sub-sectors (renewables, or wind, solar</w:t>
      </w:r>
      <w:r w:rsidR="00E96E4B">
        <w:rPr>
          <w:rFonts w:ascii="Times New Roman" w:eastAsia="Times New Roman" w:hAnsi="Times New Roman" w:cs="Times New Roman"/>
          <w:sz w:val="20"/>
          <w:szCs w:val="20"/>
          <w:lang w:eastAsia="en-GB"/>
        </w:rPr>
        <w:t>, etc.</w:t>
      </w:r>
      <w:r w:rsidRPr="00E95CC7">
        <w:rPr>
          <w:rFonts w:ascii="Times New Roman" w:eastAsia="Times New Roman" w:hAnsi="Times New Roman" w:cs="Times New Roman"/>
          <w:sz w:val="20"/>
          <w:szCs w:val="20"/>
          <w:lang w:eastAsia="en-GB"/>
        </w:rPr>
        <w:t xml:space="preserve">) depending on the national context and needs. Types of activities in energy sector for the analysis </w:t>
      </w:r>
      <w:r w:rsidR="00E96E4B">
        <w:rPr>
          <w:rFonts w:ascii="Times New Roman" w:eastAsia="Times New Roman" w:hAnsi="Times New Roman" w:cs="Times New Roman"/>
          <w:sz w:val="20"/>
          <w:szCs w:val="20"/>
          <w:lang w:eastAsia="en-GB"/>
        </w:rPr>
        <w:t>can</w:t>
      </w:r>
      <w:r w:rsidRPr="00E95CC7">
        <w:rPr>
          <w:rFonts w:ascii="Times New Roman" w:eastAsia="Times New Roman" w:hAnsi="Times New Roman" w:cs="Times New Roman"/>
          <w:sz w:val="20"/>
          <w:szCs w:val="20"/>
          <w:lang w:eastAsia="en-GB"/>
        </w:rPr>
        <w:t xml:space="preserve"> be defined in accordance with Annex I, paragraph 1</w:t>
      </w:r>
      <w:r w:rsidR="00E96E4B">
        <w:rPr>
          <w:rFonts w:ascii="Times New Roman" w:eastAsia="Times New Roman" w:hAnsi="Times New Roman" w:cs="Times New Roman"/>
          <w:sz w:val="20"/>
          <w:szCs w:val="20"/>
          <w:lang w:eastAsia="en-GB"/>
        </w:rPr>
        <w:t>,</w:t>
      </w:r>
      <w:r w:rsidRPr="00E95CC7">
        <w:rPr>
          <w:rFonts w:ascii="Times New Roman" w:eastAsia="Times New Roman" w:hAnsi="Times New Roman" w:cs="Times New Roman"/>
          <w:sz w:val="20"/>
          <w:szCs w:val="20"/>
          <w:lang w:eastAsia="en-GB"/>
        </w:rPr>
        <w:t xml:space="preserve"> of the Convention as referred to in article 6 (1) (a). However, the analysis could also cover other activities in energy sector that raise public concerns and may have a significant effect on the environment. These activities can be identified in accordance with the national or international statistical classification of energy sources or economic activities</w:t>
      </w:r>
      <w:r w:rsidRPr="00E95CC7">
        <w:rPr>
          <w:rFonts w:ascii="Times New Roman" w:eastAsia="Times New Roman" w:hAnsi="Times New Roman" w:cs="Times New Roman"/>
          <w:sz w:val="20"/>
          <w:szCs w:val="20"/>
          <w:vertAlign w:val="superscript"/>
          <w:lang w:eastAsia="en-GB"/>
        </w:rPr>
        <w:footnoteReference w:id="5"/>
      </w:r>
      <w:r w:rsidRPr="00E95CC7">
        <w:rPr>
          <w:rFonts w:ascii="Times New Roman" w:eastAsia="Times New Roman" w:hAnsi="Times New Roman" w:cs="Times New Roman"/>
          <w:sz w:val="20"/>
          <w:szCs w:val="20"/>
          <w:lang w:eastAsia="en-GB"/>
        </w:rPr>
        <w:t>. The EU Taxonomy Compass</w:t>
      </w:r>
      <w:r w:rsidRPr="00E95CC7">
        <w:rPr>
          <w:rFonts w:ascii="Times New Roman" w:eastAsia="Times New Roman" w:hAnsi="Times New Roman" w:cs="Times New Roman"/>
          <w:sz w:val="20"/>
          <w:szCs w:val="20"/>
          <w:vertAlign w:val="superscript"/>
          <w:lang w:eastAsia="en-GB"/>
        </w:rPr>
        <w:footnoteReference w:id="6"/>
      </w:r>
      <w:r w:rsidRPr="00E95CC7">
        <w:rPr>
          <w:rFonts w:ascii="Times New Roman" w:eastAsia="Times New Roman" w:hAnsi="Times New Roman" w:cs="Times New Roman"/>
          <w:sz w:val="20"/>
          <w:szCs w:val="20"/>
          <w:lang w:eastAsia="en-GB"/>
        </w:rPr>
        <w:t xml:space="preserve"> could provide an example of how energy sectors are classified in the European Union.</w:t>
      </w:r>
    </w:p>
    <w:p w14:paraId="376F5911" w14:textId="77777777" w:rsidR="00247D81" w:rsidRDefault="00247D81" w:rsidP="00E95CC7">
      <w:pPr>
        <w:spacing w:before="240" w:after="240" w:line="240" w:lineRule="auto"/>
        <w:jc w:val="both"/>
        <w:rPr>
          <w:rFonts w:ascii="Times New Roman" w:eastAsia="Times New Roman" w:hAnsi="Times New Roman" w:cs="Times New Roman"/>
          <w:i/>
          <w:iCs/>
          <w:sz w:val="20"/>
          <w:szCs w:val="20"/>
        </w:rPr>
      </w:pPr>
    </w:p>
    <w:p w14:paraId="15461E7A" w14:textId="590888A7" w:rsidR="00E95CC7" w:rsidRPr="00E95CC7" w:rsidRDefault="00E95CC7" w:rsidP="00E95CC7">
      <w:pPr>
        <w:spacing w:before="240" w:after="240" w:line="240" w:lineRule="auto"/>
        <w:jc w:val="both"/>
        <w:rPr>
          <w:rFonts w:ascii="Times New Roman" w:eastAsia="Times New Roman" w:hAnsi="Times New Roman" w:cs="Times New Roman"/>
          <w:i/>
          <w:iCs/>
          <w:sz w:val="20"/>
          <w:szCs w:val="20"/>
        </w:rPr>
      </w:pPr>
      <w:r w:rsidRPr="00E95CC7">
        <w:rPr>
          <w:rFonts w:ascii="Times New Roman" w:eastAsia="Times New Roman" w:hAnsi="Times New Roman" w:cs="Times New Roman"/>
          <w:i/>
          <w:iCs/>
          <w:sz w:val="20"/>
          <w:szCs w:val="20"/>
        </w:rPr>
        <w:lastRenderedPageBreak/>
        <w:t xml:space="preserve">Provisions of </w:t>
      </w:r>
      <w:r w:rsidR="00227CA6">
        <w:rPr>
          <w:rFonts w:ascii="Times New Roman" w:eastAsia="Times New Roman" w:hAnsi="Times New Roman" w:cs="Times New Roman"/>
          <w:i/>
          <w:iCs/>
          <w:sz w:val="20"/>
          <w:szCs w:val="20"/>
        </w:rPr>
        <w:t xml:space="preserve">relevant </w:t>
      </w:r>
      <w:r w:rsidRPr="00E95CC7">
        <w:rPr>
          <w:rFonts w:ascii="Times New Roman" w:eastAsia="Times New Roman" w:hAnsi="Times New Roman" w:cs="Times New Roman"/>
          <w:i/>
          <w:iCs/>
          <w:sz w:val="20"/>
          <w:szCs w:val="20"/>
        </w:rPr>
        <w:t>national law</w:t>
      </w:r>
    </w:p>
    <w:p w14:paraId="3E0BDE5A" w14:textId="4F67D76D" w:rsidR="00E95CC7" w:rsidRPr="00E95CC7" w:rsidRDefault="00E95CC7" w:rsidP="00E95CC7">
      <w:pPr>
        <w:spacing w:after="120" w:line="240" w:lineRule="auto"/>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lang w:eastAsia="en-GB"/>
        </w:rPr>
        <w:t>13.</w:t>
      </w:r>
      <w:r w:rsidRPr="00E95CC7">
        <w:rPr>
          <w:rFonts w:ascii="Times New Roman" w:eastAsia="Times New Roman" w:hAnsi="Times New Roman" w:cs="Times New Roman"/>
          <w:sz w:val="20"/>
          <w:szCs w:val="20"/>
          <w:lang w:eastAsia="en-GB"/>
        </w:rPr>
        <w:tab/>
        <w:t>Analysing the relevant provisions of national law may reveal which specific provision</w:t>
      </w:r>
      <w:r w:rsidR="0001482B">
        <w:rPr>
          <w:rFonts w:ascii="Times New Roman" w:eastAsia="Times New Roman" w:hAnsi="Times New Roman" w:cs="Times New Roman"/>
          <w:sz w:val="20"/>
          <w:szCs w:val="20"/>
          <w:lang w:eastAsia="en-GB"/>
        </w:rPr>
        <w:t>s</w:t>
      </w:r>
      <w:r w:rsidRPr="00E95CC7">
        <w:rPr>
          <w:rFonts w:ascii="Times New Roman" w:eastAsia="Times New Roman" w:hAnsi="Times New Roman" w:cs="Times New Roman"/>
          <w:sz w:val="20"/>
          <w:szCs w:val="20"/>
          <w:lang w:eastAsia="en-GB"/>
        </w:rPr>
        <w:t xml:space="preserve"> </w:t>
      </w:r>
      <w:r w:rsidR="0001482B">
        <w:rPr>
          <w:rFonts w:ascii="Times New Roman" w:eastAsia="Times New Roman" w:hAnsi="Times New Roman" w:cs="Times New Roman"/>
          <w:sz w:val="20"/>
          <w:szCs w:val="20"/>
          <w:lang w:eastAsia="en-GB"/>
        </w:rPr>
        <w:t>are</w:t>
      </w:r>
      <w:r w:rsidRPr="00E95CC7">
        <w:rPr>
          <w:rFonts w:ascii="Times New Roman" w:eastAsia="Times New Roman" w:hAnsi="Times New Roman" w:cs="Times New Roman"/>
          <w:sz w:val="20"/>
          <w:szCs w:val="20"/>
          <w:lang w:eastAsia="en-GB"/>
        </w:rPr>
        <w:t xml:space="preserve"> being used in most energy-related cases. The analysis could cover both procedural and substantive provisions of national law. For example, this can include provisions of national law that implement the Convention, for example article 6 </w:t>
      </w:r>
      <w:r w:rsidR="00780F14">
        <w:rPr>
          <w:rFonts w:ascii="Times New Roman" w:eastAsia="Times New Roman" w:hAnsi="Times New Roman" w:cs="Times New Roman"/>
          <w:sz w:val="20"/>
          <w:szCs w:val="20"/>
          <w:lang w:eastAsia="en-GB"/>
        </w:rPr>
        <w:t>(</w:t>
      </w:r>
      <w:r w:rsidRPr="00E95CC7">
        <w:rPr>
          <w:rFonts w:ascii="Times New Roman" w:eastAsia="Times New Roman" w:hAnsi="Times New Roman" w:cs="Times New Roman"/>
          <w:sz w:val="20"/>
          <w:szCs w:val="20"/>
          <w:lang w:eastAsia="en-GB"/>
        </w:rPr>
        <w:t>1</w:t>
      </w:r>
      <w:r w:rsidR="00780F14">
        <w:rPr>
          <w:rFonts w:ascii="Times New Roman" w:eastAsia="Times New Roman" w:hAnsi="Times New Roman" w:cs="Times New Roman"/>
          <w:sz w:val="20"/>
          <w:szCs w:val="20"/>
          <w:lang w:eastAsia="en-GB"/>
        </w:rPr>
        <w:t>)</w:t>
      </w:r>
      <w:r w:rsidRPr="00E95CC7">
        <w:rPr>
          <w:rFonts w:ascii="Times New Roman" w:eastAsia="Times New Roman" w:hAnsi="Times New Roman" w:cs="Times New Roman"/>
          <w:sz w:val="20"/>
          <w:szCs w:val="20"/>
          <w:lang w:eastAsia="en-GB"/>
        </w:rPr>
        <w:t xml:space="preserve"> (a) and (b) and Annex 1, article 7, that are relevant to the studied energy sector(s), or provisions that violations can be challenged in accordance with article 9 (3) of the Convention. </w:t>
      </w:r>
    </w:p>
    <w:p w14:paraId="685DE6BA" w14:textId="77777777" w:rsidR="00E95CC7" w:rsidRPr="00E95CC7" w:rsidRDefault="00E95CC7" w:rsidP="00E95CC7">
      <w:pPr>
        <w:spacing w:before="240" w:after="240" w:line="240" w:lineRule="auto"/>
        <w:jc w:val="both"/>
        <w:rPr>
          <w:rFonts w:ascii="Times New Roman" w:eastAsia="Times New Roman" w:hAnsi="Times New Roman" w:cs="Times New Roman"/>
          <w:i/>
          <w:iCs/>
          <w:sz w:val="20"/>
          <w:szCs w:val="20"/>
        </w:rPr>
      </w:pPr>
      <w:r w:rsidRPr="00E95CC7">
        <w:rPr>
          <w:rFonts w:ascii="Times New Roman" w:eastAsia="Times New Roman" w:hAnsi="Times New Roman" w:cs="Times New Roman"/>
          <w:i/>
          <w:iCs/>
          <w:sz w:val="20"/>
          <w:szCs w:val="20"/>
        </w:rPr>
        <w:t>Appropriate time period</w:t>
      </w:r>
    </w:p>
    <w:p w14:paraId="75696B12" w14:textId="0264DB7C" w:rsidR="00E95CC7" w:rsidRPr="00E95CC7" w:rsidRDefault="00E95CC7" w:rsidP="00E95CC7">
      <w:pPr>
        <w:spacing w:after="0" w:line="240" w:lineRule="auto"/>
        <w:jc w:val="both"/>
        <w:rPr>
          <w:rFonts w:ascii="Times New Roman" w:hAnsi="Times New Roman" w:cs="Times New Roman"/>
          <w:sz w:val="24"/>
          <w:szCs w:val="24"/>
        </w:rPr>
      </w:pPr>
      <w:r w:rsidRPr="00E95CC7">
        <w:rPr>
          <w:rFonts w:ascii="Times New Roman" w:eastAsia="Times New Roman" w:hAnsi="Times New Roman" w:cs="Times New Roman"/>
          <w:sz w:val="20"/>
          <w:szCs w:val="20"/>
        </w:rPr>
        <w:t>14.</w:t>
      </w:r>
      <w:r w:rsidRPr="00E95CC7">
        <w:rPr>
          <w:rFonts w:ascii="Times New Roman" w:eastAsia="Times New Roman" w:hAnsi="Times New Roman" w:cs="Times New Roman"/>
          <w:sz w:val="20"/>
          <w:szCs w:val="20"/>
        </w:rPr>
        <w:tab/>
        <w:t xml:space="preserve">The time period covered by the analysis should be sufficient to reveal the actual </w:t>
      </w:r>
      <w:r w:rsidRPr="00C409AF">
        <w:rPr>
          <w:rFonts w:ascii="Times New Roman" w:eastAsia="Times New Roman" w:hAnsi="Times New Roman" w:cs="Times New Roman"/>
          <w:sz w:val="20"/>
          <w:szCs w:val="20"/>
        </w:rPr>
        <w:t>challenges and deficiencies in legal framework and practice. For example, energy-related cases from 2016, the year in which most countries submitted their first nationally determined contributions (NDCs) as required by the Paris Agreement, and onwards, could be considered for the first cycle of the analysis. Subsequently, the analysis c</w:t>
      </w:r>
      <w:r w:rsidR="00B34DF9" w:rsidRPr="002C609B">
        <w:rPr>
          <w:rFonts w:ascii="Times New Roman" w:eastAsia="Times New Roman" w:hAnsi="Times New Roman" w:cs="Times New Roman"/>
          <w:sz w:val="20"/>
          <w:szCs w:val="20"/>
        </w:rPr>
        <w:t>an</w:t>
      </w:r>
      <w:r w:rsidRPr="00C409AF">
        <w:rPr>
          <w:rFonts w:ascii="Times New Roman" w:eastAsia="Times New Roman" w:hAnsi="Times New Roman" w:cs="Times New Roman"/>
          <w:sz w:val="20"/>
          <w:szCs w:val="20"/>
        </w:rPr>
        <w:t xml:space="preserve"> be conducted in a four-year cycle similar to the </w:t>
      </w:r>
      <w:r w:rsidR="00360307" w:rsidRPr="00C409AF">
        <w:rPr>
          <w:rFonts w:ascii="Times New Roman" w:eastAsia="Times New Roman" w:hAnsi="Times New Roman" w:cs="Times New Roman"/>
          <w:sz w:val="20"/>
          <w:szCs w:val="20"/>
        </w:rPr>
        <w:t xml:space="preserve">Aarhus Convention </w:t>
      </w:r>
      <w:r w:rsidRPr="00C409AF">
        <w:rPr>
          <w:rFonts w:ascii="Times New Roman" w:eastAsia="Times New Roman" w:hAnsi="Times New Roman" w:cs="Times New Roman"/>
          <w:sz w:val="20"/>
          <w:szCs w:val="20"/>
        </w:rPr>
        <w:t>national implementation reports. Adopting this approach will help contextualize the survey</w:t>
      </w:r>
      <w:r w:rsidR="00605953" w:rsidRPr="002C609B">
        <w:rPr>
          <w:rFonts w:ascii="Times New Roman" w:eastAsia="Times New Roman" w:hAnsi="Times New Roman" w:cs="Times New Roman"/>
          <w:sz w:val="20"/>
          <w:szCs w:val="20"/>
        </w:rPr>
        <w:t xml:space="preserve"> for the analysis</w:t>
      </w:r>
      <w:r w:rsidRPr="00C409AF">
        <w:rPr>
          <w:rFonts w:ascii="Times New Roman" w:eastAsia="Times New Roman" w:hAnsi="Times New Roman" w:cs="Times New Roman"/>
          <w:sz w:val="20"/>
          <w:szCs w:val="20"/>
        </w:rPr>
        <w:t xml:space="preserve">, give it a timeframe within which to operate, and </w:t>
      </w:r>
      <w:r w:rsidR="00B3214F" w:rsidRPr="002C609B">
        <w:rPr>
          <w:rFonts w:ascii="Times New Roman" w:eastAsia="Times New Roman" w:hAnsi="Times New Roman" w:cs="Times New Roman"/>
          <w:sz w:val="20"/>
          <w:szCs w:val="20"/>
        </w:rPr>
        <w:t>contribute to</w:t>
      </w:r>
      <w:r w:rsidR="00B3214F" w:rsidRPr="00C409AF">
        <w:rPr>
          <w:rFonts w:ascii="Times New Roman" w:eastAsia="Times New Roman" w:hAnsi="Times New Roman" w:cs="Times New Roman"/>
          <w:sz w:val="20"/>
          <w:szCs w:val="20"/>
        </w:rPr>
        <w:t xml:space="preserve"> </w:t>
      </w:r>
      <w:r w:rsidRPr="00C409AF">
        <w:rPr>
          <w:rFonts w:ascii="Times New Roman" w:eastAsia="Times New Roman" w:hAnsi="Times New Roman" w:cs="Times New Roman"/>
          <w:sz w:val="20"/>
          <w:szCs w:val="20"/>
        </w:rPr>
        <w:t>the preparation of the Convention's national implementation reports.</w:t>
      </w:r>
    </w:p>
    <w:p w14:paraId="683D9B41" w14:textId="77777777" w:rsidR="00E95CC7" w:rsidRPr="00E95CC7" w:rsidRDefault="00E95CC7" w:rsidP="00E95CC7">
      <w:pPr>
        <w:spacing w:before="100" w:beforeAutospacing="1" w:after="100" w:afterAutospacing="1" w:line="240" w:lineRule="auto"/>
        <w:jc w:val="both"/>
        <w:outlineLvl w:val="1"/>
        <w:rPr>
          <w:rFonts w:asciiTheme="majorBidi" w:eastAsia="Times New Roman" w:hAnsiTheme="majorBidi" w:cstheme="majorBidi"/>
          <w:b/>
          <w:bCs/>
        </w:rPr>
      </w:pPr>
      <w:r w:rsidRPr="00E95CC7">
        <w:rPr>
          <w:rFonts w:asciiTheme="majorBidi" w:eastAsia="Times New Roman" w:hAnsiTheme="majorBidi" w:cstheme="majorBidi"/>
          <w:b/>
          <w:bCs/>
          <w:lang w:val="en-US"/>
        </w:rPr>
        <w:t xml:space="preserve">III. </w:t>
      </w:r>
      <w:r w:rsidRPr="00E95CC7">
        <w:rPr>
          <w:rFonts w:asciiTheme="majorBidi" w:eastAsia="Times New Roman" w:hAnsiTheme="majorBidi" w:cstheme="majorBidi"/>
          <w:b/>
          <w:bCs/>
        </w:rPr>
        <w:t xml:space="preserve">Methodology of the analysis </w:t>
      </w:r>
    </w:p>
    <w:p w14:paraId="1E7A076C" w14:textId="56D6384D" w:rsidR="00E95CC7" w:rsidRPr="00E95CC7" w:rsidRDefault="00E95CC7" w:rsidP="00E95CC7">
      <w:pPr>
        <w:spacing w:after="0" w:line="240" w:lineRule="auto"/>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15.</w:t>
      </w:r>
      <w:r w:rsidRPr="00E95CC7">
        <w:rPr>
          <w:rFonts w:ascii="Times New Roman" w:eastAsia="Times New Roman" w:hAnsi="Times New Roman" w:cs="Times New Roman"/>
          <w:sz w:val="20"/>
          <w:szCs w:val="20"/>
        </w:rPr>
        <w:tab/>
        <w:t xml:space="preserve">The analysis </w:t>
      </w:r>
      <w:r w:rsidR="00B34DF9">
        <w:rPr>
          <w:rFonts w:ascii="Times New Roman" w:eastAsia="Times New Roman" w:hAnsi="Times New Roman" w:cs="Times New Roman"/>
          <w:sz w:val="20"/>
          <w:szCs w:val="20"/>
        </w:rPr>
        <w:t xml:space="preserve">should </w:t>
      </w:r>
      <w:r w:rsidR="007149D6">
        <w:rPr>
          <w:rFonts w:ascii="Times New Roman" w:eastAsia="Times New Roman" w:hAnsi="Times New Roman" w:cs="Times New Roman"/>
          <w:sz w:val="20"/>
          <w:szCs w:val="20"/>
        </w:rPr>
        <w:t>be undertaken in</w:t>
      </w:r>
      <w:r w:rsidR="007149D6" w:rsidRPr="00E95CC7">
        <w:rPr>
          <w:rFonts w:ascii="Times New Roman" w:eastAsia="Times New Roman" w:hAnsi="Times New Roman" w:cs="Times New Roman"/>
          <w:sz w:val="20"/>
          <w:szCs w:val="20"/>
        </w:rPr>
        <w:t xml:space="preserve"> </w:t>
      </w:r>
      <w:r w:rsidRPr="00E95CC7">
        <w:rPr>
          <w:rFonts w:ascii="Times New Roman" w:eastAsia="Times New Roman" w:hAnsi="Times New Roman" w:cs="Times New Roman"/>
          <w:sz w:val="20"/>
          <w:szCs w:val="20"/>
        </w:rPr>
        <w:t>the following stages: (a) information and data collection; (b) mapping and reduction of information and data; (c) data and information visualization, and (d) conclusions drawing.</w:t>
      </w:r>
    </w:p>
    <w:p w14:paraId="4A7B88E9" w14:textId="77777777" w:rsidR="00E95CC7" w:rsidRPr="00E95CC7" w:rsidRDefault="00E95CC7" w:rsidP="00E95CC7">
      <w:pPr>
        <w:spacing w:after="0" w:line="240" w:lineRule="auto"/>
        <w:jc w:val="both"/>
        <w:rPr>
          <w:rFonts w:ascii="Times New Roman" w:eastAsia="Times New Roman" w:hAnsi="Times New Roman" w:cs="Times New Roman"/>
          <w:sz w:val="20"/>
          <w:szCs w:val="20"/>
        </w:rPr>
      </w:pPr>
    </w:p>
    <w:p w14:paraId="004021D9" w14:textId="02037094" w:rsidR="00E95CC7" w:rsidRPr="00E95CC7" w:rsidRDefault="00E95CC7" w:rsidP="00E95CC7">
      <w:pPr>
        <w:spacing w:after="0" w:line="240" w:lineRule="auto"/>
        <w:jc w:val="both"/>
        <w:rPr>
          <w:rFonts w:ascii="Times New Roman" w:hAnsi="Times New Roman" w:cs="Times New Roman"/>
          <w:sz w:val="24"/>
          <w:szCs w:val="24"/>
        </w:rPr>
      </w:pPr>
      <w:r w:rsidRPr="00E95CC7">
        <w:rPr>
          <w:rFonts w:ascii="Times New Roman" w:eastAsia="Times New Roman" w:hAnsi="Times New Roman" w:cs="Times New Roman"/>
          <w:sz w:val="20"/>
          <w:szCs w:val="20"/>
        </w:rPr>
        <w:t>16.</w:t>
      </w:r>
      <w:r w:rsidRPr="00E95CC7">
        <w:rPr>
          <w:rFonts w:ascii="Times New Roman" w:eastAsia="Times New Roman" w:hAnsi="Times New Roman" w:cs="Times New Roman"/>
          <w:sz w:val="20"/>
          <w:szCs w:val="20"/>
        </w:rPr>
        <w:tab/>
      </w:r>
      <w:r w:rsidR="0007188E" w:rsidRPr="00E95CC7">
        <w:rPr>
          <w:rFonts w:ascii="Times New Roman" w:eastAsia="Times New Roman" w:hAnsi="Times New Roman" w:cs="Times New Roman"/>
          <w:sz w:val="20"/>
          <w:szCs w:val="20"/>
        </w:rPr>
        <w:t xml:space="preserve">Digital </w:t>
      </w:r>
      <w:r w:rsidRPr="00E95CC7">
        <w:rPr>
          <w:rFonts w:ascii="Times New Roman" w:eastAsia="Times New Roman" w:hAnsi="Times New Roman" w:cs="Times New Roman"/>
          <w:sz w:val="20"/>
          <w:szCs w:val="20"/>
        </w:rPr>
        <w:t>technologies such as artificial intelligence, text mining and natural language processing tools, machine learning algorithms and other methods for information and data collection, mapping, visualization, and analytics</w:t>
      </w:r>
      <w:r w:rsidR="000E3671">
        <w:rPr>
          <w:rFonts w:ascii="Times New Roman" w:eastAsia="Times New Roman" w:hAnsi="Times New Roman" w:cs="Times New Roman"/>
          <w:sz w:val="20"/>
          <w:szCs w:val="20"/>
        </w:rPr>
        <w:t>, when available,</w:t>
      </w:r>
      <w:r w:rsidR="0007188E">
        <w:rPr>
          <w:rFonts w:ascii="Times New Roman" w:eastAsia="Times New Roman" w:hAnsi="Times New Roman" w:cs="Times New Roman"/>
          <w:sz w:val="20"/>
          <w:szCs w:val="20"/>
        </w:rPr>
        <w:t xml:space="preserve"> can</w:t>
      </w:r>
      <w:r w:rsidR="0007188E" w:rsidRPr="00E95CC7">
        <w:rPr>
          <w:rFonts w:ascii="Times New Roman" w:eastAsia="Times New Roman" w:hAnsi="Times New Roman" w:cs="Times New Roman"/>
          <w:sz w:val="20"/>
          <w:szCs w:val="20"/>
        </w:rPr>
        <w:t xml:space="preserve"> </w:t>
      </w:r>
      <w:r w:rsidR="0007188E">
        <w:rPr>
          <w:rFonts w:ascii="Times New Roman" w:eastAsia="Times New Roman" w:hAnsi="Times New Roman" w:cs="Times New Roman"/>
          <w:sz w:val="20"/>
          <w:szCs w:val="20"/>
        </w:rPr>
        <w:t xml:space="preserve">support </w:t>
      </w:r>
      <w:r w:rsidR="007C1792">
        <w:rPr>
          <w:rFonts w:ascii="Times New Roman" w:eastAsia="Times New Roman" w:hAnsi="Times New Roman" w:cs="Times New Roman"/>
          <w:sz w:val="20"/>
          <w:szCs w:val="20"/>
        </w:rPr>
        <w:t>the analysis</w:t>
      </w:r>
      <w:r w:rsidRPr="00E95CC7">
        <w:rPr>
          <w:rFonts w:ascii="Times New Roman" w:eastAsia="Times New Roman" w:hAnsi="Times New Roman" w:cs="Times New Roman"/>
          <w:sz w:val="20"/>
          <w:szCs w:val="20"/>
        </w:rPr>
        <w:t>.</w:t>
      </w:r>
    </w:p>
    <w:p w14:paraId="375F3515" w14:textId="77777777" w:rsidR="00E95CC7" w:rsidRPr="00E95CC7" w:rsidRDefault="00E95CC7" w:rsidP="00E95CC7">
      <w:pPr>
        <w:spacing w:before="240" w:after="240" w:line="240" w:lineRule="auto"/>
        <w:jc w:val="both"/>
        <w:rPr>
          <w:rFonts w:ascii="Times New Roman" w:eastAsia="Times New Roman" w:hAnsi="Times New Roman" w:cs="Times New Roman"/>
          <w:i/>
          <w:iCs/>
          <w:sz w:val="20"/>
          <w:szCs w:val="20"/>
        </w:rPr>
      </w:pPr>
      <w:r w:rsidRPr="00E95CC7">
        <w:rPr>
          <w:rFonts w:ascii="Times New Roman" w:eastAsia="Times New Roman" w:hAnsi="Times New Roman" w:cs="Times New Roman"/>
          <w:i/>
          <w:iCs/>
          <w:sz w:val="20"/>
          <w:szCs w:val="20"/>
        </w:rPr>
        <w:t>Information and data collection</w:t>
      </w:r>
    </w:p>
    <w:p w14:paraId="5A8449C2" w14:textId="06B5B976" w:rsidR="00E95CC7" w:rsidRPr="00E95CC7" w:rsidRDefault="00E95CC7" w:rsidP="00E95CC7">
      <w:pPr>
        <w:spacing w:after="0" w:line="240" w:lineRule="auto"/>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17.</w:t>
      </w:r>
      <w:r w:rsidRPr="00E95CC7">
        <w:rPr>
          <w:rFonts w:ascii="Times New Roman" w:eastAsia="Times New Roman" w:hAnsi="Times New Roman" w:cs="Times New Roman"/>
          <w:sz w:val="20"/>
          <w:szCs w:val="20"/>
        </w:rPr>
        <w:tab/>
        <w:t>Information and data can be collected using the desk research, general or specifically designed for th</w:t>
      </w:r>
      <w:r w:rsidR="002D7597">
        <w:rPr>
          <w:rFonts w:ascii="Times New Roman" w:eastAsia="Times New Roman" w:hAnsi="Times New Roman" w:cs="Times New Roman"/>
          <w:sz w:val="20"/>
          <w:szCs w:val="20"/>
        </w:rPr>
        <w:t>is</w:t>
      </w:r>
      <w:r w:rsidRPr="00E95CC7">
        <w:rPr>
          <w:rFonts w:ascii="Times New Roman" w:eastAsia="Times New Roman" w:hAnsi="Times New Roman" w:cs="Times New Roman"/>
          <w:sz w:val="20"/>
          <w:szCs w:val="20"/>
        </w:rPr>
        <w:t xml:space="preserve"> analys</w:t>
      </w:r>
      <w:r w:rsidR="002D7597">
        <w:rPr>
          <w:rFonts w:ascii="Times New Roman" w:eastAsia="Times New Roman" w:hAnsi="Times New Roman" w:cs="Times New Roman"/>
          <w:sz w:val="20"/>
          <w:szCs w:val="20"/>
        </w:rPr>
        <w:t>i</w:t>
      </w:r>
      <w:r w:rsidRPr="00E95CC7">
        <w:rPr>
          <w:rFonts w:ascii="Times New Roman" w:eastAsia="Times New Roman" w:hAnsi="Times New Roman" w:cs="Times New Roman"/>
          <w:sz w:val="20"/>
          <w:szCs w:val="20"/>
        </w:rPr>
        <w:t xml:space="preserve">s surveys among stakeholders and interviews with key legal </w:t>
      </w:r>
      <w:r w:rsidR="00E023FC">
        <w:rPr>
          <w:rFonts w:ascii="Times New Roman" w:eastAsia="Times New Roman" w:hAnsi="Times New Roman" w:cs="Times New Roman"/>
          <w:sz w:val="20"/>
          <w:szCs w:val="20"/>
        </w:rPr>
        <w:t>professionals</w:t>
      </w:r>
      <w:r w:rsidR="005101DC">
        <w:rPr>
          <w:rFonts w:ascii="Times New Roman" w:eastAsia="Times New Roman" w:hAnsi="Times New Roman" w:cs="Times New Roman"/>
          <w:sz w:val="20"/>
          <w:szCs w:val="20"/>
        </w:rPr>
        <w:t xml:space="preserve">, such as </w:t>
      </w:r>
      <w:r w:rsidR="00717CD9">
        <w:rPr>
          <w:rFonts w:ascii="Times New Roman" w:eastAsia="Times New Roman" w:hAnsi="Times New Roman" w:cs="Times New Roman"/>
          <w:sz w:val="20"/>
          <w:szCs w:val="20"/>
        </w:rPr>
        <w:t xml:space="preserve">judges, </w:t>
      </w:r>
      <w:r w:rsidR="00CF71D6">
        <w:rPr>
          <w:rFonts w:ascii="Times New Roman" w:eastAsia="Times New Roman" w:hAnsi="Times New Roman" w:cs="Times New Roman"/>
          <w:sz w:val="20"/>
          <w:szCs w:val="20"/>
        </w:rPr>
        <w:t xml:space="preserve">prosecutors, environmental lawyers, </w:t>
      </w:r>
      <w:r w:rsidR="00FF2059">
        <w:rPr>
          <w:rFonts w:ascii="Times New Roman" w:eastAsia="Times New Roman" w:hAnsi="Times New Roman" w:cs="Times New Roman"/>
          <w:sz w:val="20"/>
          <w:szCs w:val="20"/>
        </w:rPr>
        <w:t>etc.</w:t>
      </w:r>
    </w:p>
    <w:p w14:paraId="200E8B9E" w14:textId="77777777" w:rsidR="00E95CC7" w:rsidRPr="00E95CC7" w:rsidRDefault="00E95CC7" w:rsidP="00E95CC7">
      <w:pPr>
        <w:spacing w:after="0" w:line="240" w:lineRule="auto"/>
        <w:jc w:val="both"/>
        <w:rPr>
          <w:rFonts w:ascii="Times New Roman" w:eastAsia="Times New Roman" w:hAnsi="Times New Roman" w:cs="Times New Roman"/>
          <w:sz w:val="20"/>
          <w:szCs w:val="20"/>
        </w:rPr>
      </w:pPr>
    </w:p>
    <w:p w14:paraId="690EF4B4" w14:textId="77777777" w:rsidR="00E95CC7" w:rsidRPr="00E95CC7" w:rsidRDefault="00E95CC7" w:rsidP="00E95CC7">
      <w:pPr>
        <w:spacing w:after="120" w:line="240" w:lineRule="auto"/>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18.</w:t>
      </w:r>
      <w:r w:rsidRPr="00E95CC7">
        <w:rPr>
          <w:rFonts w:ascii="Times New Roman" w:eastAsia="Times New Roman" w:hAnsi="Times New Roman" w:cs="Times New Roman"/>
          <w:sz w:val="20"/>
          <w:szCs w:val="20"/>
        </w:rPr>
        <w:tab/>
        <w:t xml:space="preserve">The relevant sources for information and data collection for the analysis can include: </w:t>
      </w:r>
    </w:p>
    <w:p w14:paraId="7DCE8217"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(a)</w:t>
      </w:r>
      <w:r w:rsidRPr="00E95CC7">
        <w:rPr>
          <w:rFonts w:ascii="Times New Roman" w:eastAsia="Times New Roman" w:hAnsi="Times New Roman" w:cs="Times New Roman"/>
          <w:sz w:val="20"/>
          <w:szCs w:val="20"/>
        </w:rPr>
        <w:tab/>
        <w:t xml:space="preserve">Case law </w:t>
      </w:r>
      <w:proofErr w:type="gramStart"/>
      <w:r w:rsidRPr="00E95CC7">
        <w:rPr>
          <w:rFonts w:ascii="Times New Roman" w:eastAsia="Times New Roman" w:hAnsi="Times New Roman" w:cs="Times New Roman"/>
          <w:sz w:val="20"/>
          <w:szCs w:val="20"/>
        </w:rPr>
        <w:t>databases;</w:t>
      </w:r>
      <w:proofErr w:type="gramEnd"/>
    </w:p>
    <w:p w14:paraId="7661B15A"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(b)</w:t>
      </w:r>
      <w:r w:rsidRPr="00E95CC7">
        <w:rPr>
          <w:rFonts w:ascii="Times New Roman" w:eastAsia="Times New Roman" w:hAnsi="Times New Roman" w:cs="Times New Roman"/>
          <w:sz w:val="20"/>
          <w:szCs w:val="20"/>
        </w:rPr>
        <w:tab/>
        <w:t xml:space="preserve">Statistical databases, </w:t>
      </w:r>
      <w:proofErr w:type="gramStart"/>
      <w:r w:rsidRPr="00E95CC7">
        <w:rPr>
          <w:rFonts w:ascii="Times New Roman" w:eastAsia="Times New Roman" w:hAnsi="Times New Roman" w:cs="Times New Roman"/>
          <w:sz w:val="20"/>
          <w:szCs w:val="20"/>
        </w:rPr>
        <w:t>e.g.</w:t>
      </w:r>
      <w:proofErr w:type="gramEnd"/>
      <w:r w:rsidRPr="00E95CC7">
        <w:rPr>
          <w:rFonts w:ascii="Times New Roman" w:eastAsia="Times New Roman" w:hAnsi="Times New Roman" w:cs="Times New Roman"/>
          <w:sz w:val="20"/>
          <w:szCs w:val="20"/>
        </w:rPr>
        <w:t xml:space="preserve"> for Sustainable Development Indicator 16.3.3 with disaggregated data;</w:t>
      </w:r>
    </w:p>
    <w:p w14:paraId="1CDDB36C"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(c)</w:t>
      </w:r>
      <w:r w:rsidRPr="00E95CC7">
        <w:rPr>
          <w:rFonts w:ascii="Times New Roman" w:eastAsia="Times New Roman" w:hAnsi="Times New Roman" w:cs="Times New Roman"/>
          <w:sz w:val="20"/>
          <w:szCs w:val="20"/>
        </w:rPr>
        <w:tab/>
        <w:t xml:space="preserve">Legal needs survey and </w:t>
      </w:r>
      <w:proofErr w:type="gramStart"/>
      <w:r w:rsidRPr="00E95CC7">
        <w:rPr>
          <w:rFonts w:ascii="Times New Roman" w:eastAsia="Times New Roman" w:hAnsi="Times New Roman" w:cs="Times New Roman"/>
          <w:sz w:val="20"/>
          <w:szCs w:val="20"/>
        </w:rPr>
        <w:t>interviews;</w:t>
      </w:r>
      <w:proofErr w:type="gramEnd"/>
    </w:p>
    <w:p w14:paraId="0038F51A" w14:textId="77777777" w:rsid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(d)</w:t>
      </w:r>
      <w:r w:rsidRPr="00E95CC7">
        <w:rPr>
          <w:rFonts w:ascii="Times New Roman" w:eastAsia="Times New Roman" w:hAnsi="Times New Roman" w:cs="Times New Roman"/>
          <w:sz w:val="20"/>
          <w:szCs w:val="20"/>
        </w:rPr>
        <w:tab/>
        <w:t>Other access to justice surveys conducted by public authorities and stakeholders.</w:t>
      </w:r>
    </w:p>
    <w:p w14:paraId="3D7F6EDB" w14:textId="77777777" w:rsidR="004302C5" w:rsidRDefault="004302C5" w:rsidP="00E95CC7">
      <w:pPr>
        <w:spacing w:after="120" w:line="240" w:lineRule="auto"/>
        <w:ind w:firstLine="709"/>
        <w:jc w:val="both"/>
        <w:rPr>
          <w:rFonts w:ascii="Times New Roman" w:eastAsia="Times New Roman" w:hAnsi="Times New Roman" w:cs="Times New Roman"/>
          <w:sz w:val="20"/>
          <w:szCs w:val="20"/>
        </w:rPr>
      </w:pPr>
    </w:p>
    <w:p w14:paraId="241FA922" w14:textId="77777777" w:rsidR="00E95CC7" w:rsidRPr="00E95CC7" w:rsidRDefault="00E95CC7" w:rsidP="00E95CC7">
      <w:pPr>
        <w:spacing w:before="240" w:after="240" w:line="240" w:lineRule="auto"/>
        <w:jc w:val="both"/>
        <w:rPr>
          <w:rFonts w:ascii="Times New Roman" w:eastAsia="Times New Roman" w:hAnsi="Times New Roman" w:cs="Times New Roman"/>
          <w:i/>
          <w:iCs/>
          <w:sz w:val="20"/>
          <w:szCs w:val="20"/>
        </w:rPr>
      </w:pPr>
      <w:r w:rsidRPr="00E95CC7">
        <w:rPr>
          <w:rFonts w:ascii="Times New Roman" w:eastAsia="Times New Roman" w:hAnsi="Times New Roman" w:cs="Times New Roman"/>
          <w:i/>
          <w:iCs/>
          <w:sz w:val="20"/>
          <w:szCs w:val="20"/>
        </w:rPr>
        <w:t xml:space="preserve">Mapping and reduction information and data </w:t>
      </w:r>
    </w:p>
    <w:p w14:paraId="6DA84A27" w14:textId="32A33816" w:rsidR="00E95CC7" w:rsidRPr="00E95CC7" w:rsidRDefault="00E95CC7" w:rsidP="00E95CC7">
      <w:pPr>
        <w:spacing w:after="120" w:line="240" w:lineRule="auto"/>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19.</w:t>
      </w:r>
      <w:r w:rsidRPr="00E95CC7">
        <w:rPr>
          <w:rFonts w:ascii="Times New Roman" w:eastAsia="Times New Roman" w:hAnsi="Times New Roman" w:cs="Times New Roman"/>
          <w:sz w:val="20"/>
          <w:szCs w:val="20"/>
        </w:rPr>
        <w:tab/>
        <w:t xml:space="preserve">Mapping and reduction of </w:t>
      </w:r>
      <w:r w:rsidR="00EC5292" w:rsidRPr="00E95CC7">
        <w:rPr>
          <w:rFonts w:ascii="Times New Roman" w:eastAsia="Times New Roman" w:hAnsi="Times New Roman" w:cs="Times New Roman"/>
          <w:sz w:val="20"/>
          <w:szCs w:val="20"/>
        </w:rPr>
        <w:t xml:space="preserve">information </w:t>
      </w:r>
      <w:r w:rsidRPr="00E95CC7">
        <w:rPr>
          <w:rFonts w:ascii="Times New Roman" w:eastAsia="Times New Roman" w:hAnsi="Times New Roman" w:cs="Times New Roman"/>
          <w:sz w:val="20"/>
          <w:szCs w:val="20"/>
        </w:rPr>
        <w:t xml:space="preserve">and </w:t>
      </w:r>
      <w:r w:rsidR="00EC5292" w:rsidRPr="00E95CC7">
        <w:rPr>
          <w:rFonts w:ascii="Times New Roman" w:eastAsia="Times New Roman" w:hAnsi="Times New Roman" w:cs="Times New Roman"/>
          <w:sz w:val="20"/>
          <w:szCs w:val="20"/>
        </w:rPr>
        <w:t xml:space="preserve">data </w:t>
      </w:r>
      <w:r w:rsidRPr="00E95CC7">
        <w:rPr>
          <w:rFonts w:ascii="Times New Roman" w:eastAsia="Times New Roman" w:hAnsi="Times New Roman" w:cs="Times New Roman"/>
          <w:sz w:val="20"/>
          <w:szCs w:val="20"/>
        </w:rPr>
        <w:t xml:space="preserve">refers to the identification and classification of information and data regarding individual cases </w:t>
      </w:r>
      <w:r w:rsidR="006604DB">
        <w:rPr>
          <w:rFonts w:ascii="Times New Roman" w:eastAsia="Times New Roman" w:hAnsi="Times New Roman" w:cs="Times New Roman"/>
          <w:sz w:val="20"/>
          <w:szCs w:val="20"/>
        </w:rPr>
        <w:t>on</w:t>
      </w:r>
      <w:r w:rsidRPr="00E95CC7">
        <w:rPr>
          <w:rFonts w:ascii="Times New Roman" w:eastAsia="Times New Roman" w:hAnsi="Times New Roman" w:cs="Times New Roman"/>
          <w:sz w:val="20"/>
          <w:szCs w:val="20"/>
        </w:rPr>
        <w:t xml:space="preserve"> different categories within the scope of the analysis. For this </w:t>
      </w:r>
      <w:bookmarkStart w:id="0" w:name="_Int_r5LyXveR"/>
      <w:r w:rsidRPr="00E95CC7">
        <w:rPr>
          <w:rFonts w:ascii="Times New Roman" w:eastAsia="Times New Roman" w:hAnsi="Times New Roman" w:cs="Times New Roman"/>
          <w:sz w:val="20"/>
          <w:szCs w:val="20"/>
        </w:rPr>
        <w:t>analysis</w:t>
      </w:r>
      <w:bookmarkEnd w:id="0"/>
      <w:r w:rsidRPr="00E95CC7">
        <w:rPr>
          <w:rFonts w:ascii="Times New Roman" w:eastAsia="Times New Roman" w:hAnsi="Times New Roman" w:cs="Times New Roman"/>
          <w:sz w:val="20"/>
          <w:szCs w:val="20"/>
        </w:rPr>
        <w:t>, the data can be mapped under the following categories:</w:t>
      </w:r>
    </w:p>
    <w:p w14:paraId="6C31A95C"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(a)</w:t>
      </w:r>
      <w:r w:rsidRPr="00E95CC7">
        <w:rPr>
          <w:rFonts w:ascii="Times New Roman" w:eastAsia="Times New Roman" w:hAnsi="Times New Roman" w:cs="Times New Roman"/>
          <w:sz w:val="20"/>
          <w:szCs w:val="20"/>
        </w:rPr>
        <w:tab/>
        <w:t xml:space="preserve">Type of activity in energy </w:t>
      </w:r>
      <w:proofErr w:type="gramStart"/>
      <w:r w:rsidRPr="00E95CC7">
        <w:rPr>
          <w:rFonts w:ascii="Times New Roman" w:eastAsia="Times New Roman" w:hAnsi="Times New Roman" w:cs="Times New Roman"/>
          <w:sz w:val="20"/>
          <w:szCs w:val="20"/>
        </w:rPr>
        <w:t>sector;</w:t>
      </w:r>
      <w:proofErr w:type="gramEnd"/>
    </w:p>
    <w:p w14:paraId="483B1D8A"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(b)</w:t>
      </w:r>
      <w:r w:rsidRPr="00E95CC7">
        <w:rPr>
          <w:rFonts w:ascii="Times New Roman" w:eastAsia="Times New Roman" w:hAnsi="Times New Roman" w:cs="Times New Roman"/>
          <w:sz w:val="20"/>
          <w:szCs w:val="20"/>
        </w:rPr>
        <w:tab/>
        <w:t xml:space="preserve">Geographic area of </w:t>
      </w:r>
      <w:proofErr w:type="gramStart"/>
      <w:r w:rsidRPr="00E95CC7">
        <w:rPr>
          <w:rFonts w:ascii="Times New Roman" w:eastAsia="Times New Roman" w:hAnsi="Times New Roman" w:cs="Times New Roman"/>
          <w:sz w:val="20"/>
          <w:szCs w:val="20"/>
        </w:rPr>
        <w:t>activity;</w:t>
      </w:r>
      <w:proofErr w:type="gramEnd"/>
    </w:p>
    <w:p w14:paraId="1EE91F5C"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(c)</w:t>
      </w:r>
      <w:r w:rsidRPr="00E95CC7">
        <w:rPr>
          <w:rFonts w:ascii="Times New Roman" w:eastAsia="Times New Roman" w:hAnsi="Times New Roman" w:cs="Times New Roman"/>
          <w:sz w:val="20"/>
          <w:szCs w:val="20"/>
        </w:rPr>
        <w:tab/>
        <w:t xml:space="preserve">Environmental </w:t>
      </w:r>
      <w:proofErr w:type="gramStart"/>
      <w:r w:rsidRPr="00E95CC7">
        <w:rPr>
          <w:rFonts w:ascii="Times New Roman" w:eastAsia="Times New Roman" w:hAnsi="Times New Roman" w:cs="Times New Roman"/>
          <w:sz w:val="20"/>
          <w:szCs w:val="20"/>
        </w:rPr>
        <w:t>impact;</w:t>
      </w:r>
      <w:proofErr w:type="gramEnd"/>
    </w:p>
    <w:p w14:paraId="7064D94C"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(d)</w:t>
      </w:r>
      <w:r w:rsidRPr="00E95CC7">
        <w:rPr>
          <w:rFonts w:ascii="Times New Roman" w:eastAsia="Times New Roman" w:hAnsi="Times New Roman" w:cs="Times New Roman"/>
          <w:sz w:val="20"/>
          <w:szCs w:val="20"/>
        </w:rPr>
        <w:tab/>
        <w:t xml:space="preserve">Provisions of relevant national </w:t>
      </w:r>
      <w:proofErr w:type="gramStart"/>
      <w:r w:rsidRPr="00E95CC7">
        <w:rPr>
          <w:rFonts w:ascii="Times New Roman" w:eastAsia="Times New Roman" w:hAnsi="Times New Roman" w:cs="Times New Roman"/>
          <w:sz w:val="20"/>
          <w:szCs w:val="20"/>
        </w:rPr>
        <w:t>law;</w:t>
      </w:r>
      <w:proofErr w:type="gramEnd"/>
    </w:p>
    <w:p w14:paraId="67F12062"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(e)</w:t>
      </w:r>
      <w:r w:rsidRPr="00E95CC7">
        <w:rPr>
          <w:rFonts w:ascii="Times New Roman" w:eastAsia="Times New Roman" w:hAnsi="Times New Roman" w:cs="Times New Roman"/>
          <w:sz w:val="20"/>
          <w:szCs w:val="20"/>
        </w:rPr>
        <w:tab/>
        <w:t xml:space="preserve">Related provisions of the </w:t>
      </w:r>
      <w:proofErr w:type="gramStart"/>
      <w:r w:rsidRPr="00E95CC7">
        <w:rPr>
          <w:rFonts w:ascii="Times New Roman" w:eastAsia="Times New Roman" w:hAnsi="Times New Roman" w:cs="Times New Roman"/>
          <w:sz w:val="20"/>
          <w:szCs w:val="20"/>
        </w:rPr>
        <w:t>Convention;</w:t>
      </w:r>
      <w:proofErr w:type="gramEnd"/>
    </w:p>
    <w:p w14:paraId="28743F79"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(f)</w:t>
      </w:r>
      <w:r w:rsidRPr="00E95CC7">
        <w:rPr>
          <w:rFonts w:ascii="Times New Roman" w:eastAsia="Times New Roman" w:hAnsi="Times New Roman" w:cs="Times New Roman"/>
          <w:sz w:val="20"/>
          <w:szCs w:val="20"/>
        </w:rPr>
        <w:tab/>
        <w:t>Types of claims (</w:t>
      </w:r>
      <w:proofErr w:type="gramStart"/>
      <w:r w:rsidRPr="00E95CC7">
        <w:rPr>
          <w:rFonts w:ascii="Times New Roman" w:eastAsia="Times New Roman" w:hAnsi="Times New Roman" w:cs="Times New Roman"/>
          <w:sz w:val="20"/>
          <w:szCs w:val="20"/>
        </w:rPr>
        <w:t>e.g.</w:t>
      </w:r>
      <w:proofErr w:type="gramEnd"/>
      <w:r w:rsidRPr="00E95CC7">
        <w:rPr>
          <w:rFonts w:ascii="Times New Roman" w:eastAsia="Times New Roman" w:hAnsi="Times New Roman" w:cs="Times New Roman"/>
          <w:sz w:val="20"/>
          <w:szCs w:val="20"/>
        </w:rPr>
        <w:t xml:space="preserve"> substantive or procedural);</w:t>
      </w:r>
    </w:p>
    <w:p w14:paraId="0EB3BFB4" w14:textId="58EF4254"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lastRenderedPageBreak/>
        <w:t>(g)</w:t>
      </w:r>
      <w:r w:rsidRPr="00E95CC7">
        <w:rPr>
          <w:rFonts w:ascii="Times New Roman" w:eastAsia="Times New Roman" w:hAnsi="Times New Roman" w:cs="Times New Roman"/>
          <w:sz w:val="20"/>
          <w:szCs w:val="20"/>
        </w:rPr>
        <w:tab/>
        <w:t xml:space="preserve">Challenged decisions, acts and omissions at various stages of the complex decision-making procedure on energy-related matters (for example, new activity or </w:t>
      </w:r>
      <w:r w:rsidR="000F28AD">
        <w:rPr>
          <w:rFonts w:ascii="Times New Roman" w:eastAsia="Times New Roman" w:hAnsi="Times New Roman" w:cs="Times New Roman"/>
          <w:sz w:val="20"/>
          <w:szCs w:val="20"/>
        </w:rPr>
        <w:t xml:space="preserve">its </w:t>
      </w:r>
      <w:r w:rsidRPr="00E95CC7">
        <w:rPr>
          <w:rFonts w:ascii="Times New Roman" w:eastAsia="Times New Roman" w:hAnsi="Times New Roman" w:cs="Times New Roman"/>
          <w:sz w:val="20"/>
          <w:szCs w:val="20"/>
        </w:rPr>
        <w:t>reconsideration or update of operating conditions</w:t>
      </w:r>
      <w:r w:rsidR="00F86E06">
        <w:rPr>
          <w:rFonts w:ascii="Times New Roman" w:eastAsia="Times New Roman" w:hAnsi="Times New Roman" w:cs="Times New Roman"/>
          <w:sz w:val="20"/>
          <w:szCs w:val="20"/>
        </w:rPr>
        <w:t xml:space="preserve">; </w:t>
      </w:r>
      <w:r w:rsidR="00F86E06" w:rsidRPr="00311564">
        <w:rPr>
          <w:rFonts w:ascii="Times New Roman" w:eastAsia="Times New Roman" w:hAnsi="Times New Roman" w:cs="Times New Roman"/>
          <w:sz w:val="20"/>
          <w:szCs w:val="20"/>
        </w:rPr>
        <w:t>strategic environmental assessment or environmental impact assessment</w:t>
      </w:r>
      <w:r w:rsidR="00F86E06">
        <w:rPr>
          <w:rFonts w:ascii="Times New Roman" w:eastAsia="Times New Roman" w:hAnsi="Times New Roman" w:cs="Times New Roman"/>
          <w:sz w:val="20"/>
          <w:szCs w:val="20"/>
        </w:rPr>
        <w:t xml:space="preserve"> procedures</w:t>
      </w:r>
      <w:proofErr w:type="gramStart"/>
      <w:r w:rsidRPr="00E95CC7">
        <w:rPr>
          <w:rFonts w:ascii="Times New Roman" w:eastAsia="Times New Roman" w:hAnsi="Times New Roman" w:cs="Times New Roman"/>
          <w:sz w:val="20"/>
          <w:szCs w:val="20"/>
        </w:rPr>
        <w:t>);</w:t>
      </w:r>
      <w:proofErr w:type="gramEnd"/>
    </w:p>
    <w:p w14:paraId="20CE1F74" w14:textId="4A1802A4"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(h)</w:t>
      </w:r>
      <w:r w:rsidRPr="00E95CC7">
        <w:rPr>
          <w:rFonts w:ascii="Times New Roman" w:eastAsia="Times New Roman" w:hAnsi="Times New Roman" w:cs="Times New Roman"/>
          <w:sz w:val="20"/>
          <w:szCs w:val="20"/>
        </w:rPr>
        <w:tab/>
        <w:t xml:space="preserve">Affected stage of public participation procedure in energy-related decision-making (for example (i) early, adequate and effective notice; (ii) early public participation, when all options are open, and reasonable time frames; (iii) access to all relevant information; (iv) opportunity to comment and/or be heard; (v) due account to be taken of public participation; (vi) prompt notice of </w:t>
      </w:r>
      <w:proofErr w:type="gramStart"/>
      <w:r w:rsidRPr="00E95CC7">
        <w:rPr>
          <w:rFonts w:ascii="Times New Roman" w:eastAsia="Times New Roman" w:hAnsi="Times New Roman" w:cs="Times New Roman"/>
          <w:sz w:val="20"/>
          <w:szCs w:val="20"/>
        </w:rPr>
        <w:t>decision;</w:t>
      </w:r>
      <w:proofErr w:type="gramEnd"/>
      <w:r w:rsidRPr="00E95CC7">
        <w:rPr>
          <w:rFonts w:ascii="Times New Roman" w:eastAsia="Times New Roman" w:hAnsi="Times New Roman" w:cs="Times New Roman"/>
          <w:sz w:val="20"/>
          <w:szCs w:val="20"/>
        </w:rPr>
        <w:t xml:space="preserve"> </w:t>
      </w:r>
    </w:p>
    <w:p w14:paraId="1E996E6C" w14:textId="4436BF96"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(i)</w:t>
      </w:r>
      <w:r w:rsidRPr="00E95CC7">
        <w:rPr>
          <w:rFonts w:ascii="Times New Roman" w:eastAsia="Times New Roman" w:hAnsi="Times New Roman" w:cs="Times New Roman"/>
          <w:sz w:val="20"/>
          <w:szCs w:val="20"/>
        </w:rPr>
        <w:tab/>
        <w:t xml:space="preserve">Forum to settle the case (administrative </w:t>
      </w:r>
      <w:r w:rsidR="00113239">
        <w:rPr>
          <w:rFonts w:ascii="Times New Roman" w:eastAsia="Times New Roman" w:hAnsi="Times New Roman" w:cs="Times New Roman"/>
          <w:sz w:val="20"/>
          <w:szCs w:val="20"/>
        </w:rPr>
        <w:t>review p</w:t>
      </w:r>
      <w:r w:rsidRPr="00E95CC7">
        <w:rPr>
          <w:rFonts w:ascii="Times New Roman" w:eastAsia="Times New Roman" w:hAnsi="Times New Roman" w:cs="Times New Roman"/>
          <w:sz w:val="20"/>
          <w:szCs w:val="20"/>
        </w:rPr>
        <w:t xml:space="preserve">rocedure, judicial </w:t>
      </w:r>
      <w:r w:rsidR="00113239">
        <w:rPr>
          <w:rFonts w:ascii="Times New Roman" w:eastAsia="Times New Roman" w:hAnsi="Times New Roman" w:cs="Times New Roman"/>
          <w:sz w:val="20"/>
          <w:szCs w:val="20"/>
        </w:rPr>
        <w:t xml:space="preserve">review </w:t>
      </w:r>
      <w:r w:rsidRPr="00E95CC7">
        <w:rPr>
          <w:rFonts w:ascii="Times New Roman" w:eastAsia="Times New Roman" w:hAnsi="Times New Roman" w:cs="Times New Roman"/>
          <w:sz w:val="20"/>
          <w:szCs w:val="20"/>
        </w:rPr>
        <w:t>procedure, international financial institutions complaints mechanism, alternative dispute resolution methods</w:t>
      </w:r>
      <w:proofErr w:type="gramStart"/>
      <w:r w:rsidRPr="00E95CC7">
        <w:rPr>
          <w:rFonts w:ascii="Times New Roman" w:eastAsia="Times New Roman" w:hAnsi="Times New Roman" w:cs="Times New Roman"/>
          <w:sz w:val="20"/>
          <w:szCs w:val="20"/>
        </w:rPr>
        <w:t>);</w:t>
      </w:r>
      <w:proofErr w:type="gramEnd"/>
    </w:p>
    <w:p w14:paraId="7F2DF16F"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lang w:eastAsia="en-GB"/>
        </w:rPr>
      </w:pPr>
      <w:r w:rsidRPr="00E95CC7">
        <w:rPr>
          <w:rFonts w:ascii="Times New Roman" w:eastAsia="Times New Roman" w:hAnsi="Times New Roman" w:cs="Times New Roman"/>
          <w:sz w:val="20"/>
          <w:szCs w:val="20"/>
        </w:rPr>
        <w:t>(j)</w:t>
      </w:r>
      <w:r w:rsidRPr="00E95CC7">
        <w:rPr>
          <w:rFonts w:ascii="Times New Roman" w:eastAsia="Times New Roman" w:hAnsi="Times New Roman" w:cs="Times New Roman"/>
          <w:sz w:val="20"/>
          <w:szCs w:val="20"/>
        </w:rPr>
        <w:tab/>
        <w:t xml:space="preserve">Type of cases depending on the forum </w:t>
      </w:r>
      <w:r w:rsidRPr="00E95CC7">
        <w:rPr>
          <w:rFonts w:ascii="Times New Roman" w:eastAsia="Times New Roman" w:hAnsi="Times New Roman" w:cs="Times New Roman"/>
          <w:sz w:val="20"/>
          <w:szCs w:val="20"/>
          <w:lang w:eastAsia="en-GB"/>
        </w:rPr>
        <w:t>(administrative review cases, judicial review cases (civil, administrative, criminal), alternative dispute resolution</w:t>
      </w:r>
      <w:proofErr w:type="gramStart"/>
      <w:r w:rsidRPr="00E95CC7">
        <w:rPr>
          <w:rFonts w:ascii="Times New Roman" w:eastAsia="Times New Roman" w:hAnsi="Times New Roman" w:cs="Times New Roman"/>
          <w:sz w:val="20"/>
          <w:szCs w:val="20"/>
          <w:lang w:eastAsia="en-GB"/>
        </w:rPr>
        <w:t>);</w:t>
      </w:r>
      <w:proofErr w:type="gramEnd"/>
    </w:p>
    <w:p w14:paraId="2094251D"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lang w:eastAsia="en-GB"/>
        </w:rPr>
        <w:t>(k)</w:t>
      </w:r>
      <w:r w:rsidRPr="00E95CC7">
        <w:rPr>
          <w:rFonts w:ascii="Times New Roman" w:eastAsia="Times New Roman" w:hAnsi="Times New Roman" w:cs="Times New Roman"/>
          <w:sz w:val="20"/>
          <w:szCs w:val="20"/>
          <w:lang w:eastAsia="en-GB"/>
        </w:rPr>
        <w:tab/>
      </w:r>
      <w:r w:rsidRPr="00E95CC7">
        <w:rPr>
          <w:rFonts w:ascii="Times New Roman" w:eastAsia="Times New Roman" w:hAnsi="Times New Roman" w:cs="Times New Roman"/>
          <w:sz w:val="20"/>
          <w:szCs w:val="20"/>
        </w:rPr>
        <w:t>Stage of dispute settlement: categorizing the cases based on the stage of dispute settlement (</w:t>
      </w:r>
      <w:proofErr w:type="gramStart"/>
      <w:r w:rsidRPr="00E95CC7">
        <w:rPr>
          <w:rFonts w:ascii="Times New Roman" w:eastAsia="Times New Roman" w:hAnsi="Times New Roman" w:cs="Times New Roman"/>
          <w:sz w:val="20"/>
          <w:szCs w:val="20"/>
        </w:rPr>
        <w:t>e.g.</w:t>
      </w:r>
      <w:proofErr w:type="gramEnd"/>
      <w:r w:rsidRPr="00E95CC7">
        <w:rPr>
          <w:rFonts w:ascii="Times New Roman" w:eastAsia="Times New Roman" w:hAnsi="Times New Roman" w:cs="Times New Roman"/>
          <w:sz w:val="20"/>
          <w:szCs w:val="20"/>
        </w:rPr>
        <w:t xml:space="preserve"> pre-trial, trial, judgement, appeal);</w:t>
      </w:r>
    </w:p>
    <w:p w14:paraId="6E6091B0"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(l)</w:t>
      </w:r>
      <w:r w:rsidRPr="00E95CC7">
        <w:rPr>
          <w:rFonts w:ascii="Times New Roman" w:eastAsia="Times New Roman" w:hAnsi="Times New Roman" w:cs="Times New Roman"/>
          <w:sz w:val="20"/>
          <w:szCs w:val="20"/>
        </w:rPr>
        <w:tab/>
      </w:r>
      <w:bookmarkStart w:id="1" w:name="_Hlk128807379"/>
      <w:r w:rsidRPr="00E95CC7">
        <w:rPr>
          <w:rFonts w:ascii="Times New Roman" w:eastAsia="Times New Roman" w:hAnsi="Times New Roman" w:cs="Times New Roman"/>
          <w:sz w:val="20"/>
          <w:szCs w:val="20"/>
        </w:rPr>
        <w:t xml:space="preserve">Affected access to justice </w:t>
      </w:r>
      <w:bookmarkEnd w:id="1"/>
      <w:r w:rsidRPr="00E95CC7">
        <w:rPr>
          <w:rFonts w:ascii="Times New Roman" w:eastAsia="Times New Roman" w:hAnsi="Times New Roman" w:cs="Times New Roman"/>
          <w:sz w:val="20"/>
          <w:szCs w:val="20"/>
        </w:rPr>
        <w:t>elements (</w:t>
      </w:r>
      <w:proofErr w:type="gramStart"/>
      <w:r w:rsidRPr="00E95CC7">
        <w:rPr>
          <w:rFonts w:ascii="Times New Roman" w:eastAsia="Times New Roman" w:hAnsi="Times New Roman" w:cs="Times New Roman"/>
          <w:sz w:val="20"/>
          <w:szCs w:val="20"/>
        </w:rPr>
        <w:t>e.g.</w:t>
      </w:r>
      <w:proofErr w:type="gramEnd"/>
      <w:r w:rsidRPr="00E95CC7">
        <w:rPr>
          <w:rFonts w:ascii="Times New Roman" w:eastAsia="Times New Roman" w:hAnsi="Times New Roman" w:cs="Times New Roman"/>
          <w:sz w:val="20"/>
          <w:szCs w:val="20"/>
        </w:rPr>
        <w:t xml:space="preserve"> standing, scope of review, costs, timeliness, remedies);</w:t>
      </w:r>
    </w:p>
    <w:p w14:paraId="09C20A12" w14:textId="112290A3" w:rsidR="00E95CC7" w:rsidRPr="00E95CC7" w:rsidRDefault="00E95CC7" w:rsidP="00E95CC7">
      <w:pPr>
        <w:spacing w:after="120" w:line="240" w:lineRule="auto"/>
        <w:ind w:firstLine="709"/>
        <w:jc w:val="both"/>
        <w:rPr>
          <w:rFonts w:ascii="Times New Roman" w:hAnsi="Times New Roman" w:cs="Times New Roman"/>
          <w:sz w:val="24"/>
          <w:szCs w:val="24"/>
        </w:rPr>
      </w:pPr>
      <w:r w:rsidRPr="00E95CC7">
        <w:rPr>
          <w:rFonts w:ascii="Times New Roman" w:eastAsia="Times New Roman" w:hAnsi="Times New Roman" w:cs="Times New Roman"/>
          <w:sz w:val="20"/>
          <w:szCs w:val="20"/>
        </w:rPr>
        <w:t>(m)</w:t>
      </w:r>
      <w:r w:rsidRPr="00E95CC7">
        <w:rPr>
          <w:rFonts w:ascii="Times New Roman" w:eastAsia="Times New Roman" w:hAnsi="Times New Roman" w:cs="Times New Roman"/>
          <w:sz w:val="20"/>
          <w:szCs w:val="20"/>
        </w:rPr>
        <w:tab/>
        <w:t>Outcome of settlement (</w:t>
      </w:r>
      <w:proofErr w:type="gramStart"/>
      <w:r w:rsidRPr="00E95CC7">
        <w:rPr>
          <w:rFonts w:ascii="Times New Roman" w:eastAsia="Times New Roman" w:hAnsi="Times New Roman" w:cs="Times New Roman"/>
          <w:sz w:val="20"/>
          <w:szCs w:val="20"/>
        </w:rPr>
        <w:t>e.g.</w:t>
      </w:r>
      <w:proofErr w:type="gramEnd"/>
      <w:r w:rsidRPr="00E95CC7">
        <w:rPr>
          <w:rFonts w:ascii="Times New Roman" w:eastAsia="Times New Roman" w:hAnsi="Times New Roman" w:cs="Times New Roman"/>
          <w:sz w:val="20"/>
          <w:szCs w:val="20"/>
        </w:rPr>
        <w:t xml:space="preserve"> decision in </w:t>
      </w:r>
      <w:r w:rsidR="00DE481E" w:rsidRPr="00E95CC7">
        <w:rPr>
          <w:rFonts w:ascii="Times New Roman" w:eastAsia="Times New Roman" w:hAnsi="Times New Roman" w:cs="Times New Roman"/>
          <w:sz w:val="20"/>
          <w:szCs w:val="20"/>
        </w:rPr>
        <w:t>favour</w:t>
      </w:r>
      <w:r w:rsidRPr="00E95CC7">
        <w:rPr>
          <w:rFonts w:ascii="Times New Roman" w:eastAsia="Times New Roman" w:hAnsi="Times New Roman" w:cs="Times New Roman"/>
          <w:sz w:val="20"/>
          <w:szCs w:val="20"/>
        </w:rPr>
        <w:t xml:space="preserve"> of the public, decision in </w:t>
      </w:r>
      <w:r w:rsidR="00DE481E" w:rsidRPr="00E95CC7">
        <w:rPr>
          <w:rFonts w:ascii="Times New Roman" w:eastAsia="Times New Roman" w:hAnsi="Times New Roman" w:cs="Times New Roman"/>
          <w:sz w:val="20"/>
          <w:szCs w:val="20"/>
        </w:rPr>
        <w:t>favour</w:t>
      </w:r>
      <w:r w:rsidRPr="00E95CC7">
        <w:rPr>
          <w:rFonts w:ascii="Times New Roman" w:eastAsia="Times New Roman" w:hAnsi="Times New Roman" w:cs="Times New Roman"/>
          <w:sz w:val="20"/>
          <w:szCs w:val="20"/>
        </w:rPr>
        <w:t xml:space="preserve"> of the developer, decision in </w:t>
      </w:r>
      <w:r w:rsidR="00DE481E" w:rsidRPr="00E95CC7">
        <w:rPr>
          <w:rFonts w:ascii="Times New Roman" w:eastAsia="Times New Roman" w:hAnsi="Times New Roman" w:cs="Times New Roman"/>
          <w:sz w:val="20"/>
          <w:szCs w:val="20"/>
        </w:rPr>
        <w:t>favour</w:t>
      </w:r>
      <w:r w:rsidRPr="00E95CC7">
        <w:rPr>
          <w:rFonts w:ascii="Times New Roman" w:eastAsia="Times New Roman" w:hAnsi="Times New Roman" w:cs="Times New Roman"/>
          <w:sz w:val="20"/>
          <w:szCs w:val="20"/>
        </w:rPr>
        <w:t xml:space="preserve"> of public authority, settlement agreement, etc.)</w:t>
      </w:r>
      <w:r w:rsidRPr="00E95CC7">
        <w:rPr>
          <w:rFonts w:ascii="Times New Roman" w:hAnsi="Times New Roman" w:cs="Times New Roman"/>
          <w:sz w:val="24"/>
          <w:szCs w:val="24"/>
        </w:rPr>
        <w:t>;</w:t>
      </w:r>
    </w:p>
    <w:p w14:paraId="74091533"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(n)</w:t>
      </w:r>
      <w:r w:rsidRPr="00E95CC7">
        <w:rPr>
          <w:rFonts w:ascii="Times New Roman" w:eastAsia="Times New Roman" w:hAnsi="Times New Roman" w:cs="Times New Roman"/>
          <w:sz w:val="20"/>
          <w:szCs w:val="20"/>
        </w:rPr>
        <w:tab/>
        <w:t xml:space="preserve">Geographic location of case </w:t>
      </w:r>
      <w:proofErr w:type="gramStart"/>
      <w:r w:rsidRPr="00E95CC7">
        <w:rPr>
          <w:rFonts w:ascii="Times New Roman" w:eastAsia="Times New Roman" w:hAnsi="Times New Roman" w:cs="Times New Roman"/>
          <w:sz w:val="20"/>
          <w:szCs w:val="20"/>
        </w:rPr>
        <w:t>settlement;</w:t>
      </w:r>
      <w:proofErr w:type="gramEnd"/>
    </w:p>
    <w:p w14:paraId="1B7F3C5E" w14:textId="1626D7E5" w:rsidR="00E95CC7" w:rsidRPr="00E95CC7" w:rsidRDefault="00E95CC7" w:rsidP="00E95CC7">
      <w:pPr>
        <w:spacing w:after="120" w:line="240" w:lineRule="auto"/>
        <w:jc w:val="both"/>
        <w:rPr>
          <w:rFonts w:ascii="Times New Roman" w:hAnsi="Times New Roman" w:cs="Times New Roman"/>
          <w:sz w:val="24"/>
          <w:szCs w:val="24"/>
        </w:rPr>
      </w:pPr>
      <w:r w:rsidRPr="00E95CC7">
        <w:rPr>
          <w:rFonts w:ascii="Times New Roman" w:eastAsia="Times New Roman" w:hAnsi="Times New Roman" w:cs="Times New Roman"/>
          <w:sz w:val="20"/>
          <w:szCs w:val="20"/>
        </w:rPr>
        <w:t>20.</w:t>
      </w:r>
      <w:r w:rsidRPr="00E95CC7">
        <w:rPr>
          <w:rFonts w:ascii="Times New Roman" w:eastAsia="Times New Roman" w:hAnsi="Times New Roman" w:cs="Times New Roman"/>
          <w:sz w:val="20"/>
          <w:szCs w:val="20"/>
        </w:rPr>
        <w:tab/>
        <w:t xml:space="preserve">The categories used for mapping </w:t>
      </w:r>
      <w:r w:rsidR="00DE481E">
        <w:rPr>
          <w:rFonts w:ascii="Times New Roman" w:eastAsia="Times New Roman" w:hAnsi="Times New Roman" w:cs="Times New Roman"/>
          <w:sz w:val="20"/>
          <w:szCs w:val="20"/>
        </w:rPr>
        <w:t>of information and data</w:t>
      </w:r>
      <w:r w:rsidRPr="00E95CC7">
        <w:rPr>
          <w:rFonts w:ascii="Times New Roman" w:eastAsia="Times New Roman" w:hAnsi="Times New Roman" w:cs="Times New Roman"/>
          <w:sz w:val="20"/>
          <w:szCs w:val="20"/>
        </w:rPr>
        <w:t xml:space="preserve"> will depend on the research question and the specific context of the analysis.</w:t>
      </w:r>
    </w:p>
    <w:p w14:paraId="7B3B98EB" w14:textId="4DCD6CFB" w:rsidR="00E95CC7" w:rsidRPr="00E95CC7" w:rsidRDefault="00E95CC7" w:rsidP="00E95CC7">
      <w:pPr>
        <w:spacing w:before="240" w:after="240" w:line="240" w:lineRule="auto"/>
        <w:jc w:val="both"/>
        <w:rPr>
          <w:rFonts w:ascii="Times New Roman" w:eastAsia="Times New Roman" w:hAnsi="Times New Roman" w:cs="Times New Roman"/>
          <w:i/>
          <w:iCs/>
          <w:sz w:val="20"/>
          <w:szCs w:val="20"/>
        </w:rPr>
      </w:pPr>
      <w:r w:rsidRPr="00E95CC7">
        <w:rPr>
          <w:rFonts w:ascii="Times New Roman" w:eastAsia="Times New Roman" w:hAnsi="Times New Roman" w:cs="Times New Roman"/>
          <w:i/>
          <w:iCs/>
          <w:sz w:val="20"/>
          <w:szCs w:val="20"/>
        </w:rPr>
        <w:t xml:space="preserve">Information and data </w:t>
      </w:r>
      <w:r w:rsidR="007149D6" w:rsidRPr="00E95CC7">
        <w:rPr>
          <w:rFonts w:ascii="Times New Roman" w:eastAsia="Times New Roman" w:hAnsi="Times New Roman" w:cs="Times New Roman"/>
          <w:i/>
          <w:iCs/>
          <w:sz w:val="20"/>
          <w:szCs w:val="20"/>
        </w:rPr>
        <w:t>visualization</w:t>
      </w:r>
    </w:p>
    <w:p w14:paraId="3866671B" w14:textId="3EF72C94" w:rsidR="00E95CC7" w:rsidRPr="009257F4" w:rsidRDefault="00E95CC7" w:rsidP="00E95CC7">
      <w:pPr>
        <w:spacing w:after="120" w:line="240" w:lineRule="auto"/>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21.</w:t>
      </w:r>
      <w:r w:rsidRPr="00E95CC7">
        <w:rPr>
          <w:rFonts w:ascii="Times New Roman" w:eastAsia="Times New Roman" w:hAnsi="Times New Roman" w:cs="Times New Roman"/>
          <w:sz w:val="20"/>
          <w:szCs w:val="20"/>
        </w:rPr>
        <w:tab/>
      </w:r>
      <w:r w:rsidR="006F662D" w:rsidRPr="00E95CC7">
        <w:rPr>
          <w:rFonts w:ascii="Times New Roman" w:eastAsia="Times New Roman" w:hAnsi="Times New Roman" w:cs="Times New Roman"/>
          <w:sz w:val="20"/>
          <w:szCs w:val="20"/>
        </w:rPr>
        <w:t xml:space="preserve">Visualization </w:t>
      </w:r>
      <w:r w:rsidR="00136747">
        <w:rPr>
          <w:rFonts w:ascii="Times New Roman" w:eastAsia="Times New Roman" w:hAnsi="Times New Roman" w:cs="Times New Roman"/>
          <w:sz w:val="20"/>
          <w:szCs w:val="20"/>
        </w:rPr>
        <w:t xml:space="preserve">can </w:t>
      </w:r>
      <w:r w:rsidR="006F662D">
        <w:rPr>
          <w:rFonts w:ascii="Times New Roman" w:eastAsia="Times New Roman" w:hAnsi="Times New Roman" w:cs="Times New Roman"/>
          <w:sz w:val="20"/>
          <w:szCs w:val="20"/>
        </w:rPr>
        <w:t>help</w:t>
      </w:r>
      <w:r w:rsidRPr="00E95CC7">
        <w:rPr>
          <w:rFonts w:ascii="Times New Roman" w:eastAsia="Times New Roman" w:hAnsi="Times New Roman" w:cs="Times New Roman"/>
          <w:sz w:val="20"/>
          <w:szCs w:val="20"/>
        </w:rPr>
        <w:t xml:space="preserve"> the graphical representation of information and data. By using v</w:t>
      </w:r>
      <w:hyperlink r:id="rId11" w:history="1">
        <w:r w:rsidRPr="009257F4">
          <w:rPr>
            <w:rFonts w:ascii="Times New Roman" w:eastAsia="Times New Roman" w:hAnsi="Times New Roman" w:cs="Times New Roman"/>
            <w:sz w:val="20"/>
            <w:szCs w:val="20"/>
          </w:rPr>
          <w:t>isual elements like charts, graphs, and maps</w:t>
        </w:r>
      </w:hyperlink>
      <w:r w:rsidRPr="009257F4">
        <w:rPr>
          <w:rFonts w:ascii="Times New Roman" w:eastAsia="Times New Roman" w:hAnsi="Times New Roman" w:cs="Times New Roman"/>
          <w:sz w:val="20"/>
          <w:szCs w:val="20"/>
        </w:rPr>
        <w:t xml:space="preserve">, data visualization tools can provide an accessible way for the analysis to </w:t>
      </w:r>
      <w:r w:rsidR="006F662D">
        <w:rPr>
          <w:rFonts w:ascii="Times New Roman" w:eastAsia="Times New Roman" w:hAnsi="Times New Roman" w:cs="Times New Roman"/>
          <w:sz w:val="20"/>
          <w:szCs w:val="20"/>
        </w:rPr>
        <w:t>explore</w:t>
      </w:r>
      <w:r w:rsidRPr="009257F4">
        <w:rPr>
          <w:rFonts w:ascii="Times New Roman" w:eastAsia="Times New Roman" w:hAnsi="Times New Roman" w:cs="Times New Roman"/>
          <w:sz w:val="20"/>
          <w:szCs w:val="20"/>
        </w:rPr>
        <w:t xml:space="preserve"> and understand trends, outliers, and patterns regarding public participation and access to justice in energy sector.</w:t>
      </w:r>
    </w:p>
    <w:p w14:paraId="4B8E5AD6" w14:textId="77777777" w:rsidR="00E95CC7" w:rsidRPr="00E95CC7" w:rsidRDefault="00E95CC7" w:rsidP="00E95CC7">
      <w:pPr>
        <w:spacing w:before="240" w:after="240" w:line="240" w:lineRule="auto"/>
        <w:jc w:val="both"/>
        <w:rPr>
          <w:rFonts w:ascii="Times New Roman" w:eastAsia="Times New Roman" w:hAnsi="Times New Roman" w:cs="Times New Roman"/>
          <w:i/>
          <w:iCs/>
          <w:sz w:val="20"/>
          <w:szCs w:val="20"/>
        </w:rPr>
      </w:pPr>
      <w:r w:rsidRPr="00E95CC7">
        <w:rPr>
          <w:rFonts w:ascii="Times New Roman" w:eastAsia="Times New Roman" w:hAnsi="Times New Roman" w:cs="Times New Roman"/>
          <w:i/>
          <w:iCs/>
          <w:sz w:val="20"/>
          <w:szCs w:val="20"/>
        </w:rPr>
        <w:t>Conclusion Drawing</w:t>
      </w:r>
    </w:p>
    <w:p w14:paraId="2F3FB064" w14:textId="77777777" w:rsidR="00E95CC7" w:rsidRPr="00E95CC7" w:rsidRDefault="00E95CC7" w:rsidP="00E95CC7">
      <w:pPr>
        <w:spacing w:after="120" w:line="240" w:lineRule="auto"/>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22.</w:t>
      </w:r>
      <w:r w:rsidRPr="00E95CC7">
        <w:rPr>
          <w:rFonts w:ascii="Times New Roman" w:eastAsia="Times New Roman" w:hAnsi="Times New Roman" w:cs="Times New Roman"/>
          <w:sz w:val="20"/>
          <w:szCs w:val="20"/>
        </w:rPr>
        <w:tab/>
        <w:t>The analysis can reveal:</w:t>
      </w:r>
    </w:p>
    <w:p w14:paraId="395EAE57" w14:textId="20601896"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(a)</w:t>
      </w:r>
      <w:r w:rsidRPr="00E95CC7">
        <w:rPr>
          <w:rFonts w:ascii="Times New Roman" w:eastAsia="Times New Roman" w:hAnsi="Times New Roman" w:cs="Times New Roman"/>
          <w:sz w:val="20"/>
          <w:szCs w:val="20"/>
        </w:rPr>
        <w:tab/>
      </w:r>
      <w:r w:rsidR="00267E34" w:rsidRPr="00E95CC7">
        <w:rPr>
          <w:rFonts w:ascii="Times New Roman" w:eastAsia="Times New Roman" w:hAnsi="Times New Roman" w:cs="Times New Roman"/>
          <w:sz w:val="20"/>
          <w:szCs w:val="20"/>
        </w:rPr>
        <w:t>Barriers to effective access to justice for member</w:t>
      </w:r>
      <w:r w:rsidR="00267E34">
        <w:rPr>
          <w:rFonts w:ascii="Times New Roman" w:eastAsia="Times New Roman" w:hAnsi="Times New Roman" w:cs="Times New Roman"/>
          <w:sz w:val="20"/>
          <w:szCs w:val="20"/>
        </w:rPr>
        <w:t>s</w:t>
      </w:r>
      <w:r w:rsidR="00267E34" w:rsidRPr="00E95CC7">
        <w:rPr>
          <w:rFonts w:ascii="Times New Roman" w:eastAsia="Times New Roman" w:hAnsi="Times New Roman" w:cs="Times New Roman"/>
          <w:sz w:val="20"/>
          <w:szCs w:val="20"/>
        </w:rPr>
        <w:t xml:space="preserve"> of the </w:t>
      </w:r>
      <w:proofErr w:type="gramStart"/>
      <w:r w:rsidR="00267E34" w:rsidRPr="00E95CC7">
        <w:rPr>
          <w:rFonts w:ascii="Times New Roman" w:eastAsia="Times New Roman" w:hAnsi="Times New Roman" w:cs="Times New Roman"/>
          <w:sz w:val="20"/>
          <w:szCs w:val="20"/>
        </w:rPr>
        <w:t>public;</w:t>
      </w:r>
      <w:proofErr w:type="gramEnd"/>
    </w:p>
    <w:p w14:paraId="00531A6C" w14:textId="6DC0C790"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(b)</w:t>
      </w:r>
      <w:r w:rsidRPr="00E95CC7">
        <w:rPr>
          <w:rFonts w:ascii="Times New Roman" w:eastAsia="Times New Roman" w:hAnsi="Times New Roman" w:cs="Times New Roman"/>
          <w:sz w:val="20"/>
          <w:szCs w:val="20"/>
        </w:rPr>
        <w:tab/>
      </w:r>
      <w:r w:rsidR="0090231C">
        <w:rPr>
          <w:rFonts w:ascii="Times New Roman" w:eastAsia="Times New Roman" w:hAnsi="Times New Roman" w:cs="Times New Roman"/>
          <w:sz w:val="20"/>
          <w:szCs w:val="20"/>
        </w:rPr>
        <w:t>Indirectly, p</w:t>
      </w:r>
      <w:r w:rsidR="00267E34" w:rsidRPr="00E95CC7">
        <w:rPr>
          <w:rFonts w:ascii="Times New Roman" w:eastAsia="Times New Roman" w:hAnsi="Times New Roman" w:cs="Times New Roman"/>
          <w:sz w:val="20"/>
          <w:szCs w:val="20"/>
        </w:rPr>
        <w:t xml:space="preserve">roblematic issues in decision-making in the energy sector or sub-sectors, including regarding stages of decision-making or public participation </w:t>
      </w:r>
      <w:proofErr w:type="gramStart"/>
      <w:r w:rsidR="00267E34" w:rsidRPr="00E95CC7">
        <w:rPr>
          <w:rFonts w:ascii="Times New Roman" w:eastAsia="Times New Roman" w:hAnsi="Times New Roman" w:cs="Times New Roman"/>
          <w:sz w:val="20"/>
          <w:szCs w:val="20"/>
        </w:rPr>
        <w:t>procedures;</w:t>
      </w:r>
      <w:proofErr w:type="gramEnd"/>
    </w:p>
    <w:p w14:paraId="0520BB39" w14:textId="6D4C1748" w:rsidR="00FE0C83" w:rsidRPr="00E95CC7" w:rsidRDefault="00FE0C83" w:rsidP="00FE0C83">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(d)</w:t>
      </w:r>
      <w:r w:rsidRPr="00E95CC7">
        <w:rPr>
          <w:rFonts w:ascii="Times New Roman" w:eastAsia="Times New Roman" w:hAnsi="Times New Roman" w:cs="Times New Roman"/>
          <w:sz w:val="20"/>
          <w:szCs w:val="20"/>
        </w:rPr>
        <w:tab/>
        <w:t xml:space="preserve">Issues with the compatibility of legal provisions between the provisions of national legislation implementing public participation and access-to-justice provisions in accordance with the </w:t>
      </w:r>
      <w:proofErr w:type="gramStart"/>
      <w:r w:rsidRPr="00E95CC7">
        <w:rPr>
          <w:rFonts w:ascii="Times New Roman" w:eastAsia="Times New Roman" w:hAnsi="Times New Roman" w:cs="Times New Roman"/>
          <w:sz w:val="20"/>
          <w:szCs w:val="20"/>
        </w:rPr>
        <w:t>Convention;</w:t>
      </w:r>
      <w:proofErr w:type="gramEnd"/>
    </w:p>
    <w:p w14:paraId="0F295A68" w14:textId="1B261E2B"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(c)</w:t>
      </w:r>
      <w:r w:rsidRPr="00E95CC7">
        <w:rPr>
          <w:rFonts w:ascii="Times New Roman" w:eastAsia="Times New Roman" w:hAnsi="Times New Roman" w:cs="Times New Roman"/>
          <w:sz w:val="20"/>
          <w:szCs w:val="20"/>
        </w:rPr>
        <w:tab/>
        <w:t>Geographic areas where the most disputes located and the reasons for that (</w:t>
      </w:r>
      <w:proofErr w:type="gramStart"/>
      <w:r w:rsidRPr="00E95CC7">
        <w:rPr>
          <w:rFonts w:ascii="Times New Roman" w:eastAsia="Times New Roman" w:hAnsi="Times New Roman" w:cs="Times New Roman"/>
          <w:sz w:val="20"/>
          <w:szCs w:val="20"/>
        </w:rPr>
        <w:t>e.g.</w:t>
      </w:r>
      <w:proofErr w:type="gramEnd"/>
      <w:r w:rsidRPr="00E95CC7">
        <w:rPr>
          <w:rFonts w:ascii="Times New Roman" w:eastAsia="Times New Roman" w:hAnsi="Times New Roman" w:cs="Times New Roman"/>
          <w:sz w:val="20"/>
          <w:szCs w:val="20"/>
        </w:rPr>
        <w:t xml:space="preserve"> concentration of energy</w:t>
      </w:r>
      <w:r w:rsidR="00205435">
        <w:rPr>
          <w:rFonts w:ascii="Times New Roman" w:eastAsia="Times New Roman" w:hAnsi="Times New Roman" w:cs="Times New Roman"/>
          <w:sz w:val="20"/>
          <w:szCs w:val="20"/>
        </w:rPr>
        <w:t>-related activities</w:t>
      </w:r>
      <w:r w:rsidRPr="00E95CC7">
        <w:rPr>
          <w:rFonts w:ascii="Times New Roman" w:eastAsia="Times New Roman" w:hAnsi="Times New Roman" w:cs="Times New Roman"/>
          <w:sz w:val="20"/>
          <w:szCs w:val="20"/>
        </w:rPr>
        <w:t xml:space="preserve"> or jurisdiction of </w:t>
      </w:r>
      <w:r w:rsidR="00C54B84">
        <w:rPr>
          <w:rFonts w:ascii="Times New Roman" w:eastAsia="Times New Roman" w:hAnsi="Times New Roman" w:cs="Times New Roman"/>
          <w:sz w:val="20"/>
          <w:szCs w:val="20"/>
        </w:rPr>
        <w:t xml:space="preserve">the </w:t>
      </w:r>
      <w:r w:rsidRPr="00E95CC7">
        <w:rPr>
          <w:rFonts w:ascii="Times New Roman" w:eastAsia="Times New Roman" w:hAnsi="Times New Roman" w:cs="Times New Roman"/>
          <w:sz w:val="20"/>
          <w:szCs w:val="20"/>
        </w:rPr>
        <w:t>courts);</w:t>
      </w:r>
    </w:p>
    <w:p w14:paraId="42FB11C9" w14:textId="6C610BBB" w:rsidR="00E95CC7" w:rsidRPr="00E95CC7" w:rsidRDefault="00E95CC7" w:rsidP="00E95CC7">
      <w:pPr>
        <w:spacing w:after="120" w:line="240" w:lineRule="auto"/>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23.</w:t>
      </w:r>
      <w:r w:rsidRPr="00E95CC7">
        <w:rPr>
          <w:rFonts w:ascii="Times New Roman" w:eastAsia="Times New Roman" w:hAnsi="Times New Roman" w:cs="Times New Roman"/>
          <w:sz w:val="20"/>
          <w:szCs w:val="20"/>
        </w:rPr>
        <w:tab/>
        <w:t xml:space="preserve">The outcomes of the analysis can help to identify the measures needed to improve </w:t>
      </w:r>
      <w:r w:rsidRPr="00E95CC7">
        <w:rPr>
          <w:rFonts w:asciiTheme="majorBidi" w:eastAsia="Calibri" w:hAnsiTheme="majorBidi" w:cstheme="majorBidi"/>
          <w:sz w:val="20"/>
          <w:szCs w:val="24"/>
        </w:rPr>
        <w:t>the procedures for access to justice</w:t>
      </w:r>
      <w:r w:rsidR="007833B8">
        <w:rPr>
          <w:rFonts w:asciiTheme="majorBidi" w:eastAsia="Calibri" w:hAnsiTheme="majorBidi" w:cstheme="majorBidi"/>
          <w:sz w:val="20"/>
          <w:szCs w:val="24"/>
        </w:rPr>
        <w:t xml:space="preserve"> and, indirectly</w:t>
      </w:r>
      <w:r w:rsidR="00BE154C">
        <w:rPr>
          <w:rFonts w:asciiTheme="majorBidi" w:eastAsia="Calibri" w:hAnsiTheme="majorBidi" w:cstheme="majorBidi"/>
          <w:sz w:val="20"/>
          <w:szCs w:val="24"/>
        </w:rPr>
        <w:t>,</w:t>
      </w:r>
      <w:r w:rsidRPr="00E95CC7">
        <w:rPr>
          <w:rFonts w:asciiTheme="majorBidi" w:eastAsia="Calibri" w:hAnsiTheme="majorBidi" w:cstheme="majorBidi"/>
          <w:sz w:val="20"/>
          <w:szCs w:val="24"/>
        </w:rPr>
        <w:t xml:space="preserve"> </w:t>
      </w:r>
      <w:r w:rsidR="007833B8" w:rsidRPr="00E95CC7">
        <w:rPr>
          <w:rFonts w:asciiTheme="majorBidi" w:eastAsia="Calibri" w:hAnsiTheme="majorBidi" w:cstheme="majorBidi"/>
          <w:sz w:val="20"/>
          <w:szCs w:val="24"/>
        </w:rPr>
        <w:t>public participation in decision-making</w:t>
      </w:r>
      <w:r w:rsidR="00515992">
        <w:rPr>
          <w:rFonts w:asciiTheme="majorBidi" w:eastAsia="Calibri" w:hAnsiTheme="majorBidi" w:cstheme="majorBidi"/>
          <w:sz w:val="20"/>
          <w:szCs w:val="24"/>
        </w:rPr>
        <w:t>, as well as</w:t>
      </w:r>
      <w:r w:rsidR="007833B8" w:rsidRPr="00E95CC7">
        <w:rPr>
          <w:rFonts w:asciiTheme="majorBidi" w:eastAsia="Calibri" w:hAnsiTheme="majorBidi" w:cstheme="majorBidi"/>
          <w:sz w:val="20"/>
          <w:szCs w:val="24"/>
        </w:rPr>
        <w:t xml:space="preserve"> </w:t>
      </w:r>
      <w:r w:rsidRPr="00E95CC7">
        <w:rPr>
          <w:rFonts w:asciiTheme="majorBidi" w:eastAsia="Calibri" w:hAnsiTheme="majorBidi" w:cstheme="majorBidi"/>
          <w:sz w:val="20"/>
          <w:szCs w:val="24"/>
        </w:rPr>
        <w:t xml:space="preserve">to promote </w:t>
      </w:r>
      <w:r w:rsidR="00515992">
        <w:rPr>
          <w:rFonts w:asciiTheme="majorBidi" w:eastAsia="Calibri" w:hAnsiTheme="majorBidi" w:cstheme="majorBidi"/>
          <w:sz w:val="20"/>
          <w:szCs w:val="24"/>
        </w:rPr>
        <w:t xml:space="preserve">the </w:t>
      </w:r>
      <w:r w:rsidRPr="00E95CC7">
        <w:rPr>
          <w:rFonts w:asciiTheme="majorBidi" w:eastAsia="Calibri" w:hAnsiTheme="majorBidi" w:cstheme="majorBidi"/>
          <w:sz w:val="20"/>
          <w:szCs w:val="24"/>
        </w:rPr>
        <w:t>energy-environment nexus, in particular</w:t>
      </w:r>
      <w:r w:rsidR="00C0449F">
        <w:rPr>
          <w:rFonts w:asciiTheme="majorBidi" w:eastAsia="Calibri" w:hAnsiTheme="majorBidi" w:cstheme="majorBidi"/>
          <w:sz w:val="20"/>
          <w:szCs w:val="24"/>
        </w:rPr>
        <w:t xml:space="preserve"> by</w:t>
      </w:r>
      <w:r w:rsidRPr="00E95CC7">
        <w:rPr>
          <w:rFonts w:ascii="Times New Roman" w:eastAsia="Times New Roman" w:hAnsi="Times New Roman" w:cs="Times New Roman"/>
          <w:sz w:val="20"/>
          <w:szCs w:val="20"/>
        </w:rPr>
        <w:t>:</w:t>
      </w:r>
    </w:p>
    <w:p w14:paraId="34E629D5"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(a)</w:t>
      </w:r>
      <w:r w:rsidRPr="00E95CC7">
        <w:rPr>
          <w:rFonts w:ascii="Times New Roman" w:eastAsia="Times New Roman" w:hAnsi="Times New Roman" w:cs="Times New Roman"/>
          <w:sz w:val="20"/>
          <w:szCs w:val="20"/>
        </w:rPr>
        <w:tab/>
        <w:t xml:space="preserve">Updating the legal </w:t>
      </w:r>
      <w:proofErr w:type="gramStart"/>
      <w:r w:rsidRPr="00E95CC7">
        <w:rPr>
          <w:rFonts w:ascii="Times New Roman" w:eastAsia="Times New Roman" w:hAnsi="Times New Roman" w:cs="Times New Roman"/>
          <w:sz w:val="20"/>
          <w:szCs w:val="20"/>
        </w:rPr>
        <w:t>framework;</w:t>
      </w:r>
      <w:proofErr w:type="gramEnd"/>
    </w:p>
    <w:p w14:paraId="7CDF93BC"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(b)</w:t>
      </w:r>
      <w:r w:rsidRPr="00E95CC7">
        <w:rPr>
          <w:rFonts w:ascii="Times New Roman" w:eastAsia="Times New Roman" w:hAnsi="Times New Roman" w:cs="Times New Roman"/>
          <w:sz w:val="20"/>
          <w:szCs w:val="20"/>
        </w:rPr>
        <w:tab/>
        <w:t xml:space="preserve">Developing guidance </w:t>
      </w:r>
      <w:proofErr w:type="gramStart"/>
      <w:r w:rsidRPr="00E95CC7">
        <w:rPr>
          <w:rFonts w:ascii="Times New Roman" w:eastAsia="Times New Roman" w:hAnsi="Times New Roman" w:cs="Times New Roman"/>
          <w:sz w:val="20"/>
          <w:szCs w:val="20"/>
        </w:rPr>
        <w:t>material;</w:t>
      </w:r>
      <w:proofErr w:type="gramEnd"/>
    </w:p>
    <w:p w14:paraId="28339ED1" w14:textId="69FDE468"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(c)</w:t>
      </w:r>
      <w:r w:rsidRPr="00E95CC7">
        <w:rPr>
          <w:rFonts w:ascii="Times New Roman" w:eastAsia="Times New Roman" w:hAnsi="Times New Roman" w:cs="Times New Roman"/>
          <w:sz w:val="20"/>
          <w:szCs w:val="20"/>
        </w:rPr>
        <w:tab/>
        <w:t>Implementing practical measures such as providing assistance to the public</w:t>
      </w:r>
      <w:r w:rsidR="00141904">
        <w:rPr>
          <w:rFonts w:ascii="Times New Roman" w:eastAsia="Times New Roman" w:hAnsi="Times New Roman" w:cs="Times New Roman"/>
          <w:sz w:val="20"/>
          <w:szCs w:val="20"/>
        </w:rPr>
        <w:t xml:space="preserve"> in exercising their rights in accordance with the Convention</w:t>
      </w:r>
      <w:r w:rsidRPr="00E95CC7">
        <w:rPr>
          <w:rFonts w:ascii="Times New Roman" w:eastAsia="Times New Roman" w:hAnsi="Times New Roman" w:cs="Times New Roman"/>
          <w:sz w:val="20"/>
          <w:szCs w:val="20"/>
        </w:rPr>
        <w:t xml:space="preserve"> or improving environmental impact assessment</w:t>
      </w:r>
      <w:r w:rsidR="006F5B31">
        <w:rPr>
          <w:rFonts w:ascii="Times New Roman" w:eastAsia="Times New Roman" w:hAnsi="Times New Roman" w:cs="Times New Roman"/>
          <w:sz w:val="20"/>
          <w:szCs w:val="20"/>
        </w:rPr>
        <w:t xml:space="preserve"> </w:t>
      </w:r>
      <w:r w:rsidR="009C1210">
        <w:rPr>
          <w:rFonts w:ascii="Times New Roman" w:eastAsia="Times New Roman" w:hAnsi="Times New Roman" w:cs="Times New Roman"/>
          <w:sz w:val="20"/>
          <w:szCs w:val="20"/>
        </w:rPr>
        <w:t>of</w:t>
      </w:r>
      <w:r w:rsidR="009C1210">
        <w:rPr>
          <w:rFonts w:ascii="Times New Roman" w:eastAsia="Times New Roman" w:hAnsi="Times New Roman" w:cs="Times New Roman"/>
          <w:sz w:val="20"/>
          <w:szCs w:val="20"/>
        </w:rPr>
        <w:t xml:space="preserve"> energy projects</w:t>
      </w:r>
      <w:r w:rsidR="009C1210">
        <w:rPr>
          <w:rFonts w:ascii="Times New Roman" w:eastAsia="Times New Roman" w:hAnsi="Times New Roman" w:cs="Times New Roman"/>
          <w:sz w:val="20"/>
          <w:szCs w:val="20"/>
        </w:rPr>
        <w:t xml:space="preserve"> </w:t>
      </w:r>
      <w:r w:rsidR="006F5B31">
        <w:rPr>
          <w:rFonts w:ascii="Times New Roman" w:eastAsia="Times New Roman" w:hAnsi="Times New Roman" w:cs="Times New Roman"/>
          <w:sz w:val="20"/>
          <w:szCs w:val="20"/>
        </w:rPr>
        <w:t>and strategic environmental assessment</w:t>
      </w:r>
      <w:r w:rsidR="009C1210">
        <w:rPr>
          <w:rFonts w:ascii="Times New Roman" w:eastAsia="Times New Roman" w:hAnsi="Times New Roman" w:cs="Times New Roman"/>
          <w:sz w:val="20"/>
          <w:szCs w:val="20"/>
        </w:rPr>
        <w:t xml:space="preserve"> of plans, programmes and</w:t>
      </w:r>
      <w:r w:rsidR="004302C5">
        <w:rPr>
          <w:rFonts w:ascii="Times New Roman" w:eastAsia="Times New Roman" w:hAnsi="Times New Roman" w:cs="Times New Roman"/>
          <w:sz w:val="20"/>
          <w:szCs w:val="20"/>
        </w:rPr>
        <w:t xml:space="preserve"> </w:t>
      </w:r>
      <w:proofErr w:type="gramStart"/>
      <w:r w:rsidR="009C1210">
        <w:rPr>
          <w:rFonts w:ascii="Times New Roman" w:eastAsia="Times New Roman" w:hAnsi="Times New Roman" w:cs="Times New Roman"/>
          <w:sz w:val="20"/>
          <w:szCs w:val="20"/>
        </w:rPr>
        <w:t>policies</w:t>
      </w:r>
      <w:r w:rsidRPr="00E95CC7">
        <w:rPr>
          <w:rFonts w:ascii="Times New Roman" w:eastAsia="Times New Roman" w:hAnsi="Times New Roman" w:cs="Times New Roman"/>
          <w:sz w:val="20"/>
          <w:szCs w:val="20"/>
        </w:rPr>
        <w:t>;</w:t>
      </w:r>
      <w:proofErr w:type="gramEnd"/>
    </w:p>
    <w:p w14:paraId="5F6073CB"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(d)</w:t>
      </w:r>
      <w:r w:rsidRPr="00E95CC7">
        <w:rPr>
          <w:rFonts w:ascii="Times New Roman" w:eastAsia="Times New Roman" w:hAnsi="Times New Roman" w:cs="Times New Roman"/>
          <w:sz w:val="20"/>
          <w:szCs w:val="20"/>
        </w:rPr>
        <w:tab/>
        <w:t xml:space="preserve">Implementing enforcement </w:t>
      </w:r>
      <w:proofErr w:type="gramStart"/>
      <w:r w:rsidRPr="00E95CC7">
        <w:rPr>
          <w:rFonts w:ascii="Times New Roman" w:eastAsia="Times New Roman" w:hAnsi="Times New Roman" w:cs="Times New Roman"/>
          <w:sz w:val="20"/>
          <w:szCs w:val="20"/>
        </w:rPr>
        <w:t>measures;</w:t>
      </w:r>
      <w:proofErr w:type="gramEnd"/>
    </w:p>
    <w:p w14:paraId="1247119C" w14:textId="77777777" w:rsidR="00E95CC7" w:rsidRPr="00E95CC7" w:rsidRDefault="00E95CC7" w:rsidP="00E95CC7">
      <w:pPr>
        <w:spacing w:after="120" w:line="240" w:lineRule="auto"/>
        <w:ind w:firstLine="709"/>
        <w:jc w:val="both"/>
        <w:rPr>
          <w:rFonts w:ascii="Times New Roman" w:eastAsia="Times New Roman" w:hAnsi="Times New Roman" w:cs="Times New Roman"/>
          <w:sz w:val="20"/>
          <w:szCs w:val="20"/>
        </w:rPr>
      </w:pPr>
      <w:r w:rsidRPr="00E95CC7">
        <w:rPr>
          <w:rFonts w:ascii="Times New Roman" w:eastAsia="Times New Roman" w:hAnsi="Times New Roman" w:cs="Times New Roman"/>
          <w:sz w:val="20"/>
          <w:szCs w:val="20"/>
        </w:rPr>
        <w:t>(e)</w:t>
      </w:r>
      <w:r w:rsidRPr="00E95CC7">
        <w:rPr>
          <w:rFonts w:ascii="Times New Roman" w:eastAsia="Times New Roman" w:hAnsi="Times New Roman" w:cs="Times New Roman"/>
          <w:sz w:val="20"/>
          <w:szCs w:val="20"/>
        </w:rPr>
        <w:tab/>
        <w:t xml:space="preserve">Providing capacity-building support to public officials, members of the public, </w:t>
      </w:r>
      <w:proofErr w:type="gramStart"/>
      <w:r w:rsidRPr="00E95CC7">
        <w:rPr>
          <w:rFonts w:ascii="Times New Roman" w:eastAsia="Times New Roman" w:hAnsi="Times New Roman" w:cs="Times New Roman"/>
          <w:sz w:val="20"/>
          <w:szCs w:val="20"/>
        </w:rPr>
        <w:t>developers</w:t>
      </w:r>
      <w:proofErr w:type="gramEnd"/>
      <w:r w:rsidRPr="00E95CC7">
        <w:rPr>
          <w:rFonts w:ascii="Times New Roman" w:eastAsia="Times New Roman" w:hAnsi="Times New Roman" w:cs="Times New Roman"/>
          <w:sz w:val="20"/>
          <w:szCs w:val="20"/>
        </w:rPr>
        <w:t xml:space="preserve"> and other stakeholders.</w:t>
      </w:r>
    </w:p>
    <w:p w14:paraId="09D23D7A" w14:textId="3C456667" w:rsidR="003B72FD" w:rsidRDefault="00E95CC7" w:rsidP="00D103BA">
      <w:pPr>
        <w:spacing w:after="120" w:line="240" w:lineRule="auto"/>
        <w:jc w:val="both"/>
      </w:pPr>
      <w:r w:rsidRPr="00E95CC7">
        <w:rPr>
          <w:rFonts w:ascii="Times New Roman" w:eastAsia="Times New Roman" w:hAnsi="Times New Roman" w:cs="Times New Roman"/>
          <w:sz w:val="20"/>
          <w:szCs w:val="20"/>
        </w:rPr>
        <w:t>24.</w:t>
      </w:r>
      <w:r w:rsidRPr="00E95CC7">
        <w:rPr>
          <w:rFonts w:ascii="Times New Roman" w:eastAsia="Times New Roman" w:hAnsi="Times New Roman" w:cs="Times New Roman"/>
          <w:sz w:val="20"/>
          <w:szCs w:val="20"/>
        </w:rPr>
        <w:tab/>
        <w:t xml:space="preserve">These </w:t>
      </w:r>
      <w:r w:rsidR="009D7207">
        <w:rPr>
          <w:rFonts w:ascii="Times New Roman" w:eastAsia="Times New Roman" w:hAnsi="Times New Roman" w:cs="Times New Roman"/>
          <w:sz w:val="20"/>
          <w:szCs w:val="20"/>
        </w:rPr>
        <w:t>measures</w:t>
      </w:r>
      <w:r w:rsidRPr="00E95CC7">
        <w:rPr>
          <w:rFonts w:ascii="Times New Roman" w:eastAsia="Times New Roman" w:hAnsi="Times New Roman" w:cs="Times New Roman"/>
          <w:sz w:val="20"/>
          <w:szCs w:val="20"/>
        </w:rPr>
        <w:t xml:space="preserve"> can be tailored to address the specific problematic issues identified in the analysis and improve access to justice </w:t>
      </w:r>
      <w:r w:rsidR="00FD2281">
        <w:rPr>
          <w:rFonts w:ascii="Times New Roman" w:eastAsia="Times New Roman" w:hAnsi="Times New Roman" w:cs="Times New Roman"/>
          <w:sz w:val="20"/>
          <w:szCs w:val="20"/>
        </w:rPr>
        <w:t xml:space="preserve">and indirectly, </w:t>
      </w:r>
      <w:r w:rsidR="00FD2281" w:rsidRPr="00E95CC7">
        <w:rPr>
          <w:rFonts w:ascii="Times New Roman" w:eastAsia="Times New Roman" w:hAnsi="Times New Roman" w:cs="Times New Roman"/>
          <w:sz w:val="20"/>
          <w:szCs w:val="20"/>
        </w:rPr>
        <w:t>public participation in decision-making in the energy sector</w:t>
      </w:r>
      <w:r w:rsidR="00B724A6">
        <w:rPr>
          <w:rFonts w:ascii="Times New Roman" w:eastAsia="Times New Roman" w:hAnsi="Times New Roman" w:cs="Times New Roman"/>
          <w:sz w:val="20"/>
          <w:szCs w:val="20"/>
        </w:rPr>
        <w:t>.</w:t>
      </w:r>
    </w:p>
    <w:sectPr w:rsidR="003B72F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645F" w14:textId="77777777" w:rsidR="00F7008E" w:rsidRDefault="00F7008E" w:rsidP="00E95CC7">
      <w:pPr>
        <w:spacing w:after="0" w:line="240" w:lineRule="auto"/>
      </w:pPr>
      <w:r>
        <w:separator/>
      </w:r>
    </w:p>
  </w:endnote>
  <w:endnote w:type="continuationSeparator" w:id="0">
    <w:p w14:paraId="2BFBAD23" w14:textId="77777777" w:rsidR="00F7008E" w:rsidRDefault="00F7008E" w:rsidP="00E95CC7">
      <w:pPr>
        <w:spacing w:after="0" w:line="240" w:lineRule="auto"/>
      </w:pPr>
      <w:r>
        <w:continuationSeparator/>
      </w:r>
    </w:p>
  </w:endnote>
  <w:endnote w:type="continuationNotice" w:id="1">
    <w:p w14:paraId="0696746E" w14:textId="77777777" w:rsidR="00F7008E" w:rsidRDefault="00F70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F8F0" w14:textId="77777777" w:rsidR="00F7008E" w:rsidRDefault="00F7008E" w:rsidP="00E95CC7">
      <w:pPr>
        <w:spacing w:after="0" w:line="240" w:lineRule="auto"/>
      </w:pPr>
      <w:r>
        <w:separator/>
      </w:r>
    </w:p>
  </w:footnote>
  <w:footnote w:type="continuationSeparator" w:id="0">
    <w:p w14:paraId="75A20C5A" w14:textId="77777777" w:rsidR="00F7008E" w:rsidRDefault="00F7008E" w:rsidP="00E95CC7">
      <w:pPr>
        <w:spacing w:after="0" w:line="240" w:lineRule="auto"/>
      </w:pPr>
      <w:r>
        <w:continuationSeparator/>
      </w:r>
    </w:p>
  </w:footnote>
  <w:footnote w:type="continuationNotice" w:id="1">
    <w:p w14:paraId="54E36629" w14:textId="77777777" w:rsidR="00F7008E" w:rsidRDefault="00F7008E">
      <w:pPr>
        <w:spacing w:after="0" w:line="240" w:lineRule="auto"/>
      </w:pPr>
    </w:p>
  </w:footnote>
  <w:footnote w:id="2">
    <w:p w14:paraId="11E995D6" w14:textId="77777777" w:rsidR="00E95CC7" w:rsidRPr="00EC193F" w:rsidRDefault="00E95CC7" w:rsidP="00E95CC7">
      <w:pPr>
        <w:pStyle w:val="FootnoteText"/>
        <w:rPr>
          <w:rFonts w:asciiTheme="majorBidi" w:hAnsiTheme="majorBidi" w:cstheme="majorBidi" w:hint="default"/>
          <w:sz w:val="16"/>
          <w:szCs w:val="16"/>
          <w:lang w:val="en-US"/>
        </w:rPr>
      </w:pPr>
      <w:r w:rsidRPr="00EC193F">
        <w:rPr>
          <w:rStyle w:val="FootnoteReference"/>
          <w:rFonts w:asciiTheme="majorBidi" w:hAnsiTheme="majorBidi" w:cstheme="majorBidi" w:hint="default"/>
          <w:sz w:val="16"/>
          <w:szCs w:val="16"/>
        </w:rPr>
        <w:footnoteRef/>
      </w:r>
      <w:r w:rsidRPr="00EC193F">
        <w:rPr>
          <w:rFonts w:asciiTheme="majorBidi" w:hAnsiTheme="majorBidi" w:cstheme="majorBidi" w:hint="default"/>
          <w:sz w:val="16"/>
          <w:szCs w:val="16"/>
        </w:rPr>
        <w:t xml:space="preserve"> See </w:t>
      </w:r>
      <w:hyperlink r:id="rId1" w:history="1">
        <w:r w:rsidRPr="00EC193F">
          <w:rPr>
            <w:rStyle w:val="Hyperlink"/>
            <w:rFonts w:asciiTheme="majorBidi" w:hAnsiTheme="majorBidi" w:cstheme="majorBidi" w:hint="default"/>
            <w:sz w:val="16"/>
            <w:szCs w:val="16"/>
          </w:rPr>
          <w:t>https://unece.org/info/Environmental-Policy/Public-Participation/events/364935</w:t>
        </w:r>
      </w:hyperlink>
      <w:r w:rsidRPr="00EC193F">
        <w:rPr>
          <w:rFonts w:asciiTheme="majorBidi" w:hAnsiTheme="majorBidi" w:cstheme="majorBidi" w:hint="default"/>
          <w:sz w:val="16"/>
          <w:szCs w:val="16"/>
        </w:rPr>
        <w:t xml:space="preserve">  </w:t>
      </w:r>
    </w:p>
  </w:footnote>
  <w:footnote w:id="3">
    <w:p w14:paraId="4925F787" w14:textId="77777777" w:rsidR="00E95CC7" w:rsidRPr="00D44A49" w:rsidRDefault="00E95CC7" w:rsidP="00E95CC7">
      <w:pPr>
        <w:pStyle w:val="FootnoteText"/>
        <w:rPr>
          <w:rFonts w:asciiTheme="majorBidi" w:hAnsiTheme="majorBidi" w:cstheme="majorBidi" w:hint="default"/>
          <w:sz w:val="16"/>
          <w:szCs w:val="16"/>
          <w:highlight w:val="yellow"/>
        </w:rPr>
      </w:pPr>
      <w:r w:rsidRPr="00D44A49">
        <w:rPr>
          <w:rStyle w:val="FootnoteReference"/>
          <w:rFonts w:asciiTheme="majorBidi" w:hAnsiTheme="majorBidi" w:cstheme="majorBidi" w:hint="default"/>
          <w:sz w:val="16"/>
          <w:szCs w:val="16"/>
        </w:rPr>
        <w:footnoteRef/>
      </w:r>
      <w:r w:rsidRPr="00D44A49">
        <w:rPr>
          <w:rFonts w:asciiTheme="majorBidi" w:hAnsiTheme="majorBidi" w:cstheme="majorBidi" w:hint="default"/>
          <w:sz w:val="16"/>
          <w:szCs w:val="16"/>
        </w:rPr>
        <w:t xml:space="preserve"> See decision VII/3, para. 14 (a) (iii) available from </w:t>
      </w:r>
      <w:hyperlink r:id="rId2" w:history="1">
        <w:r w:rsidRPr="00D44A49">
          <w:rPr>
            <w:rStyle w:val="Hyperlink"/>
            <w:rFonts w:asciiTheme="majorBidi" w:hAnsiTheme="majorBidi" w:cstheme="majorBidi" w:hint="default"/>
            <w:sz w:val="16"/>
            <w:szCs w:val="16"/>
          </w:rPr>
          <w:t>https://unece.org/environment/documents/2023/02/working-documents/decision-vii3-access-justice</w:t>
        </w:r>
      </w:hyperlink>
      <w:r w:rsidRPr="00D44A49">
        <w:rPr>
          <w:rFonts w:asciiTheme="majorBidi" w:hAnsiTheme="majorBidi" w:cstheme="majorBidi" w:hint="default"/>
          <w:sz w:val="16"/>
          <w:szCs w:val="16"/>
        </w:rPr>
        <w:t xml:space="preserve"> .</w:t>
      </w:r>
    </w:p>
  </w:footnote>
  <w:footnote w:id="4">
    <w:p w14:paraId="54422E9F" w14:textId="27CB882E" w:rsidR="009E7A37" w:rsidRPr="009E7A37" w:rsidRDefault="009E7A37">
      <w:pPr>
        <w:pStyle w:val="FootnoteText"/>
        <w:rPr>
          <w:rFonts w:asciiTheme="majorBidi" w:hAnsiTheme="majorBidi" w:cstheme="majorBidi" w:hint="default"/>
          <w:sz w:val="16"/>
          <w:szCs w:val="16"/>
        </w:rPr>
      </w:pPr>
      <w:r w:rsidRPr="009E7A37">
        <w:rPr>
          <w:rStyle w:val="FootnoteReference"/>
          <w:rFonts w:asciiTheme="majorBidi" w:hAnsiTheme="majorBidi" w:cstheme="majorBidi" w:hint="default"/>
          <w:sz w:val="16"/>
          <w:szCs w:val="16"/>
        </w:rPr>
        <w:footnoteRef/>
      </w:r>
      <w:r w:rsidRPr="009E7A37">
        <w:rPr>
          <w:rFonts w:asciiTheme="majorBidi" w:hAnsiTheme="majorBidi" w:cstheme="majorBidi" w:hint="default"/>
          <w:sz w:val="16"/>
          <w:szCs w:val="16"/>
        </w:rPr>
        <w:t xml:space="preserve"> See </w:t>
      </w:r>
      <w:r w:rsidR="005329E6">
        <w:rPr>
          <w:rFonts w:asciiTheme="majorBidi" w:hAnsiTheme="majorBidi" w:cstheme="majorBidi" w:hint="default"/>
          <w:sz w:val="16"/>
          <w:szCs w:val="16"/>
        </w:rPr>
        <w:t xml:space="preserve">document </w:t>
      </w:r>
      <w:r w:rsidR="005E799F" w:rsidRPr="005E799F">
        <w:rPr>
          <w:rFonts w:asciiTheme="majorBidi" w:hAnsiTheme="majorBidi" w:cstheme="majorBidi"/>
          <w:sz w:val="16"/>
          <w:szCs w:val="16"/>
        </w:rPr>
        <w:t>ECE/</w:t>
      </w:r>
      <w:proofErr w:type="gramStart"/>
      <w:r w:rsidR="005E799F" w:rsidRPr="005E799F">
        <w:rPr>
          <w:rFonts w:asciiTheme="majorBidi" w:hAnsiTheme="majorBidi" w:cstheme="majorBidi"/>
          <w:sz w:val="16"/>
          <w:szCs w:val="16"/>
        </w:rPr>
        <w:t>MP.PP</w:t>
      </w:r>
      <w:proofErr w:type="gramEnd"/>
      <w:r w:rsidR="005E799F" w:rsidRPr="005E799F">
        <w:rPr>
          <w:rFonts w:asciiTheme="majorBidi" w:hAnsiTheme="majorBidi" w:cstheme="majorBidi"/>
          <w:sz w:val="16"/>
          <w:szCs w:val="16"/>
        </w:rPr>
        <w:t>/WG.1/2022/3</w:t>
      </w:r>
      <w:r w:rsidR="005E799F">
        <w:rPr>
          <w:rFonts w:asciiTheme="majorBidi" w:hAnsiTheme="majorBidi" w:cstheme="majorBidi" w:hint="default"/>
          <w:sz w:val="16"/>
          <w:szCs w:val="16"/>
        </w:rPr>
        <w:t xml:space="preserve">, para. </w:t>
      </w:r>
      <w:r w:rsidR="006D7CEB">
        <w:rPr>
          <w:rFonts w:asciiTheme="majorBidi" w:hAnsiTheme="majorBidi" w:cstheme="majorBidi" w:hint="default"/>
          <w:sz w:val="16"/>
          <w:szCs w:val="16"/>
        </w:rPr>
        <w:t xml:space="preserve">27, available from </w:t>
      </w:r>
      <w:hyperlink r:id="rId3" w:history="1">
        <w:r w:rsidR="006D7CEB" w:rsidRPr="002E5DD3">
          <w:rPr>
            <w:rStyle w:val="Hyperlink"/>
            <w:rFonts w:asciiTheme="majorBidi" w:hAnsiTheme="majorBidi" w:cstheme="majorBidi"/>
            <w:sz w:val="16"/>
            <w:szCs w:val="16"/>
          </w:rPr>
          <w:t>https://unece.org/info/Environmental-Policy/Public-Participation/events/364935</w:t>
        </w:r>
      </w:hyperlink>
      <w:r w:rsidR="006D7CEB">
        <w:rPr>
          <w:rFonts w:asciiTheme="majorBidi" w:hAnsiTheme="majorBidi" w:cstheme="majorBidi" w:hint="default"/>
          <w:sz w:val="16"/>
          <w:szCs w:val="16"/>
        </w:rPr>
        <w:t xml:space="preserve"> </w:t>
      </w:r>
    </w:p>
  </w:footnote>
  <w:footnote w:id="5">
    <w:p w14:paraId="5095C624" w14:textId="77777777" w:rsidR="00E95CC7" w:rsidRPr="003374B2" w:rsidRDefault="00E95CC7" w:rsidP="00E95CC7">
      <w:pPr>
        <w:pStyle w:val="FootnoteText"/>
        <w:rPr>
          <w:rFonts w:asciiTheme="majorBidi" w:eastAsia="Times New Roman" w:hAnsiTheme="majorBidi" w:cstheme="majorBidi" w:hint="default"/>
          <w:sz w:val="16"/>
          <w:szCs w:val="16"/>
        </w:rPr>
      </w:pPr>
      <w:r w:rsidRPr="003374B2">
        <w:rPr>
          <w:rStyle w:val="FootnoteReference"/>
          <w:rFonts w:asciiTheme="majorBidi" w:hAnsiTheme="majorBidi" w:cstheme="majorBidi" w:hint="default"/>
          <w:sz w:val="16"/>
          <w:szCs w:val="16"/>
        </w:rPr>
        <w:footnoteRef/>
      </w:r>
      <w:r w:rsidRPr="003374B2">
        <w:rPr>
          <w:rFonts w:asciiTheme="majorBidi" w:hAnsiTheme="majorBidi" w:cstheme="majorBidi" w:hint="default"/>
          <w:sz w:val="16"/>
          <w:szCs w:val="16"/>
        </w:rPr>
        <w:t xml:space="preserve"> </w:t>
      </w:r>
      <w:r w:rsidRPr="003374B2">
        <w:rPr>
          <w:rFonts w:asciiTheme="majorBidi" w:eastAsia="Times New Roman" w:hAnsiTheme="majorBidi" w:cstheme="majorBidi" w:hint="default"/>
          <w:sz w:val="16"/>
          <w:szCs w:val="16"/>
        </w:rPr>
        <w:t>See https://unstats.un.org/unsd/publication/seriesm/seriesm_4rev4e.pdf</w:t>
      </w:r>
    </w:p>
  </w:footnote>
  <w:footnote w:id="6">
    <w:p w14:paraId="1CDF3397" w14:textId="77777777" w:rsidR="00E95CC7" w:rsidRPr="003374B2" w:rsidRDefault="00E95CC7" w:rsidP="00E95CC7">
      <w:pPr>
        <w:pStyle w:val="FootnoteText"/>
        <w:rPr>
          <w:rFonts w:asciiTheme="majorBidi" w:hAnsiTheme="majorBidi" w:cstheme="majorBidi" w:hint="default"/>
          <w:sz w:val="16"/>
          <w:szCs w:val="16"/>
        </w:rPr>
      </w:pPr>
      <w:r w:rsidRPr="003374B2">
        <w:rPr>
          <w:rStyle w:val="FootnoteReference"/>
          <w:rFonts w:asciiTheme="majorBidi" w:hAnsiTheme="majorBidi" w:cstheme="majorBidi" w:hint="default"/>
          <w:sz w:val="16"/>
          <w:szCs w:val="16"/>
        </w:rPr>
        <w:footnoteRef/>
      </w:r>
      <w:r w:rsidRPr="003374B2">
        <w:rPr>
          <w:rFonts w:asciiTheme="majorBidi" w:hAnsiTheme="majorBidi" w:cstheme="majorBidi" w:hint="default"/>
          <w:sz w:val="16"/>
          <w:szCs w:val="16"/>
        </w:rPr>
        <w:t xml:space="preserve"> </w:t>
      </w:r>
      <w:r w:rsidRPr="003374B2">
        <w:rPr>
          <w:rFonts w:asciiTheme="majorBidi" w:eastAsia="Times New Roman" w:hAnsiTheme="majorBidi" w:cstheme="majorBidi" w:hint="default"/>
          <w:sz w:val="16"/>
          <w:szCs w:val="16"/>
        </w:rPr>
        <w:t>See https://ec.europa.eu/sustainable-finance-taxonomy/sectors/sector/4/view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B6C5" w14:textId="546854DB" w:rsidR="0055060F" w:rsidRPr="0055060F" w:rsidRDefault="0055060F" w:rsidP="0055060F">
    <w:pPr>
      <w:pStyle w:val="Header"/>
      <w:jc w:val="right"/>
      <w:rPr>
        <w:rFonts w:asciiTheme="majorBidi" w:hAnsiTheme="majorBidi" w:cstheme="majorBidi"/>
        <w:b/>
        <w:bCs/>
        <w:sz w:val="20"/>
        <w:szCs w:val="20"/>
        <w:lang w:val="en-US"/>
      </w:rPr>
    </w:pPr>
    <w:r w:rsidRPr="0055060F">
      <w:rPr>
        <w:rFonts w:asciiTheme="majorBidi" w:hAnsiTheme="majorBidi" w:cstheme="majorBidi"/>
        <w:b/>
        <w:bCs/>
        <w:sz w:val="20"/>
        <w:szCs w:val="20"/>
        <w:lang w:val="en-US"/>
      </w:rPr>
      <w:t>AC/</w:t>
    </w:r>
    <w:proofErr w:type="gramStart"/>
    <w:r w:rsidRPr="0055060F">
      <w:rPr>
        <w:rFonts w:asciiTheme="majorBidi" w:hAnsiTheme="majorBidi" w:cstheme="majorBidi"/>
        <w:b/>
        <w:bCs/>
        <w:sz w:val="20"/>
        <w:szCs w:val="20"/>
        <w:lang w:val="en-US"/>
      </w:rPr>
      <w:t>TF.AJ</w:t>
    </w:r>
    <w:proofErr w:type="gramEnd"/>
    <w:r w:rsidRPr="0055060F">
      <w:rPr>
        <w:rFonts w:asciiTheme="majorBidi" w:hAnsiTheme="majorBidi" w:cstheme="majorBidi"/>
        <w:b/>
        <w:bCs/>
        <w:sz w:val="20"/>
        <w:szCs w:val="20"/>
        <w:lang w:val="en-US"/>
      </w:rPr>
      <w:t>-15/Inf.2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A6B89"/>
    <w:multiLevelType w:val="multilevel"/>
    <w:tmpl w:val="5626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0500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C7"/>
    <w:rsid w:val="000026B0"/>
    <w:rsid w:val="0001482B"/>
    <w:rsid w:val="000161FB"/>
    <w:rsid w:val="0002323E"/>
    <w:rsid w:val="00034840"/>
    <w:rsid w:val="00063037"/>
    <w:rsid w:val="0007188E"/>
    <w:rsid w:val="0007320E"/>
    <w:rsid w:val="00075270"/>
    <w:rsid w:val="000A09D6"/>
    <w:rsid w:val="000A2D12"/>
    <w:rsid w:val="000B71A8"/>
    <w:rsid w:val="000D0E67"/>
    <w:rsid w:val="000D2191"/>
    <w:rsid w:val="000D47C9"/>
    <w:rsid w:val="000E33D1"/>
    <w:rsid w:val="000E3671"/>
    <w:rsid w:val="000E5E7F"/>
    <w:rsid w:val="000F28AD"/>
    <w:rsid w:val="000F43CC"/>
    <w:rsid w:val="00113239"/>
    <w:rsid w:val="00136747"/>
    <w:rsid w:val="00141904"/>
    <w:rsid w:val="001455CE"/>
    <w:rsid w:val="00153E87"/>
    <w:rsid w:val="00153F73"/>
    <w:rsid w:val="00163E0D"/>
    <w:rsid w:val="0016570E"/>
    <w:rsid w:val="00174786"/>
    <w:rsid w:val="0019029B"/>
    <w:rsid w:val="001A7DC8"/>
    <w:rsid w:val="001B6FFE"/>
    <w:rsid w:val="00205435"/>
    <w:rsid w:val="00211293"/>
    <w:rsid w:val="00215419"/>
    <w:rsid w:val="00222B9E"/>
    <w:rsid w:val="00224B88"/>
    <w:rsid w:val="00226885"/>
    <w:rsid w:val="00227CA6"/>
    <w:rsid w:val="00235F0D"/>
    <w:rsid w:val="002363E1"/>
    <w:rsid w:val="00240587"/>
    <w:rsid w:val="0024635A"/>
    <w:rsid w:val="00247D81"/>
    <w:rsid w:val="00267E34"/>
    <w:rsid w:val="00273E8D"/>
    <w:rsid w:val="00287862"/>
    <w:rsid w:val="00287E95"/>
    <w:rsid w:val="002B1696"/>
    <w:rsid w:val="002C609B"/>
    <w:rsid w:val="002D7597"/>
    <w:rsid w:val="002E65AF"/>
    <w:rsid w:val="002E6A10"/>
    <w:rsid w:val="002E6DD5"/>
    <w:rsid w:val="002F6207"/>
    <w:rsid w:val="0030097C"/>
    <w:rsid w:val="00311151"/>
    <w:rsid w:val="00311564"/>
    <w:rsid w:val="003166B8"/>
    <w:rsid w:val="00324364"/>
    <w:rsid w:val="00324656"/>
    <w:rsid w:val="00325989"/>
    <w:rsid w:val="00326275"/>
    <w:rsid w:val="003374B2"/>
    <w:rsid w:val="0034527B"/>
    <w:rsid w:val="00345A7C"/>
    <w:rsid w:val="00353E88"/>
    <w:rsid w:val="00353FC8"/>
    <w:rsid w:val="00360307"/>
    <w:rsid w:val="003675A2"/>
    <w:rsid w:val="00372402"/>
    <w:rsid w:val="00377D84"/>
    <w:rsid w:val="00381524"/>
    <w:rsid w:val="00381567"/>
    <w:rsid w:val="00381AE8"/>
    <w:rsid w:val="003856B8"/>
    <w:rsid w:val="003B0B14"/>
    <w:rsid w:val="003B21B0"/>
    <w:rsid w:val="003B3BDC"/>
    <w:rsid w:val="003B6893"/>
    <w:rsid w:val="003B72FD"/>
    <w:rsid w:val="003C3169"/>
    <w:rsid w:val="003C31A3"/>
    <w:rsid w:val="003D3376"/>
    <w:rsid w:val="003E362E"/>
    <w:rsid w:val="003F015A"/>
    <w:rsid w:val="003F0FE4"/>
    <w:rsid w:val="00417AC1"/>
    <w:rsid w:val="00425662"/>
    <w:rsid w:val="004302C5"/>
    <w:rsid w:val="00445F5C"/>
    <w:rsid w:val="0047078F"/>
    <w:rsid w:val="00471AE7"/>
    <w:rsid w:val="0048181B"/>
    <w:rsid w:val="00492558"/>
    <w:rsid w:val="00495410"/>
    <w:rsid w:val="00497B8A"/>
    <w:rsid w:val="004B225F"/>
    <w:rsid w:val="004B287C"/>
    <w:rsid w:val="004C5D98"/>
    <w:rsid w:val="004C7DD1"/>
    <w:rsid w:val="004E4EBC"/>
    <w:rsid w:val="00504D7C"/>
    <w:rsid w:val="005101DC"/>
    <w:rsid w:val="00513718"/>
    <w:rsid w:val="00514BA8"/>
    <w:rsid w:val="00515992"/>
    <w:rsid w:val="00523F6E"/>
    <w:rsid w:val="005329E6"/>
    <w:rsid w:val="00534198"/>
    <w:rsid w:val="00540FF5"/>
    <w:rsid w:val="0055060F"/>
    <w:rsid w:val="00552DC8"/>
    <w:rsid w:val="00554D93"/>
    <w:rsid w:val="0056521F"/>
    <w:rsid w:val="00565805"/>
    <w:rsid w:val="00580139"/>
    <w:rsid w:val="005A118C"/>
    <w:rsid w:val="005A255D"/>
    <w:rsid w:val="005C1FB0"/>
    <w:rsid w:val="005D30A0"/>
    <w:rsid w:val="005D3C39"/>
    <w:rsid w:val="005E799F"/>
    <w:rsid w:val="005F3F4F"/>
    <w:rsid w:val="005F48B8"/>
    <w:rsid w:val="00605775"/>
    <w:rsid w:val="00605953"/>
    <w:rsid w:val="006114D8"/>
    <w:rsid w:val="00613C7F"/>
    <w:rsid w:val="00615D2E"/>
    <w:rsid w:val="00615F27"/>
    <w:rsid w:val="00632F10"/>
    <w:rsid w:val="0065431A"/>
    <w:rsid w:val="006604DB"/>
    <w:rsid w:val="00662DF8"/>
    <w:rsid w:val="00670FBF"/>
    <w:rsid w:val="00680D54"/>
    <w:rsid w:val="006813A2"/>
    <w:rsid w:val="006B0CE7"/>
    <w:rsid w:val="006B448D"/>
    <w:rsid w:val="006B5DBD"/>
    <w:rsid w:val="006C2F46"/>
    <w:rsid w:val="006D7CEB"/>
    <w:rsid w:val="006E5336"/>
    <w:rsid w:val="006F5B31"/>
    <w:rsid w:val="006F662D"/>
    <w:rsid w:val="007149D6"/>
    <w:rsid w:val="00717CD9"/>
    <w:rsid w:val="00731932"/>
    <w:rsid w:val="00737231"/>
    <w:rsid w:val="007412A1"/>
    <w:rsid w:val="00745654"/>
    <w:rsid w:val="00752ED2"/>
    <w:rsid w:val="00776A88"/>
    <w:rsid w:val="00780F14"/>
    <w:rsid w:val="007833B8"/>
    <w:rsid w:val="007B4349"/>
    <w:rsid w:val="007C141F"/>
    <w:rsid w:val="007C1792"/>
    <w:rsid w:val="007C6871"/>
    <w:rsid w:val="007E5084"/>
    <w:rsid w:val="007F4940"/>
    <w:rsid w:val="007F4D4B"/>
    <w:rsid w:val="008066D2"/>
    <w:rsid w:val="0081400B"/>
    <w:rsid w:val="00821D38"/>
    <w:rsid w:val="00824069"/>
    <w:rsid w:val="00833731"/>
    <w:rsid w:val="0083430D"/>
    <w:rsid w:val="00835480"/>
    <w:rsid w:val="00843D1C"/>
    <w:rsid w:val="00847B4D"/>
    <w:rsid w:val="00861806"/>
    <w:rsid w:val="008647C0"/>
    <w:rsid w:val="0088232F"/>
    <w:rsid w:val="008A6B9C"/>
    <w:rsid w:val="008B5D84"/>
    <w:rsid w:val="009008B9"/>
    <w:rsid w:val="00900AF7"/>
    <w:rsid w:val="00901CF3"/>
    <w:rsid w:val="0090231C"/>
    <w:rsid w:val="00915F6E"/>
    <w:rsid w:val="009257F4"/>
    <w:rsid w:val="00931DF8"/>
    <w:rsid w:val="00941B31"/>
    <w:rsid w:val="00941C76"/>
    <w:rsid w:val="00946788"/>
    <w:rsid w:val="00946A8A"/>
    <w:rsid w:val="0099671C"/>
    <w:rsid w:val="009A1B43"/>
    <w:rsid w:val="009A3297"/>
    <w:rsid w:val="009C1210"/>
    <w:rsid w:val="009C1D21"/>
    <w:rsid w:val="009D1D77"/>
    <w:rsid w:val="009D7207"/>
    <w:rsid w:val="009E17DF"/>
    <w:rsid w:val="009E7A37"/>
    <w:rsid w:val="009F1439"/>
    <w:rsid w:val="00A0778D"/>
    <w:rsid w:val="00A10379"/>
    <w:rsid w:val="00A12CAA"/>
    <w:rsid w:val="00A237B7"/>
    <w:rsid w:val="00A34AE8"/>
    <w:rsid w:val="00A356E1"/>
    <w:rsid w:val="00A35DD8"/>
    <w:rsid w:val="00A41703"/>
    <w:rsid w:val="00A566B2"/>
    <w:rsid w:val="00A57B08"/>
    <w:rsid w:val="00A60DD1"/>
    <w:rsid w:val="00A6137C"/>
    <w:rsid w:val="00A74C05"/>
    <w:rsid w:val="00A83366"/>
    <w:rsid w:val="00A96315"/>
    <w:rsid w:val="00A96D09"/>
    <w:rsid w:val="00AA4E05"/>
    <w:rsid w:val="00AB39C9"/>
    <w:rsid w:val="00AB5EA1"/>
    <w:rsid w:val="00AC2252"/>
    <w:rsid w:val="00AE1BBE"/>
    <w:rsid w:val="00AF10F2"/>
    <w:rsid w:val="00AF1FA0"/>
    <w:rsid w:val="00B20CC5"/>
    <w:rsid w:val="00B21614"/>
    <w:rsid w:val="00B272EA"/>
    <w:rsid w:val="00B307E3"/>
    <w:rsid w:val="00B315F4"/>
    <w:rsid w:val="00B3214F"/>
    <w:rsid w:val="00B34DF9"/>
    <w:rsid w:val="00B41A74"/>
    <w:rsid w:val="00B433B1"/>
    <w:rsid w:val="00B611AB"/>
    <w:rsid w:val="00B6284A"/>
    <w:rsid w:val="00B6421C"/>
    <w:rsid w:val="00B724A6"/>
    <w:rsid w:val="00B76511"/>
    <w:rsid w:val="00B76F9A"/>
    <w:rsid w:val="00B916F1"/>
    <w:rsid w:val="00B94DC0"/>
    <w:rsid w:val="00BB0FF8"/>
    <w:rsid w:val="00BE154C"/>
    <w:rsid w:val="00BF17D3"/>
    <w:rsid w:val="00BF3C79"/>
    <w:rsid w:val="00BF758F"/>
    <w:rsid w:val="00C0449F"/>
    <w:rsid w:val="00C26964"/>
    <w:rsid w:val="00C360CC"/>
    <w:rsid w:val="00C409AF"/>
    <w:rsid w:val="00C44411"/>
    <w:rsid w:val="00C54B84"/>
    <w:rsid w:val="00C6071F"/>
    <w:rsid w:val="00C663B3"/>
    <w:rsid w:val="00C73A27"/>
    <w:rsid w:val="00C7707B"/>
    <w:rsid w:val="00C922AE"/>
    <w:rsid w:val="00CA285D"/>
    <w:rsid w:val="00CB5855"/>
    <w:rsid w:val="00CB5BED"/>
    <w:rsid w:val="00CC2A10"/>
    <w:rsid w:val="00CD434C"/>
    <w:rsid w:val="00CF3796"/>
    <w:rsid w:val="00CF71D6"/>
    <w:rsid w:val="00D06AB4"/>
    <w:rsid w:val="00D103BA"/>
    <w:rsid w:val="00D13C8E"/>
    <w:rsid w:val="00D1518F"/>
    <w:rsid w:val="00D26D09"/>
    <w:rsid w:val="00D37B7F"/>
    <w:rsid w:val="00D44A49"/>
    <w:rsid w:val="00D478C3"/>
    <w:rsid w:val="00D546C3"/>
    <w:rsid w:val="00D67E14"/>
    <w:rsid w:val="00D73F54"/>
    <w:rsid w:val="00D75723"/>
    <w:rsid w:val="00DA6F26"/>
    <w:rsid w:val="00DA722E"/>
    <w:rsid w:val="00DC5EAD"/>
    <w:rsid w:val="00DC78C0"/>
    <w:rsid w:val="00DE481E"/>
    <w:rsid w:val="00DE62FF"/>
    <w:rsid w:val="00DE7F37"/>
    <w:rsid w:val="00DF0E37"/>
    <w:rsid w:val="00E023FC"/>
    <w:rsid w:val="00E03E3A"/>
    <w:rsid w:val="00E10C99"/>
    <w:rsid w:val="00E330A1"/>
    <w:rsid w:val="00E40001"/>
    <w:rsid w:val="00E41F5A"/>
    <w:rsid w:val="00E50EE9"/>
    <w:rsid w:val="00E547D5"/>
    <w:rsid w:val="00E5748B"/>
    <w:rsid w:val="00E62143"/>
    <w:rsid w:val="00E71D5E"/>
    <w:rsid w:val="00E843E6"/>
    <w:rsid w:val="00E95CC7"/>
    <w:rsid w:val="00E96E4B"/>
    <w:rsid w:val="00EC193F"/>
    <w:rsid w:val="00EC5292"/>
    <w:rsid w:val="00ED3D38"/>
    <w:rsid w:val="00ED6D2A"/>
    <w:rsid w:val="00EE4604"/>
    <w:rsid w:val="00F05604"/>
    <w:rsid w:val="00F117DA"/>
    <w:rsid w:val="00F15F09"/>
    <w:rsid w:val="00F20B5B"/>
    <w:rsid w:val="00F34738"/>
    <w:rsid w:val="00F35B6F"/>
    <w:rsid w:val="00F47C8C"/>
    <w:rsid w:val="00F513E7"/>
    <w:rsid w:val="00F67C80"/>
    <w:rsid w:val="00F7008E"/>
    <w:rsid w:val="00F86E06"/>
    <w:rsid w:val="00F878A9"/>
    <w:rsid w:val="00F936AE"/>
    <w:rsid w:val="00F9607A"/>
    <w:rsid w:val="00F97DCD"/>
    <w:rsid w:val="00FA1764"/>
    <w:rsid w:val="00FC06A7"/>
    <w:rsid w:val="00FC3C21"/>
    <w:rsid w:val="00FC78DC"/>
    <w:rsid w:val="00FD2281"/>
    <w:rsid w:val="00FD53BA"/>
    <w:rsid w:val="00FE0C83"/>
    <w:rsid w:val="00FE5575"/>
    <w:rsid w:val="00FF2059"/>
    <w:rsid w:val="00FF41F3"/>
    <w:rsid w:val="00FF5D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AAC99"/>
  <w15:chartTrackingRefBased/>
  <w15:docId w15:val="{015E92CA-16D7-4A9F-8CBE-5B966C6E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95CC7"/>
    <w:pPr>
      <w:spacing w:line="240" w:lineRule="auto"/>
    </w:pPr>
    <w:rPr>
      <w:sz w:val="20"/>
      <w:szCs w:val="20"/>
    </w:rPr>
  </w:style>
  <w:style w:type="character" w:customStyle="1" w:styleId="CommentTextChar">
    <w:name w:val="Comment Text Char"/>
    <w:basedOn w:val="DefaultParagraphFont"/>
    <w:link w:val="CommentText"/>
    <w:uiPriority w:val="99"/>
    <w:semiHidden/>
    <w:rsid w:val="00E95CC7"/>
    <w:rPr>
      <w:sz w:val="20"/>
      <w:szCs w:val="20"/>
    </w:rPr>
  </w:style>
  <w:style w:type="character" w:styleId="Hyperlink">
    <w:name w:val="Hyperlink"/>
    <w:basedOn w:val="DefaultParagraphFont"/>
    <w:uiPriority w:val="99"/>
    <w:unhideWhenUsed/>
    <w:rsid w:val="00E95CC7"/>
    <w:rPr>
      <w:color w:val="0000FF"/>
      <w:u w:val="single"/>
    </w:rPr>
  </w:style>
  <w:style w:type="character" w:customStyle="1" w:styleId="FootnoteTextChar">
    <w:name w:val="Footnote Text Char"/>
    <w:aliases w:val="5_G Char"/>
    <w:basedOn w:val="DefaultParagraphFont"/>
    <w:link w:val="FootnoteText"/>
    <w:semiHidden/>
    <w:locked/>
    <w:rsid w:val="00E95CC7"/>
    <w:rPr>
      <w:rFonts w:ascii="DengXian" w:hAnsi="DengXian"/>
    </w:rPr>
  </w:style>
  <w:style w:type="paragraph" w:styleId="FootnoteText">
    <w:name w:val="footnote text"/>
    <w:aliases w:val="5_G"/>
    <w:basedOn w:val="Normal"/>
    <w:link w:val="FootnoteTextChar"/>
    <w:semiHidden/>
    <w:unhideWhenUsed/>
    <w:rsid w:val="00E95CC7"/>
    <w:pPr>
      <w:spacing w:after="0" w:line="240" w:lineRule="auto"/>
    </w:pPr>
    <w:rPr>
      <w:rFonts w:ascii="DengXian" w:hAnsi="DengXian" w:hint="eastAsia"/>
    </w:rPr>
  </w:style>
  <w:style w:type="character" w:customStyle="1" w:styleId="FootnoteTextChar1">
    <w:name w:val="Footnote Text Char1"/>
    <w:basedOn w:val="DefaultParagraphFont"/>
    <w:uiPriority w:val="99"/>
    <w:semiHidden/>
    <w:rsid w:val="00E95CC7"/>
    <w:rPr>
      <w:sz w:val="20"/>
      <w:szCs w:val="20"/>
    </w:rPr>
  </w:style>
  <w:style w:type="character" w:styleId="FootnoteReference">
    <w:name w:val="footnote reference"/>
    <w:aliases w:val="4_G"/>
    <w:basedOn w:val="DefaultParagraphFont"/>
    <w:semiHidden/>
    <w:unhideWhenUsed/>
    <w:rsid w:val="00E95CC7"/>
    <w:rPr>
      <w:vertAlign w:val="superscript"/>
    </w:rPr>
  </w:style>
  <w:style w:type="character" w:styleId="CommentReference">
    <w:name w:val="annotation reference"/>
    <w:basedOn w:val="DefaultParagraphFont"/>
    <w:uiPriority w:val="99"/>
    <w:semiHidden/>
    <w:unhideWhenUsed/>
    <w:rsid w:val="00E95CC7"/>
    <w:rPr>
      <w:sz w:val="16"/>
      <w:szCs w:val="16"/>
    </w:rPr>
  </w:style>
  <w:style w:type="paragraph" w:styleId="CommentSubject">
    <w:name w:val="annotation subject"/>
    <w:basedOn w:val="CommentText"/>
    <w:next w:val="CommentText"/>
    <w:link w:val="CommentSubjectChar"/>
    <w:uiPriority w:val="99"/>
    <w:semiHidden/>
    <w:unhideWhenUsed/>
    <w:rsid w:val="002B1696"/>
    <w:rPr>
      <w:b/>
      <w:bCs/>
    </w:rPr>
  </w:style>
  <w:style w:type="character" w:customStyle="1" w:styleId="CommentSubjectChar">
    <w:name w:val="Comment Subject Char"/>
    <w:basedOn w:val="CommentTextChar"/>
    <w:link w:val="CommentSubject"/>
    <w:uiPriority w:val="99"/>
    <w:semiHidden/>
    <w:rsid w:val="002B1696"/>
    <w:rPr>
      <w:b/>
      <w:bCs/>
      <w:sz w:val="20"/>
      <w:szCs w:val="20"/>
    </w:rPr>
  </w:style>
  <w:style w:type="paragraph" w:styleId="Revision">
    <w:name w:val="Revision"/>
    <w:hidden/>
    <w:uiPriority w:val="99"/>
    <w:semiHidden/>
    <w:rsid w:val="003C3169"/>
    <w:pPr>
      <w:spacing w:after="0" w:line="240" w:lineRule="auto"/>
    </w:pPr>
  </w:style>
  <w:style w:type="paragraph" w:styleId="Header">
    <w:name w:val="header"/>
    <w:basedOn w:val="Normal"/>
    <w:link w:val="HeaderChar"/>
    <w:uiPriority w:val="99"/>
    <w:unhideWhenUsed/>
    <w:rsid w:val="00615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F27"/>
  </w:style>
  <w:style w:type="paragraph" w:styleId="Footer">
    <w:name w:val="footer"/>
    <w:basedOn w:val="Normal"/>
    <w:link w:val="FooterChar"/>
    <w:uiPriority w:val="99"/>
    <w:unhideWhenUsed/>
    <w:rsid w:val="00615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F27"/>
  </w:style>
  <w:style w:type="paragraph" w:styleId="NormalWeb">
    <w:name w:val="Normal (Web)"/>
    <w:basedOn w:val="Normal"/>
    <w:uiPriority w:val="99"/>
    <w:semiHidden/>
    <w:unhideWhenUsed/>
    <w:rsid w:val="00941C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F2059"/>
    <w:rPr>
      <w:color w:val="954F72" w:themeColor="followedHyperlink"/>
      <w:u w:val="single"/>
    </w:rPr>
  </w:style>
  <w:style w:type="character" w:styleId="UnresolvedMention">
    <w:name w:val="Unresolved Mention"/>
    <w:basedOn w:val="DefaultParagraphFont"/>
    <w:uiPriority w:val="99"/>
    <w:semiHidden/>
    <w:unhideWhenUsed/>
    <w:rsid w:val="006D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bleau.com/data-insights/reference-library/visual-analytic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ece.org/info/Environmental-Policy/Public-Participation/events/364935" TargetMode="External"/><Relationship Id="rId2" Type="http://schemas.openxmlformats.org/officeDocument/2006/relationships/hyperlink" Target="https://unece.org/environment/documents/2023/02/working-documents/decision-vii3-access-justice" TargetMode="External"/><Relationship Id="rId1" Type="http://schemas.openxmlformats.org/officeDocument/2006/relationships/hyperlink" Target="https://unece.org/info/Environmental-Policy/Public-Participation/events/364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TaxCatchAll xmlns="985ec44e-1bab-4c0b-9df0-6ba128686fc9" xsi:nil="true"/>
    <lcf76f155ced4ddcb4097134ff3c332f xmlns="218fc245-16fb-4e80-b15a-44d5324d7fea">
      <Terms xmlns="http://schemas.microsoft.com/office/infopath/2007/PartnerControls"/>
    </lcf76f155ced4ddcb4097134ff3c332f>
    <SharedWithUsers xmlns="c938e5d9-4d9f-46ad-8df2-2c223b949764">
      <UserInfo>
        <DisplayName>Maryna Yanush</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7" ma:contentTypeDescription="Create a new document." ma:contentTypeScope="" ma:versionID="8a9a3d63aa3f0d7a3d1cdb8f6f0f2ac6">
  <xsd:schema xmlns:xsd="http://www.w3.org/2001/XMLSchema" xmlns:xs="http://www.w3.org/2001/XMLSchema" xmlns:p="http://schemas.microsoft.com/office/2006/metadata/properties" xmlns:ns2="218fc245-16fb-4e80-b15a-44d5324d7fea" xmlns:ns3="c938e5d9-4d9f-46ad-8df2-2c223b949764" xmlns:ns4="985ec44e-1bab-4c0b-9df0-6ba128686fc9" targetNamespace="http://schemas.microsoft.com/office/2006/metadata/properties" ma:root="true" ma:fieldsID="6d52ad9386375eca9d1aead0b69cf68e" ns2:_="" ns3:_="" ns4:_="">
    <xsd:import namespace="218fc245-16fb-4e80-b15a-44d5324d7fea"/>
    <xsd:import namespace="c938e5d9-4d9f-46ad-8df2-2c223b94976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c7523da-940d-400f-84ca-fb46af1fc0ee}" ma:internalName="TaxCatchAll" ma:showField="CatchAllData" ma:web="c938e5d9-4d9f-46ad-8df2-2c223b949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904A1-21D7-4F2E-889D-C6947F6B24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18fc245-16fb-4e80-b15a-44d5324d7fea"/>
    <ds:schemaRef ds:uri="http://purl.org/dc/terms/"/>
    <ds:schemaRef ds:uri="985ec44e-1bab-4c0b-9df0-6ba128686fc9"/>
    <ds:schemaRef ds:uri="c938e5d9-4d9f-46ad-8df2-2c223b949764"/>
    <ds:schemaRef ds:uri="http://www.w3.org/XML/1998/namespace"/>
    <ds:schemaRef ds:uri="http://purl.org/dc/dcmitype/"/>
  </ds:schemaRefs>
</ds:datastoreItem>
</file>

<file path=customXml/itemProps2.xml><?xml version="1.0" encoding="utf-8"?>
<ds:datastoreItem xmlns:ds="http://schemas.openxmlformats.org/officeDocument/2006/customXml" ds:itemID="{46CA8261-4C5B-4F4F-A554-54D0D0BB0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45236-1C64-4F1D-972C-631B32DE353D}">
  <ds:schemaRefs>
    <ds:schemaRef ds:uri="http://schemas.openxmlformats.org/officeDocument/2006/bibliography"/>
  </ds:schemaRefs>
</ds:datastoreItem>
</file>

<file path=customXml/itemProps4.xml><?xml version="1.0" encoding="utf-8"?>
<ds:datastoreItem xmlns:ds="http://schemas.openxmlformats.org/officeDocument/2006/customXml" ds:itemID="{4859456F-0491-4D36-874C-ACD3D1BE6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Links>
    <vt:vector size="24" baseType="variant">
      <vt:variant>
        <vt:i4>1179726</vt:i4>
      </vt:variant>
      <vt:variant>
        <vt:i4>0</vt:i4>
      </vt:variant>
      <vt:variant>
        <vt:i4>0</vt:i4>
      </vt:variant>
      <vt:variant>
        <vt:i4>5</vt:i4>
      </vt:variant>
      <vt:variant>
        <vt:lpwstr>https://www.tableau.com/data-insights/reference-library/visual-analytics</vt:lpwstr>
      </vt:variant>
      <vt:variant>
        <vt:lpwstr/>
      </vt:variant>
      <vt:variant>
        <vt:i4>2687079</vt:i4>
      </vt:variant>
      <vt:variant>
        <vt:i4>3</vt:i4>
      </vt:variant>
      <vt:variant>
        <vt:i4>0</vt:i4>
      </vt:variant>
      <vt:variant>
        <vt:i4>5</vt:i4>
      </vt:variant>
      <vt:variant>
        <vt:lpwstr>https://unece.org/environment/documents/2023/02/working-documents/decision-vii3-access-justice</vt:lpwstr>
      </vt:variant>
      <vt:variant>
        <vt:lpwstr/>
      </vt:variant>
      <vt:variant>
        <vt:i4>3342462</vt:i4>
      </vt:variant>
      <vt:variant>
        <vt:i4>0</vt:i4>
      </vt:variant>
      <vt:variant>
        <vt:i4>0</vt:i4>
      </vt:variant>
      <vt:variant>
        <vt:i4>5</vt:i4>
      </vt:variant>
      <vt:variant>
        <vt:lpwstr>https://unece.org/info/Environmental-Policy/Public-Participation/events/364935</vt:lpwstr>
      </vt:variant>
      <vt:variant>
        <vt:lpwstr/>
      </vt:variant>
      <vt:variant>
        <vt:i4>5242880</vt:i4>
      </vt:variant>
      <vt:variant>
        <vt:i4>0</vt:i4>
      </vt:variant>
      <vt:variant>
        <vt:i4>0</vt:i4>
      </vt:variant>
      <vt:variant>
        <vt:i4>5</vt:i4>
      </vt:variant>
      <vt:variant>
        <vt:lpwstr>https://documents-dds-ny.un.org/doc/UNDOC/GEN/G22/612/77/pdf/G2261277.pdf?OpenElement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Yanush</dc:creator>
  <cp:keywords/>
  <dc:description/>
  <cp:lastModifiedBy>Maryna Yanush</cp:lastModifiedBy>
  <cp:revision>11</cp:revision>
  <dcterms:created xsi:type="dcterms:W3CDTF">2023-03-27T15:30:00Z</dcterms:created>
  <dcterms:modified xsi:type="dcterms:W3CDTF">2023-03-27T15:39:00Z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MediaServiceImageTags">
    <vt:lpwstr/>
  </property>
</Properties>
</file>