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09E4EE5" w14:textId="77777777" w:rsidTr="00F01738">
        <w:trPr>
          <w:trHeight w:hRule="exact" w:val="851"/>
        </w:trPr>
        <w:tc>
          <w:tcPr>
            <w:tcW w:w="1276" w:type="dxa"/>
            <w:tcBorders>
              <w:bottom w:val="single" w:sz="4" w:space="0" w:color="auto"/>
            </w:tcBorders>
          </w:tcPr>
          <w:p w14:paraId="3B44B997" w14:textId="77777777" w:rsidR="00132EA9" w:rsidRPr="00DB58B5" w:rsidRDefault="00132EA9" w:rsidP="0012021D"/>
        </w:tc>
        <w:tc>
          <w:tcPr>
            <w:tcW w:w="2268" w:type="dxa"/>
            <w:tcBorders>
              <w:bottom w:val="single" w:sz="4" w:space="0" w:color="auto"/>
            </w:tcBorders>
            <w:vAlign w:val="bottom"/>
          </w:tcPr>
          <w:p w14:paraId="5690A7F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88FEA9" w14:textId="764AB567" w:rsidR="00132EA9" w:rsidRPr="00DB58B5" w:rsidRDefault="0012021D" w:rsidP="0012021D">
            <w:pPr>
              <w:jc w:val="right"/>
            </w:pPr>
            <w:r w:rsidRPr="0012021D">
              <w:rPr>
                <w:sz w:val="40"/>
              </w:rPr>
              <w:t>ST</w:t>
            </w:r>
            <w:r>
              <w:t>/SG/AC.10/C.3/122</w:t>
            </w:r>
          </w:p>
        </w:tc>
      </w:tr>
      <w:tr w:rsidR="00132EA9" w:rsidRPr="00DB58B5" w14:paraId="48D580B8" w14:textId="77777777" w:rsidTr="00F01738">
        <w:trPr>
          <w:trHeight w:hRule="exact" w:val="2835"/>
        </w:trPr>
        <w:tc>
          <w:tcPr>
            <w:tcW w:w="1276" w:type="dxa"/>
            <w:tcBorders>
              <w:top w:val="single" w:sz="4" w:space="0" w:color="auto"/>
              <w:bottom w:val="single" w:sz="12" w:space="0" w:color="auto"/>
            </w:tcBorders>
          </w:tcPr>
          <w:p w14:paraId="64457531" w14:textId="77777777" w:rsidR="00132EA9" w:rsidRPr="00DB58B5" w:rsidRDefault="00132EA9" w:rsidP="00F01738">
            <w:pPr>
              <w:spacing w:before="120"/>
              <w:jc w:val="center"/>
            </w:pPr>
            <w:r>
              <w:rPr>
                <w:noProof/>
                <w:lang w:eastAsia="fr-CH"/>
              </w:rPr>
              <w:drawing>
                <wp:inline distT="0" distB="0" distL="0" distR="0" wp14:anchorId="48C8FE31" wp14:editId="61CC89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ADB60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12DC3E3" w14:textId="77777777" w:rsidR="00132EA9" w:rsidRDefault="0012021D" w:rsidP="00F01738">
            <w:pPr>
              <w:spacing w:before="240"/>
            </w:pPr>
            <w:r>
              <w:t xml:space="preserve">Distr. </w:t>
            </w:r>
            <w:proofErr w:type="gramStart"/>
            <w:r>
              <w:t>générale</w:t>
            </w:r>
            <w:proofErr w:type="gramEnd"/>
          </w:p>
          <w:p w14:paraId="2026C1E4" w14:textId="77777777" w:rsidR="0012021D" w:rsidRDefault="0012021D" w:rsidP="0012021D">
            <w:pPr>
              <w:spacing w:line="240" w:lineRule="exact"/>
            </w:pPr>
            <w:r>
              <w:t>21 décembre 2022</w:t>
            </w:r>
          </w:p>
          <w:p w14:paraId="3BEAB56B" w14:textId="77777777" w:rsidR="0012021D" w:rsidRDefault="0012021D" w:rsidP="0012021D">
            <w:pPr>
              <w:spacing w:line="240" w:lineRule="exact"/>
            </w:pPr>
            <w:r>
              <w:t>Français</w:t>
            </w:r>
          </w:p>
          <w:p w14:paraId="3E2C696E" w14:textId="1A9FDFDD" w:rsidR="0012021D" w:rsidRPr="00DB58B5" w:rsidRDefault="0012021D" w:rsidP="0012021D">
            <w:pPr>
              <w:spacing w:line="240" w:lineRule="exact"/>
            </w:pPr>
            <w:r>
              <w:t>Original : anglais</w:t>
            </w:r>
          </w:p>
        </w:tc>
      </w:tr>
    </w:tbl>
    <w:p w14:paraId="6B6C028D" w14:textId="36C9EBA0" w:rsidR="0012021D" w:rsidRPr="00227C12" w:rsidRDefault="0012021D" w:rsidP="0012021D">
      <w:pPr>
        <w:spacing w:before="120"/>
        <w:ind w:right="3685"/>
        <w:rPr>
          <w:b/>
          <w:sz w:val="24"/>
          <w:szCs w:val="24"/>
          <w:lang w:val="fr-FR"/>
        </w:rPr>
      </w:pPr>
      <w:r w:rsidRPr="00227C12">
        <w:rPr>
          <w:b/>
          <w:bCs/>
          <w:sz w:val="24"/>
          <w:szCs w:val="24"/>
          <w:lang w:val="fr-FR"/>
        </w:rPr>
        <w:t xml:space="preserve">Comité d’experts du transport des marchandises dangereuses et du Système général harmonisé </w:t>
      </w:r>
      <w:r w:rsidR="00227C12">
        <w:rPr>
          <w:b/>
          <w:bCs/>
          <w:sz w:val="24"/>
          <w:szCs w:val="24"/>
          <w:lang w:val="fr-FR"/>
        </w:rPr>
        <w:br/>
      </w:r>
      <w:proofErr w:type="gramStart"/>
      <w:r w:rsidRPr="00227C12">
        <w:rPr>
          <w:b/>
          <w:bCs/>
          <w:sz w:val="24"/>
          <w:szCs w:val="24"/>
          <w:lang w:val="fr-FR"/>
        </w:rPr>
        <w:t>de</w:t>
      </w:r>
      <w:proofErr w:type="gramEnd"/>
      <w:r w:rsidR="00227C12">
        <w:rPr>
          <w:b/>
          <w:bCs/>
          <w:sz w:val="24"/>
          <w:szCs w:val="24"/>
          <w:lang w:val="fr-FR"/>
        </w:rPr>
        <w:t xml:space="preserve"> </w:t>
      </w:r>
      <w:r w:rsidRPr="00227C12">
        <w:rPr>
          <w:b/>
          <w:bCs/>
          <w:sz w:val="24"/>
          <w:szCs w:val="24"/>
          <w:lang w:val="fr-FR"/>
        </w:rPr>
        <w:t xml:space="preserve">classification et d’étiquetage </w:t>
      </w:r>
      <w:r w:rsidR="00227C12">
        <w:rPr>
          <w:b/>
          <w:bCs/>
          <w:sz w:val="24"/>
          <w:szCs w:val="24"/>
          <w:lang w:val="fr-FR"/>
        </w:rPr>
        <w:br/>
      </w:r>
      <w:r w:rsidRPr="00227C12">
        <w:rPr>
          <w:b/>
          <w:bCs/>
          <w:sz w:val="24"/>
          <w:szCs w:val="24"/>
          <w:lang w:val="fr-FR"/>
        </w:rPr>
        <w:t>des produits chimiques</w:t>
      </w:r>
    </w:p>
    <w:p w14:paraId="29AAB9DC" w14:textId="77777777" w:rsidR="0012021D" w:rsidRPr="00227C12" w:rsidRDefault="0012021D" w:rsidP="0012021D">
      <w:pPr>
        <w:spacing w:before="120"/>
        <w:rPr>
          <w:rFonts w:ascii="Helv" w:hAnsi="Helv" w:cs="Helv"/>
          <w:b/>
          <w:color w:val="000000"/>
          <w:lang w:val="fr-FR"/>
        </w:rPr>
      </w:pPr>
      <w:r w:rsidRPr="00227C12">
        <w:rPr>
          <w:b/>
          <w:bCs/>
          <w:lang w:val="fr-FR"/>
        </w:rPr>
        <w:t>Sous-Comité d’experts du transport des marchandises dangereuses</w:t>
      </w:r>
    </w:p>
    <w:p w14:paraId="15A8F049" w14:textId="6FDEEFE0" w:rsidR="0012021D" w:rsidRPr="00FE7F11" w:rsidRDefault="0012021D" w:rsidP="00227C12">
      <w:pPr>
        <w:pStyle w:val="HChG"/>
        <w:rPr>
          <w:lang w:val="fr-FR"/>
        </w:rPr>
      </w:pPr>
      <w:r>
        <w:rPr>
          <w:lang w:val="fr-FR"/>
        </w:rPr>
        <w:tab/>
      </w:r>
      <w:r>
        <w:rPr>
          <w:lang w:val="fr-FR"/>
        </w:rPr>
        <w:tab/>
        <w:t xml:space="preserve">Rapport du Sous-Comité d’experts </w:t>
      </w:r>
      <w:r w:rsidR="00C37CF8">
        <w:rPr>
          <w:lang w:val="fr-FR"/>
        </w:rPr>
        <w:br/>
      </w:r>
      <w:r>
        <w:rPr>
          <w:lang w:val="fr-FR"/>
        </w:rPr>
        <w:t xml:space="preserve">du transport des marchandises dangereuses </w:t>
      </w:r>
      <w:r w:rsidR="00C37CF8">
        <w:rPr>
          <w:lang w:val="fr-FR"/>
        </w:rPr>
        <w:br/>
      </w:r>
      <w:r>
        <w:rPr>
          <w:lang w:val="fr-FR"/>
        </w:rPr>
        <w:t>sur sa soixante et unième session</w:t>
      </w:r>
    </w:p>
    <w:p w14:paraId="0D16DF50" w14:textId="40859BC2" w:rsidR="0012021D" w:rsidRDefault="0012021D" w:rsidP="00227C12">
      <w:pPr>
        <w:pStyle w:val="H56G"/>
        <w:rPr>
          <w:lang w:val="fr-FR"/>
        </w:rPr>
      </w:pPr>
      <w:r>
        <w:rPr>
          <w:lang w:val="fr-FR"/>
        </w:rPr>
        <w:tab/>
      </w:r>
      <w:r>
        <w:rPr>
          <w:lang w:val="fr-FR"/>
        </w:rPr>
        <w:tab/>
      </w:r>
      <w:proofErr w:type="gramStart"/>
      <w:r>
        <w:rPr>
          <w:lang w:val="fr-FR"/>
        </w:rPr>
        <w:t>tenue</w:t>
      </w:r>
      <w:proofErr w:type="gramEnd"/>
      <w:r>
        <w:rPr>
          <w:lang w:val="fr-FR"/>
        </w:rPr>
        <w:t xml:space="preserve"> à Genève du 28</w:t>
      </w:r>
      <w:r w:rsidR="00227C12">
        <w:rPr>
          <w:lang w:val="fr-FR"/>
        </w:rPr>
        <w:t> </w:t>
      </w:r>
      <w:r>
        <w:rPr>
          <w:lang w:val="fr-FR"/>
        </w:rPr>
        <w:t>novembre au 6</w:t>
      </w:r>
      <w:r w:rsidR="00227C12">
        <w:rPr>
          <w:lang w:val="fr-FR"/>
        </w:rPr>
        <w:t> </w:t>
      </w:r>
      <w:r>
        <w:rPr>
          <w:lang w:val="fr-FR"/>
        </w:rPr>
        <w:t>décembre 2022</w:t>
      </w:r>
    </w:p>
    <w:p w14:paraId="60B53326" w14:textId="0E054392" w:rsidR="00227C12" w:rsidRPr="00227C12" w:rsidRDefault="00227C12" w:rsidP="00C37CF8">
      <w:pPr>
        <w:spacing w:before="600" w:after="120"/>
        <w:rPr>
          <w:sz w:val="28"/>
        </w:rPr>
      </w:pPr>
      <w:r w:rsidRPr="00227C12">
        <w:rPr>
          <w:sz w:val="28"/>
        </w:rPr>
        <w:t>Table des matières</w:t>
      </w:r>
    </w:p>
    <w:p w14:paraId="7AFDE00C" w14:textId="1550C162" w:rsidR="00227C12" w:rsidRPr="00227C12" w:rsidRDefault="00227C12" w:rsidP="00227C12">
      <w:pPr>
        <w:tabs>
          <w:tab w:val="right" w:pos="8929"/>
          <w:tab w:val="right" w:pos="9638"/>
        </w:tabs>
        <w:spacing w:after="120"/>
        <w:ind w:left="283"/>
        <w:rPr>
          <w:i/>
          <w:sz w:val="18"/>
        </w:rPr>
      </w:pPr>
      <w:r w:rsidRPr="00227C12">
        <w:rPr>
          <w:i/>
          <w:sz w:val="18"/>
        </w:rPr>
        <w:tab/>
        <w:t>Paragraphes</w:t>
      </w:r>
      <w:r w:rsidRPr="00227C12">
        <w:rPr>
          <w:i/>
          <w:sz w:val="18"/>
        </w:rPr>
        <w:tab/>
        <w:t>Page</w:t>
      </w:r>
    </w:p>
    <w:p w14:paraId="7254E619" w14:textId="2EA916DD" w:rsidR="00227C12" w:rsidRDefault="00227C12" w:rsidP="00227C12">
      <w:pPr>
        <w:tabs>
          <w:tab w:val="right" w:pos="850"/>
          <w:tab w:val="right" w:leader="dot" w:pos="7654"/>
          <w:tab w:val="right" w:pos="8929"/>
          <w:tab w:val="right" w:pos="9638"/>
        </w:tabs>
        <w:spacing w:after="120"/>
        <w:ind w:left="1134" w:hanging="1134"/>
      </w:pPr>
      <w:r>
        <w:tab/>
        <w:t>I.</w:t>
      </w:r>
      <w:r>
        <w:tab/>
      </w:r>
      <w:r w:rsidR="00267960">
        <w:rPr>
          <w:lang w:val="fr-FR"/>
        </w:rPr>
        <w:t>Participation</w:t>
      </w:r>
      <w:r>
        <w:tab/>
      </w:r>
      <w:r>
        <w:tab/>
      </w:r>
      <w:r w:rsidR="00C37CF8">
        <w:t>1</w:t>
      </w:r>
      <w:r w:rsidR="00C37CF8">
        <w:noBreakHyphen/>
        <w:t>6</w:t>
      </w:r>
      <w:r>
        <w:tab/>
      </w:r>
      <w:r w:rsidR="00F37301">
        <w:t>6</w:t>
      </w:r>
    </w:p>
    <w:p w14:paraId="0E641599" w14:textId="27DEF1C8" w:rsidR="00227C12" w:rsidRDefault="00227C12" w:rsidP="00227C12">
      <w:pPr>
        <w:tabs>
          <w:tab w:val="right" w:pos="850"/>
          <w:tab w:val="right" w:leader="dot" w:pos="7654"/>
          <w:tab w:val="right" w:pos="8929"/>
          <w:tab w:val="right" w:pos="9638"/>
        </w:tabs>
        <w:spacing w:after="120"/>
        <w:ind w:left="1134" w:hanging="1134"/>
      </w:pPr>
      <w:r>
        <w:tab/>
        <w:t>II.</w:t>
      </w:r>
      <w:r>
        <w:tab/>
      </w:r>
      <w:r w:rsidR="00267960">
        <w:rPr>
          <w:lang w:val="fr-FR"/>
        </w:rPr>
        <w:t xml:space="preserve">Ouverture de la </w:t>
      </w:r>
      <w:r w:rsidR="00267960" w:rsidRPr="006F3532">
        <w:t>session</w:t>
      </w:r>
      <w:r w:rsidR="00F37301">
        <w:t xml:space="preserve"> (</w:t>
      </w:r>
      <w:r w:rsidR="00F37301" w:rsidRPr="006F3532">
        <w:t>Questions</w:t>
      </w:r>
      <w:r w:rsidR="00F37301" w:rsidRPr="00612F52">
        <w:rPr>
          <w:lang w:val="fr-FR"/>
        </w:rPr>
        <w:t xml:space="preserve"> d</w:t>
      </w:r>
      <w:r w:rsidR="00F37301">
        <w:rPr>
          <w:lang w:val="fr-FR"/>
        </w:rPr>
        <w:t>’</w:t>
      </w:r>
      <w:r w:rsidR="00F37301" w:rsidRPr="00612F52">
        <w:rPr>
          <w:lang w:val="fr-FR"/>
        </w:rPr>
        <w:t>organisation</w:t>
      </w:r>
      <w:r w:rsidR="00F37301">
        <w:rPr>
          <w:lang w:val="fr-FR"/>
        </w:rPr>
        <w:t>)</w:t>
      </w:r>
      <w:r>
        <w:tab/>
      </w:r>
      <w:r>
        <w:tab/>
      </w:r>
      <w:r w:rsidR="00C37CF8">
        <w:t>7</w:t>
      </w:r>
      <w:r>
        <w:tab/>
      </w:r>
      <w:r w:rsidR="00F37301">
        <w:t>6</w:t>
      </w:r>
    </w:p>
    <w:p w14:paraId="309D4DF9" w14:textId="2EEE42CD" w:rsidR="00227C12" w:rsidRDefault="00227C12" w:rsidP="00227C12">
      <w:pPr>
        <w:tabs>
          <w:tab w:val="right" w:pos="850"/>
          <w:tab w:val="right" w:leader="dot" w:pos="7654"/>
          <w:tab w:val="right" w:pos="8929"/>
          <w:tab w:val="right" w:pos="9638"/>
        </w:tabs>
        <w:spacing w:after="120"/>
        <w:ind w:left="1134" w:hanging="1134"/>
      </w:pPr>
      <w:r>
        <w:tab/>
        <w:t>III.</w:t>
      </w:r>
      <w:r>
        <w:tab/>
      </w:r>
      <w:r w:rsidR="00267960">
        <w:rPr>
          <w:lang w:val="fr-FR"/>
        </w:rPr>
        <w:t>Adoption de l’ordre du jour (point 1 de l’ordre du jour)</w:t>
      </w:r>
      <w:r>
        <w:tab/>
      </w:r>
      <w:r>
        <w:tab/>
      </w:r>
      <w:r w:rsidR="00C37CF8">
        <w:t>8</w:t>
      </w:r>
      <w:r>
        <w:tab/>
      </w:r>
      <w:r w:rsidR="00F37301">
        <w:t>7</w:t>
      </w:r>
    </w:p>
    <w:p w14:paraId="1DC51690" w14:textId="05856E58" w:rsidR="00227C12" w:rsidRDefault="00227C12" w:rsidP="00227C12">
      <w:pPr>
        <w:tabs>
          <w:tab w:val="right" w:pos="850"/>
          <w:tab w:val="right" w:leader="dot" w:pos="7654"/>
          <w:tab w:val="right" w:pos="8929"/>
          <w:tab w:val="right" w:pos="9638"/>
        </w:tabs>
        <w:spacing w:after="120"/>
        <w:ind w:left="1134" w:hanging="1134"/>
      </w:pPr>
      <w:r>
        <w:tab/>
        <w:t>IV.</w:t>
      </w:r>
      <w:r>
        <w:tab/>
      </w:r>
      <w:r w:rsidR="00267960" w:rsidRPr="005B6325">
        <w:rPr>
          <w:bCs/>
          <w:lang w:val="fr-FR"/>
        </w:rPr>
        <w:t xml:space="preserve">Recommandations du Sous-Comité formulées à ses cinquante-huitième, </w:t>
      </w:r>
      <w:r w:rsidR="00267960">
        <w:rPr>
          <w:bCs/>
          <w:lang w:val="fr-FR"/>
        </w:rPr>
        <w:br/>
      </w:r>
      <w:r w:rsidR="00267960" w:rsidRPr="005B6325">
        <w:rPr>
          <w:bCs/>
          <w:lang w:val="fr-FR"/>
        </w:rPr>
        <w:t xml:space="preserve">cinquante-neuvième et soixantième sessions et questions en suspens </w:t>
      </w:r>
      <w:r w:rsidR="00267960">
        <w:rPr>
          <w:bCs/>
          <w:lang w:val="fr-FR"/>
        </w:rPr>
        <w:br/>
        <w:t>(point 2 de l’ordre du jour)</w:t>
      </w:r>
      <w:r>
        <w:tab/>
      </w:r>
      <w:r>
        <w:tab/>
      </w:r>
      <w:r w:rsidR="00C37CF8">
        <w:t>9</w:t>
      </w:r>
      <w:r w:rsidR="00C37CF8">
        <w:noBreakHyphen/>
        <w:t>21</w:t>
      </w:r>
      <w:r>
        <w:tab/>
      </w:r>
      <w:r w:rsidR="00F37301">
        <w:t>7</w:t>
      </w:r>
    </w:p>
    <w:p w14:paraId="04149814" w14:textId="6AE6DE76" w:rsidR="00227C12" w:rsidRDefault="00227C12" w:rsidP="00227C12">
      <w:pPr>
        <w:tabs>
          <w:tab w:val="right" w:leader="dot" w:pos="7654"/>
          <w:tab w:val="right" w:pos="8929"/>
          <w:tab w:val="right" w:pos="9638"/>
        </w:tabs>
        <w:spacing w:after="120"/>
        <w:ind w:left="1559" w:hanging="425"/>
      </w:pPr>
      <w:r>
        <w:t>A.</w:t>
      </w:r>
      <w:r>
        <w:tab/>
      </w:r>
      <w:r w:rsidR="00267960" w:rsidRPr="005B6325">
        <w:rPr>
          <w:lang w:val="fr-FR"/>
        </w:rPr>
        <w:t>Examen des projets d</w:t>
      </w:r>
      <w:r w:rsidR="00267960">
        <w:rPr>
          <w:lang w:val="fr-FR"/>
        </w:rPr>
        <w:t>’</w:t>
      </w:r>
      <w:r w:rsidR="00267960" w:rsidRPr="005B6325">
        <w:rPr>
          <w:lang w:val="fr-FR"/>
        </w:rPr>
        <w:t>amendements déjà adoptés durant la période biennale</w:t>
      </w:r>
      <w:r>
        <w:tab/>
      </w:r>
      <w:r>
        <w:tab/>
      </w:r>
      <w:r w:rsidR="00C37CF8">
        <w:t>9</w:t>
      </w:r>
      <w:r w:rsidR="00C37CF8">
        <w:noBreakHyphen/>
        <w:t>10</w:t>
      </w:r>
      <w:r>
        <w:tab/>
      </w:r>
      <w:r w:rsidR="00F37301">
        <w:t>7</w:t>
      </w:r>
    </w:p>
    <w:p w14:paraId="59F0C040" w14:textId="35F1536C" w:rsidR="00227C12" w:rsidRDefault="00227C12" w:rsidP="00227C12">
      <w:pPr>
        <w:tabs>
          <w:tab w:val="right" w:leader="dot" w:pos="7654"/>
          <w:tab w:val="right" w:pos="8929"/>
          <w:tab w:val="right" w:pos="9638"/>
        </w:tabs>
        <w:spacing w:after="120"/>
        <w:ind w:left="1984" w:hanging="425"/>
      </w:pPr>
      <w:r>
        <w:t>1.</w:t>
      </w:r>
      <w:r>
        <w:tab/>
      </w:r>
      <w:r w:rsidR="00267960">
        <w:rPr>
          <w:lang w:val="fr-FR"/>
        </w:rPr>
        <w:t>Liste récapitulative des projets d’amendements</w:t>
      </w:r>
      <w:r>
        <w:tab/>
      </w:r>
      <w:r>
        <w:tab/>
      </w:r>
      <w:r w:rsidR="00C37CF8">
        <w:t>9</w:t>
      </w:r>
      <w:r>
        <w:tab/>
      </w:r>
      <w:r w:rsidR="00F37301">
        <w:t>7</w:t>
      </w:r>
    </w:p>
    <w:p w14:paraId="48897DBD" w14:textId="061A2823" w:rsidR="00227C12" w:rsidRDefault="00227C12" w:rsidP="00227C12">
      <w:pPr>
        <w:tabs>
          <w:tab w:val="right" w:leader="dot" w:pos="7654"/>
          <w:tab w:val="right" w:pos="8929"/>
          <w:tab w:val="right" w:pos="9638"/>
        </w:tabs>
        <w:spacing w:after="120"/>
        <w:ind w:left="1984" w:hanging="425"/>
      </w:pPr>
      <w:r>
        <w:t>2.</w:t>
      </w:r>
      <w:r>
        <w:tab/>
      </w:r>
      <w:r w:rsidR="00267960">
        <w:rPr>
          <w:lang w:val="fr-FR"/>
        </w:rPr>
        <w:t>Disposition spéciale 388</w:t>
      </w:r>
      <w:r>
        <w:tab/>
      </w:r>
      <w:r>
        <w:tab/>
      </w:r>
      <w:r w:rsidR="00C37CF8">
        <w:t>10</w:t>
      </w:r>
      <w:r>
        <w:tab/>
      </w:r>
      <w:r w:rsidR="00F37301">
        <w:t>7</w:t>
      </w:r>
    </w:p>
    <w:p w14:paraId="09B02C81" w14:textId="34826849" w:rsidR="00227C12" w:rsidRDefault="00227C12" w:rsidP="00227C12">
      <w:pPr>
        <w:tabs>
          <w:tab w:val="right" w:leader="dot" w:pos="7654"/>
          <w:tab w:val="right" w:pos="8929"/>
          <w:tab w:val="right" w:pos="9638"/>
        </w:tabs>
        <w:spacing w:after="120"/>
        <w:ind w:left="1559" w:hanging="425"/>
      </w:pPr>
      <w:r>
        <w:t>B.</w:t>
      </w:r>
      <w:r>
        <w:tab/>
      </w:r>
      <w:r w:rsidR="00267960" w:rsidRPr="0023073E">
        <w:rPr>
          <w:lang w:val="fr-FR"/>
        </w:rPr>
        <w:t>Explosifs</w:t>
      </w:r>
      <w:r w:rsidR="00267960">
        <w:rPr>
          <w:lang w:val="fr-FR"/>
        </w:rPr>
        <w:t xml:space="preserve"> et questions connexes</w:t>
      </w:r>
      <w:r>
        <w:tab/>
      </w:r>
      <w:r>
        <w:tab/>
      </w:r>
      <w:r w:rsidR="00C37CF8">
        <w:t>11</w:t>
      </w:r>
      <w:r w:rsidR="00C37CF8">
        <w:noBreakHyphen/>
        <w:t>21</w:t>
      </w:r>
      <w:r>
        <w:tab/>
      </w:r>
      <w:r w:rsidR="00F37301">
        <w:t>7</w:t>
      </w:r>
    </w:p>
    <w:p w14:paraId="46A809A9" w14:textId="09E77A63" w:rsidR="00227C12" w:rsidRDefault="00227C12" w:rsidP="00227C12">
      <w:pPr>
        <w:tabs>
          <w:tab w:val="right" w:leader="dot" w:pos="7654"/>
          <w:tab w:val="right" w:pos="8929"/>
          <w:tab w:val="right" w:pos="9638"/>
        </w:tabs>
        <w:spacing w:after="120"/>
        <w:ind w:left="1984" w:hanging="425"/>
      </w:pPr>
      <w:r>
        <w:t>1.</w:t>
      </w:r>
      <w:r>
        <w:tab/>
      </w:r>
      <w:r w:rsidR="00267960">
        <w:rPr>
          <w:bCs/>
          <w:lang w:val="fr-FR"/>
        </w:rPr>
        <w:t>Examen des épreuves de la série 6</w:t>
      </w:r>
      <w:r>
        <w:tab/>
      </w:r>
      <w:r>
        <w:tab/>
      </w:r>
      <w:r w:rsidR="00C37CF8">
        <w:t>11</w:t>
      </w:r>
      <w:r>
        <w:tab/>
      </w:r>
      <w:r w:rsidR="00F37301">
        <w:t>7</w:t>
      </w:r>
    </w:p>
    <w:p w14:paraId="37876619" w14:textId="104ECE7B" w:rsidR="00227C12" w:rsidRDefault="00227C12" w:rsidP="00227C12">
      <w:pPr>
        <w:tabs>
          <w:tab w:val="right" w:leader="dot" w:pos="7654"/>
          <w:tab w:val="right" w:pos="8929"/>
          <w:tab w:val="right" w:pos="9638"/>
        </w:tabs>
        <w:spacing w:after="120"/>
        <w:ind w:left="1984" w:hanging="425"/>
      </w:pPr>
      <w:r>
        <w:t>2.</w:t>
      </w:r>
      <w:r>
        <w:tab/>
      </w:r>
      <w:r w:rsidR="00267960">
        <w:rPr>
          <w:bCs/>
          <w:lang w:val="fr-FR"/>
        </w:rPr>
        <w:t xml:space="preserve">Amélioration des épreuves de la série </w:t>
      </w:r>
      <w:r w:rsidR="00267960" w:rsidRPr="0023073E">
        <w:rPr>
          <w:lang w:val="fr-FR"/>
        </w:rPr>
        <w:t>8</w:t>
      </w:r>
      <w:r>
        <w:tab/>
      </w:r>
      <w:r>
        <w:tab/>
      </w:r>
      <w:r w:rsidR="00C37CF8">
        <w:t>12</w:t>
      </w:r>
      <w:r w:rsidR="00C37CF8">
        <w:noBreakHyphen/>
        <w:t>13</w:t>
      </w:r>
      <w:r>
        <w:tab/>
      </w:r>
      <w:r w:rsidR="00F37301">
        <w:t>7</w:t>
      </w:r>
    </w:p>
    <w:p w14:paraId="75B9236E" w14:textId="3A540619" w:rsidR="00227C12" w:rsidRDefault="00227C12" w:rsidP="00227C12">
      <w:pPr>
        <w:tabs>
          <w:tab w:val="right" w:leader="dot" w:pos="7654"/>
          <w:tab w:val="right" w:pos="8929"/>
          <w:tab w:val="right" w:pos="9638"/>
        </w:tabs>
        <w:spacing w:after="120"/>
        <w:ind w:left="2410" w:hanging="425"/>
      </w:pPr>
      <w:r>
        <w:t>a)</w:t>
      </w:r>
      <w:r>
        <w:tab/>
      </w:r>
      <w:r w:rsidR="00267960">
        <w:rPr>
          <w:lang w:val="fr-FR"/>
        </w:rPr>
        <w:t xml:space="preserve">Recherches portant sur l’épreuve 6 d) et l’exclusion </w:t>
      </w:r>
      <w:r w:rsidR="00267960">
        <w:rPr>
          <w:lang w:val="fr-FR"/>
        </w:rPr>
        <w:br/>
        <w:t>de la classe 1</w:t>
      </w:r>
      <w:r>
        <w:tab/>
      </w:r>
      <w:r>
        <w:tab/>
      </w:r>
      <w:r w:rsidR="00FA592C">
        <w:t>12</w:t>
      </w:r>
      <w:r>
        <w:tab/>
      </w:r>
      <w:r w:rsidR="00F37301">
        <w:t>7</w:t>
      </w:r>
    </w:p>
    <w:p w14:paraId="5A912D8B" w14:textId="447AB683" w:rsidR="00227C12" w:rsidRDefault="00227C12" w:rsidP="00227C12">
      <w:pPr>
        <w:tabs>
          <w:tab w:val="right" w:leader="dot" w:pos="7654"/>
          <w:tab w:val="right" w:pos="8929"/>
          <w:tab w:val="right" w:pos="9638"/>
        </w:tabs>
        <w:spacing w:after="120"/>
        <w:ind w:left="2410" w:hanging="425"/>
      </w:pPr>
      <w:r>
        <w:t>b)</w:t>
      </w:r>
      <w:r>
        <w:tab/>
      </w:r>
      <w:r w:rsidR="00267960" w:rsidRPr="0023073E">
        <w:rPr>
          <w:lang w:val="fr-FR"/>
        </w:rPr>
        <w:t xml:space="preserve">Réaction au document informel INF.42 </w:t>
      </w:r>
      <w:r w:rsidR="00267960">
        <w:rPr>
          <w:lang w:val="fr-FR"/>
        </w:rPr>
        <w:br/>
      </w:r>
      <w:r w:rsidR="00267960" w:rsidRPr="0023073E">
        <w:rPr>
          <w:lang w:val="fr-FR"/>
        </w:rPr>
        <w:t>de la soixantième session</w:t>
      </w:r>
      <w:r>
        <w:tab/>
      </w:r>
      <w:r>
        <w:tab/>
      </w:r>
      <w:r w:rsidR="00FA592C">
        <w:t>13</w:t>
      </w:r>
      <w:r>
        <w:tab/>
      </w:r>
      <w:r w:rsidR="00F37301">
        <w:t>8</w:t>
      </w:r>
    </w:p>
    <w:p w14:paraId="5DA9A7B5" w14:textId="1E0B10DA" w:rsidR="00227C12" w:rsidRDefault="00227C12" w:rsidP="00227C12">
      <w:pPr>
        <w:tabs>
          <w:tab w:val="right" w:leader="dot" w:pos="7654"/>
          <w:tab w:val="right" w:pos="8929"/>
          <w:tab w:val="right" w:pos="9638"/>
        </w:tabs>
        <w:spacing w:after="120"/>
        <w:ind w:left="1984" w:hanging="425"/>
      </w:pPr>
      <w:r>
        <w:t>3.</w:t>
      </w:r>
      <w:r>
        <w:tab/>
      </w:r>
      <w:r w:rsidR="00267960">
        <w:rPr>
          <w:lang w:val="fr-FR"/>
        </w:rPr>
        <w:t xml:space="preserve">Révision des épreuves des parties I, II et III du Manuel </w:t>
      </w:r>
      <w:r w:rsidR="00267960">
        <w:rPr>
          <w:lang w:val="fr-FR"/>
        </w:rPr>
        <w:br/>
        <w:t>d’épreuves et de critères</w:t>
      </w:r>
      <w:r>
        <w:tab/>
      </w:r>
      <w:r>
        <w:tab/>
      </w:r>
      <w:r w:rsidR="00FA592C">
        <w:t>14</w:t>
      </w:r>
      <w:r>
        <w:tab/>
      </w:r>
      <w:r w:rsidR="00F37301">
        <w:t>8</w:t>
      </w:r>
    </w:p>
    <w:p w14:paraId="4DB66FB5" w14:textId="29923D5C" w:rsidR="00227C12" w:rsidRDefault="00227C12" w:rsidP="00227C12">
      <w:pPr>
        <w:tabs>
          <w:tab w:val="right" w:leader="dot" w:pos="7654"/>
          <w:tab w:val="right" w:pos="8929"/>
          <w:tab w:val="right" w:pos="9638"/>
        </w:tabs>
        <w:spacing w:after="120"/>
        <w:ind w:left="1984" w:hanging="425"/>
      </w:pPr>
      <w:r>
        <w:t>4.</w:t>
      </w:r>
      <w:r>
        <w:tab/>
      </w:r>
      <w:r w:rsidR="00267960">
        <w:rPr>
          <w:lang w:val="fr-FR"/>
        </w:rPr>
        <w:t>Détonateurs normalisés « UN »</w:t>
      </w:r>
      <w:r>
        <w:tab/>
      </w:r>
      <w:r>
        <w:tab/>
      </w:r>
      <w:r w:rsidR="00FA592C">
        <w:t>15</w:t>
      </w:r>
      <w:r>
        <w:tab/>
      </w:r>
      <w:r w:rsidR="00F37301">
        <w:t>8</w:t>
      </w:r>
    </w:p>
    <w:p w14:paraId="6AE85715" w14:textId="6A48B4CE" w:rsidR="00227C12" w:rsidRDefault="00227C12" w:rsidP="00A25590">
      <w:pPr>
        <w:keepNext/>
        <w:tabs>
          <w:tab w:val="right" w:leader="dot" w:pos="7654"/>
          <w:tab w:val="right" w:pos="8929"/>
          <w:tab w:val="right" w:pos="9638"/>
        </w:tabs>
        <w:spacing w:after="120"/>
        <w:ind w:left="1984" w:hanging="425"/>
      </w:pPr>
      <w:r>
        <w:lastRenderedPageBreak/>
        <w:t>5.</w:t>
      </w:r>
      <w:r>
        <w:tab/>
      </w:r>
      <w:r w:rsidR="00267960">
        <w:rPr>
          <w:bCs/>
          <w:lang w:val="fr-FR"/>
        </w:rPr>
        <w:t>Révision des instructions d’emballage relatives aux explosifs</w:t>
      </w:r>
      <w:r>
        <w:tab/>
      </w:r>
      <w:r>
        <w:tab/>
      </w:r>
      <w:r w:rsidR="00FA592C">
        <w:t>16</w:t>
      </w:r>
      <w:r>
        <w:tab/>
      </w:r>
      <w:r w:rsidR="00F37301">
        <w:t>8</w:t>
      </w:r>
    </w:p>
    <w:p w14:paraId="22C61F13" w14:textId="024D407F" w:rsidR="00227C12" w:rsidRDefault="00227C12" w:rsidP="00A25590">
      <w:pPr>
        <w:keepNext/>
        <w:tabs>
          <w:tab w:val="right" w:leader="dot" w:pos="7654"/>
          <w:tab w:val="right" w:pos="8929"/>
          <w:tab w:val="right" w:pos="9638"/>
        </w:tabs>
        <w:spacing w:after="120"/>
        <w:ind w:left="1984" w:hanging="425"/>
      </w:pPr>
      <w:r>
        <w:t>6.</w:t>
      </w:r>
      <w:r>
        <w:tab/>
      </w:r>
      <w:r w:rsidR="00267960">
        <w:rPr>
          <w:bCs/>
          <w:lang w:val="fr-FR"/>
        </w:rPr>
        <w:t>Échantillons énergétiques</w:t>
      </w:r>
      <w:r>
        <w:tab/>
      </w:r>
      <w:r>
        <w:tab/>
      </w:r>
      <w:r w:rsidR="00FA592C">
        <w:t>17</w:t>
      </w:r>
      <w:r>
        <w:tab/>
      </w:r>
      <w:r w:rsidR="00F37301">
        <w:t>8</w:t>
      </w:r>
    </w:p>
    <w:p w14:paraId="25A2D779" w14:textId="68AFECB3" w:rsidR="00227C12" w:rsidRDefault="00227C12" w:rsidP="00227C12">
      <w:pPr>
        <w:tabs>
          <w:tab w:val="right" w:leader="dot" w:pos="7654"/>
          <w:tab w:val="right" w:pos="8929"/>
          <w:tab w:val="right" w:pos="9638"/>
        </w:tabs>
        <w:spacing w:after="120"/>
        <w:ind w:left="1984" w:hanging="425"/>
      </w:pPr>
      <w:r>
        <w:t>7.</w:t>
      </w:r>
      <w:r>
        <w:tab/>
      </w:r>
      <w:r w:rsidR="00267960">
        <w:rPr>
          <w:bCs/>
          <w:lang w:val="fr-FR"/>
        </w:rPr>
        <w:t>Questions liées à la définition des matières explosibles</w:t>
      </w:r>
      <w:r>
        <w:tab/>
      </w:r>
      <w:r>
        <w:tab/>
      </w:r>
      <w:r w:rsidR="00FA592C">
        <w:t>18</w:t>
      </w:r>
      <w:r>
        <w:tab/>
      </w:r>
      <w:r w:rsidR="00F37301">
        <w:t>8</w:t>
      </w:r>
    </w:p>
    <w:p w14:paraId="53B9D197" w14:textId="40188172" w:rsidR="00227C12" w:rsidRDefault="00227C12" w:rsidP="00227C12">
      <w:pPr>
        <w:tabs>
          <w:tab w:val="right" w:leader="dot" w:pos="7654"/>
          <w:tab w:val="right" w:pos="8929"/>
          <w:tab w:val="right" w:pos="9638"/>
        </w:tabs>
        <w:spacing w:after="120"/>
        <w:ind w:left="1984" w:hanging="425"/>
      </w:pPr>
      <w:r>
        <w:t>8.</w:t>
      </w:r>
      <w:r>
        <w:tab/>
      </w:r>
      <w:r w:rsidR="00267960">
        <w:rPr>
          <w:bCs/>
          <w:lang w:val="fr-FR"/>
        </w:rPr>
        <w:t xml:space="preserve">Examen des prescriptions en matière d’emballage et de transport </w:t>
      </w:r>
      <w:r w:rsidR="00267960">
        <w:rPr>
          <w:bCs/>
          <w:lang w:val="fr-FR"/>
        </w:rPr>
        <w:br/>
        <w:t>des émulsions de nitrate d’ammonium</w:t>
      </w:r>
      <w:r>
        <w:tab/>
      </w:r>
      <w:r>
        <w:tab/>
      </w:r>
      <w:r w:rsidR="00FA592C">
        <w:t>19</w:t>
      </w:r>
      <w:r>
        <w:tab/>
      </w:r>
      <w:r w:rsidR="00F37301">
        <w:t>8</w:t>
      </w:r>
    </w:p>
    <w:p w14:paraId="1AAA799B" w14:textId="072ACAE8" w:rsidR="00227C12" w:rsidRDefault="00227C12" w:rsidP="00227C12">
      <w:pPr>
        <w:tabs>
          <w:tab w:val="right" w:leader="dot" w:pos="7654"/>
          <w:tab w:val="right" w:pos="8929"/>
          <w:tab w:val="right" w:pos="9638"/>
        </w:tabs>
        <w:spacing w:after="120"/>
        <w:ind w:left="1984" w:hanging="425"/>
      </w:pPr>
      <w:r>
        <w:t>9.</w:t>
      </w:r>
      <w:r>
        <w:tab/>
      </w:r>
      <w:r w:rsidR="00267960">
        <w:rPr>
          <w:lang w:val="fr-FR"/>
        </w:rPr>
        <w:t xml:space="preserve">Autres </w:t>
      </w:r>
      <w:r w:rsidR="00267960" w:rsidRPr="00043714">
        <w:t>questions</w:t>
      </w:r>
      <w:r>
        <w:tab/>
      </w:r>
      <w:r>
        <w:tab/>
      </w:r>
      <w:r w:rsidR="00FA592C">
        <w:t>20</w:t>
      </w:r>
      <w:r w:rsidR="00FA592C">
        <w:noBreakHyphen/>
        <w:t>21</w:t>
      </w:r>
      <w:r>
        <w:tab/>
      </w:r>
      <w:r w:rsidR="00F37301">
        <w:t>8</w:t>
      </w:r>
    </w:p>
    <w:p w14:paraId="4A05884E" w14:textId="0FB6ED9E" w:rsidR="00EF13BE" w:rsidRDefault="00EF13BE" w:rsidP="00EF13BE">
      <w:pPr>
        <w:tabs>
          <w:tab w:val="right" w:leader="dot" w:pos="7654"/>
          <w:tab w:val="right" w:pos="8929"/>
          <w:tab w:val="right" w:pos="9638"/>
        </w:tabs>
        <w:spacing w:after="120"/>
        <w:ind w:left="2410" w:hanging="425"/>
      </w:pPr>
      <w:r>
        <w:t>a)</w:t>
      </w:r>
      <w:r>
        <w:tab/>
      </w:r>
      <w:r w:rsidR="00267960">
        <w:rPr>
          <w:lang w:val="fr-FR"/>
        </w:rPr>
        <w:t xml:space="preserve">Classement des membranes filtrantes en nitrocellulose </w:t>
      </w:r>
      <w:r w:rsidR="00267960">
        <w:rPr>
          <w:lang w:val="fr-FR"/>
        </w:rPr>
        <w:br/>
        <w:t xml:space="preserve">utilisées à des fins de diagnostic et pour d’autres </w:t>
      </w:r>
      <w:r w:rsidR="00267960">
        <w:rPr>
          <w:lang w:val="fr-FR"/>
        </w:rPr>
        <w:br/>
        <w:t>applications en biologie</w:t>
      </w:r>
      <w:r>
        <w:tab/>
      </w:r>
      <w:r>
        <w:tab/>
      </w:r>
      <w:r w:rsidR="00FA592C">
        <w:t>20</w:t>
      </w:r>
      <w:r>
        <w:tab/>
      </w:r>
      <w:r w:rsidR="00F37301">
        <w:t>8</w:t>
      </w:r>
    </w:p>
    <w:p w14:paraId="514AF65F" w14:textId="77C676E0" w:rsidR="00EF13BE" w:rsidRDefault="00EF13BE" w:rsidP="00EF13BE">
      <w:pPr>
        <w:tabs>
          <w:tab w:val="right" w:leader="dot" w:pos="7654"/>
          <w:tab w:val="right" w:pos="8929"/>
          <w:tab w:val="right" w:pos="9638"/>
        </w:tabs>
        <w:spacing w:after="120"/>
        <w:ind w:left="2410" w:hanging="425"/>
      </w:pPr>
      <w:r>
        <w:t>b)</w:t>
      </w:r>
      <w:r>
        <w:tab/>
      </w:r>
      <w:r w:rsidR="00267960" w:rsidRPr="00861BF1">
        <w:rPr>
          <w:lang w:val="fr-FR"/>
        </w:rPr>
        <w:t xml:space="preserve">Affectation de la disposition spéciale 28 aux explosifs </w:t>
      </w:r>
      <w:r w:rsidR="00267960">
        <w:rPr>
          <w:lang w:val="fr-FR"/>
        </w:rPr>
        <w:br/>
      </w:r>
      <w:r w:rsidR="00267960" w:rsidRPr="00861BF1">
        <w:rPr>
          <w:lang w:val="fr-FR"/>
        </w:rPr>
        <w:t xml:space="preserve">liquides désensibilisés figurant </w:t>
      </w:r>
      <w:r w:rsidR="00267960">
        <w:rPr>
          <w:lang w:val="fr-FR"/>
        </w:rPr>
        <w:t>dans</w:t>
      </w:r>
      <w:r w:rsidR="00267960" w:rsidRPr="00861BF1">
        <w:rPr>
          <w:lang w:val="fr-FR"/>
        </w:rPr>
        <w:t xml:space="preserve"> la liste </w:t>
      </w:r>
      <w:r w:rsidR="00267960">
        <w:rPr>
          <w:lang w:val="fr-FR"/>
        </w:rPr>
        <w:br/>
      </w:r>
      <w:r w:rsidR="00267960" w:rsidRPr="00861BF1">
        <w:rPr>
          <w:lang w:val="fr-FR"/>
        </w:rPr>
        <w:t>des marchandises dangereuses</w:t>
      </w:r>
      <w:r>
        <w:tab/>
      </w:r>
      <w:r>
        <w:tab/>
      </w:r>
      <w:r w:rsidR="00FA592C">
        <w:t>21</w:t>
      </w:r>
      <w:r>
        <w:tab/>
      </w:r>
      <w:r w:rsidR="00F37301">
        <w:t>9</w:t>
      </w:r>
    </w:p>
    <w:p w14:paraId="2E721516" w14:textId="13CB5D39" w:rsidR="00EF13BE" w:rsidRDefault="00EF13BE" w:rsidP="00EF13BE">
      <w:pPr>
        <w:tabs>
          <w:tab w:val="right" w:pos="850"/>
          <w:tab w:val="right" w:leader="dot" w:pos="7654"/>
          <w:tab w:val="right" w:pos="8929"/>
          <w:tab w:val="right" w:pos="9638"/>
        </w:tabs>
        <w:spacing w:after="120"/>
        <w:ind w:left="1134" w:hanging="1134"/>
      </w:pPr>
      <w:r>
        <w:tab/>
        <w:t>V.</w:t>
      </w:r>
      <w:r>
        <w:tab/>
      </w:r>
      <w:r w:rsidR="00267960" w:rsidRPr="000C044E">
        <w:t>Inscription</w:t>
      </w:r>
      <w:r w:rsidR="00267960">
        <w:rPr>
          <w:lang w:val="fr-FR"/>
        </w:rPr>
        <w:t>, classement et emballage (point 3 de l’ordre du jour)</w:t>
      </w:r>
      <w:r>
        <w:tab/>
      </w:r>
      <w:r>
        <w:tab/>
      </w:r>
      <w:r w:rsidR="00FA592C">
        <w:t>22</w:t>
      </w:r>
      <w:r w:rsidR="00FA592C">
        <w:noBreakHyphen/>
        <w:t>42</w:t>
      </w:r>
      <w:r>
        <w:tab/>
      </w:r>
      <w:r w:rsidR="00F37301">
        <w:t>9</w:t>
      </w:r>
    </w:p>
    <w:p w14:paraId="078BD76E" w14:textId="7BC41245" w:rsidR="00EF13BE" w:rsidRDefault="00EF13BE" w:rsidP="00EF13BE">
      <w:pPr>
        <w:tabs>
          <w:tab w:val="right" w:leader="dot" w:pos="7654"/>
          <w:tab w:val="right" w:pos="8929"/>
          <w:tab w:val="right" w:pos="9638"/>
        </w:tabs>
        <w:spacing w:after="120"/>
        <w:ind w:left="1559" w:hanging="425"/>
      </w:pPr>
      <w:r>
        <w:t>A.</w:t>
      </w:r>
      <w:r>
        <w:tab/>
      </w:r>
      <w:r w:rsidR="00267960">
        <w:rPr>
          <w:lang w:val="fr-FR"/>
        </w:rPr>
        <w:t>Activité spécifique et activité massique</w:t>
      </w:r>
      <w:r>
        <w:tab/>
      </w:r>
      <w:r>
        <w:tab/>
      </w:r>
      <w:r w:rsidR="00FA592C">
        <w:t>22</w:t>
      </w:r>
      <w:r>
        <w:tab/>
      </w:r>
      <w:r w:rsidR="00F37301">
        <w:t>9</w:t>
      </w:r>
    </w:p>
    <w:p w14:paraId="1AD4474B" w14:textId="2BFDD49B" w:rsidR="00EF13BE" w:rsidRDefault="00EF13BE" w:rsidP="00EF13BE">
      <w:pPr>
        <w:tabs>
          <w:tab w:val="right" w:leader="dot" w:pos="7654"/>
          <w:tab w:val="right" w:pos="8929"/>
          <w:tab w:val="right" w:pos="9638"/>
        </w:tabs>
        <w:spacing w:after="120"/>
        <w:ind w:left="1559" w:hanging="425"/>
      </w:pPr>
      <w:r>
        <w:t>B.</w:t>
      </w:r>
      <w:r>
        <w:tab/>
      </w:r>
      <w:r w:rsidR="00267960">
        <w:rPr>
          <w:lang w:val="fr-FR"/>
        </w:rPr>
        <w:t xml:space="preserve">Produits actuels et futurs dans le secteur du gaz de pétrole liquéfié, </w:t>
      </w:r>
      <w:r w:rsidR="00267960">
        <w:rPr>
          <w:lang w:val="fr-FR"/>
        </w:rPr>
        <w:br/>
        <w:t>modification des numéros ONU, points à examiner et propositions</w:t>
      </w:r>
      <w:r>
        <w:tab/>
      </w:r>
      <w:r>
        <w:tab/>
      </w:r>
      <w:r w:rsidR="00FA592C">
        <w:t>23</w:t>
      </w:r>
      <w:r w:rsidR="00FA592C">
        <w:noBreakHyphen/>
        <w:t>25</w:t>
      </w:r>
      <w:r>
        <w:tab/>
      </w:r>
      <w:r w:rsidR="00F37301">
        <w:t>9</w:t>
      </w:r>
    </w:p>
    <w:p w14:paraId="5CBFC1CA" w14:textId="6E7F3544" w:rsidR="00EF13BE" w:rsidRDefault="00EF13BE" w:rsidP="00EF13BE">
      <w:pPr>
        <w:tabs>
          <w:tab w:val="right" w:leader="dot" w:pos="7654"/>
          <w:tab w:val="right" w:pos="8929"/>
          <w:tab w:val="right" w:pos="9638"/>
        </w:tabs>
        <w:spacing w:after="120"/>
        <w:ind w:left="1559" w:hanging="425"/>
      </w:pPr>
      <w:r>
        <w:t>C.</w:t>
      </w:r>
      <w:r>
        <w:tab/>
      </w:r>
      <w:r w:rsidR="00267960" w:rsidRPr="00E80FF4">
        <w:t>Proposition</w:t>
      </w:r>
      <w:r w:rsidR="00267960">
        <w:rPr>
          <w:lang w:val="fr-FR"/>
        </w:rPr>
        <w:t xml:space="preserve"> visant à ajouter la classe 8 en tant que danger subsidiaire </w:t>
      </w:r>
      <w:r w:rsidR="00267960">
        <w:rPr>
          <w:lang w:val="fr-FR"/>
        </w:rPr>
        <w:br/>
        <w:t>pour le N</w:t>
      </w:r>
      <w:r w:rsidR="00267960" w:rsidRPr="00267960">
        <w:rPr>
          <w:vertAlign w:val="superscript"/>
          <w:lang w:val="fr-FR"/>
        </w:rPr>
        <w:t>o</w:t>
      </w:r>
      <w:r w:rsidR="00267960">
        <w:rPr>
          <w:lang w:val="fr-FR"/>
        </w:rPr>
        <w:t xml:space="preserve"> ONU 1040 (OXYDE D’ÉTHYLÈNE, ou OXYDE </w:t>
      </w:r>
      <w:r w:rsidR="00267960">
        <w:rPr>
          <w:lang w:val="fr-FR"/>
        </w:rPr>
        <w:br/>
        <w:t xml:space="preserve">D’ÉTHYLÈNE AVEC DE L’AZOTE jusqu’à une pression </w:t>
      </w:r>
      <w:r w:rsidR="00267960">
        <w:rPr>
          <w:lang w:val="fr-FR"/>
        </w:rPr>
        <w:br/>
        <w:t xml:space="preserve">totale de 1 MPa (10 </w:t>
      </w:r>
      <w:proofErr w:type="gramStart"/>
      <w:r w:rsidR="00267960">
        <w:rPr>
          <w:lang w:val="fr-FR"/>
        </w:rPr>
        <w:t>bar</w:t>
      </w:r>
      <w:proofErr w:type="gramEnd"/>
      <w:r w:rsidR="00267960">
        <w:rPr>
          <w:lang w:val="fr-FR"/>
        </w:rPr>
        <w:t>) à 50 °C)</w:t>
      </w:r>
      <w:r>
        <w:tab/>
      </w:r>
      <w:r>
        <w:tab/>
      </w:r>
      <w:r w:rsidR="00FA592C">
        <w:t>26</w:t>
      </w:r>
      <w:r>
        <w:tab/>
      </w:r>
      <w:r w:rsidR="00F37301">
        <w:t>10</w:t>
      </w:r>
    </w:p>
    <w:p w14:paraId="437A4F67" w14:textId="19C66E27" w:rsidR="00EF13BE" w:rsidRDefault="00EF13BE" w:rsidP="00EF13BE">
      <w:pPr>
        <w:tabs>
          <w:tab w:val="right" w:leader="dot" w:pos="7654"/>
          <w:tab w:val="right" w:pos="8929"/>
          <w:tab w:val="right" w:pos="9638"/>
        </w:tabs>
        <w:spacing w:after="120"/>
        <w:ind w:left="1559" w:hanging="425"/>
      </w:pPr>
      <w:r>
        <w:t>D.</w:t>
      </w:r>
      <w:r>
        <w:tab/>
      </w:r>
      <w:r w:rsidR="00267960">
        <w:rPr>
          <w:lang w:val="fr-FR"/>
        </w:rPr>
        <w:t xml:space="preserve">Dispositions relatives au transport de petites quantités de peintures </w:t>
      </w:r>
      <w:r w:rsidR="00267960">
        <w:rPr>
          <w:lang w:val="fr-FR"/>
        </w:rPr>
        <w:br/>
        <w:t xml:space="preserve">et d’encres d’imprimerie (et de matières apparentées) </w:t>
      </w:r>
      <w:r w:rsidR="00267960">
        <w:rPr>
          <w:lang w:val="fr-FR"/>
        </w:rPr>
        <w:br/>
        <w:t>dangereuses pour l’environnement</w:t>
      </w:r>
      <w:r>
        <w:tab/>
      </w:r>
      <w:r>
        <w:tab/>
      </w:r>
      <w:r w:rsidR="00FA592C">
        <w:t>27</w:t>
      </w:r>
      <w:r>
        <w:tab/>
      </w:r>
      <w:r w:rsidR="00F37301">
        <w:t>10</w:t>
      </w:r>
    </w:p>
    <w:p w14:paraId="14EFCA18" w14:textId="01DF2D97" w:rsidR="00EF13BE" w:rsidRDefault="00EF13BE" w:rsidP="00EF13BE">
      <w:pPr>
        <w:tabs>
          <w:tab w:val="right" w:leader="dot" w:pos="7654"/>
          <w:tab w:val="right" w:pos="8929"/>
          <w:tab w:val="right" w:pos="9638"/>
        </w:tabs>
        <w:spacing w:after="120"/>
        <w:ind w:left="1559" w:hanging="425"/>
      </w:pPr>
      <w:r>
        <w:t>E.</w:t>
      </w:r>
      <w:r>
        <w:tab/>
      </w:r>
      <w:r w:rsidR="00267960">
        <w:rPr>
          <w:lang w:val="fr-FR"/>
        </w:rPr>
        <w:t>Épreuves du feu prescrites dans les dispositions spéciales 283 et 371</w:t>
      </w:r>
      <w:r>
        <w:tab/>
      </w:r>
      <w:r>
        <w:tab/>
      </w:r>
      <w:r w:rsidR="00FA592C">
        <w:t>28</w:t>
      </w:r>
      <w:r w:rsidR="00FA592C">
        <w:noBreakHyphen/>
        <w:t>29</w:t>
      </w:r>
      <w:r>
        <w:tab/>
      </w:r>
      <w:r w:rsidR="00F37301">
        <w:t>10</w:t>
      </w:r>
    </w:p>
    <w:p w14:paraId="4E28BCCE" w14:textId="02340614" w:rsidR="00EF13BE" w:rsidRDefault="00EF13BE" w:rsidP="00EF13BE">
      <w:pPr>
        <w:tabs>
          <w:tab w:val="right" w:leader="dot" w:pos="7654"/>
          <w:tab w:val="right" w:pos="8929"/>
          <w:tab w:val="right" w:pos="9638"/>
        </w:tabs>
        <w:spacing w:after="120"/>
        <w:ind w:left="1559" w:hanging="425"/>
      </w:pPr>
      <w:r>
        <w:t>F.</w:t>
      </w:r>
      <w:r>
        <w:tab/>
      </w:r>
      <w:r w:rsidR="00267960" w:rsidRPr="005A4C4D">
        <w:rPr>
          <w:lang w:val="fr-FR"/>
        </w:rPr>
        <w:t>Modification à apporter au 3.1.2.2 du Règlement type</w:t>
      </w:r>
      <w:r>
        <w:tab/>
      </w:r>
      <w:r>
        <w:tab/>
      </w:r>
      <w:r w:rsidR="00FA592C">
        <w:t>30</w:t>
      </w:r>
      <w:r>
        <w:tab/>
      </w:r>
      <w:r w:rsidR="00F37301">
        <w:t>10</w:t>
      </w:r>
    </w:p>
    <w:p w14:paraId="0BE00C9F" w14:textId="61368EB4" w:rsidR="00EF13BE" w:rsidRDefault="00EF13BE" w:rsidP="00EF13BE">
      <w:pPr>
        <w:tabs>
          <w:tab w:val="right" w:leader="dot" w:pos="7654"/>
          <w:tab w:val="right" w:pos="8929"/>
          <w:tab w:val="right" w:pos="9638"/>
        </w:tabs>
        <w:spacing w:after="120"/>
        <w:ind w:left="1559" w:hanging="425"/>
      </w:pPr>
      <w:r>
        <w:t>G.</w:t>
      </w:r>
      <w:r>
        <w:tab/>
      </w:r>
      <w:r w:rsidR="00267960" w:rsidRPr="00E80FF4">
        <w:t>Propositions</w:t>
      </w:r>
      <w:r w:rsidR="00267960" w:rsidRPr="005A4C4D">
        <w:rPr>
          <w:lang w:val="fr-FR"/>
        </w:rPr>
        <w:t xml:space="preserve"> relatives à la trousse de résine polyester</w:t>
      </w:r>
      <w:r>
        <w:tab/>
      </w:r>
      <w:r>
        <w:tab/>
      </w:r>
      <w:r w:rsidR="00FA592C">
        <w:t>31</w:t>
      </w:r>
      <w:r>
        <w:tab/>
      </w:r>
      <w:r w:rsidR="00F37301">
        <w:t>11</w:t>
      </w:r>
    </w:p>
    <w:p w14:paraId="2D50E4D0" w14:textId="73D1D152" w:rsidR="00EF13BE" w:rsidRDefault="00EF13BE" w:rsidP="00EF13BE">
      <w:pPr>
        <w:tabs>
          <w:tab w:val="right" w:leader="dot" w:pos="7654"/>
          <w:tab w:val="right" w:pos="8929"/>
          <w:tab w:val="right" w:pos="9638"/>
        </w:tabs>
        <w:spacing w:after="120"/>
        <w:ind w:left="1559" w:hanging="425"/>
      </w:pPr>
      <w:r>
        <w:t>H.</w:t>
      </w:r>
      <w:r>
        <w:tab/>
      </w:r>
      <w:r w:rsidR="00267960">
        <w:rPr>
          <w:lang w:val="fr-FR"/>
        </w:rPr>
        <w:t>Propositions d’amendements aux instructions d’emballage</w:t>
      </w:r>
      <w:r>
        <w:tab/>
      </w:r>
      <w:r>
        <w:tab/>
      </w:r>
      <w:r w:rsidR="00FA592C">
        <w:t>32</w:t>
      </w:r>
      <w:r>
        <w:tab/>
      </w:r>
      <w:r w:rsidR="00F37301">
        <w:t>11</w:t>
      </w:r>
    </w:p>
    <w:p w14:paraId="1366CA1F" w14:textId="7762A120" w:rsidR="00EF13BE" w:rsidRDefault="00EF13BE" w:rsidP="00EF13BE">
      <w:pPr>
        <w:tabs>
          <w:tab w:val="right" w:leader="dot" w:pos="7654"/>
          <w:tab w:val="right" w:pos="8929"/>
          <w:tab w:val="right" w:pos="9638"/>
        </w:tabs>
        <w:spacing w:after="120"/>
        <w:ind w:left="1559" w:hanging="425"/>
      </w:pPr>
      <w:r>
        <w:t>I.</w:t>
      </w:r>
      <w:r>
        <w:tab/>
      </w:r>
      <w:r w:rsidR="00267960">
        <w:rPr>
          <w:lang w:val="fr-FR"/>
        </w:rPr>
        <w:t xml:space="preserve">Instructions de transport en citernes mobiles et dispositions spéciales </w:t>
      </w:r>
      <w:r w:rsidR="00267960">
        <w:rPr>
          <w:lang w:val="fr-FR"/>
        </w:rPr>
        <w:br/>
        <w:t xml:space="preserve">applicables au transport en citernes mobiles (suite donnée </w:t>
      </w:r>
      <w:r w:rsidR="00267960">
        <w:rPr>
          <w:lang w:val="fr-FR"/>
        </w:rPr>
        <w:br/>
        <w:t>au document ST/SG/AC.10/C.3/2022/39)</w:t>
      </w:r>
      <w:r>
        <w:tab/>
      </w:r>
      <w:r>
        <w:tab/>
      </w:r>
      <w:r w:rsidR="00FA592C">
        <w:t>33</w:t>
      </w:r>
      <w:r>
        <w:tab/>
      </w:r>
      <w:r w:rsidR="00F37301">
        <w:t>11</w:t>
      </w:r>
    </w:p>
    <w:p w14:paraId="6964B078" w14:textId="3F2CF4B2" w:rsidR="00EF13BE" w:rsidRDefault="00EF13BE" w:rsidP="00EF13BE">
      <w:pPr>
        <w:tabs>
          <w:tab w:val="right" w:leader="dot" w:pos="7654"/>
          <w:tab w:val="right" w:pos="8929"/>
          <w:tab w:val="right" w:pos="9638"/>
        </w:tabs>
        <w:spacing w:after="120"/>
        <w:ind w:left="1559" w:hanging="425"/>
      </w:pPr>
      <w:r>
        <w:t>J.</w:t>
      </w:r>
      <w:r>
        <w:tab/>
      </w:r>
      <w:r w:rsidR="00267960">
        <w:rPr>
          <w:lang w:val="fr-FR"/>
        </w:rPr>
        <w:t xml:space="preserve">Rubrique ONU appropriée pour le 2,4-dichlorophénol et solution </w:t>
      </w:r>
      <w:r w:rsidR="00267960">
        <w:rPr>
          <w:lang w:val="fr-FR"/>
        </w:rPr>
        <w:br/>
        <w:t>envisageable pour tous les chlorophénols</w:t>
      </w:r>
      <w:r>
        <w:tab/>
      </w:r>
      <w:r>
        <w:tab/>
      </w:r>
      <w:r w:rsidR="00FA592C">
        <w:t>34</w:t>
      </w:r>
      <w:r>
        <w:tab/>
      </w:r>
      <w:r w:rsidR="00F37301">
        <w:t>11</w:t>
      </w:r>
    </w:p>
    <w:p w14:paraId="56D2E80C" w14:textId="29F82942" w:rsidR="00EF13BE" w:rsidRDefault="00EF13BE" w:rsidP="00EF13BE">
      <w:pPr>
        <w:tabs>
          <w:tab w:val="right" w:leader="dot" w:pos="7654"/>
          <w:tab w:val="right" w:pos="8929"/>
          <w:tab w:val="right" w:pos="9638"/>
        </w:tabs>
        <w:spacing w:after="120"/>
        <w:ind w:left="1559" w:hanging="425"/>
      </w:pPr>
      <w:r>
        <w:t>K.</w:t>
      </w:r>
      <w:r>
        <w:tab/>
      </w:r>
      <w:r w:rsidR="00267960" w:rsidRPr="005F1938">
        <w:rPr>
          <w:lang w:val="fr-FR"/>
        </w:rPr>
        <w:t>Distinction entre le N</w:t>
      </w:r>
      <w:r w:rsidR="00267960" w:rsidRPr="00E80FF4">
        <w:rPr>
          <w:vertAlign w:val="superscript"/>
          <w:lang w:val="fr-FR"/>
        </w:rPr>
        <w:t>o</w:t>
      </w:r>
      <w:r w:rsidR="00267960">
        <w:rPr>
          <w:lang w:val="fr-FR"/>
        </w:rPr>
        <w:t> </w:t>
      </w:r>
      <w:r w:rsidR="00267960" w:rsidRPr="005F1938">
        <w:rPr>
          <w:lang w:val="fr-FR"/>
        </w:rPr>
        <w:t>ONU 1950 aérosols et le N</w:t>
      </w:r>
      <w:r w:rsidR="00267960" w:rsidRPr="00E80FF4">
        <w:rPr>
          <w:vertAlign w:val="superscript"/>
          <w:lang w:val="fr-FR"/>
        </w:rPr>
        <w:t>o</w:t>
      </w:r>
      <w:r w:rsidR="00267960">
        <w:rPr>
          <w:lang w:val="fr-FR"/>
        </w:rPr>
        <w:t> </w:t>
      </w:r>
      <w:r w:rsidR="00267960" w:rsidRPr="005F1938">
        <w:rPr>
          <w:lang w:val="fr-FR"/>
        </w:rPr>
        <w:t xml:space="preserve">ONU 2037 récipients </w:t>
      </w:r>
      <w:r w:rsidR="00267960">
        <w:rPr>
          <w:lang w:val="fr-FR"/>
        </w:rPr>
        <w:br/>
      </w:r>
      <w:r w:rsidR="00267960" w:rsidRPr="005F1938">
        <w:rPr>
          <w:lang w:val="fr-FR"/>
        </w:rPr>
        <w:t xml:space="preserve">de faible capacité contenant du gaz (cartouches à gaz), et proposition </w:t>
      </w:r>
      <w:r w:rsidR="00267960">
        <w:rPr>
          <w:lang w:val="fr-FR"/>
        </w:rPr>
        <w:br/>
      </w:r>
      <w:r w:rsidR="00267960" w:rsidRPr="005F1938">
        <w:rPr>
          <w:lang w:val="fr-FR"/>
        </w:rPr>
        <w:t>de prescriptions de marquage pour le N</w:t>
      </w:r>
      <w:r w:rsidR="00267960" w:rsidRPr="00E80FF4">
        <w:rPr>
          <w:vertAlign w:val="superscript"/>
          <w:lang w:val="fr-FR"/>
        </w:rPr>
        <w:t>o</w:t>
      </w:r>
      <w:r w:rsidR="00267960">
        <w:rPr>
          <w:lang w:val="fr-FR"/>
        </w:rPr>
        <w:t> </w:t>
      </w:r>
      <w:r w:rsidR="00267960" w:rsidRPr="005F1938">
        <w:rPr>
          <w:lang w:val="fr-FR"/>
        </w:rPr>
        <w:t xml:space="preserve">ONU 2037 récipients </w:t>
      </w:r>
      <w:r w:rsidR="00267960">
        <w:rPr>
          <w:lang w:val="fr-FR"/>
        </w:rPr>
        <w:br/>
      </w:r>
      <w:r w:rsidR="00267960" w:rsidRPr="005F1938">
        <w:rPr>
          <w:lang w:val="fr-FR"/>
        </w:rPr>
        <w:t>de faible capacité contenant du gaz (cartouches à gaz</w:t>
      </w:r>
      <w:r w:rsidR="00267960" w:rsidRPr="005933F9">
        <w:rPr>
          <w:lang w:val="fr-FR"/>
        </w:rPr>
        <w:t>)</w:t>
      </w:r>
      <w:r>
        <w:tab/>
      </w:r>
      <w:r>
        <w:tab/>
      </w:r>
      <w:r w:rsidR="00FA592C">
        <w:t>35</w:t>
      </w:r>
      <w:r w:rsidR="00FA592C">
        <w:noBreakHyphen/>
        <w:t>37</w:t>
      </w:r>
      <w:r>
        <w:tab/>
      </w:r>
      <w:r w:rsidR="00F37301">
        <w:t>12</w:t>
      </w:r>
    </w:p>
    <w:p w14:paraId="741D093F" w14:textId="0ECE94D3" w:rsidR="00EF13BE" w:rsidRDefault="00EF13BE" w:rsidP="00EF13BE">
      <w:pPr>
        <w:tabs>
          <w:tab w:val="right" w:leader="dot" w:pos="7654"/>
          <w:tab w:val="right" w:pos="8929"/>
          <w:tab w:val="right" w:pos="9638"/>
        </w:tabs>
        <w:spacing w:after="120"/>
        <w:ind w:left="1559" w:hanging="425"/>
      </w:pPr>
      <w:r>
        <w:t>L.</w:t>
      </w:r>
      <w:r>
        <w:tab/>
      </w:r>
      <w:r w:rsidR="00267960">
        <w:rPr>
          <w:lang w:val="fr-FR"/>
        </w:rPr>
        <w:t>Révision du classement de l’hydroxyde de tétraméthylammonium</w:t>
      </w:r>
      <w:r>
        <w:tab/>
      </w:r>
      <w:r>
        <w:tab/>
      </w:r>
      <w:r w:rsidR="00FA592C">
        <w:t>38</w:t>
      </w:r>
      <w:r w:rsidR="00FA592C">
        <w:noBreakHyphen/>
        <w:t>40</w:t>
      </w:r>
      <w:r>
        <w:tab/>
      </w:r>
      <w:r w:rsidR="00F37301">
        <w:t>12</w:t>
      </w:r>
    </w:p>
    <w:p w14:paraId="2439AC0A" w14:textId="214AB183" w:rsidR="00EF13BE" w:rsidRDefault="00EF13BE" w:rsidP="00EF13BE">
      <w:pPr>
        <w:tabs>
          <w:tab w:val="right" w:leader="dot" w:pos="7654"/>
          <w:tab w:val="right" w:pos="8929"/>
          <w:tab w:val="right" w:pos="9638"/>
        </w:tabs>
        <w:spacing w:after="120"/>
        <w:ind w:left="1559" w:hanging="425"/>
      </w:pPr>
      <w:r>
        <w:t>M.</w:t>
      </w:r>
      <w:r>
        <w:tab/>
      </w:r>
      <w:r w:rsidR="00267960" w:rsidRPr="00EF35E3">
        <w:rPr>
          <w:lang w:val="fr-FR"/>
        </w:rPr>
        <w:t>Attribution d</w:t>
      </w:r>
      <w:r w:rsidR="00267960">
        <w:rPr>
          <w:lang w:val="fr-FR"/>
        </w:rPr>
        <w:t>’</w:t>
      </w:r>
      <w:r w:rsidR="00267960" w:rsidRPr="00EF35E3">
        <w:rPr>
          <w:lang w:val="fr-FR"/>
        </w:rPr>
        <w:t xml:space="preserve">un nouveau numéro ONU aux véhicules alimentés </w:t>
      </w:r>
      <w:r w:rsidR="00267960">
        <w:rPr>
          <w:lang w:val="fr-FR"/>
        </w:rPr>
        <w:br/>
      </w:r>
      <w:r w:rsidR="00267960" w:rsidRPr="00EF35E3">
        <w:rPr>
          <w:lang w:val="fr-FR"/>
        </w:rPr>
        <w:t>par</w:t>
      </w:r>
      <w:r w:rsidR="00267960">
        <w:rPr>
          <w:lang w:val="fr-FR"/>
        </w:rPr>
        <w:t xml:space="preserve"> </w:t>
      </w:r>
      <w:r w:rsidR="00267960" w:rsidRPr="00EF35E3">
        <w:rPr>
          <w:lang w:val="fr-FR"/>
        </w:rPr>
        <w:t>des</w:t>
      </w:r>
      <w:r w:rsidR="00267960">
        <w:rPr>
          <w:lang w:val="fr-FR"/>
        </w:rPr>
        <w:t xml:space="preserve"> </w:t>
      </w:r>
      <w:r w:rsidR="00267960" w:rsidRPr="00EF35E3">
        <w:rPr>
          <w:lang w:val="fr-FR"/>
        </w:rPr>
        <w:t>batteries au lithium</w:t>
      </w:r>
      <w:r>
        <w:tab/>
      </w:r>
      <w:r>
        <w:tab/>
      </w:r>
      <w:r w:rsidR="00FA592C">
        <w:t>41</w:t>
      </w:r>
      <w:r>
        <w:tab/>
      </w:r>
      <w:r w:rsidR="003F4E64">
        <w:t>12</w:t>
      </w:r>
    </w:p>
    <w:p w14:paraId="5389C596" w14:textId="197C1AD3" w:rsidR="00EF13BE" w:rsidRDefault="00EF13BE" w:rsidP="00EF13BE">
      <w:pPr>
        <w:tabs>
          <w:tab w:val="right" w:leader="dot" w:pos="7654"/>
          <w:tab w:val="right" w:pos="8929"/>
          <w:tab w:val="right" w:pos="9638"/>
        </w:tabs>
        <w:spacing w:after="120"/>
        <w:ind w:left="1559" w:hanging="425"/>
      </w:pPr>
      <w:r>
        <w:t>N.</w:t>
      </w:r>
      <w:r>
        <w:tab/>
      </w:r>
      <w:r w:rsidR="00267960" w:rsidRPr="00EF35E3">
        <w:rPr>
          <w:lang w:val="fr-FR"/>
        </w:rPr>
        <w:t>Dispositifs d</w:t>
      </w:r>
      <w:r w:rsidR="00267960">
        <w:rPr>
          <w:lang w:val="fr-FR"/>
        </w:rPr>
        <w:t>’</w:t>
      </w:r>
      <w:r w:rsidR="00267960" w:rsidRPr="00EF35E3">
        <w:rPr>
          <w:lang w:val="fr-FR"/>
        </w:rPr>
        <w:t>extinction de feu contenant une matière pyrotechnique</w:t>
      </w:r>
      <w:r>
        <w:tab/>
      </w:r>
      <w:r>
        <w:tab/>
      </w:r>
      <w:r w:rsidR="00FA592C">
        <w:t>42</w:t>
      </w:r>
      <w:r>
        <w:tab/>
      </w:r>
      <w:r w:rsidR="003F4E64">
        <w:t>13</w:t>
      </w:r>
    </w:p>
    <w:p w14:paraId="5469C17F" w14:textId="189D7945" w:rsidR="00EF13BE" w:rsidRDefault="00EF13BE" w:rsidP="00EF13BE">
      <w:pPr>
        <w:tabs>
          <w:tab w:val="right" w:pos="850"/>
          <w:tab w:val="right" w:leader="dot" w:pos="7654"/>
          <w:tab w:val="right" w:pos="8929"/>
          <w:tab w:val="right" w:pos="9638"/>
        </w:tabs>
        <w:spacing w:after="120"/>
        <w:ind w:left="1134" w:hanging="1134"/>
      </w:pPr>
      <w:r>
        <w:tab/>
        <w:t>VI.</w:t>
      </w:r>
      <w:r>
        <w:tab/>
      </w:r>
      <w:r w:rsidR="00267960" w:rsidRPr="00D14911">
        <w:rPr>
          <w:lang w:val="fr-FR"/>
        </w:rPr>
        <w:t>Systèmes de stockage de l</w:t>
      </w:r>
      <w:r w:rsidR="00267960">
        <w:rPr>
          <w:lang w:val="fr-FR"/>
        </w:rPr>
        <w:t>’</w:t>
      </w:r>
      <w:r w:rsidR="00267960" w:rsidRPr="00D14911">
        <w:rPr>
          <w:lang w:val="fr-FR"/>
        </w:rPr>
        <w:t xml:space="preserve">électricité (point </w:t>
      </w:r>
      <w:r w:rsidR="00267960">
        <w:rPr>
          <w:lang w:val="fr-FR"/>
        </w:rPr>
        <w:t>4</w:t>
      </w:r>
      <w:r w:rsidR="00267960" w:rsidRPr="00D14911">
        <w:rPr>
          <w:lang w:val="fr-FR"/>
        </w:rPr>
        <w:t xml:space="preserve"> de l</w:t>
      </w:r>
      <w:r w:rsidR="00267960">
        <w:rPr>
          <w:lang w:val="fr-FR"/>
        </w:rPr>
        <w:t>’</w:t>
      </w:r>
      <w:r w:rsidR="00267960" w:rsidRPr="00D14911">
        <w:rPr>
          <w:lang w:val="fr-FR"/>
        </w:rPr>
        <w:t>ordre du</w:t>
      </w:r>
      <w:r w:rsidR="00267960">
        <w:rPr>
          <w:lang w:val="fr-FR"/>
        </w:rPr>
        <w:t xml:space="preserve"> </w:t>
      </w:r>
      <w:r w:rsidR="00267960" w:rsidRPr="00D14911">
        <w:rPr>
          <w:lang w:val="fr-FR"/>
        </w:rPr>
        <w:t>jour</w:t>
      </w:r>
      <w:r w:rsidR="00267960" w:rsidRPr="00727606">
        <w:rPr>
          <w:lang w:val="fr-FR"/>
        </w:rPr>
        <w:t>)</w:t>
      </w:r>
      <w:r>
        <w:tab/>
      </w:r>
      <w:r>
        <w:tab/>
      </w:r>
      <w:r w:rsidR="00FA592C">
        <w:t>43</w:t>
      </w:r>
      <w:r w:rsidR="00FA592C">
        <w:noBreakHyphen/>
        <w:t>50</w:t>
      </w:r>
      <w:r>
        <w:tab/>
      </w:r>
      <w:r w:rsidR="003F4E64">
        <w:t>13</w:t>
      </w:r>
    </w:p>
    <w:p w14:paraId="7830F90E" w14:textId="3F3C77E5" w:rsidR="00EF13BE" w:rsidRDefault="00EF13BE" w:rsidP="00EF13BE">
      <w:pPr>
        <w:tabs>
          <w:tab w:val="right" w:leader="dot" w:pos="7654"/>
          <w:tab w:val="right" w:pos="8929"/>
          <w:tab w:val="right" w:pos="9638"/>
        </w:tabs>
        <w:spacing w:after="120"/>
        <w:ind w:left="1559" w:hanging="425"/>
      </w:pPr>
      <w:r>
        <w:t>A.</w:t>
      </w:r>
      <w:r>
        <w:tab/>
      </w:r>
      <w:r w:rsidR="00267960" w:rsidRPr="00D14911">
        <w:rPr>
          <w:lang w:val="fr-FR"/>
        </w:rPr>
        <w:t>Épreuves pour les batteries au lithium</w:t>
      </w:r>
      <w:r>
        <w:tab/>
      </w:r>
      <w:r>
        <w:tab/>
      </w:r>
      <w:r w:rsidR="00FA592C">
        <w:t>43</w:t>
      </w:r>
      <w:r>
        <w:tab/>
      </w:r>
      <w:r w:rsidR="003F4E64">
        <w:t>13</w:t>
      </w:r>
    </w:p>
    <w:p w14:paraId="09CF78B6" w14:textId="0F430E71" w:rsidR="00EF13BE" w:rsidRDefault="00EF13BE" w:rsidP="00EF13BE">
      <w:pPr>
        <w:tabs>
          <w:tab w:val="right" w:leader="dot" w:pos="7654"/>
          <w:tab w:val="right" w:pos="8929"/>
          <w:tab w:val="right" w:pos="9638"/>
        </w:tabs>
        <w:spacing w:after="120"/>
        <w:ind w:left="1559" w:hanging="425"/>
      </w:pPr>
      <w:r>
        <w:t>B.</w:t>
      </w:r>
      <w:r>
        <w:tab/>
      </w:r>
      <w:r w:rsidR="00267960" w:rsidRPr="00D14911">
        <w:rPr>
          <w:lang w:val="fr-FR"/>
        </w:rPr>
        <w:t>Système de classification des batteries au lithium en fonction du danger</w:t>
      </w:r>
      <w:r>
        <w:tab/>
      </w:r>
      <w:r>
        <w:tab/>
      </w:r>
      <w:r w:rsidR="00FA592C">
        <w:t>44</w:t>
      </w:r>
      <w:r>
        <w:tab/>
      </w:r>
      <w:r w:rsidR="003F4E64">
        <w:t>13</w:t>
      </w:r>
    </w:p>
    <w:p w14:paraId="7756A3DF" w14:textId="4D17803F" w:rsidR="00EF13BE" w:rsidRDefault="00EF13BE" w:rsidP="00A25590">
      <w:pPr>
        <w:keepNext/>
        <w:tabs>
          <w:tab w:val="right" w:leader="dot" w:pos="7654"/>
          <w:tab w:val="right" w:pos="8929"/>
          <w:tab w:val="right" w:pos="9638"/>
        </w:tabs>
        <w:spacing w:after="120"/>
        <w:ind w:left="1559" w:hanging="425"/>
      </w:pPr>
      <w:r>
        <w:t>C.</w:t>
      </w:r>
      <w:r>
        <w:tab/>
      </w:r>
      <w:r w:rsidR="00267960" w:rsidRPr="00D90ED9">
        <w:rPr>
          <w:lang w:val="fr-FR"/>
        </w:rPr>
        <w:t>Dispositions relatives au transport</w:t>
      </w:r>
      <w:r>
        <w:tab/>
      </w:r>
      <w:r>
        <w:tab/>
      </w:r>
      <w:r w:rsidR="00FA592C">
        <w:t>45</w:t>
      </w:r>
      <w:r w:rsidR="00FA592C">
        <w:noBreakHyphen/>
        <w:t>46</w:t>
      </w:r>
      <w:r>
        <w:tab/>
      </w:r>
      <w:r w:rsidR="003F4E64">
        <w:t>13</w:t>
      </w:r>
    </w:p>
    <w:p w14:paraId="4F6F6D9B" w14:textId="2070A76B" w:rsidR="00EF13BE" w:rsidRDefault="00EF13BE" w:rsidP="00A25590">
      <w:pPr>
        <w:keepNext/>
        <w:tabs>
          <w:tab w:val="right" w:leader="dot" w:pos="7654"/>
          <w:tab w:val="right" w:pos="8929"/>
          <w:tab w:val="right" w:pos="9638"/>
        </w:tabs>
        <w:spacing w:after="120"/>
        <w:ind w:left="1984" w:hanging="425"/>
      </w:pPr>
      <w:r>
        <w:t>1.</w:t>
      </w:r>
      <w:r>
        <w:tab/>
      </w:r>
      <w:r w:rsidR="00267960" w:rsidRPr="00460D89">
        <w:rPr>
          <w:lang w:val="fr-FR"/>
        </w:rPr>
        <w:t xml:space="preserve">Dispositions concernant les batteries composites constituées </w:t>
      </w:r>
      <w:r w:rsidR="00267960">
        <w:rPr>
          <w:lang w:val="fr-FR"/>
        </w:rPr>
        <w:br/>
      </w:r>
      <w:r w:rsidR="00267960" w:rsidRPr="00460D89">
        <w:rPr>
          <w:lang w:val="fr-FR"/>
        </w:rPr>
        <w:t>de piles au lithium ionique et</w:t>
      </w:r>
      <w:r w:rsidR="00267960">
        <w:rPr>
          <w:lang w:val="fr-FR"/>
        </w:rPr>
        <w:t xml:space="preserve"> de piles au s</w:t>
      </w:r>
      <w:r w:rsidR="00267960" w:rsidRPr="00460D89">
        <w:rPr>
          <w:lang w:val="fr-FR"/>
        </w:rPr>
        <w:t>odium ion</w:t>
      </w:r>
      <w:r w:rsidR="00267960">
        <w:rPr>
          <w:lang w:val="fr-FR"/>
        </w:rPr>
        <w:t>ique</w:t>
      </w:r>
      <w:r>
        <w:tab/>
      </w:r>
      <w:r>
        <w:tab/>
      </w:r>
      <w:r w:rsidR="00FA592C">
        <w:t>45</w:t>
      </w:r>
      <w:r>
        <w:tab/>
      </w:r>
      <w:r w:rsidR="003F4E64">
        <w:t>13</w:t>
      </w:r>
    </w:p>
    <w:p w14:paraId="00CCC44E" w14:textId="797AA199" w:rsidR="00EF13BE" w:rsidRDefault="00EF13BE" w:rsidP="00EF13BE">
      <w:pPr>
        <w:tabs>
          <w:tab w:val="right" w:leader="dot" w:pos="7654"/>
          <w:tab w:val="right" w:pos="8929"/>
          <w:tab w:val="right" w:pos="9638"/>
        </w:tabs>
        <w:spacing w:after="120"/>
        <w:ind w:left="1984" w:hanging="425"/>
      </w:pPr>
      <w:r>
        <w:t>2.</w:t>
      </w:r>
      <w:r>
        <w:tab/>
      </w:r>
      <w:r w:rsidR="00267960">
        <w:rPr>
          <w:lang w:val="fr-FR"/>
        </w:rPr>
        <w:t xml:space="preserve">Amendements aux prescriptions d’étiquetage des colis </w:t>
      </w:r>
      <w:r w:rsidR="00267960">
        <w:rPr>
          <w:lang w:val="fr-FR"/>
        </w:rPr>
        <w:br/>
        <w:t>dans le Règlement type de l’ONU</w:t>
      </w:r>
      <w:r>
        <w:tab/>
      </w:r>
      <w:r>
        <w:tab/>
      </w:r>
      <w:r w:rsidR="00FA592C">
        <w:t>46</w:t>
      </w:r>
      <w:r>
        <w:tab/>
      </w:r>
      <w:r w:rsidR="003F4E64">
        <w:t>13</w:t>
      </w:r>
    </w:p>
    <w:p w14:paraId="6AB3B5F4" w14:textId="554675DF" w:rsidR="00EF13BE" w:rsidRDefault="00EF13BE" w:rsidP="00EF13BE">
      <w:pPr>
        <w:tabs>
          <w:tab w:val="right" w:leader="dot" w:pos="7654"/>
          <w:tab w:val="right" w:pos="8929"/>
          <w:tab w:val="right" w:pos="9638"/>
        </w:tabs>
        <w:spacing w:after="120"/>
        <w:ind w:left="1559" w:hanging="425"/>
      </w:pPr>
      <w:r>
        <w:t>D.</w:t>
      </w:r>
      <w:r>
        <w:tab/>
      </w:r>
      <w:r w:rsidR="00CC5B54">
        <w:rPr>
          <w:lang w:val="fr-FR"/>
        </w:rPr>
        <w:t>Batteries au lithium endommagées ou défectueuses</w:t>
      </w:r>
      <w:r>
        <w:tab/>
      </w:r>
      <w:r>
        <w:tab/>
      </w:r>
      <w:r w:rsidR="00FA592C">
        <w:t>4</w:t>
      </w:r>
      <w:r w:rsidR="00CC5B54">
        <w:t>7</w:t>
      </w:r>
      <w:r>
        <w:tab/>
      </w:r>
      <w:r w:rsidR="003F4E64">
        <w:t>14</w:t>
      </w:r>
    </w:p>
    <w:p w14:paraId="0B58348D" w14:textId="1B571E6C" w:rsidR="00EF13BE" w:rsidRDefault="00EF13BE" w:rsidP="00EF13BE">
      <w:pPr>
        <w:tabs>
          <w:tab w:val="right" w:leader="dot" w:pos="7654"/>
          <w:tab w:val="right" w:pos="8929"/>
          <w:tab w:val="right" w:pos="9638"/>
        </w:tabs>
        <w:spacing w:after="120"/>
        <w:ind w:left="1559" w:hanging="425"/>
      </w:pPr>
      <w:r>
        <w:t>E.</w:t>
      </w:r>
      <w:r>
        <w:tab/>
      </w:r>
      <w:r w:rsidR="00CC5B54" w:rsidRPr="00E80FF4">
        <w:t>Batteries</w:t>
      </w:r>
      <w:r w:rsidR="00CC5B54">
        <w:rPr>
          <w:lang w:val="fr-FR"/>
        </w:rPr>
        <w:t xml:space="preserve"> au sodium ionique</w:t>
      </w:r>
      <w:r>
        <w:tab/>
      </w:r>
      <w:r>
        <w:tab/>
      </w:r>
      <w:r w:rsidR="00CC5B54">
        <w:t>48</w:t>
      </w:r>
      <w:r>
        <w:tab/>
      </w:r>
      <w:r w:rsidR="003F4E64">
        <w:t>14</w:t>
      </w:r>
    </w:p>
    <w:p w14:paraId="51E4AFB5" w14:textId="6CFD4EE7" w:rsidR="00EF13BE" w:rsidRDefault="00EF13BE" w:rsidP="00EF13BE">
      <w:pPr>
        <w:tabs>
          <w:tab w:val="right" w:leader="dot" w:pos="7654"/>
          <w:tab w:val="right" w:pos="8929"/>
          <w:tab w:val="right" w:pos="9638"/>
        </w:tabs>
        <w:spacing w:after="120"/>
        <w:ind w:left="1559" w:hanging="425"/>
      </w:pPr>
      <w:r>
        <w:t>F.</w:t>
      </w:r>
      <w:r>
        <w:tab/>
      </w:r>
      <w:r w:rsidR="00CC5B54">
        <w:rPr>
          <w:bCs/>
          <w:lang w:val="fr-FR"/>
        </w:rPr>
        <w:t>Autres questions</w:t>
      </w:r>
      <w:r>
        <w:tab/>
      </w:r>
      <w:r>
        <w:tab/>
      </w:r>
      <w:r w:rsidR="00FA592C">
        <w:t>49</w:t>
      </w:r>
      <w:r w:rsidR="00CC5B54">
        <w:noBreakHyphen/>
        <w:t>50</w:t>
      </w:r>
      <w:r>
        <w:tab/>
      </w:r>
      <w:r w:rsidR="003F4E64">
        <w:t>14</w:t>
      </w:r>
    </w:p>
    <w:p w14:paraId="7A5FF31A" w14:textId="50BDC3E0" w:rsidR="00EF13BE" w:rsidRDefault="00EF13BE" w:rsidP="00EF13BE">
      <w:pPr>
        <w:tabs>
          <w:tab w:val="right" w:leader="dot" w:pos="7654"/>
          <w:tab w:val="right" w:pos="8929"/>
          <w:tab w:val="right" w:pos="9638"/>
        </w:tabs>
        <w:spacing w:after="120"/>
        <w:ind w:left="1984" w:hanging="425"/>
      </w:pPr>
      <w:r>
        <w:t>1.</w:t>
      </w:r>
      <w:r>
        <w:tab/>
      </w:r>
      <w:r w:rsidR="00CC5B54">
        <w:rPr>
          <w:lang w:val="fr-FR"/>
        </w:rPr>
        <w:t xml:space="preserve">Emploi des termes « rated capacity », « nominal energy » </w:t>
      </w:r>
      <w:r w:rsidR="00CC5B54">
        <w:rPr>
          <w:lang w:val="fr-FR"/>
        </w:rPr>
        <w:br/>
        <w:t xml:space="preserve">et « watt-hour rating » dans les différentes versions </w:t>
      </w:r>
      <w:r w:rsidR="00CC5B54">
        <w:rPr>
          <w:lang w:val="fr-FR"/>
        </w:rPr>
        <w:br/>
        <w:t>du Règlement type et du Manuel d’épreuves et de critères</w:t>
      </w:r>
      <w:r>
        <w:tab/>
      </w:r>
      <w:r>
        <w:tab/>
      </w:r>
      <w:r w:rsidR="00CC5B54">
        <w:t>49</w:t>
      </w:r>
      <w:r>
        <w:tab/>
      </w:r>
      <w:r w:rsidR="003F4E64">
        <w:t>14</w:t>
      </w:r>
    </w:p>
    <w:p w14:paraId="4DFE1C63" w14:textId="5A72A205" w:rsidR="00EF13BE" w:rsidRDefault="00EF13BE" w:rsidP="00EF13BE">
      <w:pPr>
        <w:tabs>
          <w:tab w:val="right" w:leader="dot" w:pos="7654"/>
          <w:tab w:val="right" w:pos="8929"/>
          <w:tab w:val="right" w:pos="9638"/>
        </w:tabs>
        <w:spacing w:after="120"/>
        <w:ind w:left="1984" w:hanging="425"/>
      </w:pPr>
      <w:r>
        <w:t>2.</w:t>
      </w:r>
      <w:r>
        <w:tab/>
      </w:r>
      <w:r w:rsidR="00CC5B54">
        <w:rPr>
          <w:lang w:val="fr-FR"/>
        </w:rPr>
        <w:t>Réutilisation et réaffectation des piles et batteries au lithium ionique</w:t>
      </w:r>
      <w:r>
        <w:tab/>
      </w:r>
      <w:r>
        <w:tab/>
      </w:r>
      <w:r w:rsidR="00CC5B54">
        <w:t>50</w:t>
      </w:r>
      <w:r>
        <w:tab/>
      </w:r>
      <w:r w:rsidR="003F4E64">
        <w:t>14</w:t>
      </w:r>
    </w:p>
    <w:p w14:paraId="6E73DCE3" w14:textId="7B24FAA2" w:rsidR="00EF13BE" w:rsidRDefault="00EF13BE" w:rsidP="00EF13BE">
      <w:pPr>
        <w:tabs>
          <w:tab w:val="right" w:pos="850"/>
          <w:tab w:val="right" w:leader="dot" w:pos="7654"/>
          <w:tab w:val="right" w:pos="8929"/>
          <w:tab w:val="right" w:pos="9638"/>
        </w:tabs>
        <w:spacing w:after="120"/>
        <w:ind w:left="1134" w:hanging="1134"/>
      </w:pPr>
      <w:r>
        <w:tab/>
        <w:t>VII.</w:t>
      </w:r>
      <w:r>
        <w:tab/>
      </w:r>
      <w:r w:rsidR="00CC5B54">
        <w:rPr>
          <w:lang w:val="fr-FR"/>
        </w:rPr>
        <w:t>Transport de gaz (point 5 de l’ordre du jour)</w:t>
      </w:r>
      <w:r>
        <w:tab/>
      </w:r>
      <w:r>
        <w:tab/>
      </w:r>
      <w:r w:rsidR="00FA592C">
        <w:t>51</w:t>
      </w:r>
      <w:r w:rsidR="00FA592C">
        <w:noBreakHyphen/>
        <w:t>52</w:t>
      </w:r>
      <w:r>
        <w:tab/>
      </w:r>
      <w:r w:rsidR="003F4E64">
        <w:t>14</w:t>
      </w:r>
    </w:p>
    <w:p w14:paraId="6DEDE26E" w14:textId="03FFF15A" w:rsidR="00EF13BE" w:rsidRDefault="00EF13BE" w:rsidP="00EF13BE">
      <w:pPr>
        <w:tabs>
          <w:tab w:val="right" w:leader="dot" w:pos="7654"/>
          <w:tab w:val="right" w:pos="8929"/>
          <w:tab w:val="right" w:pos="9638"/>
        </w:tabs>
        <w:spacing w:after="120"/>
        <w:ind w:left="1559" w:hanging="425"/>
      </w:pPr>
      <w:r>
        <w:t>A.</w:t>
      </w:r>
      <w:r>
        <w:tab/>
      </w:r>
      <w:r w:rsidR="00CC5B54">
        <w:rPr>
          <w:lang w:val="fr-FR"/>
        </w:rPr>
        <w:t>Reconnaissance universelle des récipients à pression ONU et non ONU</w:t>
      </w:r>
      <w:r>
        <w:tab/>
      </w:r>
      <w:r>
        <w:tab/>
      </w:r>
      <w:r w:rsidR="00FA592C">
        <w:t>51</w:t>
      </w:r>
      <w:r>
        <w:tab/>
      </w:r>
      <w:r w:rsidR="003F4E64">
        <w:t>14</w:t>
      </w:r>
    </w:p>
    <w:p w14:paraId="5A147A70" w14:textId="3F642979" w:rsidR="00EF13BE" w:rsidRDefault="00EF13BE" w:rsidP="00EF13BE">
      <w:pPr>
        <w:tabs>
          <w:tab w:val="right" w:leader="dot" w:pos="7654"/>
          <w:tab w:val="right" w:pos="8929"/>
          <w:tab w:val="right" w:pos="9638"/>
        </w:tabs>
        <w:spacing w:after="120"/>
        <w:ind w:left="1559" w:hanging="425"/>
      </w:pPr>
      <w:r>
        <w:t>B.</w:t>
      </w:r>
      <w:r>
        <w:tab/>
      </w:r>
      <w:r w:rsidR="00CC5B54">
        <w:rPr>
          <w:lang w:val="fr-FR"/>
        </w:rPr>
        <w:t>Gaz de la division 2.2 transportés en quantités limitées</w:t>
      </w:r>
      <w:r>
        <w:tab/>
      </w:r>
      <w:r>
        <w:tab/>
      </w:r>
      <w:r w:rsidR="00FA592C">
        <w:t>52</w:t>
      </w:r>
      <w:r>
        <w:tab/>
      </w:r>
      <w:r w:rsidR="003F4E64">
        <w:t>14</w:t>
      </w:r>
    </w:p>
    <w:p w14:paraId="5EAA0ADB" w14:textId="5FAB8BDB" w:rsidR="00EF13BE" w:rsidRDefault="00EF13BE" w:rsidP="00EF13BE">
      <w:pPr>
        <w:tabs>
          <w:tab w:val="right" w:leader="dot" w:pos="7654"/>
          <w:tab w:val="right" w:pos="8929"/>
          <w:tab w:val="right" w:pos="9638"/>
        </w:tabs>
        <w:spacing w:after="120"/>
        <w:ind w:left="1559" w:hanging="425"/>
      </w:pPr>
      <w:r>
        <w:t>C.</w:t>
      </w:r>
      <w:r>
        <w:tab/>
      </w:r>
      <w:r w:rsidR="00CC5B54">
        <w:rPr>
          <w:lang w:val="fr-FR"/>
        </w:rPr>
        <w:t>Autres questions</w:t>
      </w:r>
      <w:r>
        <w:tab/>
      </w:r>
      <w:r>
        <w:tab/>
      </w:r>
      <w:r w:rsidR="00FA592C">
        <w:t>53</w:t>
      </w:r>
      <w:r w:rsidR="00FA592C">
        <w:noBreakHyphen/>
        <w:t>55</w:t>
      </w:r>
      <w:r>
        <w:tab/>
      </w:r>
      <w:r w:rsidR="003F4E64">
        <w:t>15</w:t>
      </w:r>
    </w:p>
    <w:p w14:paraId="3C6F4A2D" w14:textId="3B0E0090" w:rsidR="00EF13BE" w:rsidRDefault="00EF13BE" w:rsidP="00EF13BE">
      <w:pPr>
        <w:tabs>
          <w:tab w:val="right" w:leader="dot" w:pos="7654"/>
          <w:tab w:val="right" w:pos="8929"/>
          <w:tab w:val="right" w:pos="9638"/>
        </w:tabs>
        <w:spacing w:after="120"/>
        <w:ind w:left="1984" w:hanging="425"/>
      </w:pPr>
      <w:r>
        <w:t>1.</w:t>
      </w:r>
      <w:r>
        <w:tab/>
      </w:r>
      <w:r w:rsidR="00CC5B54">
        <w:rPr>
          <w:lang w:val="fr-FR"/>
        </w:rPr>
        <w:t>Normes ISO mises à jour dans la classe 2</w:t>
      </w:r>
      <w:r>
        <w:tab/>
      </w:r>
      <w:r>
        <w:tab/>
      </w:r>
      <w:r w:rsidR="00FA592C">
        <w:t>53</w:t>
      </w:r>
      <w:r w:rsidR="00FA592C">
        <w:noBreakHyphen/>
        <w:t>54</w:t>
      </w:r>
      <w:r>
        <w:tab/>
      </w:r>
      <w:r w:rsidR="003F4E64">
        <w:t>15</w:t>
      </w:r>
    </w:p>
    <w:p w14:paraId="147D794A" w14:textId="43B084D4" w:rsidR="00EF13BE" w:rsidRDefault="00EF13BE" w:rsidP="00EF13BE">
      <w:pPr>
        <w:tabs>
          <w:tab w:val="right" w:leader="dot" w:pos="7654"/>
          <w:tab w:val="right" w:pos="8929"/>
          <w:tab w:val="right" w:pos="9638"/>
        </w:tabs>
        <w:spacing w:after="120"/>
        <w:ind w:left="1984" w:hanging="425"/>
      </w:pPr>
      <w:r>
        <w:t>2.</w:t>
      </w:r>
      <w:r>
        <w:tab/>
      </w:r>
      <w:r w:rsidR="00CC5B54">
        <w:rPr>
          <w:lang w:val="fr-FR"/>
        </w:rPr>
        <w:t xml:space="preserve">Rapport du groupe de travail intersessions de la limite </w:t>
      </w:r>
      <w:r w:rsidR="00CC5B54">
        <w:rPr>
          <w:lang w:val="fr-FR"/>
        </w:rPr>
        <w:br/>
        <w:t>du produit pV pour les récipients à pression</w:t>
      </w:r>
      <w:r>
        <w:tab/>
      </w:r>
      <w:r>
        <w:tab/>
      </w:r>
      <w:r w:rsidR="00FA592C">
        <w:t>55</w:t>
      </w:r>
      <w:r>
        <w:tab/>
      </w:r>
      <w:r w:rsidR="003F4E64">
        <w:t>15</w:t>
      </w:r>
    </w:p>
    <w:p w14:paraId="7E11F5DF" w14:textId="0B394060" w:rsidR="00EF13BE" w:rsidRDefault="00EF13BE" w:rsidP="00EF13BE">
      <w:pPr>
        <w:tabs>
          <w:tab w:val="right" w:pos="850"/>
          <w:tab w:val="right" w:leader="dot" w:pos="7654"/>
          <w:tab w:val="right" w:pos="8929"/>
          <w:tab w:val="right" w:pos="9638"/>
        </w:tabs>
        <w:spacing w:after="120"/>
        <w:ind w:left="1134" w:hanging="1134"/>
      </w:pPr>
      <w:r>
        <w:tab/>
        <w:t>VIII.</w:t>
      </w:r>
      <w:r>
        <w:tab/>
      </w:r>
      <w:r w:rsidR="00CC5B54">
        <w:rPr>
          <w:lang w:val="fr-FR"/>
        </w:rPr>
        <w:t xml:space="preserve">Propositions diverses d’amendements au Règlement type pour le transport </w:t>
      </w:r>
      <w:r w:rsidR="00CC5B54">
        <w:rPr>
          <w:lang w:val="fr-FR"/>
        </w:rPr>
        <w:br/>
        <w:t>des marchandises dangereuses (point 6 de l’ordre du jour)</w:t>
      </w:r>
      <w:r>
        <w:tab/>
      </w:r>
      <w:r>
        <w:tab/>
      </w:r>
      <w:r w:rsidR="00FA592C">
        <w:t>56</w:t>
      </w:r>
      <w:r w:rsidR="00FA592C">
        <w:noBreakHyphen/>
        <w:t>60</w:t>
      </w:r>
      <w:r>
        <w:tab/>
      </w:r>
      <w:r w:rsidR="003F4E64">
        <w:t>15</w:t>
      </w:r>
    </w:p>
    <w:p w14:paraId="12125C1C" w14:textId="4CC1D3DE" w:rsidR="00EF13BE" w:rsidRDefault="00EF13BE" w:rsidP="00EF13BE">
      <w:pPr>
        <w:tabs>
          <w:tab w:val="right" w:leader="dot" w:pos="7654"/>
          <w:tab w:val="right" w:pos="8929"/>
          <w:tab w:val="right" w:pos="9638"/>
        </w:tabs>
        <w:spacing w:after="120"/>
        <w:ind w:left="1559" w:hanging="425"/>
      </w:pPr>
      <w:r>
        <w:t>A.</w:t>
      </w:r>
      <w:r>
        <w:tab/>
      </w:r>
      <w:r w:rsidR="00CC5B54">
        <w:rPr>
          <w:lang w:val="fr-FR"/>
        </w:rPr>
        <w:t>Marquage et étiquetage</w:t>
      </w:r>
      <w:r>
        <w:tab/>
      </w:r>
      <w:r>
        <w:tab/>
      </w:r>
      <w:r w:rsidR="00FA592C">
        <w:t>56</w:t>
      </w:r>
      <w:r>
        <w:tab/>
      </w:r>
      <w:r w:rsidR="003F4E64">
        <w:t>15</w:t>
      </w:r>
    </w:p>
    <w:p w14:paraId="65644775" w14:textId="1E8C0F9A" w:rsidR="00EF13BE" w:rsidRDefault="00EF13BE" w:rsidP="00EF13BE">
      <w:pPr>
        <w:tabs>
          <w:tab w:val="right" w:leader="dot" w:pos="7654"/>
          <w:tab w:val="right" w:pos="8929"/>
          <w:tab w:val="right" w:pos="9638"/>
        </w:tabs>
        <w:spacing w:after="120"/>
        <w:ind w:left="1559" w:hanging="425"/>
      </w:pPr>
      <w:r>
        <w:t>B.</w:t>
      </w:r>
      <w:r>
        <w:tab/>
      </w:r>
      <w:r w:rsidR="00CC5B54" w:rsidRPr="00EF35E3">
        <w:rPr>
          <w:lang w:val="fr-FR"/>
        </w:rPr>
        <w:t>Emballages, y compris l</w:t>
      </w:r>
      <w:r w:rsidR="00CC5B54">
        <w:rPr>
          <w:lang w:val="fr-FR"/>
        </w:rPr>
        <w:t>’</w:t>
      </w:r>
      <w:r w:rsidR="00CC5B54" w:rsidRPr="00EF35E3">
        <w:rPr>
          <w:lang w:val="fr-FR"/>
        </w:rPr>
        <w:t>utilisation des matières plastiques recyclées</w:t>
      </w:r>
      <w:r>
        <w:tab/>
      </w:r>
      <w:r>
        <w:tab/>
      </w:r>
      <w:r w:rsidR="00FA592C">
        <w:t>57</w:t>
      </w:r>
      <w:r>
        <w:tab/>
      </w:r>
      <w:r w:rsidR="003F4E64">
        <w:t>15</w:t>
      </w:r>
    </w:p>
    <w:p w14:paraId="53163090" w14:textId="5A71D5C0" w:rsidR="00EF13BE" w:rsidRDefault="00EF13BE" w:rsidP="00EF13BE">
      <w:pPr>
        <w:tabs>
          <w:tab w:val="right" w:leader="dot" w:pos="7654"/>
          <w:tab w:val="right" w:pos="8929"/>
          <w:tab w:val="right" w:pos="9638"/>
        </w:tabs>
        <w:spacing w:after="120"/>
        <w:ind w:left="1559" w:hanging="425"/>
      </w:pPr>
      <w:r>
        <w:t>C.</w:t>
      </w:r>
      <w:r>
        <w:tab/>
      </w:r>
      <w:r w:rsidR="00CC5B54" w:rsidRPr="004C546D">
        <w:t>Citernes</w:t>
      </w:r>
      <w:r w:rsidR="00CC5B54">
        <w:rPr>
          <w:lang w:val="fr-FR"/>
        </w:rPr>
        <w:t xml:space="preserve"> mobiles</w:t>
      </w:r>
      <w:r>
        <w:tab/>
      </w:r>
      <w:r>
        <w:tab/>
      </w:r>
      <w:r w:rsidR="00FA592C">
        <w:t>58</w:t>
      </w:r>
      <w:r w:rsidR="00FA592C">
        <w:noBreakHyphen/>
        <w:t>59</w:t>
      </w:r>
      <w:r>
        <w:tab/>
      </w:r>
      <w:r w:rsidR="003F4E64">
        <w:t>16</w:t>
      </w:r>
    </w:p>
    <w:p w14:paraId="1551F515" w14:textId="2182DB40" w:rsidR="00EF13BE" w:rsidRDefault="00EF13BE" w:rsidP="00EF13BE">
      <w:pPr>
        <w:tabs>
          <w:tab w:val="right" w:leader="dot" w:pos="7654"/>
          <w:tab w:val="right" w:pos="8929"/>
          <w:tab w:val="right" w:pos="9638"/>
        </w:tabs>
        <w:spacing w:after="120"/>
        <w:ind w:left="1984" w:hanging="425"/>
      </w:pPr>
      <w:r>
        <w:t>1.</w:t>
      </w:r>
      <w:r>
        <w:tab/>
      </w:r>
      <w:r w:rsidR="00CC5B54" w:rsidRPr="004C546D">
        <w:t>Section</w:t>
      </w:r>
      <w:r w:rsidR="00CC5B54">
        <w:rPr>
          <w:lang w:val="fr-FR"/>
        </w:rPr>
        <w:t xml:space="preserve"> 6.9.3, « Prescriptions relatives à la conception, </w:t>
      </w:r>
      <w:r w:rsidR="00CC5B54">
        <w:rPr>
          <w:lang w:val="fr-FR"/>
        </w:rPr>
        <w:br/>
        <w:t xml:space="preserve">à la construction, aux contrôles et aux épreuves </w:t>
      </w:r>
      <w:r w:rsidR="00CC5B54">
        <w:rPr>
          <w:lang w:val="fr-FR"/>
        </w:rPr>
        <w:br/>
        <w:t xml:space="preserve">des équipements de service en matière plastique </w:t>
      </w:r>
      <w:r w:rsidR="00CC5B54">
        <w:rPr>
          <w:lang w:val="fr-FR"/>
        </w:rPr>
        <w:br/>
        <w:t xml:space="preserve">renforcée de fibre (PRF) dans le cas des citernes </w:t>
      </w:r>
      <w:r w:rsidR="00CC5B54">
        <w:rPr>
          <w:lang w:val="fr-FR"/>
        </w:rPr>
        <w:br/>
        <w:t xml:space="preserve">mobiles » et amendements à la section </w:t>
      </w:r>
      <w:r w:rsidR="00CC5B54" w:rsidRPr="00DE245C">
        <w:rPr>
          <w:lang w:val="fr-FR"/>
        </w:rPr>
        <w:t>6.9.1</w:t>
      </w:r>
      <w:r>
        <w:tab/>
      </w:r>
      <w:r>
        <w:tab/>
      </w:r>
      <w:r w:rsidR="00FA592C">
        <w:t>58</w:t>
      </w:r>
      <w:r>
        <w:tab/>
      </w:r>
      <w:r w:rsidR="003F4E64">
        <w:t>16</w:t>
      </w:r>
    </w:p>
    <w:p w14:paraId="0433E845" w14:textId="156A9B0D" w:rsidR="00EF13BE" w:rsidRDefault="00EF13BE" w:rsidP="00EF13BE">
      <w:pPr>
        <w:tabs>
          <w:tab w:val="right" w:leader="dot" w:pos="7654"/>
          <w:tab w:val="right" w:pos="8929"/>
          <w:tab w:val="right" w:pos="9638"/>
        </w:tabs>
        <w:spacing w:after="120"/>
        <w:ind w:left="1984" w:hanging="425"/>
      </w:pPr>
      <w:r>
        <w:t>2.</w:t>
      </w:r>
      <w:r>
        <w:tab/>
      </w:r>
      <w:r w:rsidR="00CC5B54" w:rsidRPr="00EF35E3">
        <w:rPr>
          <w:lang w:val="fr-FR"/>
        </w:rPr>
        <w:t xml:space="preserve">Transport dans des citernes mobiles de certaines DISPERSIONS </w:t>
      </w:r>
      <w:r w:rsidR="00CC5B54">
        <w:rPr>
          <w:lang w:val="fr-FR"/>
        </w:rPr>
        <w:br/>
      </w:r>
      <w:r w:rsidR="00CC5B54" w:rsidRPr="00EF35E3">
        <w:rPr>
          <w:lang w:val="fr-FR"/>
        </w:rPr>
        <w:t>DE MÉTAUX ALCALINS (N</w:t>
      </w:r>
      <w:r w:rsidR="00CC5B54" w:rsidRPr="004C546D">
        <w:rPr>
          <w:vertAlign w:val="superscript"/>
          <w:lang w:val="fr-FR"/>
        </w:rPr>
        <w:t>o</w:t>
      </w:r>
      <w:r w:rsidR="00CC5B54">
        <w:rPr>
          <w:lang w:val="fr-FR"/>
        </w:rPr>
        <w:t> </w:t>
      </w:r>
      <w:r w:rsidR="00CC5B54" w:rsidRPr="00EF35E3">
        <w:rPr>
          <w:lang w:val="fr-FR"/>
        </w:rPr>
        <w:t xml:space="preserve">ONU 1391) et DISPERSIONS </w:t>
      </w:r>
      <w:r w:rsidR="00CC5B54">
        <w:rPr>
          <w:lang w:val="fr-FR"/>
        </w:rPr>
        <w:br/>
      </w:r>
      <w:r w:rsidR="00CC5B54" w:rsidRPr="00EF35E3">
        <w:rPr>
          <w:lang w:val="fr-FR"/>
        </w:rPr>
        <w:t>DE MÉTAUX ALCALINS INFLAMMABLES (N</w:t>
      </w:r>
      <w:r w:rsidR="00CC5B54" w:rsidRPr="004C546D">
        <w:rPr>
          <w:vertAlign w:val="superscript"/>
          <w:lang w:val="fr-FR"/>
        </w:rPr>
        <w:t>o</w:t>
      </w:r>
      <w:r w:rsidR="00CC5B54">
        <w:rPr>
          <w:lang w:val="fr-FR"/>
        </w:rPr>
        <w:t> </w:t>
      </w:r>
      <w:r w:rsidR="00CC5B54" w:rsidRPr="00EF35E3">
        <w:rPr>
          <w:lang w:val="fr-FR"/>
        </w:rPr>
        <w:t>ONU 3482)</w:t>
      </w:r>
      <w:r>
        <w:tab/>
      </w:r>
      <w:r>
        <w:tab/>
      </w:r>
      <w:r w:rsidR="00FA592C">
        <w:t>59</w:t>
      </w:r>
      <w:r>
        <w:tab/>
      </w:r>
      <w:r w:rsidR="003F4E64">
        <w:t>16</w:t>
      </w:r>
    </w:p>
    <w:p w14:paraId="29093C7C" w14:textId="46CE6FF5" w:rsidR="00EF13BE" w:rsidRDefault="00EF13BE" w:rsidP="00EF13BE">
      <w:pPr>
        <w:tabs>
          <w:tab w:val="right" w:leader="dot" w:pos="7654"/>
          <w:tab w:val="right" w:pos="8929"/>
          <w:tab w:val="right" w:pos="9638"/>
        </w:tabs>
        <w:spacing w:after="120"/>
        <w:ind w:left="1559" w:hanging="425"/>
      </w:pPr>
      <w:r>
        <w:t>D.</w:t>
      </w:r>
      <w:r>
        <w:tab/>
      </w:r>
      <w:r w:rsidR="00CC5B54">
        <w:rPr>
          <w:lang w:val="fr-FR"/>
        </w:rPr>
        <w:t>Autres propositions diverses</w:t>
      </w:r>
      <w:r>
        <w:tab/>
      </w:r>
      <w:r>
        <w:tab/>
      </w:r>
      <w:r w:rsidR="00FA592C">
        <w:t>60</w:t>
      </w:r>
      <w:r>
        <w:tab/>
      </w:r>
      <w:r w:rsidR="003F4E64">
        <w:t>16</w:t>
      </w:r>
    </w:p>
    <w:p w14:paraId="0BE01713" w14:textId="286E68F4" w:rsidR="00EF13BE" w:rsidRDefault="00EF13BE" w:rsidP="00EF13BE">
      <w:pPr>
        <w:tabs>
          <w:tab w:val="right" w:pos="850"/>
          <w:tab w:val="right" w:leader="dot" w:pos="7654"/>
          <w:tab w:val="right" w:pos="8929"/>
          <w:tab w:val="right" w:pos="9638"/>
        </w:tabs>
        <w:spacing w:after="120"/>
        <w:ind w:left="1134" w:hanging="1134"/>
      </w:pPr>
      <w:r>
        <w:tab/>
        <w:t>IX.</w:t>
      </w:r>
      <w:r>
        <w:tab/>
      </w:r>
      <w:r w:rsidR="00CC5B54" w:rsidRPr="004C546D">
        <w:t>Harmonisation</w:t>
      </w:r>
      <w:r w:rsidR="00CC5B54">
        <w:rPr>
          <w:lang w:val="fr-FR"/>
        </w:rPr>
        <w:t xml:space="preserve"> générale des règlements relatifs au transport des marchandises </w:t>
      </w:r>
      <w:r w:rsidR="00CC5B54">
        <w:rPr>
          <w:lang w:val="fr-FR"/>
        </w:rPr>
        <w:br/>
        <w:t>dangereuses avec le Règlement type (point 7 de l’ordre du jour</w:t>
      </w:r>
      <w:r w:rsidR="00CC5B54" w:rsidRPr="00631E4E">
        <w:rPr>
          <w:lang w:val="fr-FR"/>
        </w:rPr>
        <w:t>)</w:t>
      </w:r>
      <w:r>
        <w:tab/>
      </w:r>
      <w:r>
        <w:tab/>
      </w:r>
      <w:r w:rsidR="00FA592C">
        <w:t>61</w:t>
      </w:r>
      <w:r w:rsidR="00FA592C">
        <w:noBreakHyphen/>
        <w:t>64</w:t>
      </w:r>
      <w:r>
        <w:tab/>
      </w:r>
      <w:r w:rsidR="003F4E64">
        <w:t>16</w:t>
      </w:r>
    </w:p>
    <w:p w14:paraId="2EE1F35E" w14:textId="285B0BFB" w:rsidR="00EF13BE" w:rsidRDefault="00EF13BE" w:rsidP="00EF13BE">
      <w:pPr>
        <w:tabs>
          <w:tab w:val="right" w:leader="dot" w:pos="7654"/>
          <w:tab w:val="right" w:pos="8929"/>
          <w:tab w:val="right" w:pos="9638"/>
        </w:tabs>
        <w:spacing w:after="120"/>
        <w:ind w:left="1559" w:hanging="425"/>
      </w:pPr>
      <w:r>
        <w:t>A.</w:t>
      </w:r>
      <w:r>
        <w:tab/>
      </w:r>
      <w:r w:rsidR="00CC5B54" w:rsidRPr="00EA40C7">
        <w:rPr>
          <w:lang w:val="fr-FR"/>
        </w:rPr>
        <w:t>Projet d</w:t>
      </w:r>
      <w:r w:rsidR="00CC5B54">
        <w:rPr>
          <w:lang w:val="fr-FR"/>
        </w:rPr>
        <w:t>’</w:t>
      </w:r>
      <w:r w:rsidR="00CC5B54" w:rsidRPr="00EA40C7">
        <w:rPr>
          <w:lang w:val="fr-FR"/>
        </w:rPr>
        <w:t>amendements de l</w:t>
      </w:r>
      <w:r w:rsidR="00CC5B54">
        <w:rPr>
          <w:lang w:val="fr-FR"/>
        </w:rPr>
        <w:t>’</w:t>
      </w:r>
      <w:r w:rsidR="00CC5B54" w:rsidRPr="00EA40C7">
        <w:rPr>
          <w:lang w:val="fr-FR"/>
        </w:rPr>
        <w:t xml:space="preserve">OMI </w:t>
      </w:r>
      <w:r w:rsidR="00CC5B54">
        <w:rPr>
          <w:lang w:val="fr-FR"/>
        </w:rPr>
        <w:t>à la section</w:t>
      </w:r>
      <w:r w:rsidR="00CC5B54" w:rsidRPr="00EA40C7">
        <w:rPr>
          <w:lang w:val="fr-FR"/>
        </w:rPr>
        <w:t xml:space="preserve"> 5.5.4 du </w:t>
      </w:r>
      <w:r w:rsidR="00CC5B54">
        <w:rPr>
          <w:lang w:val="fr-FR"/>
        </w:rPr>
        <w:t>C</w:t>
      </w:r>
      <w:r w:rsidR="00CC5B54" w:rsidRPr="00EA40C7">
        <w:rPr>
          <w:lang w:val="fr-FR"/>
        </w:rPr>
        <w:t>ode IMDG</w:t>
      </w:r>
      <w:r>
        <w:tab/>
      </w:r>
      <w:r>
        <w:tab/>
      </w:r>
      <w:r w:rsidR="00FA592C">
        <w:t>61</w:t>
      </w:r>
      <w:r w:rsidR="00FA592C">
        <w:noBreakHyphen/>
        <w:t>63</w:t>
      </w:r>
      <w:r>
        <w:tab/>
      </w:r>
      <w:r w:rsidR="003F4E64">
        <w:t>16</w:t>
      </w:r>
    </w:p>
    <w:p w14:paraId="2D423138" w14:textId="152EDB49" w:rsidR="00EF13BE" w:rsidRDefault="00EF13BE" w:rsidP="00EF13BE">
      <w:pPr>
        <w:tabs>
          <w:tab w:val="right" w:leader="dot" w:pos="7654"/>
          <w:tab w:val="right" w:pos="8929"/>
          <w:tab w:val="right" w:pos="9638"/>
        </w:tabs>
        <w:spacing w:after="120"/>
        <w:ind w:left="1559" w:hanging="425"/>
      </w:pPr>
      <w:r>
        <w:t>B.</w:t>
      </w:r>
      <w:r>
        <w:tab/>
      </w:r>
      <w:r w:rsidR="00CC5B54">
        <w:rPr>
          <w:lang w:val="fr-FR"/>
        </w:rPr>
        <w:t xml:space="preserve">Mise à jour des références aux normes dans le Manuel </w:t>
      </w:r>
      <w:r w:rsidR="00CC5B54">
        <w:rPr>
          <w:lang w:val="fr-FR"/>
        </w:rPr>
        <w:br/>
        <w:t>d’épreuves et de critères</w:t>
      </w:r>
      <w:r>
        <w:tab/>
      </w:r>
      <w:r>
        <w:tab/>
      </w:r>
      <w:r w:rsidR="00FA592C">
        <w:t>64</w:t>
      </w:r>
      <w:r>
        <w:tab/>
      </w:r>
      <w:r w:rsidR="003F4E64">
        <w:t>17</w:t>
      </w:r>
    </w:p>
    <w:p w14:paraId="0C2B2B10" w14:textId="16541134" w:rsidR="00EF13BE" w:rsidRDefault="00EF13BE" w:rsidP="00EF13BE">
      <w:pPr>
        <w:tabs>
          <w:tab w:val="right" w:pos="850"/>
          <w:tab w:val="right" w:leader="dot" w:pos="7654"/>
          <w:tab w:val="right" w:pos="8929"/>
          <w:tab w:val="right" w:pos="9638"/>
        </w:tabs>
        <w:spacing w:after="120"/>
        <w:ind w:left="1134" w:hanging="1134"/>
      </w:pPr>
      <w:r>
        <w:tab/>
        <w:t>X.</w:t>
      </w:r>
      <w:r>
        <w:tab/>
      </w:r>
      <w:r w:rsidR="00CC5B54" w:rsidRPr="005F1938">
        <w:rPr>
          <w:lang w:val="fr-FR"/>
        </w:rPr>
        <w:t>Coopération avec l</w:t>
      </w:r>
      <w:r w:rsidR="00CC5B54">
        <w:rPr>
          <w:lang w:val="fr-FR"/>
        </w:rPr>
        <w:t>’</w:t>
      </w:r>
      <w:r w:rsidR="00CC5B54" w:rsidRPr="005F1938">
        <w:rPr>
          <w:lang w:val="fr-FR"/>
        </w:rPr>
        <w:t>Agence internationale de l</w:t>
      </w:r>
      <w:r w:rsidR="00CC5B54">
        <w:rPr>
          <w:lang w:val="fr-FR"/>
        </w:rPr>
        <w:t>’</w:t>
      </w:r>
      <w:r w:rsidR="00CC5B54" w:rsidRPr="005F1938">
        <w:rPr>
          <w:lang w:val="fr-FR"/>
        </w:rPr>
        <w:t xml:space="preserve">énergie atomique </w:t>
      </w:r>
      <w:r w:rsidR="00CC5B54">
        <w:rPr>
          <w:lang w:val="fr-FR"/>
        </w:rPr>
        <w:br/>
      </w:r>
      <w:r w:rsidR="00CC5B54" w:rsidRPr="005F1938">
        <w:rPr>
          <w:lang w:val="fr-FR"/>
        </w:rPr>
        <w:t>(point 8 de l</w:t>
      </w:r>
      <w:r w:rsidR="00CC5B54">
        <w:rPr>
          <w:lang w:val="fr-FR"/>
        </w:rPr>
        <w:t>’</w:t>
      </w:r>
      <w:r w:rsidR="00CC5B54" w:rsidRPr="005F1938">
        <w:rPr>
          <w:lang w:val="fr-FR"/>
        </w:rPr>
        <w:t>ordre du jour</w:t>
      </w:r>
      <w:r w:rsidR="00CC5B54" w:rsidRPr="005933F9">
        <w:rPr>
          <w:lang w:val="fr-FR"/>
        </w:rPr>
        <w:t>)</w:t>
      </w:r>
      <w:r>
        <w:tab/>
      </w:r>
      <w:r>
        <w:tab/>
      </w:r>
      <w:r w:rsidR="00FA592C">
        <w:t>65</w:t>
      </w:r>
      <w:r>
        <w:tab/>
      </w:r>
      <w:r w:rsidR="003F4E64">
        <w:t>17</w:t>
      </w:r>
    </w:p>
    <w:p w14:paraId="6F1FC014" w14:textId="469DA67D" w:rsidR="00EF13BE" w:rsidRDefault="00EF13BE" w:rsidP="00EF13BE">
      <w:pPr>
        <w:tabs>
          <w:tab w:val="right" w:pos="850"/>
          <w:tab w:val="right" w:leader="dot" w:pos="7654"/>
          <w:tab w:val="right" w:pos="8929"/>
          <w:tab w:val="right" w:pos="9638"/>
        </w:tabs>
        <w:spacing w:after="120"/>
        <w:ind w:left="1134" w:hanging="1134"/>
      </w:pPr>
      <w:r>
        <w:tab/>
        <w:t>XI.</w:t>
      </w:r>
      <w:r>
        <w:tab/>
      </w:r>
      <w:r w:rsidR="00CC5B54" w:rsidRPr="005F1938">
        <w:rPr>
          <w:lang w:val="fr-FR"/>
        </w:rPr>
        <w:t>Principes directeurs du Règlement type (point 9 de l</w:t>
      </w:r>
      <w:r w:rsidR="00CC5B54">
        <w:rPr>
          <w:lang w:val="fr-FR"/>
        </w:rPr>
        <w:t>’</w:t>
      </w:r>
      <w:r w:rsidR="00CC5B54" w:rsidRPr="005F1938">
        <w:rPr>
          <w:lang w:val="fr-FR"/>
        </w:rPr>
        <w:t>ordre du</w:t>
      </w:r>
      <w:r w:rsidR="00CC5B54">
        <w:rPr>
          <w:lang w:val="fr-FR"/>
        </w:rPr>
        <w:t xml:space="preserve"> </w:t>
      </w:r>
      <w:r w:rsidR="00CC5B54" w:rsidRPr="005F1938">
        <w:rPr>
          <w:lang w:val="fr-FR"/>
        </w:rPr>
        <w:t>jour</w:t>
      </w:r>
      <w:r w:rsidR="00CC5B54" w:rsidRPr="005933F9">
        <w:rPr>
          <w:lang w:val="fr-FR"/>
        </w:rPr>
        <w:t>)</w:t>
      </w:r>
      <w:r>
        <w:tab/>
      </w:r>
      <w:r>
        <w:tab/>
      </w:r>
      <w:r w:rsidR="00FA592C">
        <w:t>66</w:t>
      </w:r>
      <w:r>
        <w:tab/>
      </w:r>
      <w:r w:rsidR="003F4E64">
        <w:t>17</w:t>
      </w:r>
    </w:p>
    <w:p w14:paraId="3018B31B" w14:textId="55C65720" w:rsidR="00EF13BE" w:rsidRDefault="00EF13BE" w:rsidP="00EF13BE">
      <w:pPr>
        <w:tabs>
          <w:tab w:val="right" w:pos="850"/>
          <w:tab w:val="right" w:leader="dot" w:pos="7654"/>
          <w:tab w:val="right" w:pos="8929"/>
          <w:tab w:val="right" w:pos="9638"/>
        </w:tabs>
        <w:spacing w:after="120"/>
        <w:ind w:left="1134" w:hanging="1134"/>
      </w:pPr>
      <w:r>
        <w:tab/>
        <w:t>XII.</w:t>
      </w:r>
      <w:r>
        <w:tab/>
      </w:r>
      <w:r w:rsidR="00CC5B54" w:rsidRPr="004C546D">
        <w:t>Questions</w:t>
      </w:r>
      <w:r w:rsidR="00CC5B54">
        <w:rPr>
          <w:lang w:val="fr-FR"/>
        </w:rPr>
        <w:t xml:space="preserve"> relatives au Système général harmonisé de classification </w:t>
      </w:r>
      <w:r w:rsidR="00CC5B54">
        <w:rPr>
          <w:lang w:val="fr-FR"/>
        </w:rPr>
        <w:br/>
        <w:t>et d’étiquetage des produits chimiques (SGH) (point 10 de l’ordre du jour</w:t>
      </w:r>
      <w:r w:rsidR="00CC5B54" w:rsidRPr="001B69D2">
        <w:rPr>
          <w:lang w:val="fr-FR"/>
        </w:rPr>
        <w:t>)</w:t>
      </w:r>
      <w:r>
        <w:tab/>
      </w:r>
      <w:r>
        <w:tab/>
      </w:r>
      <w:r w:rsidR="00FA592C">
        <w:t>67</w:t>
      </w:r>
      <w:r w:rsidR="00FA592C">
        <w:noBreakHyphen/>
        <w:t>72</w:t>
      </w:r>
      <w:r>
        <w:tab/>
      </w:r>
      <w:r w:rsidR="003F4E64">
        <w:t>17</w:t>
      </w:r>
    </w:p>
    <w:p w14:paraId="4B3EF628" w14:textId="42E8F9A3" w:rsidR="00EF13BE" w:rsidRDefault="00EF13BE" w:rsidP="00EF13BE">
      <w:pPr>
        <w:tabs>
          <w:tab w:val="right" w:leader="dot" w:pos="7654"/>
          <w:tab w:val="right" w:pos="8929"/>
          <w:tab w:val="right" w:pos="9638"/>
        </w:tabs>
        <w:spacing w:after="120"/>
        <w:ind w:left="1559" w:hanging="425"/>
      </w:pPr>
      <w:r>
        <w:t>A.</w:t>
      </w:r>
      <w:r>
        <w:tab/>
      </w:r>
      <w:r w:rsidR="00CC5B54">
        <w:rPr>
          <w:lang w:val="fr-FR"/>
        </w:rPr>
        <w:t>Épreuves relatives aux matières comburantes</w:t>
      </w:r>
      <w:r>
        <w:tab/>
      </w:r>
      <w:r>
        <w:tab/>
      </w:r>
      <w:r w:rsidR="00FA592C">
        <w:t>67</w:t>
      </w:r>
      <w:r>
        <w:tab/>
      </w:r>
      <w:r w:rsidR="003F4E64">
        <w:t>17</w:t>
      </w:r>
    </w:p>
    <w:p w14:paraId="497627D5" w14:textId="52231CE4" w:rsidR="00EF13BE" w:rsidRDefault="00EF13BE" w:rsidP="00EF13BE">
      <w:pPr>
        <w:tabs>
          <w:tab w:val="right" w:leader="dot" w:pos="7654"/>
          <w:tab w:val="right" w:pos="8929"/>
          <w:tab w:val="right" w:pos="9638"/>
        </w:tabs>
        <w:spacing w:after="120"/>
        <w:ind w:left="1559" w:hanging="425"/>
      </w:pPr>
      <w:r>
        <w:t>B.</w:t>
      </w:r>
      <w:r>
        <w:tab/>
      </w:r>
      <w:r w:rsidR="00CC5B54">
        <w:rPr>
          <w:lang w:val="fr-FR"/>
        </w:rPr>
        <w:t xml:space="preserve">Affectation à plusieurs classes de danger physique et hiérarchisation </w:t>
      </w:r>
      <w:r w:rsidR="00CC5B54">
        <w:rPr>
          <w:lang w:val="fr-FR"/>
        </w:rPr>
        <w:br/>
        <w:t>des dangers</w:t>
      </w:r>
      <w:r>
        <w:tab/>
      </w:r>
      <w:r>
        <w:tab/>
      </w:r>
      <w:r w:rsidR="00FA592C">
        <w:t>68</w:t>
      </w:r>
      <w:r w:rsidR="00FA592C">
        <w:noBreakHyphen/>
        <w:t>69</w:t>
      </w:r>
      <w:r>
        <w:tab/>
      </w:r>
      <w:r w:rsidR="003F4E64">
        <w:t>17</w:t>
      </w:r>
    </w:p>
    <w:p w14:paraId="50E3F964" w14:textId="45FB402B" w:rsidR="00EF13BE" w:rsidRDefault="00EF13BE" w:rsidP="00EF13BE">
      <w:pPr>
        <w:tabs>
          <w:tab w:val="right" w:leader="dot" w:pos="7654"/>
          <w:tab w:val="right" w:pos="8929"/>
          <w:tab w:val="right" w:pos="9638"/>
        </w:tabs>
        <w:spacing w:after="120"/>
        <w:ind w:left="1559" w:hanging="425"/>
      </w:pPr>
      <w:r>
        <w:t>C.</w:t>
      </w:r>
      <w:r>
        <w:tab/>
      </w:r>
      <w:r w:rsidR="00CC5B54">
        <w:rPr>
          <w:lang w:val="fr-FR"/>
        </w:rPr>
        <w:t>Autres questions</w:t>
      </w:r>
      <w:r>
        <w:tab/>
      </w:r>
      <w:r>
        <w:tab/>
      </w:r>
      <w:r w:rsidR="00FA592C">
        <w:t>70</w:t>
      </w:r>
      <w:r w:rsidR="00FA592C">
        <w:noBreakHyphen/>
        <w:t>72</w:t>
      </w:r>
      <w:r>
        <w:tab/>
      </w:r>
      <w:r w:rsidR="003F4E64">
        <w:t>18</w:t>
      </w:r>
    </w:p>
    <w:p w14:paraId="244E21AD" w14:textId="7F1E3BA8" w:rsidR="00EF13BE" w:rsidRDefault="00EF13BE" w:rsidP="00EF13BE">
      <w:pPr>
        <w:tabs>
          <w:tab w:val="right" w:leader="dot" w:pos="7654"/>
          <w:tab w:val="right" w:pos="8929"/>
          <w:tab w:val="right" w:pos="9638"/>
        </w:tabs>
        <w:spacing w:after="120"/>
        <w:ind w:left="1984" w:hanging="425"/>
      </w:pPr>
      <w:r>
        <w:t>1.</w:t>
      </w:r>
      <w:r>
        <w:tab/>
      </w:r>
      <w:r w:rsidR="00CC5B54">
        <w:rPr>
          <w:lang w:val="fr-FR"/>
        </w:rPr>
        <w:t xml:space="preserve">Modifications à apporter aux procédures de classement </w:t>
      </w:r>
      <w:r w:rsidR="00CC5B54">
        <w:rPr>
          <w:lang w:val="fr-FR"/>
        </w:rPr>
        <w:br/>
        <w:t>des matières explosibles désensibilisées selon le SGH</w:t>
      </w:r>
      <w:r>
        <w:tab/>
      </w:r>
      <w:r>
        <w:tab/>
      </w:r>
      <w:r w:rsidR="00FA592C">
        <w:t>70</w:t>
      </w:r>
      <w:r>
        <w:tab/>
      </w:r>
      <w:r w:rsidR="003F4E64">
        <w:t>18</w:t>
      </w:r>
    </w:p>
    <w:p w14:paraId="646EBC1E" w14:textId="46948B10" w:rsidR="00EF13BE" w:rsidRDefault="00EF13BE" w:rsidP="00EF13BE">
      <w:pPr>
        <w:tabs>
          <w:tab w:val="right" w:leader="dot" w:pos="7654"/>
          <w:tab w:val="right" w:pos="8929"/>
          <w:tab w:val="right" w:pos="9638"/>
        </w:tabs>
        <w:spacing w:after="120"/>
        <w:ind w:left="1984" w:hanging="425"/>
      </w:pPr>
      <w:r>
        <w:t>2.</w:t>
      </w:r>
      <w:r>
        <w:tab/>
      </w:r>
      <w:r w:rsidR="00CC5B54">
        <w:rPr>
          <w:lang w:val="fr-FR"/>
        </w:rPr>
        <w:t xml:space="preserve">Liquides inflammables : épreuves en creuset ouvert et en creuset </w:t>
      </w:r>
      <w:r w:rsidR="00A25590">
        <w:rPr>
          <w:lang w:val="fr-FR"/>
        </w:rPr>
        <w:br/>
      </w:r>
      <w:r w:rsidR="00CC5B54">
        <w:rPr>
          <w:lang w:val="fr-FR"/>
        </w:rPr>
        <w:t>fermé pour le point d’éclair</w:t>
      </w:r>
      <w:r>
        <w:tab/>
      </w:r>
      <w:r>
        <w:tab/>
      </w:r>
      <w:r w:rsidR="00FA592C">
        <w:t>71</w:t>
      </w:r>
      <w:r>
        <w:tab/>
      </w:r>
      <w:r w:rsidR="003F4E64">
        <w:t>18</w:t>
      </w:r>
    </w:p>
    <w:p w14:paraId="333CB599" w14:textId="7DA2FA54" w:rsidR="00EF13BE" w:rsidRDefault="00EF13BE" w:rsidP="00EF13BE">
      <w:pPr>
        <w:tabs>
          <w:tab w:val="right" w:leader="dot" w:pos="7654"/>
          <w:tab w:val="right" w:pos="8929"/>
          <w:tab w:val="right" w:pos="9638"/>
        </w:tabs>
        <w:spacing w:after="120"/>
        <w:ind w:left="1984" w:hanging="425"/>
      </w:pPr>
      <w:r>
        <w:t>3.</w:t>
      </w:r>
      <w:r>
        <w:tab/>
      </w:r>
      <w:r w:rsidR="00A25590">
        <w:rPr>
          <w:lang w:val="fr-FR"/>
        </w:rPr>
        <w:t xml:space="preserve">Poudres métalliques et poudres de métaux ou d’alliages métalliques </w:t>
      </w:r>
      <w:r w:rsidR="00A25590">
        <w:rPr>
          <w:lang w:val="fr-FR"/>
        </w:rPr>
        <w:br/>
        <w:t>dans l’épreuve </w:t>
      </w:r>
      <w:r w:rsidR="00A25590" w:rsidRPr="00126097">
        <w:rPr>
          <w:lang w:val="fr-FR"/>
        </w:rPr>
        <w:t>N.1</w:t>
      </w:r>
      <w:r>
        <w:tab/>
      </w:r>
      <w:r>
        <w:tab/>
      </w:r>
      <w:r w:rsidR="00FA592C">
        <w:t>72</w:t>
      </w:r>
      <w:r>
        <w:tab/>
      </w:r>
      <w:r w:rsidR="003F4E64">
        <w:t>18</w:t>
      </w:r>
    </w:p>
    <w:p w14:paraId="559979DF" w14:textId="3B492326" w:rsidR="00EF13BE" w:rsidRDefault="00EF13BE" w:rsidP="00EF13BE">
      <w:pPr>
        <w:tabs>
          <w:tab w:val="right" w:pos="850"/>
          <w:tab w:val="right" w:leader="dot" w:pos="7654"/>
          <w:tab w:val="right" w:pos="8929"/>
          <w:tab w:val="right" w:pos="9638"/>
        </w:tabs>
        <w:spacing w:after="120"/>
        <w:ind w:left="1134" w:hanging="1134"/>
      </w:pPr>
      <w:r>
        <w:tab/>
        <w:t>XIII.</w:t>
      </w:r>
      <w:r>
        <w:tab/>
      </w:r>
      <w:r w:rsidR="00A25590" w:rsidRPr="005F1938">
        <w:rPr>
          <w:lang w:val="fr-FR"/>
        </w:rPr>
        <w:t xml:space="preserve">Uniformisation des interprétations du Règlement type </w:t>
      </w:r>
      <w:r w:rsidR="00A25590">
        <w:rPr>
          <w:lang w:val="fr-FR"/>
        </w:rPr>
        <w:br/>
      </w:r>
      <w:r w:rsidR="00A25590" w:rsidRPr="005F1938">
        <w:rPr>
          <w:lang w:val="fr-FR"/>
        </w:rPr>
        <w:t>(point</w:t>
      </w:r>
      <w:r w:rsidR="00A25590">
        <w:rPr>
          <w:lang w:val="fr-FR"/>
        </w:rPr>
        <w:t> </w:t>
      </w:r>
      <w:r w:rsidR="00A25590" w:rsidRPr="005F1938">
        <w:rPr>
          <w:lang w:val="fr-FR"/>
        </w:rPr>
        <w:t>11 de l</w:t>
      </w:r>
      <w:r w:rsidR="00A25590">
        <w:rPr>
          <w:lang w:val="fr-FR"/>
        </w:rPr>
        <w:t>’</w:t>
      </w:r>
      <w:r w:rsidR="00A25590" w:rsidRPr="005F1938">
        <w:rPr>
          <w:lang w:val="fr-FR"/>
        </w:rPr>
        <w:t>ordre du jour</w:t>
      </w:r>
      <w:r w:rsidR="00A25590" w:rsidRPr="005933F9">
        <w:rPr>
          <w:lang w:val="fr-FR"/>
        </w:rPr>
        <w:t>)</w:t>
      </w:r>
      <w:r>
        <w:tab/>
      </w:r>
      <w:r>
        <w:tab/>
      </w:r>
      <w:r w:rsidR="00FA592C">
        <w:t>73</w:t>
      </w:r>
      <w:r w:rsidR="00FA592C">
        <w:noBreakHyphen/>
        <w:t>74</w:t>
      </w:r>
      <w:r>
        <w:tab/>
      </w:r>
      <w:r w:rsidR="003F4E64">
        <w:t>19</w:t>
      </w:r>
    </w:p>
    <w:p w14:paraId="7BE53427" w14:textId="58911394" w:rsidR="00EF13BE" w:rsidRDefault="00EF13BE" w:rsidP="00EF13BE">
      <w:pPr>
        <w:tabs>
          <w:tab w:val="right" w:pos="850"/>
          <w:tab w:val="right" w:leader="dot" w:pos="7654"/>
          <w:tab w:val="right" w:pos="8929"/>
          <w:tab w:val="right" w:pos="9638"/>
        </w:tabs>
        <w:spacing w:after="120"/>
        <w:ind w:left="1134" w:hanging="1134"/>
      </w:pPr>
      <w:r>
        <w:tab/>
        <w:t>XIV.</w:t>
      </w:r>
      <w:r>
        <w:tab/>
      </w:r>
      <w:r w:rsidR="00A25590" w:rsidRPr="001F7963">
        <w:rPr>
          <w:lang w:val="fr-FR"/>
        </w:rPr>
        <w:t>Mise en œuvre du Règlement type (point 12 de l</w:t>
      </w:r>
      <w:r w:rsidR="00A25590">
        <w:rPr>
          <w:lang w:val="fr-FR"/>
        </w:rPr>
        <w:t>’</w:t>
      </w:r>
      <w:r w:rsidR="00A25590" w:rsidRPr="001F7963">
        <w:rPr>
          <w:lang w:val="fr-FR"/>
        </w:rPr>
        <w:t>ordre du</w:t>
      </w:r>
      <w:r w:rsidR="00A25590">
        <w:rPr>
          <w:lang w:val="fr-FR"/>
        </w:rPr>
        <w:t xml:space="preserve"> </w:t>
      </w:r>
      <w:r w:rsidR="00A25590" w:rsidRPr="001F7963">
        <w:rPr>
          <w:lang w:val="fr-FR"/>
        </w:rPr>
        <w:t>jour)</w:t>
      </w:r>
      <w:r>
        <w:tab/>
      </w:r>
      <w:r>
        <w:tab/>
      </w:r>
      <w:r w:rsidR="00FA592C">
        <w:t>75</w:t>
      </w:r>
      <w:r w:rsidR="00FA592C">
        <w:noBreakHyphen/>
        <w:t>76</w:t>
      </w:r>
      <w:r>
        <w:tab/>
      </w:r>
      <w:r w:rsidR="003F4E64">
        <w:t>19</w:t>
      </w:r>
    </w:p>
    <w:p w14:paraId="230EBBB3" w14:textId="7F405AA9" w:rsidR="00EF13BE" w:rsidRDefault="00EF13BE" w:rsidP="00EF13BE">
      <w:pPr>
        <w:tabs>
          <w:tab w:val="right" w:pos="850"/>
          <w:tab w:val="right" w:leader="dot" w:pos="7654"/>
          <w:tab w:val="right" w:pos="8929"/>
          <w:tab w:val="right" w:pos="9638"/>
        </w:tabs>
        <w:spacing w:after="120"/>
        <w:ind w:left="1134" w:hanging="1134"/>
      </w:pPr>
      <w:r>
        <w:tab/>
        <w:t>XV.</w:t>
      </w:r>
      <w:r>
        <w:tab/>
      </w:r>
      <w:r w:rsidR="00A25590">
        <w:rPr>
          <w:lang w:val="fr-FR"/>
        </w:rPr>
        <w:t xml:space="preserve">Formation à la sécurité et renforcement des capacités en matière de sécurité </w:t>
      </w:r>
      <w:r w:rsidR="00A25590">
        <w:rPr>
          <w:lang w:val="fr-FR"/>
        </w:rPr>
        <w:br/>
        <w:t>en ce qui concerne les marchandises dangereuses (point 13 de l’ordre du jour</w:t>
      </w:r>
      <w:r w:rsidR="00A25590" w:rsidRPr="009870CF">
        <w:rPr>
          <w:lang w:val="fr-FR"/>
        </w:rPr>
        <w:t>)</w:t>
      </w:r>
      <w:r>
        <w:tab/>
      </w:r>
      <w:r>
        <w:tab/>
      </w:r>
      <w:r w:rsidR="00FA592C">
        <w:t>77</w:t>
      </w:r>
      <w:r>
        <w:tab/>
      </w:r>
      <w:r w:rsidR="003F4E64">
        <w:t>19</w:t>
      </w:r>
    </w:p>
    <w:p w14:paraId="62CE32B2" w14:textId="3C433A58" w:rsidR="00EF13BE" w:rsidRDefault="00EF13BE" w:rsidP="00EF13BE">
      <w:pPr>
        <w:tabs>
          <w:tab w:val="right" w:pos="850"/>
          <w:tab w:val="right" w:leader="dot" w:pos="7654"/>
          <w:tab w:val="right" w:pos="8929"/>
          <w:tab w:val="right" w:pos="9638"/>
        </w:tabs>
        <w:spacing w:after="120"/>
        <w:ind w:left="1134" w:hanging="1134"/>
      </w:pPr>
      <w:r>
        <w:tab/>
        <w:t>XVI.</w:t>
      </w:r>
      <w:r>
        <w:tab/>
      </w:r>
      <w:r w:rsidR="00A25590" w:rsidRPr="00EF35E3">
        <w:rPr>
          <w:lang w:val="fr-FR"/>
        </w:rPr>
        <w:t xml:space="preserve">Programme de travail pour la période biennale 2023-2024 </w:t>
      </w:r>
      <w:r w:rsidR="00A25590">
        <w:rPr>
          <w:lang w:val="fr-FR"/>
        </w:rPr>
        <w:br/>
      </w:r>
      <w:r w:rsidR="00A25590" w:rsidRPr="00EF35E3">
        <w:rPr>
          <w:lang w:val="fr-FR"/>
        </w:rPr>
        <w:t>(point 14 de l</w:t>
      </w:r>
      <w:r w:rsidR="00A25590">
        <w:rPr>
          <w:lang w:val="fr-FR"/>
        </w:rPr>
        <w:t>’</w:t>
      </w:r>
      <w:r w:rsidR="00A25590" w:rsidRPr="00EF35E3">
        <w:rPr>
          <w:lang w:val="fr-FR"/>
        </w:rPr>
        <w:t>ordre du jour</w:t>
      </w:r>
      <w:r w:rsidR="00A25590" w:rsidRPr="00EC05ED">
        <w:rPr>
          <w:lang w:val="fr-FR"/>
        </w:rPr>
        <w:t>)</w:t>
      </w:r>
      <w:r>
        <w:tab/>
      </w:r>
      <w:r>
        <w:tab/>
      </w:r>
      <w:r w:rsidR="00FA592C">
        <w:t>78</w:t>
      </w:r>
      <w:r w:rsidR="00FA592C">
        <w:noBreakHyphen/>
        <w:t>79</w:t>
      </w:r>
      <w:r>
        <w:tab/>
      </w:r>
      <w:r w:rsidR="003F4E64">
        <w:t>20</w:t>
      </w:r>
    </w:p>
    <w:p w14:paraId="553CA1EA" w14:textId="090A8BF4" w:rsidR="00A25590" w:rsidRDefault="00A25590" w:rsidP="00A25590">
      <w:pPr>
        <w:tabs>
          <w:tab w:val="right" w:leader="dot" w:pos="7654"/>
          <w:tab w:val="right" w:pos="8929"/>
          <w:tab w:val="right" w:pos="9638"/>
        </w:tabs>
        <w:spacing w:after="120"/>
        <w:ind w:left="1134"/>
      </w:pPr>
      <w:r w:rsidRPr="00CB1249">
        <w:rPr>
          <w:lang w:val="fr-FR"/>
        </w:rPr>
        <w:t>Programme de travail intégré</w:t>
      </w:r>
      <w:r>
        <w:rPr>
          <w:lang w:val="fr-FR"/>
        </w:rPr>
        <w:t xml:space="preserve"> </w:t>
      </w:r>
      <w:r w:rsidRPr="00EF35E3">
        <w:rPr>
          <w:lang w:val="fr-FR"/>
        </w:rPr>
        <w:t>pour la période 2023-2024</w:t>
      </w:r>
      <w:r>
        <w:tab/>
      </w:r>
      <w:r>
        <w:tab/>
        <w:t>78</w:t>
      </w:r>
      <w:r>
        <w:noBreakHyphen/>
        <w:t>79</w:t>
      </w:r>
      <w:r>
        <w:tab/>
      </w:r>
      <w:r w:rsidR="003F4E64">
        <w:t>20</w:t>
      </w:r>
    </w:p>
    <w:p w14:paraId="1B7BC03E" w14:textId="632EA4FB" w:rsidR="00EF13BE" w:rsidRDefault="00EF13BE" w:rsidP="00EF13BE">
      <w:pPr>
        <w:tabs>
          <w:tab w:val="right" w:pos="850"/>
          <w:tab w:val="right" w:leader="dot" w:pos="7654"/>
          <w:tab w:val="right" w:pos="8929"/>
          <w:tab w:val="right" w:pos="9638"/>
        </w:tabs>
        <w:spacing w:after="120"/>
        <w:ind w:left="1134" w:hanging="1134"/>
      </w:pPr>
      <w:r>
        <w:tab/>
        <w:t>XVII.</w:t>
      </w:r>
      <w:r>
        <w:tab/>
      </w:r>
      <w:r w:rsidR="00A25590" w:rsidRPr="00EF35E3">
        <w:rPr>
          <w:lang w:val="fr-FR"/>
        </w:rPr>
        <w:t xml:space="preserve">Projet de résolution 2023/… du Conseil économique et social </w:t>
      </w:r>
      <w:r w:rsidR="00A25590">
        <w:rPr>
          <w:lang w:val="fr-FR"/>
        </w:rPr>
        <w:br/>
      </w:r>
      <w:r w:rsidR="00A25590" w:rsidRPr="00EF35E3">
        <w:rPr>
          <w:lang w:val="fr-FR"/>
        </w:rPr>
        <w:t>(point 15 de l</w:t>
      </w:r>
      <w:r w:rsidR="00A25590">
        <w:rPr>
          <w:lang w:val="fr-FR"/>
        </w:rPr>
        <w:t>’</w:t>
      </w:r>
      <w:r w:rsidR="00A25590" w:rsidRPr="00EF35E3">
        <w:rPr>
          <w:lang w:val="fr-FR"/>
        </w:rPr>
        <w:t>ordre du jour</w:t>
      </w:r>
      <w:r w:rsidR="00A25590" w:rsidRPr="00C25EE5">
        <w:rPr>
          <w:lang w:val="fr-FR"/>
        </w:rPr>
        <w:t>)</w:t>
      </w:r>
      <w:r>
        <w:tab/>
      </w:r>
      <w:r>
        <w:tab/>
      </w:r>
      <w:r w:rsidR="00FA592C">
        <w:t>80</w:t>
      </w:r>
      <w:r>
        <w:tab/>
      </w:r>
      <w:r w:rsidR="003F4E64">
        <w:t>21</w:t>
      </w:r>
    </w:p>
    <w:p w14:paraId="758AC6D6" w14:textId="3190BC86" w:rsidR="00EF13BE" w:rsidRDefault="00EF13BE" w:rsidP="00EF13BE">
      <w:pPr>
        <w:tabs>
          <w:tab w:val="right" w:pos="850"/>
          <w:tab w:val="right" w:leader="dot" w:pos="7654"/>
          <w:tab w:val="right" w:pos="8929"/>
          <w:tab w:val="right" w:pos="9638"/>
        </w:tabs>
        <w:spacing w:after="120"/>
        <w:ind w:left="1134" w:hanging="1134"/>
      </w:pPr>
      <w:r>
        <w:tab/>
        <w:t>XVIII.</w:t>
      </w:r>
      <w:r>
        <w:tab/>
      </w:r>
      <w:r w:rsidR="00A25590" w:rsidRPr="00EF35E3">
        <w:rPr>
          <w:lang w:val="fr-FR"/>
        </w:rPr>
        <w:t xml:space="preserve">Élection du Bureau pour la période biennale 2023-2024 </w:t>
      </w:r>
      <w:r w:rsidR="00A25590">
        <w:rPr>
          <w:lang w:val="fr-FR"/>
        </w:rPr>
        <w:br/>
      </w:r>
      <w:r w:rsidR="00A25590" w:rsidRPr="00EF35E3">
        <w:rPr>
          <w:lang w:val="fr-FR"/>
        </w:rPr>
        <w:t>(point 16 de l</w:t>
      </w:r>
      <w:r w:rsidR="00A25590">
        <w:rPr>
          <w:lang w:val="fr-FR"/>
        </w:rPr>
        <w:t>’</w:t>
      </w:r>
      <w:r w:rsidR="00A25590" w:rsidRPr="00EF35E3">
        <w:rPr>
          <w:lang w:val="fr-FR"/>
        </w:rPr>
        <w:t>ordre du jour</w:t>
      </w:r>
      <w:r w:rsidR="00A25590" w:rsidRPr="00727606">
        <w:rPr>
          <w:lang w:val="fr-FR"/>
        </w:rPr>
        <w:t>)</w:t>
      </w:r>
      <w:r>
        <w:tab/>
      </w:r>
      <w:r>
        <w:tab/>
      </w:r>
      <w:r w:rsidR="00FA592C">
        <w:t>81</w:t>
      </w:r>
      <w:r>
        <w:tab/>
      </w:r>
      <w:r w:rsidR="003F4E64">
        <w:t>21</w:t>
      </w:r>
    </w:p>
    <w:p w14:paraId="26903F90" w14:textId="5ED8A028" w:rsidR="00EF13BE" w:rsidRDefault="00EF13BE" w:rsidP="00EF13BE">
      <w:pPr>
        <w:tabs>
          <w:tab w:val="right" w:pos="850"/>
          <w:tab w:val="right" w:leader="dot" w:pos="7654"/>
          <w:tab w:val="right" w:pos="8929"/>
          <w:tab w:val="right" w:pos="9638"/>
        </w:tabs>
        <w:spacing w:after="120"/>
        <w:ind w:left="1134" w:hanging="1134"/>
      </w:pPr>
      <w:r>
        <w:tab/>
        <w:t>XIX.</w:t>
      </w:r>
      <w:r>
        <w:tab/>
      </w:r>
      <w:r w:rsidR="00A25590" w:rsidRPr="005F1938">
        <w:rPr>
          <w:lang w:val="fr-FR"/>
        </w:rPr>
        <w:t>Questions diverses (point 17 de l</w:t>
      </w:r>
      <w:r w:rsidR="00A25590">
        <w:rPr>
          <w:lang w:val="fr-FR"/>
        </w:rPr>
        <w:t>’</w:t>
      </w:r>
      <w:r w:rsidR="00A25590" w:rsidRPr="005F1938">
        <w:rPr>
          <w:lang w:val="fr-FR"/>
        </w:rPr>
        <w:t>ordre du jour</w:t>
      </w:r>
      <w:r w:rsidR="00A25590" w:rsidRPr="005933F9">
        <w:rPr>
          <w:lang w:val="fr-FR"/>
        </w:rPr>
        <w:t>)</w:t>
      </w:r>
      <w:r>
        <w:tab/>
      </w:r>
      <w:r>
        <w:tab/>
      </w:r>
      <w:r w:rsidR="00FA592C">
        <w:t>82</w:t>
      </w:r>
      <w:r w:rsidR="00FA592C">
        <w:noBreakHyphen/>
        <w:t>94</w:t>
      </w:r>
      <w:r>
        <w:tab/>
      </w:r>
      <w:r w:rsidR="003F4E64">
        <w:t>21</w:t>
      </w:r>
    </w:p>
    <w:p w14:paraId="65CD5B1A" w14:textId="052A6FD0" w:rsidR="00EF13BE" w:rsidRDefault="00EF13BE" w:rsidP="00EF13BE">
      <w:pPr>
        <w:tabs>
          <w:tab w:val="right" w:leader="dot" w:pos="7654"/>
          <w:tab w:val="right" w:pos="8929"/>
          <w:tab w:val="right" w:pos="9638"/>
        </w:tabs>
        <w:spacing w:after="120"/>
        <w:ind w:left="1559" w:hanging="425"/>
      </w:pPr>
      <w:r>
        <w:t>A.</w:t>
      </w:r>
      <w:r>
        <w:tab/>
      </w:r>
      <w:r w:rsidR="00A25590" w:rsidRPr="005F1938">
        <w:rPr>
          <w:lang w:val="fr-FR"/>
        </w:rPr>
        <w:t>Nouvelles propositions</w:t>
      </w:r>
      <w:r>
        <w:tab/>
      </w:r>
      <w:r>
        <w:tab/>
      </w:r>
      <w:r w:rsidR="00FA592C">
        <w:t>82</w:t>
      </w:r>
      <w:r w:rsidR="00FA592C">
        <w:noBreakHyphen/>
        <w:t>91</w:t>
      </w:r>
      <w:r>
        <w:tab/>
      </w:r>
      <w:r w:rsidR="003F4E64">
        <w:t>21</w:t>
      </w:r>
    </w:p>
    <w:p w14:paraId="7B6F103E" w14:textId="32AF8089" w:rsidR="00EF13BE" w:rsidRDefault="00EF13BE" w:rsidP="00EF13BE">
      <w:pPr>
        <w:tabs>
          <w:tab w:val="right" w:leader="dot" w:pos="7654"/>
          <w:tab w:val="right" w:pos="8929"/>
          <w:tab w:val="right" w:pos="9638"/>
        </w:tabs>
        <w:spacing w:after="120"/>
        <w:ind w:left="1984" w:hanging="425"/>
      </w:pPr>
      <w:r>
        <w:t>1.</w:t>
      </w:r>
      <w:r>
        <w:tab/>
      </w:r>
      <w:r w:rsidR="00A25590" w:rsidRPr="005F1938">
        <w:rPr>
          <w:lang w:val="fr-FR"/>
        </w:rPr>
        <w:t xml:space="preserve">Classification du numéro ONU 2290 DIISOCYANATE </w:t>
      </w:r>
      <w:r w:rsidR="00A25590">
        <w:rPr>
          <w:lang w:val="fr-FR"/>
        </w:rPr>
        <w:br/>
      </w:r>
      <w:r w:rsidR="00A25590" w:rsidRPr="005F1938">
        <w:rPr>
          <w:lang w:val="fr-FR"/>
        </w:rPr>
        <w:t>D</w:t>
      </w:r>
      <w:r w:rsidR="00A25590">
        <w:rPr>
          <w:lang w:val="fr-FR"/>
        </w:rPr>
        <w:t>’</w:t>
      </w:r>
      <w:r w:rsidR="00A25590" w:rsidRPr="005F1938">
        <w:rPr>
          <w:lang w:val="fr-FR"/>
        </w:rPr>
        <w:t>ISOPHORONE</w:t>
      </w:r>
      <w:r>
        <w:tab/>
      </w:r>
      <w:r>
        <w:tab/>
      </w:r>
      <w:r w:rsidR="00FA592C">
        <w:t>82</w:t>
      </w:r>
      <w:r>
        <w:tab/>
      </w:r>
      <w:r w:rsidR="003F4E64">
        <w:t>21</w:t>
      </w:r>
    </w:p>
    <w:p w14:paraId="6ECF224A" w14:textId="4688DFC5" w:rsidR="00EF13BE" w:rsidRDefault="00EF13BE" w:rsidP="00EF13BE">
      <w:pPr>
        <w:tabs>
          <w:tab w:val="right" w:leader="dot" w:pos="7654"/>
          <w:tab w:val="right" w:pos="8929"/>
          <w:tab w:val="right" w:pos="9638"/>
        </w:tabs>
        <w:spacing w:after="120"/>
        <w:ind w:left="1984" w:hanging="425"/>
      </w:pPr>
      <w:r>
        <w:t>2.</w:t>
      </w:r>
      <w:r>
        <w:tab/>
      </w:r>
      <w:r w:rsidR="00A25590" w:rsidRPr="005F1938">
        <w:rPr>
          <w:lang w:val="fr-FR"/>
        </w:rPr>
        <w:t>Ajout de renvois aux dispositions spéciales d</w:t>
      </w:r>
      <w:r w:rsidR="00A25590">
        <w:rPr>
          <w:lang w:val="fr-FR"/>
        </w:rPr>
        <w:t>’</w:t>
      </w:r>
      <w:r w:rsidR="00A25590" w:rsidRPr="005F1938">
        <w:rPr>
          <w:lang w:val="fr-FR"/>
        </w:rPr>
        <w:t xml:space="preserve">emballage </w:t>
      </w:r>
      <w:r w:rsidR="00A25590">
        <w:rPr>
          <w:lang w:val="fr-FR"/>
        </w:rPr>
        <w:br/>
      </w:r>
      <w:r w:rsidR="00A25590" w:rsidRPr="005F1938">
        <w:rPr>
          <w:lang w:val="fr-FR"/>
        </w:rPr>
        <w:t>de l</w:t>
      </w:r>
      <w:r w:rsidR="00A25590">
        <w:rPr>
          <w:lang w:val="fr-FR"/>
        </w:rPr>
        <w:t>’</w:t>
      </w:r>
      <w:r w:rsidR="00A25590" w:rsidRPr="005F1938">
        <w:rPr>
          <w:lang w:val="fr-FR"/>
        </w:rPr>
        <w:t>instruction P200 dans</w:t>
      </w:r>
      <w:r w:rsidR="00A25590">
        <w:rPr>
          <w:lang w:val="fr-FR"/>
        </w:rPr>
        <w:t xml:space="preserve"> </w:t>
      </w:r>
      <w:r w:rsidR="00A25590" w:rsidRPr="005F1938">
        <w:rPr>
          <w:lang w:val="fr-FR"/>
        </w:rPr>
        <w:t>la</w:t>
      </w:r>
      <w:r w:rsidR="00A25590">
        <w:rPr>
          <w:lang w:val="fr-FR"/>
        </w:rPr>
        <w:t xml:space="preserve"> l</w:t>
      </w:r>
      <w:r w:rsidR="00A25590" w:rsidRPr="005F1938">
        <w:rPr>
          <w:lang w:val="fr-FR"/>
        </w:rPr>
        <w:t>iste des marchandises dangereuses</w:t>
      </w:r>
      <w:r>
        <w:tab/>
      </w:r>
      <w:r>
        <w:tab/>
      </w:r>
      <w:r w:rsidR="00FA592C">
        <w:t>83</w:t>
      </w:r>
      <w:r>
        <w:tab/>
      </w:r>
      <w:r w:rsidR="003F4E64">
        <w:t>21</w:t>
      </w:r>
    </w:p>
    <w:p w14:paraId="1B63762F" w14:textId="1095B9E6" w:rsidR="00EF13BE" w:rsidRDefault="00EF13BE" w:rsidP="00EF13BE">
      <w:pPr>
        <w:tabs>
          <w:tab w:val="right" w:leader="dot" w:pos="7654"/>
          <w:tab w:val="right" w:pos="8929"/>
          <w:tab w:val="right" w:pos="9638"/>
        </w:tabs>
        <w:spacing w:after="120"/>
        <w:ind w:left="1984" w:hanging="425"/>
      </w:pPr>
      <w:r>
        <w:t>3.</w:t>
      </w:r>
      <w:r>
        <w:tab/>
      </w:r>
      <w:r w:rsidR="00A25590" w:rsidRPr="005F1938">
        <w:rPr>
          <w:lang w:val="fr-FR"/>
        </w:rPr>
        <w:t>Amendements à la note de bas de page</w:t>
      </w:r>
      <w:r w:rsidR="00A25590">
        <w:rPr>
          <w:lang w:val="fr-FR"/>
        </w:rPr>
        <w:t> </w:t>
      </w:r>
      <w:r w:rsidR="00A25590" w:rsidRPr="005F1938">
        <w:rPr>
          <w:lang w:val="fr-FR"/>
        </w:rPr>
        <w:t>3 du 2.0.3.1</w:t>
      </w:r>
      <w:r w:rsidR="00A25590">
        <w:rPr>
          <w:lang w:val="fr-FR"/>
        </w:rPr>
        <w:t> </w:t>
      </w:r>
      <w:r w:rsidR="00A25590" w:rsidRPr="005F1938">
        <w:rPr>
          <w:lang w:val="fr-FR"/>
        </w:rPr>
        <w:t xml:space="preserve">g), au NOTA </w:t>
      </w:r>
      <w:r w:rsidR="00A25590">
        <w:rPr>
          <w:lang w:val="fr-FR"/>
        </w:rPr>
        <w:br/>
      </w:r>
      <w:r w:rsidR="00A25590" w:rsidRPr="005F1938">
        <w:rPr>
          <w:lang w:val="fr-FR"/>
        </w:rPr>
        <w:t>du 2.6.2.2.4.1 et au 2.8.2.4 en ce qui concerne l</w:t>
      </w:r>
      <w:r w:rsidR="00A25590">
        <w:rPr>
          <w:lang w:val="fr-FR"/>
        </w:rPr>
        <w:t>’</w:t>
      </w:r>
      <w:r w:rsidR="00A25590" w:rsidRPr="005F1938">
        <w:rPr>
          <w:lang w:val="fr-FR"/>
        </w:rPr>
        <w:t xml:space="preserve">ordre </w:t>
      </w:r>
      <w:r w:rsidR="00A25590">
        <w:rPr>
          <w:lang w:val="fr-FR"/>
        </w:rPr>
        <w:br/>
      </w:r>
      <w:r w:rsidR="00A25590" w:rsidRPr="005F1938">
        <w:rPr>
          <w:lang w:val="fr-FR"/>
        </w:rPr>
        <w:t>de prépondérance des caractéristiques de danger</w:t>
      </w:r>
      <w:r>
        <w:tab/>
      </w:r>
      <w:r>
        <w:tab/>
      </w:r>
      <w:r w:rsidR="00FA592C">
        <w:t>84</w:t>
      </w:r>
      <w:r>
        <w:tab/>
      </w:r>
      <w:r w:rsidR="003F4E64">
        <w:t>21</w:t>
      </w:r>
    </w:p>
    <w:p w14:paraId="51B9A1F2" w14:textId="7884AD78" w:rsidR="00EF13BE" w:rsidRDefault="00EF13BE" w:rsidP="00EF13BE">
      <w:pPr>
        <w:tabs>
          <w:tab w:val="right" w:leader="dot" w:pos="7654"/>
          <w:tab w:val="right" w:pos="8929"/>
          <w:tab w:val="right" w:pos="9638"/>
        </w:tabs>
        <w:spacing w:after="120"/>
        <w:ind w:left="1984" w:hanging="425"/>
      </w:pPr>
      <w:r>
        <w:t>4.</w:t>
      </w:r>
      <w:r>
        <w:tab/>
      </w:r>
      <w:r w:rsidR="00A25590" w:rsidRPr="005A59DF">
        <w:t>Éclaircissements</w:t>
      </w:r>
      <w:r w:rsidR="00A25590">
        <w:rPr>
          <w:lang w:val="fr-FR"/>
        </w:rPr>
        <w:t xml:space="preserve"> relatifs aux objets auxquels s’appliquent </w:t>
      </w:r>
      <w:r w:rsidR="00A25590">
        <w:rPr>
          <w:lang w:val="fr-FR"/>
        </w:rPr>
        <w:br/>
        <w:t>les dispositions spéciales 361 et 372</w:t>
      </w:r>
      <w:r>
        <w:tab/>
      </w:r>
      <w:r>
        <w:tab/>
      </w:r>
      <w:r w:rsidR="00FA592C">
        <w:t>85</w:t>
      </w:r>
      <w:r>
        <w:tab/>
      </w:r>
      <w:r w:rsidR="003F4E64">
        <w:t>22</w:t>
      </w:r>
    </w:p>
    <w:p w14:paraId="59869595" w14:textId="32772BC1" w:rsidR="00EF13BE" w:rsidRDefault="00EF13BE" w:rsidP="00EF13BE">
      <w:pPr>
        <w:tabs>
          <w:tab w:val="right" w:leader="dot" w:pos="7654"/>
          <w:tab w:val="right" w:pos="8929"/>
          <w:tab w:val="right" w:pos="9638"/>
        </w:tabs>
        <w:spacing w:after="120"/>
        <w:ind w:left="1984" w:hanging="425"/>
      </w:pPr>
      <w:r>
        <w:t>5.</w:t>
      </w:r>
      <w:r>
        <w:tab/>
      </w:r>
      <w:r w:rsidR="00A25590">
        <w:rPr>
          <w:lang w:val="fr-FR"/>
        </w:rPr>
        <w:t xml:space="preserve">Lignes directrices relatives aux entrepôts dans lesquels </w:t>
      </w:r>
      <w:r w:rsidR="00A25590">
        <w:rPr>
          <w:lang w:val="fr-FR"/>
        </w:rPr>
        <w:br/>
        <w:t xml:space="preserve">des marchandises dangereuses sont stockées, </w:t>
      </w:r>
      <w:r w:rsidR="00A25590">
        <w:rPr>
          <w:lang w:val="fr-FR"/>
        </w:rPr>
        <w:br/>
        <w:t>manutentionnées et regroupées</w:t>
      </w:r>
      <w:r>
        <w:tab/>
      </w:r>
      <w:r>
        <w:tab/>
      </w:r>
      <w:r w:rsidR="00FA592C">
        <w:t>86</w:t>
      </w:r>
      <w:r>
        <w:tab/>
      </w:r>
      <w:r w:rsidR="003F4E64">
        <w:t>22</w:t>
      </w:r>
    </w:p>
    <w:p w14:paraId="1B2558B6" w14:textId="5C89CF33" w:rsidR="00EF13BE" w:rsidRDefault="00EF13BE" w:rsidP="00EF13BE">
      <w:pPr>
        <w:tabs>
          <w:tab w:val="right" w:leader="dot" w:pos="7654"/>
          <w:tab w:val="right" w:pos="8929"/>
          <w:tab w:val="right" w:pos="9638"/>
        </w:tabs>
        <w:spacing w:after="120"/>
        <w:ind w:left="1984" w:hanging="425"/>
      </w:pPr>
      <w:r>
        <w:t>6.</w:t>
      </w:r>
      <w:r>
        <w:tab/>
      </w:r>
      <w:r w:rsidR="00A25590">
        <w:rPr>
          <w:lang w:val="fr-FR"/>
        </w:rPr>
        <w:t xml:space="preserve">Amendement à la section 51.4.4.2 e) du Manuel d’épreuves </w:t>
      </w:r>
      <w:r w:rsidR="00A25590">
        <w:rPr>
          <w:lang w:val="fr-FR"/>
        </w:rPr>
        <w:br/>
        <w:t>et de critères</w:t>
      </w:r>
      <w:r>
        <w:tab/>
      </w:r>
      <w:r>
        <w:tab/>
      </w:r>
      <w:r w:rsidR="00FA592C">
        <w:t>87</w:t>
      </w:r>
      <w:r>
        <w:tab/>
      </w:r>
      <w:r w:rsidR="003F4E64">
        <w:t>22</w:t>
      </w:r>
    </w:p>
    <w:p w14:paraId="61247E34" w14:textId="53BD0F84" w:rsidR="00EF13BE" w:rsidRDefault="00EF13BE" w:rsidP="00EF13BE">
      <w:pPr>
        <w:tabs>
          <w:tab w:val="right" w:leader="dot" w:pos="7654"/>
          <w:tab w:val="right" w:pos="8929"/>
          <w:tab w:val="right" w:pos="9638"/>
        </w:tabs>
        <w:spacing w:after="120"/>
        <w:ind w:left="1984" w:hanging="425"/>
      </w:pPr>
      <w:r>
        <w:t>7.</w:t>
      </w:r>
      <w:r>
        <w:tab/>
      </w:r>
      <w:r w:rsidR="00A25590">
        <w:rPr>
          <w:bCs/>
          <w:lang w:val="fr-FR"/>
        </w:rPr>
        <w:t xml:space="preserve">Suggestions d’ajustement des températures pour les épreuves </w:t>
      </w:r>
      <w:r w:rsidR="00A25590">
        <w:rPr>
          <w:bCs/>
          <w:lang w:val="fr-FR"/>
        </w:rPr>
        <w:br/>
        <w:t>ONU 3 c) et 4 b)</w:t>
      </w:r>
      <w:r>
        <w:tab/>
      </w:r>
      <w:r>
        <w:tab/>
      </w:r>
      <w:r w:rsidR="00FA592C">
        <w:t>88</w:t>
      </w:r>
      <w:r>
        <w:tab/>
      </w:r>
      <w:r w:rsidR="003F4E64">
        <w:t>22</w:t>
      </w:r>
    </w:p>
    <w:p w14:paraId="500A7DE9" w14:textId="55CAFAC0" w:rsidR="00EF13BE" w:rsidRDefault="00EF13BE" w:rsidP="00EF13BE">
      <w:pPr>
        <w:tabs>
          <w:tab w:val="right" w:leader="dot" w:pos="7654"/>
          <w:tab w:val="right" w:pos="8929"/>
          <w:tab w:val="right" w:pos="9638"/>
        </w:tabs>
        <w:spacing w:after="120"/>
        <w:ind w:left="1984" w:hanging="425"/>
      </w:pPr>
      <w:r>
        <w:t>8.</w:t>
      </w:r>
      <w:r>
        <w:tab/>
      </w:r>
      <w:r w:rsidR="00A25590">
        <w:rPr>
          <w:bCs/>
          <w:lang w:val="fr-FR"/>
        </w:rPr>
        <w:t>Classement du diesel aux fins du transport</w:t>
      </w:r>
      <w:r>
        <w:tab/>
      </w:r>
      <w:r>
        <w:tab/>
      </w:r>
      <w:r w:rsidR="00FA592C">
        <w:t>89</w:t>
      </w:r>
      <w:r>
        <w:tab/>
      </w:r>
      <w:r w:rsidR="003F4E64">
        <w:t>22</w:t>
      </w:r>
    </w:p>
    <w:p w14:paraId="3D8D3880" w14:textId="630BE831" w:rsidR="00EF13BE" w:rsidRDefault="00EF13BE" w:rsidP="00EF13BE">
      <w:pPr>
        <w:tabs>
          <w:tab w:val="right" w:leader="dot" w:pos="7654"/>
          <w:tab w:val="right" w:pos="8929"/>
          <w:tab w:val="right" w:pos="9638"/>
        </w:tabs>
        <w:spacing w:after="120"/>
        <w:ind w:left="1984" w:hanging="425"/>
      </w:pPr>
      <w:r>
        <w:t>9.</w:t>
      </w:r>
      <w:r>
        <w:tab/>
      </w:r>
      <w:r w:rsidR="00A25590">
        <w:rPr>
          <w:bCs/>
          <w:lang w:val="fr-FR"/>
        </w:rPr>
        <w:t>Machines frigorifiques et pompes à chaleur</w:t>
      </w:r>
      <w:r>
        <w:tab/>
      </w:r>
      <w:r>
        <w:tab/>
      </w:r>
      <w:r w:rsidR="00FA592C">
        <w:t>90</w:t>
      </w:r>
      <w:r>
        <w:tab/>
      </w:r>
      <w:r w:rsidR="003F4E64">
        <w:t>22</w:t>
      </w:r>
    </w:p>
    <w:p w14:paraId="13A8F3B2" w14:textId="18736DF7" w:rsidR="00EF13BE" w:rsidRDefault="00EF13BE" w:rsidP="00EF13BE">
      <w:pPr>
        <w:tabs>
          <w:tab w:val="right" w:leader="dot" w:pos="7654"/>
          <w:tab w:val="right" w:pos="8929"/>
          <w:tab w:val="right" w:pos="9638"/>
        </w:tabs>
        <w:spacing w:after="120"/>
        <w:ind w:left="1984" w:hanging="425"/>
      </w:pPr>
      <w:r>
        <w:t>10.</w:t>
      </w:r>
      <w:r>
        <w:tab/>
      </w:r>
      <w:r w:rsidR="00A25590" w:rsidRPr="00C234A9">
        <w:t>Amendement</w:t>
      </w:r>
      <w:r w:rsidR="00A25590">
        <w:rPr>
          <w:lang w:val="fr-FR"/>
        </w:rPr>
        <w:t xml:space="preserve"> aux instructions d’emballage P902 et LP902</w:t>
      </w:r>
      <w:r>
        <w:tab/>
      </w:r>
      <w:r>
        <w:tab/>
      </w:r>
      <w:r w:rsidR="00FA592C">
        <w:t>91</w:t>
      </w:r>
      <w:r>
        <w:tab/>
      </w:r>
      <w:r w:rsidR="003F4E64">
        <w:t>23</w:t>
      </w:r>
    </w:p>
    <w:p w14:paraId="68D1D5A5" w14:textId="1EE87F12" w:rsidR="00EF13BE" w:rsidRDefault="00EF13BE" w:rsidP="00EF13BE">
      <w:pPr>
        <w:tabs>
          <w:tab w:val="right" w:leader="dot" w:pos="7654"/>
          <w:tab w:val="right" w:pos="8929"/>
          <w:tab w:val="right" w:pos="9638"/>
        </w:tabs>
        <w:spacing w:after="120"/>
        <w:ind w:left="1559" w:hanging="425"/>
      </w:pPr>
      <w:r>
        <w:t>B.</w:t>
      </w:r>
      <w:r>
        <w:tab/>
      </w:r>
      <w:r w:rsidR="00A25590">
        <w:rPr>
          <w:lang w:val="fr-FR"/>
        </w:rPr>
        <w:t>Autres questions</w:t>
      </w:r>
      <w:r>
        <w:tab/>
      </w:r>
      <w:r>
        <w:tab/>
      </w:r>
      <w:r w:rsidR="00FA592C">
        <w:t>92</w:t>
      </w:r>
      <w:r>
        <w:tab/>
      </w:r>
      <w:r w:rsidR="003F4E64">
        <w:t>23</w:t>
      </w:r>
    </w:p>
    <w:p w14:paraId="54FDFB60" w14:textId="6396D5F1" w:rsidR="00EF13BE" w:rsidRDefault="00EF13BE" w:rsidP="00EF13BE">
      <w:pPr>
        <w:tabs>
          <w:tab w:val="right" w:leader="dot" w:pos="7654"/>
          <w:tab w:val="right" w:pos="8929"/>
          <w:tab w:val="right" w:pos="9638"/>
        </w:tabs>
        <w:spacing w:after="120"/>
        <w:ind w:left="1559" w:hanging="425"/>
      </w:pPr>
      <w:r>
        <w:t>C.</w:t>
      </w:r>
      <w:r>
        <w:tab/>
      </w:r>
      <w:r w:rsidR="00A25590" w:rsidRPr="005A59DF">
        <w:t>Hommages</w:t>
      </w:r>
      <w:r>
        <w:tab/>
      </w:r>
      <w:r>
        <w:tab/>
      </w:r>
      <w:r w:rsidR="00FA592C">
        <w:t>93</w:t>
      </w:r>
      <w:r w:rsidR="00FA592C">
        <w:noBreakHyphen/>
        <w:t>94</w:t>
      </w:r>
      <w:r>
        <w:tab/>
      </w:r>
      <w:r w:rsidR="003F4E64">
        <w:t>23</w:t>
      </w:r>
    </w:p>
    <w:p w14:paraId="2CB4648A" w14:textId="3CF7EF8E" w:rsidR="00EF13BE" w:rsidRDefault="00EF13BE" w:rsidP="00A25590">
      <w:pPr>
        <w:keepNext/>
        <w:tabs>
          <w:tab w:val="right" w:pos="850"/>
          <w:tab w:val="right" w:leader="dot" w:pos="7654"/>
          <w:tab w:val="right" w:pos="8929"/>
          <w:tab w:val="right" w:pos="9638"/>
        </w:tabs>
        <w:spacing w:after="120"/>
        <w:ind w:left="1134" w:hanging="1134"/>
      </w:pPr>
      <w:r>
        <w:tab/>
        <w:t>XX.</w:t>
      </w:r>
      <w:r>
        <w:tab/>
      </w:r>
      <w:r w:rsidR="00A25590" w:rsidRPr="00C234A9">
        <w:t>Adoption</w:t>
      </w:r>
      <w:r w:rsidR="00A25590" w:rsidRPr="008B6E49">
        <w:rPr>
          <w:lang w:val="fr-FR"/>
        </w:rPr>
        <w:t xml:space="preserve"> du rapport (</w:t>
      </w:r>
      <w:r w:rsidR="00A25590" w:rsidRPr="005F1938">
        <w:rPr>
          <w:lang w:val="fr-FR"/>
        </w:rPr>
        <w:t>point 1</w:t>
      </w:r>
      <w:r w:rsidR="00A25590">
        <w:rPr>
          <w:lang w:val="fr-FR"/>
        </w:rPr>
        <w:t>8</w:t>
      </w:r>
      <w:r w:rsidR="00A25590" w:rsidRPr="005F1938">
        <w:rPr>
          <w:lang w:val="fr-FR"/>
        </w:rPr>
        <w:t xml:space="preserve"> de l</w:t>
      </w:r>
      <w:r w:rsidR="00A25590">
        <w:rPr>
          <w:lang w:val="fr-FR"/>
        </w:rPr>
        <w:t>’</w:t>
      </w:r>
      <w:r w:rsidR="00A25590" w:rsidRPr="005F1938">
        <w:rPr>
          <w:lang w:val="fr-FR"/>
        </w:rPr>
        <w:t>ordre du jour</w:t>
      </w:r>
      <w:r w:rsidR="00A25590" w:rsidRPr="008B6E49">
        <w:rPr>
          <w:lang w:val="fr-FR"/>
        </w:rPr>
        <w:t>)</w:t>
      </w:r>
      <w:r>
        <w:tab/>
      </w:r>
      <w:r>
        <w:tab/>
      </w:r>
      <w:r w:rsidR="00FA592C">
        <w:t>95</w:t>
      </w:r>
      <w:r>
        <w:tab/>
      </w:r>
      <w:r w:rsidR="003F4E64">
        <w:t>23</w:t>
      </w:r>
    </w:p>
    <w:p w14:paraId="05147CD4" w14:textId="0DBA8E35" w:rsidR="00227C12" w:rsidRPr="00227C12" w:rsidRDefault="00227C12" w:rsidP="00A25590">
      <w:pPr>
        <w:keepNext/>
        <w:tabs>
          <w:tab w:val="right" w:pos="850"/>
        </w:tabs>
        <w:spacing w:after="120"/>
      </w:pPr>
      <w:r>
        <w:tab/>
        <w:t>Annexes</w:t>
      </w:r>
    </w:p>
    <w:p w14:paraId="33097AD8" w14:textId="0EADEB5D" w:rsidR="00227C12" w:rsidRDefault="00227C12" w:rsidP="00227C12">
      <w:pPr>
        <w:tabs>
          <w:tab w:val="right" w:pos="850"/>
          <w:tab w:val="right" w:leader="dot" w:pos="8929"/>
          <w:tab w:val="right" w:pos="9638"/>
        </w:tabs>
        <w:spacing w:after="120"/>
        <w:ind w:left="1134" w:hanging="1134"/>
      </w:pPr>
      <w:r>
        <w:tab/>
        <w:t>I.</w:t>
      </w:r>
      <w:r>
        <w:tab/>
      </w:r>
      <w:r w:rsidR="00C37CF8" w:rsidRPr="00347018">
        <w:rPr>
          <w:lang w:val="fr-FR"/>
        </w:rPr>
        <w:t>Projets d</w:t>
      </w:r>
      <w:r w:rsidR="00C37CF8">
        <w:rPr>
          <w:lang w:val="fr-FR"/>
        </w:rPr>
        <w:t>’</w:t>
      </w:r>
      <w:r w:rsidR="00C37CF8" w:rsidRPr="00347018">
        <w:rPr>
          <w:lang w:val="fr-FR"/>
        </w:rPr>
        <w:t>amendements à la vingt-deuxième édition révisée des Recommandations relatives</w:t>
      </w:r>
      <w:r w:rsidR="00C37CF8">
        <w:rPr>
          <w:lang w:val="fr-FR"/>
        </w:rPr>
        <w:t xml:space="preserve"> </w:t>
      </w:r>
      <w:r w:rsidR="00A25590">
        <w:rPr>
          <w:lang w:val="fr-FR"/>
        </w:rPr>
        <w:br/>
      </w:r>
      <w:r w:rsidR="00C37CF8" w:rsidRPr="00347018">
        <w:rPr>
          <w:lang w:val="fr-FR"/>
        </w:rPr>
        <w:t>au</w:t>
      </w:r>
      <w:r w:rsidR="00C37CF8">
        <w:rPr>
          <w:lang w:val="fr-FR"/>
        </w:rPr>
        <w:t xml:space="preserve"> </w:t>
      </w:r>
      <w:r w:rsidR="00C37CF8" w:rsidRPr="00347018">
        <w:rPr>
          <w:lang w:val="fr-FR"/>
        </w:rPr>
        <w:t>transport des marchandises dangereuses, Règlement type (ST/SG/AC.10/1/Rev.22)</w:t>
      </w:r>
      <w:r w:rsidR="00C37CF8">
        <w:rPr>
          <w:rStyle w:val="FootnoteReference"/>
        </w:rPr>
        <w:footnoteReference w:id="2"/>
      </w:r>
      <w:r>
        <w:tab/>
      </w:r>
    </w:p>
    <w:p w14:paraId="663D6B03" w14:textId="412AFAEB" w:rsidR="00EF13BE" w:rsidRDefault="00EF13BE" w:rsidP="00EF13BE">
      <w:pPr>
        <w:tabs>
          <w:tab w:val="right" w:pos="850"/>
          <w:tab w:val="right" w:leader="dot" w:pos="8929"/>
          <w:tab w:val="right" w:pos="9638"/>
        </w:tabs>
        <w:spacing w:after="120"/>
        <w:ind w:left="1134" w:hanging="1134"/>
      </w:pPr>
      <w:r>
        <w:tab/>
        <w:t>II.</w:t>
      </w:r>
      <w:r>
        <w:tab/>
      </w:r>
      <w:r w:rsidR="00A25590" w:rsidRPr="00347018">
        <w:rPr>
          <w:lang w:val="fr-FR"/>
        </w:rPr>
        <w:t>Projets d</w:t>
      </w:r>
      <w:r w:rsidR="00A25590">
        <w:rPr>
          <w:lang w:val="fr-FR"/>
        </w:rPr>
        <w:t>’</w:t>
      </w:r>
      <w:r w:rsidR="00A25590" w:rsidRPr="00347018">
        <w:rPr>
          <w:lang w:val="fr-FR"/>
        </w:rPr>
        <w:t>amendements à la vingt-deuxième édition révisée des Recommandations relatives</w:t>
      </w:r>
      <w:r w:rsidR="00A25590">
        <w:rPr>
          <w:lang w:val="fr-FR"/>
        </w:rPr>
        <w:t xml:space="preserve"> </w:t>
      </w:r>
      <w:r w:rsidR="00A25590">
        <w:rPr>
          <w:lang w:val="fr-FR"/>
        </w:rPr>
        <w:br/>
      </w:r>
      <w:r w:rsidR="00A25590" w:rsidRPr="00347018">
        <w:rPr>
          <w:lang w:val="fr-FR"/>
        </w:rPr>
        <w:t>au</w:t>
      </w:r>
      <w:r w:rsidR="00A25590">
        <w:rPr>
          <w:lang w:val="fr-FR"/>
        </w:rPr>
        <w:t xml:space="preserve"> </w:t>
      </w:r>
      <w:r w:rsidR="00A25590" w:rsidRPr="00347018">
        <w:rPr>
          <w:lang w:val="fr-FR"/>
        </w:rPr>
        <w:t xml:space="preserve">transport des marchandises dangereuses, Règlement type </w:t>
      </w:r>
      <w:r w:rsidR="00A25590" w:rsidRPr="006A2B41">
        <w:rPr>
          <w:lang w:val="fr-FR"/>
        </w:rPr>
        <w:t>(ST/SG/AC.10/1/Rev.22)</w:t>
      </w:r>
      <w:r w:rsidR="00A25590" w:rsidRPr="00A25590">
        <w:rPr>
          <w:sz w:val="18"/>
          <w:szCs w:val="18"/>
          <w:vertAlign w:val="superscript"/>
          <w:lang w:val="fr-FR"/>
        </w:rPr>
        <w:t>1</w:t>
      </w:r>
      <w:r>
        <w:tab/>
      </w:r>
    </w:p>
    <w:p w14:paraId="5D3F4F72" w14:textId="28E8E2B0" w:rsidR="00EF13BE" w:rsidRPr="00A25590" w:rsidRDefault="00EF13BE" w:rsidP="00EF13BE">
      <w:pPr>
        <w:tabs>
          <w:tab w:val="right" w:pos="850"/>
          <w:tab w:val="right" w:leader="dot" w:pos="8929"/>
          <w:tab w:val="right" w:pos="9638"/>
        </w:tabs>
        <w:spacing w:after="120"/>
        <w:ind w:left="1134" w:hanging="1134"/>
        <w:rPr>
          <w:lang w:val="en-US"/>
        </w:rPr>
      </w:pPr>
      <w:r>
        <w:tab/>
      </w:r>
      <w:r w:rsidRPr="00A25590">
        <w:rPr>
          <w:lang w:val="en-US"/>
        </w:rPr>
        <w:t>III.</w:t>
      </w:r>
      <w:r w:rsidRPr="00A25590">
        <w:rPr>
          <w:lang w:val="en-US"/>
        </w:rPr>
        <w:tab/>
      </w:r>
      <w:r w:rsidR="00A25590" w:rsidRPr="00A25590">
        <w:rPr>
          <w:lang w:val="en-US"/>
        </w:rPr>
        <w:t>Modifications to the sixth version of the Guiding Principles for the Development of the Model Regulations on the Transport of Dangerous Goods [English only]</w:t>
      </w:r>
      <w:r w:rsidR="00A25590" w:rsidRPr="00A25590">
        <w:rPr>
          <w:sz w:val="18"/>
          <w:szCs w:val="18"/>
          <w:vertAlign w:val="superscript"/>
          <w:lang w:val="en-US"/>
        </w:rPr>
        <w:t>1</w:t>
      </w:r>
      <w:r w:rsidRPr="00A25590">
        <w:rPr>
          <w:lang w:val="en-US"/>
        </w:rPr>
        <w:tab/>
      </w:r>
    </w:p>
    <w:p w14:paraId="3F47DCD1" w14:textId="77777777" w:rsidR="0012021D" w:rsidRPr="0012021D" w:rsidRDefault="0012021D" w:rsidP="0012021D">
      <w:pPr>
        <w:suppressAutoHyphens w:val="0"/>
        <w:kinsoku/>
        <w:overflowPunct/>
        <w:autoSpaceDE/>
        <w:autoSpaceDN/>
        <w:adjustRightInd/>
        <w:snapToGrid/>
        <w:spacing w:after="200" w:line="276" w:lineRule="auto"/>
        <w:rPr>
          <w:b/>
          <w:bCs/>
          <w:sz w:val="28"/>
          <w:lang w:val="en-US"/>
        </w:rPr>
      </w:pPr>
      <w:r w:rsidRPr="0012021D">
        <w:rPr>
          <w:bCs/>
          <w:lang w:val="en-US"/>
        </w:rPr>
        <w:br w:type="page"/>
      </w:r>
    </w:p>
    <w:p w14:paraId="42EF2434" w14:textId="77777777" w:rsidR="0012021D" w:rsidRPr="007F78D5" w:rsidRDefault="0012021D" w:rsidP="006F3532">
      <w:pPr>
        <w:pStyle w:val="HChG"/>
        <w:rPr>
          <w:lang w:val="fr-FR"/>
        </w:rPr>
      </w:pPr>
      <w:r w:rsidRPr="0012021D">
        <w:rPr>
          <w:lang w:val="en-US"/>
        </w:rPr>
        <w:tab/>
      </w:r>
      <w:r w:rsidRPr="007F78D5">
        <w:rPr>
          <w:lang w:val="fr-FR"/>
        </w:rPr>
        <w:t>I.</w:t>
      </w:r>
      <w:r w:rsidRPr="007F78D5">
        <w:rPr>
          <w:lang w:val="fr-FR"/>
        </w:rPr>
        <w:tab/>
      </w:r>
      <w:r>
        <w:rPr>
          <w:lang w:val="fr-FR"/>
        </w:rPr>
        <w:t>Participation</w:t>
      </w:r>
    </w:p>
    <w:p w14:paraId="6B4CB668" w14:textId="02CE8C07" w:rsidR="0012021D" w:rsidRPr="007F78D5" w:rsidRDefault="0012021D" w:rsidP="0012021D">
      <w:pPr>
        <w:pStyle w:val="SingleTxtG"/>
        <w:rPr>
          <w:lang w:val="fr-FR"/>
        </w:rPr>
      </w:pPr>
      <w:r>
        <w:rPr>
          <w:lang w:val="fr-FR"/>
        </w:rPr>
        <w:t>1.</w:t>
      </w:r>
      <w:r>
        <w:rPr>
          <w:lang w:val="fr-FR"/>
        </w:rPr>
        <w:tab/>
        <w:t>Le Sous-Comité d’experts du transport des marchandises dangereuses a tenu sa soixante et unième session du 28</w:t>
      </w:r>
      <w:r w:rsidR="006F3532">
        <w:rPr>
          <w:lang w:val="fr-FR"/>
        </w:rPr>
        <w:t> </w:t>
      </w:r>
      <w:r>
        <w:rPr>
          <w:lang w:val="fr-FR"/>
        </w:rPr>
        <w:t>novembre au 6</w:t>
      </w:r>
      <w:r w:rsidR="006F3532">
        <w:rPr>
          <w:lang w:val="fr-FR"/>
        </w:rPr>
        <w:t> </w:t>
      </w:r>
      <w:r>
        <w:rPr>
          <w:lang w:val="fr-FR"/>
        </w:rPr>
        <w:t>décembre 2022, sous la présidence de M. D. Pfund (États-Unis d’Amérique) et la vice-présidence de M.</w:t>
      </w:r>
      <w:r w:rsidR="006F3532">
        <w:rPr>
          <w:lang w:val="fr-FR"/>
        </w:rPr>
        <w:t> </w:t>
      </w:r>
      <w:r>
        <w:rPr>
          <w:lang w:val="fr-FR"/>
        </w:rPr>
        <w:t>C.</w:t>
      </w:r>
      <w:r w:rsidR="006F3532">
        <w:rPr>
          <w:lang w:val="fr-FR"/>
        </w:rPr>
        <w:t> </w:t>
      </w:r>
      <w:r>
        <w:rPr>
          <w:lang w:val="fr-FR"/>
        </w:rPr>
        <w:t>Pfauvadel (France).</w:t>
      </w:r>
    </w:p>
    <w:p w14:paraId="78FE939D" w14:textId="77777777" w:rsidR="0012021D" w:rsidRPr="007F78D5" w:rsidRDefault="0012021D" w:rsidP="0012021D">
      <w:pPr>
        <w:pStyle w:val="SingleTxtG"/>
        <w:rPr>
          <w:lang w:val="fr-FR"/>
        </w:rPr>
      </w:pPr>
      <w:r>
        <w:rPr>
          <w:lang w:val="fr-FR"/>
        </w:rPr>
        <w:t>2.</w:t>
      </w:r>
      <w:r>
        <w:rPr>
          <w:lang w:val="fr-FR"/>
        </w:rPr>
        <w:tab/>
        <w:t>Ont participé à cette session des experts des pays suivants : Afrique du Sud, Allemagne, Australie, Autriche, Belgique, Brésil, Canada, Chine, Espagne, États-Unis d’Amérique, Fédération de Russie, Finlande, France, Italie, Japon, Mexique, Pays-Bas, Pologne, République de Corée, Royaume-Uni, Suède et Suisse.</w:t>
      </w:r>
    </w:p>
    <w:p w14:paraId="5971D429" w14:textId="77777777" w:rsidR="0012021D" w:rsidRPr="007F78D5" w:rsidRDefault="0012021D" w:rsidP="0012021D">
      <w:pPr>
        <w:pStyle w:val="SingleTxtG"/>
        <w:rPr>
          <w:lang w:val="fr-FR"/>
        </w:rPr>
      </w:pPr>
      <w:r>
        <w:rPr>
          <w:lang w:val="fr-FR"/>
        </w:rPr>
        <w:t>3.</w:t>
      </w:r>
      <w:r>
        <w:rPr>
          <w:lang w:val="fr-FR"/>
        </w:rPr>
        <w:tab/>
        <w:t>Des observateurs du Luxembourg y ont également participé en application de l’article 72 du Règlement intérieur du Conseil économique et social.</w:t>
      </w:r>
    </w:p>
    <w:p w14:paraId="7EE518E9" w14:textId="77777777" w:rsidR="0012021D" w:rsidRPr="007F78D5" w:rsidRDefault="0012021D" w:rsidP="0012021D">
      <w:pPr>
        <w:pStyle w:val="SingleTxtG"/>
        <w:rPr>
          <w:lang w:val="fr-FR"/>
        </w:rPr>
      </w:pPr>
      <w:r>
        <w:rPr>
          <w:lang w:val="fr-FR"/>
        </w:rPr>
        <w:t>4.</w:t>
      </w:r>
      <w:r>
        <w:rPr>
          <w:lang w:val="fr-FR"/>
        </w:rPr>
        <w:tab/>
        <w:t>L’Organisation intergouvernementale pour les transports internationaux ferroviaires (OTIF) et l’Union européenne (UE) étaient aussi représentées.</w:t>
      </w:r>
    </w:p>
    <w:p w14:paraId="35F991B0" w14:textId="77777777" w:rsidR="0012021D" w:rsidRPr="007C2265" w:rsidRDefault="0012021D" w:rsidP="0012021D">
      <w:pPr>
        <w:pStyle w:val="SingleTxtG"/>
        <w:rPr>
          <w:lang w:val="fr-FR"/>
        </w:rPr>
      </w:pPr>
      <w:r>
        <w:rPr>
          <w:lang w:val="fr-FR"/>
        </w:rPr>
        <w:t>5.</w:t>
      </w:r>
      <w:r>
        <w:rPr>
          <w:lang w:val="fr-FR"/>
        </w:rPr>
        <w:tab/>
        <w:t>Des représentants de l’Organisation de l’aviation civile internationale (OACI), de l’Organisation des Nations Unies pour l’alimentation et l’agriculture (FAO), de l’Organisation maritime internationale (OMI) et de l’Organisation mondiale de la Santé (OMS) étaient également présents.</w:t>
      </w:r>
    </w:p>
    <w:p w14:paraId="4256EE45" w14:textId="03093CA9" w:rsidR="0012021D" w:rsidRPr="0079205B" w:rsidRDefault="0012021D" w:rsidP="0012021D">
      <w:pPr>
        <w:pStyle w:val="SingleTxtG"/>
        <w:rPr>
          <w:lang w:val="fr-FR"/>
        </w:rPr>
      </w:pPr>
      <w:r>
        <w:rPr>
          <w:lang w:val="fr-FR"/>
        </w:rPr>
        <w:t>6.</w:t>
      </w:r>
      <w:r>
        <w:rPr>
          <w:lang w:val="fr-FR"/>
        </w:rPr>
        <w:tab/>
        <w:t>Ont participé aux débats sur les points intéressant leur organisation des représentants des organisations non gouvernementales suivantes : Australasian Explosives Industry Safety Group (AEISG) ; Compressed Gas Association (CGA) ; Council on Safe Transportation of Hazardous Articles (COSTHA) ; Conseil consultatif des marchandises dangereuses (DGAC) ; Dangerous Goods Trainers Association (DGTA) ; Conférence européenne des négociants en combustibles et carburants (ECFD) ; European Association for Advanced Rechargeable Batteries (RECHARGE) ; Association européenne des fournisseurs de l’automobile (CLEPA) ; European Chemical Industry Council (CEFIC) ; European Cylinder Makers Association</w:t>
      </w:r>
      <w:r w:rsidR="005A59DF">
        <w:rPr>
          <w:lang w:val="fr-FR"/>
        </w:rPr>
        <w:t xml:space="preserve"> </w:t>
      </w:r>
      <w:r>
        <w:rPr>
          <w:lang w:val="fr-FR"/>
        </w:rPr>
        <w:t>(ECMA) ; Association européenne des gaz industriels (EIGA) ; European Metal Packaging (EMPAC) ; Fédération européenne des aérosols (FEA) ; Institute of Makers of Explosives (IME) ; Association du transport aérien international (IATA) ; International Confederation of Container Reconditioners (ICCR) ; International Confederation of Drum Manufacturers (ICDM) ; International Confederation of Intermediate Bulk Container Associations (ICIBCA) ; International Confederation of Plastics Packaging Manufacturers (ICPP) ; Association internationale des marchandises dangereuses et des conteneurs (IDGCA) ; International Fibre Drum Institute (IFDI) ; Organisation internationale des constructeurs d’automobiles (OICA) ; Organisation internationale de normalisation (ISO) ; Association internationale de l’industrie pétrolière pour la conservation de l’environnement (IPIECA) ; International Vessel Operators Dangerous Goods Association (IVODGA) ; Medical Device Transport Council (MDTC) ; Rechargeable Battery Association (PRBA) ; Responsible Packaging Management Association of Southern Africa (RPMASA) ; Sporting Arms and Ammunition Manufacturers’ Institute (SAAMI) ; Stainless Steel Container Association (SSCA) ; World Coating Council (WCC, anciennement IPPIC) ; World LPG Association (WLPGA).</w:t>
      </w:r>
    </w:p>
    <w:p w14:paraId="1BFFA509" w14:textId="77777777" w:rsidR="0012021D" w:rsidRPr="00612F52" w:rsidRDefault="0012021D" w:rsidP="006F3532">
      <w:pPr>
        <w:pStyle w:val="HChG"/>
        <w:rPr>
          <w:lang w:val="fr-FR"/>
        </w:rPr>
      </w:pPr>
      <w:r w:rsidRPr="007C2265">
        <w:rPr>
          <w:lang w:val="fr-FR"/>
        </w:rPr>
        <w:tab/>
      </w:r>
      <w:r w:rsidRPr="00612F52">
        <w:rPr>
          <w:lang w:val="fr-FR"/>
        </w:rPr>
        <w:t>II.</w:t>
      </w:r>
      <w:r w:rsidRPr="00612F52">
        <w:rPr>
          <w:lang w:val="fr-FR"/>
        </w:rPr>
        <w:tab/>
      </w:r>
      <w:r>
        <w:rPr>
          <w:lang w:val="fr-FR"/>
        </w:rPr>
        <w:t xml:space="preserve">Ouverture de la </w:t>
      </w:r>
      <w:r w:rsidRPr="006F3532">
        <w:t>session</w:t>
      </w:r>
    </w:p>
    <w:p w14:paraId="396B0730" w14:textId="77777777" w:rsidR="0012021D" w:rsidRPr="00612F52" w:rsidRDefault="0012021D" w:rsidP="006F3532">
      <w:pPr>
        <w:pStyle w:val="H1G"/>
        <w:rPr>
          <w:lang w:val="fr-FR"/>
        </w:rPr>
      </w:pPr>
      <w:r w:rsidRPr="00612F52">
        <w:rPr>
          <w:lang w:val="fr-FR"/>
        </w:rPr>
        <w:tab/>
      </w:r>
      <w:r w:rsidRPr="00612F52">
        <w:rPr>
          <w:lang w:val="fr-FR"/>
        </w:rPr>
        <w:tab/>
      </w:r>
      <w:r w:rsidRPr="006F3532">
        <w:t>Questions</w:t>
      </w:r>
      <w:r w:rsidRPr="00612F52">
        <w:rPr>
          <w:lang w:val="fr-FR"/>
        </w:rPr>
        <w:t xml:space="preserve"> d</w:t>
      </w:r>
      <w:r>
        <w:rPr>
          <w:lang w:val="fr-FR"/>
        </w:rPr>
        <w:t>’</w:t>
      </w:r>
      <w:r w:rsidRPr="00612F52">
        <w:rPr>
          <w:lang w:val="fr-FR"/>
        </w:rPr>
        <w:t>organisation</w:t>
      </w:r>
    </w:p>
    <w:p w14:paraId="59FF89C3" w14:textId="61A01DA2" w:rsidR="0012021D" w:rsidRPr="0012021D" w:rsidRDefault="0012021D" w:rsidP="0012021D">
      <w:pPr>
        <w:pStyle w:val="SingleTxtG"/>
        <w:ind w:left="3402" w:hanging="2268"/>
        <w:jc w:val="left"/>
        <w:rPr>
          <w:lang w:val="en-US"/>
        </w:rPr>
      </w:pPr>
      <w:r w:rsidRPr="0012021D">
        <w:rPr>
          <w:i/>
          <w:iCs/>
          <w:lang w:val="en-US"/>
        </w:rPr>
        <w:t>Document(s) informel(s</w:t>
      </w:r>
      <w:proofErr w:type="gramStart"/>
      <w:r w:rsidRPr="0012021D">
        <w:rPr>
          <w:i/>
          <w:iCs/>
          <w:lang w:val="en-US"/>
        </w:rPr>
        <w:t>)</w:t>
      </w:r>
      <w:r w:rsidR="006F3532">
        <w:rPr>
          <w:i/>
          <w:iCs/>
          <w:lang w:val="en-US"/>
        </w:rPr>
        <w:t> </w:t>
      </w:r>
      <w:r w:rsidR="006F3532" w:rsidRPr="006F3532">
        <w:rPr>
          <w:lang w:val="en-US"/>
        </w:rPr>
        <w:t>:</w:t>
      </w:r>
      <w:proofErr w:type="gramEnd"/>
      <w:r w:rsidRPr="0012021D">
        <w:rPr>
          <w:i/>
          <w:iCs/>
          <w:lang w:val="en-US"/>
        </w:rPr>
        <w:tab/>
      </w:r>
      <w:r w:rsidRPr="0012021D">
        <w:rPr>
          <w:lang w:val="en-US"/>
        </w:rPr>
        <w:t>INF.22 (Accreditation, registration, working arrangements and provisional timetable)</w:t>
      </w:r>
    </w:p>
    <w:p w14:paraId="3B54E910" w14:textId="77777777" w:rsidR="0012021D" w:rsidRPr="0079205B" w:rsidRDefault="0012021D" w:rsidP="0012021D">
      <w:pPr>
        <w:pStyle w:val="SingleTxtG"/>
        <w:rPr>
          <w:lang w:val="fr-FR"/>
        </w:rPr>
      </w:pPr>
      <w:r>
        <w:rPr>
          <w:lang w:val="fr-FR"/>
        </w:rPr>
        <w:t>7.</w:t>
      </w:r>
      <w:r>
        <w:rPr>
          <w:lang w:val="fr-FR"/>
        </w:rPr>
        <w:tab/>
        <w:t>La soixantième et unième session du Sous-Comité était encore une réunion hybride : il était en effet possible d’y participer en ligne ou en présentiel, selon les modalités précisées dans le document informel INF.22. Le monde ayant désormais surmonté les effets de la pandémie de COVID-19, l’Office des Nations Unies à Genève reviendrait à une situation normale. En 2023, les sessions du Sous-Comité se tiendraient donc uniquement en présentiel.</w:t>
      </w:r>
    </w:p>
    <w:p w14:paraId="437DE1E1" w14:textId="77777777" w:rsidR="0012021D" w:rsidRPr="000B62B4" w:rsidRDefault="0012021D" w:rsidP="006F3532">
      <w:pPr>
        <w:pStyle w:val="HChG"/>
        <w:rPr>
          <w:lang w:val="fr-FR"/>
        </w:rPr>
      </w:pPr>
      <w:r w:rsidRPr="000B62B4">
        <w:rPr>
          <w:lang w:val="fr-FR"/>
        </w:rPr>
        <w:tab/>
        <w:t>III.</w:t>
      </w:r>
      <w:r w:rsidRPr="000B62B4">
        <w:rPr>
          <w:lang w:val="fr-FR"/>
        </w:rPr>
        <w:tab/>
      </w:r>
      <w:r>
        <w:rPr>
          <w:lang w:val="fr-FR"/>
        </w:rPr>
        <w:t>Adoption de l’ordre du jour (point 1 de l’ordre du jour)</w:t>
      </w:r>
    </w:p>
    <w:p w14:paraId="4F4F5120" w14:textId="77777777" w:rsidR="0012021D" w:rsidRPr="0079205B" w:rsidRDefault="0012021D" w:rsidP="006F3532">
      <w:pPr>
        <w:pStyle w:val="SingleTxtG"/>
        <w:tabs>
          <w:tab w:val="clear" w:pos="2268"/>
          <w:tab w:val="clear" w:pos="2835"/>
        </w:tabs>
        <w:ind w:left="3402" w:hanging="2268"/>
        <w:jc w:val="left"/>
        <w:rPr>
          <w:lang w:val="fr-FR"/>
        </w:rPr>
      </w:pPr>
      <w:r>
        <w:rPr>
          <w:i/>
          <w:iCs/>
          <w:lang w:val="fr-FR"/>
        </w:rPr>
        <w:t>Documents </w:t>
      </w:r>
      <w:r w:rsidRPr="006F3532">
        <w:rPr>
          <w:lang w:val="fr-FR"/>
        </w:rPr>
        <w:t>:</w:t>
      </w:r>
      <w:r>
        <w:rPr>
          <w:lang w:val="fr-FR"/>
        </w:rPr>
        <w:tab/>
        <w:t>ST/SG/AC.10/C.3/121 (Ordre du jour provisoire) ST/SG/AC.10/C.3/121/Add.1 (Liste des documents et annotations)</w:t>
      </w:r>
    </w:p>
    <w:p w14:paraId="30E8110B" w14:textId="754F11FB" w:rsidR="0012021D" w:rsidRPr="0012021D" w:rsidRDefault="0012021D" w:rsidP="00043714">
      <w:pPr>
        <w:pStyle w:val="SingleTxtG"/>
        <w:tabs>
          <w:tab w:val="clear" w:pos="2268"/>
          <w:tab w:val="clear" w:pos="2835"/>
        </w:tabs>
        <w:ind w:left="3402" w:hanging="2268"/>
        <w:jc w:val="left"/>
        <w:rPr>
          <w:lang w:val="en-US"/>
        </w:rPr>
      </w:pPr>
      <w:r w:rsidRPr="0012021D">
        <w:rPr>
          <w:i/>
          <w:iCs/>
          <w:lang w:val="en-US"/>
        </w:rPr>
        <w:t>Document(s) informel(s</w:t>
      </w:r>
      <w:proofErr w:type="gramStart"/>
      <w:r w:rsidRPr="0012021D">
        <w:rPr>
          <w:i/>
          <w:iCs/>
          <w:lang w:val="en-US"/>
        </w:rPr>
        <w:t>) </w:t>
      </w:r>
      <w:r w:rsidR="006F3532">
        <w:rPr>
          <w:lang w:val="en-US"/>
        </w:rPr>
        <w:t>:</w:t>
      </w:r>
      <w:proofErr w:type="gramEnd"/>
      <w:r w:rsidRPr="0012021D">
        <w:rPr>
          <w:i/>
          <w:iCs/>
          <w:lang w:val="en-US"/>
        </w:rPr>
        <w:tab/>
      </w:r>
      <w:r w:rsidRPr="0012021D">
        <w:rPr>
          <w:lang w:val="en-US"/>
        </w:rPr>
        <w:t xml:space="preserve">INF.1 et INF.2 (List of documents) </w:t>
      </w:r>
      <w:r w:rsidRPr="0012021D">
        <w:rPr>
          <w:lang w:val="en-US"/>
        </w:rPr>
        <w:br/>
        <w:t xml:space="preserve">INF.22 (Accreditation, registration, working arrangements and provisional timetable for the sixty-first session) </w:t>
      </w:r>
      <w:r w:rsidRPr="0012021D">
        <w:rPr>
          <w:lang w:val="en-US"/>
        </w:rPr>
        <w:br/>
        <w:t>INF.39 (Reception by non-governmental organizations)</w:t>
      </w:r>
    </w:p>
    <w:p w14:paraId="51E2935C" w14:textId="77777777" w:rsidR="0012021D" w:rsidRPr="000B62B4" w:rsidRDefault="0012021D" w:rsidP="0012021D">
      <w:pPr>
        <w:pStyle w:val="SingleTxtG"/>
        <w:rPr>
          <w:lang w:val="fr-FR"/>
        </w:rPr>
      </w:pPr>
      <w:r>
        <w:rPr>
          <w:lang w:val="fr-FR"/>
        </w:rPr>
        <w:t>8.</w:t>
      </w:r>
      <w:r>
        <w:rPr>
          <w:lang w:val="fr-FR"/>
        </w:rPr>
        <w:tab/>
        <w:t>Le Sous-Comité a adopté l’ordre du jour provisoire établi par le secrétariat après l’avoir modifié pour tenir compte des documents informels INF.1 à INF</w:t>
      </w:r>
      <w:r w:rsidRPr="000B62B4">
        <w:rPr>
          <w:lang w:val="fr-FR"/>
        </w:rPr>
        <w:t>.59.</w:t>
      </w:r>
    </w:p>
    <w:p w14:paraId="7C3C0B62" w14:textId="0B00E3C3" w:rsidR="0012021D" w:rsidRPr="0079205B" w:rsidRDefault="0012021D" w:rsidP="0012021D">
      <w:pPr>
        <w:pStyle w:val="HChG"/>
        <w:rPr>
          <w:lang w:val="fr-FR"/>
        </w:rPr>
      </w:pPr>
      <w:r>
        <w:rPr>
          <w:bCs/>
          <w:lang w:val="fr-FR"/>
        </w:rPr>
        <w:tab/>
        <w:t>IV.</w:t>
      </w:r>
      <w:r>
        <w:rPr>
          <w:lang w:val="fr-FR"/>
        </w:rPr>
        <w:tab/>
      </w:r>
      <w:r w:rsidRPr="005B6325">
        <w:rPr>
          <w:bCs/>
          <w:lang w:val="fr-FR"/>
        </w:rPr>
        <w:t xml:space="preserve">Recommandations du Sous-Comité formulées </w:t>
      </w:r>
      <w:r w:rsidR="006F3532">
        <w:rPr>
          <w:bCs/>
          <w:lang w:val="fr-FR"/>
        </w:rPr>
        <w:br/>
      </w:r>
      <w:r w:rsidRPr="005B6325">
        <w:rPr>
          <w:bCs/>
          <w:lang w:val="fr-FR"/>
        </w:rPr>
        <w:t xml:space="preserve">à ses cinquante-huitième, cinquante-neuvième </w:t>
      </w:r>
      <w:r w:rsidR="006F3532">
        <w:rPr>
          <w:bCs/>
          <w:lang w:val="fr-FR"/>
        </w:rPr>
        <w:br/>
      </w:r>
      <w:r w:rsidRPr="005B6325">
        <w:rPr>
          <w:bCs/>
          <w:lang w:val="fr-FR"/>
        </w:rPr>
        <w:t xml:space="preserve">et soixantième sessions et questions en suspens </w:t>
      </w:r>
      <w:r w:rsidR="006F3532">
        <w:rPr>
          <w:bCs/>
          <w:lang w:val="fr-FR"/>
        </w:rPr>
        <w:br/>
      </w:r>
      <w:r>
        <w:rPr>
          <w:bCs/>
          <w:lang w:val="fr-FR"/>
        </w:rPr>
        <w:t>(point 2 de l’ordre du jour)</w:t>
      </w:r>
    </w:p>
    <w:p w14:paraId="21A946EB" w14:textId="201421A8" w:rsidR="0012021D" w:rsidRPr="005B6325" w:rsidRDefault="0012021D" w:rsidP="006F3532">
      <w:pPr>
        <w:pStyle w:val="H1G"/>
        <w:rPr>
          <w:lang w:val="fr-FR"/>
        </w:rPr>
      </w:pPr>
      <w:r w:rsidRPr="005B6325">
        <w:rPr>
          <w:bCs/>
          <w:lang w:val="fr-FR"/>
        </w:rPr>
        <w:tab/>
        <w:t>A.</w:t>
      </w:r>
      <w:r w:rsidRPr="005B6325">
        <w:rPr>
          <w:lang w:val="fr-FR"/>
        </w:rPr>
        <w:tab/>
        <w:t>Examen des projets d</w:t>
      </w:r>
      <w:r>
        <w:rPr>
          <w:lang w:val="fr-FR"/>
        </w:rPr>
        <w:t>’</w:t>
      </w:r>
      <w:r w:rsidRPr="005B6325">
        <w:rPr>
          <w:lang w:val="fr-FR"/>
        </w:rPr>
        <w:t xml:space="preserve">amendements déjà adoptés </w:t>
      </w:r>
      <w:r w:rsidR="006F3532">
        <w:rPr>
          <w:lang w:val="fr-FR"/>
        </w:rPr>
        <w:br/>
      </w:r>
      <w:r w:rsidRPr="005B6325">
        <w:rPr>
          <w:lang w:val="fr-FR"/>
        </w:rPr>
        <w:t>durant la période biennale</w:t>
      </w:r>
    </w:p>
    <w:p w14:paraId="761259D1" w14:textId="77777777" w:rsidR="0012021D" w:rsidRPr="005B6325" w:rsidRDefault="0012021D" w:rsidP="006F3532">
      <w:pPr>
        <w:pStyle w:val="H23G"/>
        <w:rPr>
          <w:lang w:val="fr-FR"/>
        </w:rPr>
      </w:pPr>
      <w:r w:rsidRPr="005B6325">
        <w:rPr>
          <w:lang w:val="fr-FR"/>
        </w:rPr>
        <w:tab/>
        <w:t>1.</w:t>
      </w:r>
      <w:r w:rsidRPr="005B6325">
        <w:rPr>
          <w:lang w:val="fr-FR"/>
        </w:rPr>
        <w:tab/>
      </w:r>
      <w:r>
        <w:rPr>
          <w:lang w:val="fr-FR"/>
        </w:rPr>
        <w:t>Liste récapitulative des projets d’amendements</w:t>
      </w:r>
    </w:p>
    <w:p w14:paraId="390CACD3" w14:textId="1EFCE024" w:rsidR="0012021D" w:rsidRPr="0079205B" w:rsidRDefault="0012021D" w:rsidP="00043714">
      <w:pPr>
        <w:pStyle w:val="SingleTxtG"/>
        <w:tabs>
          <w:tab w:val="clear" w:pos="2268"/>
          <w:tab w:val="clear" w:pos="2835"/>
        </w:tabs>
        <w:ind w:left="3402" w:hanging="2268"/>
        <w:jc w:val="left"/>
        <w:rPr>
          <w:lang w:val="fr-FR"/>
        </w:rPr>
      </w:pPr>
      <w:r>
        <w:rPr>
          <w:i/>
          <w:iCs/>
          <w:lang w:val="fr-FR"/>
        </w:rPr>
        <w:t>Documents </w:t>
      </w:r>
      <w:r w:rsidRPr="006F3532">
        <w:rPr>
          <w:lang w:val="fr-FR"/>
        </w:rPr>
        <w:t>:</w:t>
      </w:r>
      <w:r>
        <w:rPr>
          <w:lang w:val="fr-FR"/>
        </w:rPr>
        <w:tab/>
      </w:r>
      <w:r w:rsidR="00043714">
        <w:rPr>
          <w:lang w:val="fr-FR"/>
        </w:rPr>
        <w:tab/>
      </w:r>
      <w:r>
        <w:rPr>
          <w:lang w:val="fr-FR"/>
        </w:rPr>
        <w:t xml:space="preserve">ST/SG/AC.10/C.3/2022/75 (secrétariat) </w:t>
      </w:r>
      <w:r>
        <w:rPr>
          <w:lang w:val="fr-FR"/>
        </w:rPr>
        <w:br/>
        <w:t>ST/SG/AC.10/C.3/2022/49 (Allemagne)</w:t>
      </w:r>
    </w:p>
    <w:p w14:paraId="364EE4E8" w14:textId="460B52F0" w:rsidR="0012021D" w:rsidRPr="0079205B" w:rsidRDefault="0012021D" w:rsidP="000C044E">
      <w:pPr>
        <w:pStyle w:val="SingleTxtG"/>
        <w:tabs>
          <w:tab w:val="clear" w:pos="2268"/>
          <w:tab w:val="clear" w:pos="2835"/>
        </w:tabs>
        <w:ind w:left="3402" w:hanging="2268"/>
        <w:jc w:val="left"/>
        <w:rPr>
          <w:lang w:val="fr-FR"/>
        </w:rPr>
      </w:pPr>
      <w:r>
        <w:rPr>
          <w:i/>
          <w:iCs/>
          <w:lang w:val="fr-FR"/>
        </w:rPr>
        <w:t>Document(s) informel(s)</w:t>
      </w:r>
      <w:r w:rsidR="00043714">
        <w:rPr>
          <w:lang w:val="fr-FR"/>
        </w:rPr>
        <w:t> </w:t>
      </w:r>
      <w:r w:rsidRPr="006F3532">
        <w:rPr>
          <w:lang w:val="fr-FR"/>
        </w:rPr>
        <w:t>:</w:t>
      </w:r>
      <w:r>
        <w:rPr>
          <w:i/>
          <w:iCs/>
          <w:lang w:val="fr-FR"/>
        </w:rPr>
        <w:tab/>
      </w:r>
      <w:r>
        <w:rPr>
          <w:lang w:val="fr-FR"/>
        </w:rPr>
        <w:t>INF.39/Rev.1 (secrétariat)</w:t>
      </w:r>
    </w:p>
    <w:p w14:paraId="0BB07259" w14:textId="77777777" w:rsidR="0012021D" w:rsidRPr="005B6325" w:rsidRDefault="0012021D" w:rsidP="0012021D">
      <w:pPr>
        <w:pStyle w:val="SingleTxtG"/>
        <w:rPr>
          <w:lang w:val="fr-FR"/>
        </w:rPr>
      </w:pPr>
      <w:r w:rsidRPr="005B6325">
        <w:rPr>
          <w:lang w:val="fr-FR"/>
        </w:rPr>
        <w:t>9.</w:t>
      </w:r>
      <w:r w:rsidRPr="005B6325">
        <w:rPr>
          <w:lang w:val="fr-FR"/>
        </w:rPr>
        <w:tab/>
      </w:r>
      <w:r>
        <w:rPr>
          <w:lang w:val="fr-FR"/>
        </w:rPr>
        <w:t>Le Sous-Comité a confirmé les amendements au Règlement type et au Manuel d’épreuves et de critères figurant dans le document ST/SG/AC.10/C.3/2022/75, y compris ceux entre crochets, ainsi que les amendements supplémentaires figurant dans le document informel INF.39/Rev.1 (voir les annexes </w:t>
      </w:r>
      <w:r w:rsidRPr="005B6325">
        <w:rPr>
          <w:lang w:val="fr-FR"/>
        </w:rPr>
        <w:t xml:space="preserve">I </w:t>
      </w:r>
      <w:r>
        <w:rPr>
          <w:lang w:val="fr-FR"/>
        </w:rPr>
        <w:t>et</w:t>
      </w:r>
      <w:r w:rsidRPr="005B6325">
        <w:rPr>
          <w:lang w:val="fr-FR"/>
        </w:rPr>
        <w:t xml:space="preserve"> II).</w:t>
      </w:r>
    </w:p>
    <w:p w14:paraId="0B1F808D" w14:textId="77777777" w:rsidR="0012021D" w:rsidRPr="00FE7F11" w:rsidRDefault="0012021D" w:rsidP="00043714">
      <w:pPr>
        <w:pStyle w:val="H23G"/>
        <w:rPr>
          <w:lang w:val="fr-FR"/>
        </w:rPr>
      </w:pPr>
      <w:r w:rsidRPr="005B6325">
        <w:rPr>
          <w:lang w:val="fr-FR"/>
        </w:rPr>
        <w:tab/>
      </w:r>
      <w:r>
        <w:rPr>
          <w:lang w:val="fr-FR"/>
        </w:rPr>
        <w:t>2.</w:t>
      </w:r>
      <w:r>
        <w:rPr>
          <w:lang w:val="fr-FR"/>
        </w:rPr>
        <w:tab/>
        <w:t>Disposition spéciale 388</w:t>
      </w:r>
    </w:p>
    <w:p w14:paraId="529347E3" w14:textId="77777777" w:rsidR="0012021D" w:rsidRPr="0079205B" w:rsidRDefault="0012021D" w:rsidP="000C044E">
      <w:pPr>
        <w:pStyle w:val="SingleTxtG"/>
        <w:tabs>
          <w:tab w:val="clear" w:pos="2268"/>
          <w:tab w:val="clear" w:pos="2835"/>
        </w:tabs>
        <w:ind w:left="3402" w:hanging="2268"/>
        <w:jc w:val="left"/>
        <w:rPr>
          <w:lang w:val="fr-FR"/>
        </w:rPr>
      </w:pPr>
      <w:r>
        <w:rPr>
          <w:i/>
          <w:iCs/>
          <w:lang w:val="fr-FR"/>
        </w:rPr>
        <w:t>Document(s)</w:t>
      </w:r>
      <w:r w:rsidRPr="00043714">
        <w:rPr>
          <w:lang w:val="fr-FR"/>
        </w:rPr>
        <w:t> :</w:t>
      </w:r>
      <w:r>
        <w:rPr>
          <w:lang w:val="fr-FR"/>
        </w:rPr>
        <w:tab/>
        <w:t>ST/SG/AC.10/C.3/2022/78 (secrétariat de l’OTIF)</w:t>
      </w:r>
    </w:p>
    <w:p w14:paraId="77399ED0" w14:textId="0EA72CF2" w:rsidR="0012021D" w:rsidRPr="005B6325" w:rsidRDefault="0012021D" w:rsidP="000C044E">
      <w:pPr>
        <w:pStyle w:val="SingleTxtG"/>
        <w:tabs>
          <w:tab w:val="clear" w:pos="2268"/>
          <w:tab w:val="clear" w:pos="2835"/>
        </w:tabs>
        <w:ind w:left="3402" w:hanging="2268"/>
        <w:jc w:val="left"/>
        <w:rPr>
          <w:lang w:val="fr-FR"/>
        </w:rPr>
      </w:pPr>
      <w:r>
        <w:rPr>
          <w:i/>
          <w:iCs/>
          <w:lang w:val="fr-FR"/>
        </w:rPr>
        <w:t>Document(s) informel(s)</w:t>
      </w:r>
      <w:r w:rsidR="00043714">
        <w:rPr>
          <w:i/>
          <w:iCs/>
          <w:lang w:val="fr-FR"/>
        </w:rPr>
        <w:t> </w:t>
      </w:r>
      <w:r w:rsidRPr="00043714">
        <w:rPr>
          <w:lang w:val="fr-FR"/>
        </w:rPr>
        <w:t>:</w:t>
      </w:r>
      <w:r>
        <w:rPr>
          <w:i/>
          <w:iCs/>
          <w:lang w:val="fr-FR"/>
        </w:rPr>
        <w:tab/>
      </w:r>
      <w:r>
        <w:rPr>
          <w:lang w:val="fr-FR"/>
        </w:rPr>
        <w:t>INF.15 (IATA)</w:t>
      </w:r>
    </w:p>
    <w:p w14:paraId="788E791C" w14:textId="77777777" w:rsidR="0012021D" w:rsidRPr="005B6325" w:rsidRDefault="0012021D" w:rsidP="0012021D">
      <w:pPr>
        <w:pStyle w:val="SingleTxtG"/>
        <w:rPr>
          <w:lang w:val="fr-FR"/>
        </w:rPr>
      </w:pPr>
      <w:r>
        <w:rPr>
          <w:lang w:val="fr-FR"/>
        </w:rPr>
        <w:t>10.</w:t>
      </w:r>
      <w:r>
        <w:rPr>
          <w:lang w:val="fr-FR"/>
        </w:rPr>
        <w:tab/>
        <w:t>Au vu de la justification figurant dans le document d’information INF.15, le secrétariat de l’OTIF a retiré le document ST/SG/AC.10/C.3/2022/78.</w:t>
      </w:r>
    </w:p>
    <w:p w14:paraId="0CC92894" w14:textId="77777777" w:rsidR="0012021D" w:rsidRPr="005B6325" w:rsidRDefault="0012021D" w:rsidP="00043714">
      <w:pPr>
        <w:pStyle w:val="H1G"/>
        <w:rPr>
          <w:lang w:val="fr-FR"/>
        </w:rPr>
      </w:pPr>
      <w:r w:rsidRPr="005B6325">
        <w:rPr>
          <w:lang w:val="fr-FR"/>
        </w:rPr>
        <w:tab/>
        <w:t>B.</w:t>
      </w:r>
      <w:r w:rsidRPr="005B6325">
        <w:rPr>
          <w:lang w:val="fr-FR"/>
        </w:rPr>
        <w:tab/>
      </w:r>
      <w:r w:rsidRPr="0023073E">
        <w:rPr>
          <w:lang w:val="fr-FR"/>
        </w:rPr>
        <w:t>Explosifs</w:t>
      </w:r>
      <w:r>
        <w:rPr>
          <w:lang w:val="fr-FR"/>
        </w:rPr>
        <w:t xml:space="preserve"> et questions connexes</w:t>
      </w:r>
    </w:p>
    <w:p w14:paraId="1C265D8E" w14:textId="77777777" w:rsidR="0012021D" w:rsidRPr="005B6325" w:rsidRDefault="0012021D" w:rsidP="0012021D">
      <w:pPr>
        <w:pStyle w:val="H23G"/>
        <w:keepNext w:val="0"/>
        <w:keepLines w:val="0"/>
        <w:rPr>
          <w:lang w:val="fr-FR"/>
        </w:rPr>
      </w:pPr>
      <w:r>
        <w:rPr>
          <w:bCs/>
          <w:lang w:val="fr-FR"/>
        </w:rPr>
        <w:tab/>
        <w:t>1.</w:t>
      </w:r>
      <w:r>
        <w:rPr>
          <w:lang w:val="fr-FR"/>
        </w:rPr>
        <w:tab/>
      </w:r>
      <w:r>
        <w:rPr>
          <w:bCs/>
          <w:lang w:val="fr-FR"/>
        </w:rPr>
        <w:t>Examen des épreuves de la série 6</w:t>
      </w:r>
    </w:p>
    <w:p w14:paraId="06DFD560" w14:textId="77777777" w:rsidR="0012021D" w:rsidRPr="005B6325" w:rsidRDefault="0012021D" w:rsidP="0012021D">
      <w:pPr>
        <w:pStyle w:val="SingleTxtG"/>
        <w:rPr>
          <w:lang w:val="fr-FR"/>
        </w:rPr>
      </w:pPr>
      <w:r>
        <w:rPr>
          <w:lang w:val="fr-FR"/>
        </w:rPr>
        <w:t>11.</w:t>
      </w:r>
      <w:r>
        <w:rPr>
          <w:lang w:val="fr-FR"/>
        </w:rPr>
        <w:tab/>
        <w:t>Aucun document n’ayant été soumis au titre de ce point de l’ordre du jour, la question n’a pas été abordée.</w:t>
      </w:r>
    </w:p>
    <w:p w14:paraId="54096D9C" w14:textId="77777777" w:rsidR="0012021D" w:rsidRPr="0023073E" w:rsidRDefault="0012021D" w:rsidP="0012021D">
      <w:pPr>
        <w:pStyle w:val="H23G"/>
        <w:keepNext w:val="0"/>
        <w:keepLines w:val="0"/>
        <w:rPr>
          <w:lang w:val="fr-FR"/>
        </w:rPr>
      </w:pPr>
      <w:r w:rsidRPr="005B6325">
        <w:rPr>
          <w:bCs/>
          <w:lang w:val="fr-FR"/>
        </w:rPr>
        <w:tab/>
      </w:r>
      <w:r w:rsidRPr="0023073E">
        <w:rPr>
          <w:bCs/>
          <w:lang w:val="fr-FR"/>
        </w:rPr>
        <w:t>2.</w:t>
      </w:r>
      <w:r w:rsidRPr="0023073E">
        <w:rPr>
          <w:lang w:val="fr-FR"/>
        </w:rPr>
        <w:tab/>
      </w:r>
      <w:r>
        <w:rPr>
          <w:bCs/>
          <w:lang w:val="fr-FR"/>
        </w:rPr>
        <w:t xml:space="preserve">Amélioration des épreuves de la série </w:t>
      </w:r>
      <w:r w:rsidRPr="0023073E">
        <w:rPr>
          <w:lang w:val="fr-FR"/>
        </w:rPr>
        <w:t>8</w:t>
      </w:r>
    </w:p>
    <w:p w14:paraId="08BEDA2F" w14:textId="3EFD11AB" w:rsidR="0012021D" w:rsidRPr="0023073E" w:rsidRDefault="0012021D" w:rsidP="00043714">
      <w:pPr>
        <w:pStyle w:val="H23G"/>
        <w:rPr>
          <w:lang w:val="fr-FR"/>
        </w:rPr>
      </w:pPr>
      <w:r>
        <w:rPr>
          <w:lang w:val="fr-FR"/>
        </w:rPr>
        <w:tab/>
        <w:t>a)</w:t>
      </w:r>
      <w:r>
        <w:rPr>
          <w:lang w:val="fr-FR"/>
        </w:rPr>
        <w:tab/>
        <w:t>Recherches portant sur l’épreuve 6</w:t>
      </w:r>
      <w:r w:rsidR="00043714">
        <w:rPr>
          <w:lang w:val="fr-FR"/>
        </w:rPr>
        <w:t> </w:t>
      </w:r>
      <w:r>
        <w:rPr>
          <w:lang w:val="fr-FR"/>
        </w:rPr>
        <w:t>d) et l’exclusion de la classe 1</w:t>
      </w:r>
    </w:p>
    <w:p w14:paraId="1CC4EEC1"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 </w:t>
      </w:r>
      <w:r w:rsidRPr="00043714">
        <w:rPr>
          <w:lang w:val="en-US"/>
        </w:rPr>
        <w:t>:</w:t>
      </w:r>
      <w:proofErr w:type="gramEnd"/>
      <w:r w:rsidRPr="0012021D">
        <w:rPr>
          <w:i/>
          <w:iCs/>
          <w:lang w:val="en-US"/>
        </w:rPr>
        <w:tab/>
      </w:r>
      <w:r w:rsidRPr="0012021D">
        <w:rPr>
          <w:lang w:val="en-US"/>
        </w:rPr>
        <w:t>ST/SG/AC.10/C.3/2022/55 (COSTHA, SAAMI)</w:t>
      </w:r>
    </w:p>
    <w:p w14:paraId="4A0825FF" w14:textId="0A76732B" w:rsidR="0012021D" w:rsidRPr="0023073E" w:rsidRDefault="0012021D" w:rsidP="0012021D">
      <w:pPr>
        <w:pStyle w:val="SingleTxtG"/>
        <w:rPr>
          <w:lang w:val="fr-FR"/>
        </w:rPr>
      </w:pPr>
      <w:r>
        <w:rPr>
          <w:lang w:val="fr-FR"/>
        </w:rPr>
        <w:t>12.</w:t>
      </w:r>
      <w:r>
        <w:rPr>
          <w:lang w:val="fr-FR"/>
        </w:rPr>
        <w:tab/>
        <w:t>Le Sous-Comité s’est félicité des informations communiquées par le COSTHA et le SAAMI au sujet des recherches en cours visant à exclure de la classe 1 certains explosifs à très faible risque ainsi que sur l’évaluation des effets dangereux lors de l’épreuve</w:t>
      </w:r>
      <w:r w:rsidR="00043714">
        <w:rPr>
          <w:lang w:val="fr-FR"/>
        </w:rPr>
        <w:t> </w:t>
      </w:r>
      <w:r>
        <w:rPr>
          <w:lang w:val="fr-FR"/>
        </w:rPr>
        <w:t>6</w:t>
      </w:r>
      <w:r w:rsidR="00043714">
        <w:rPr>
          <w:lang w:val="fr-FR"/>
        </w:rPr>
        <w:t> </w:t>
      </w:r>
      <w:r>
        <w:rPr>
          <w:lang w:val="fr-FR"/>
        </w:rPr>
        <w:t>d). Les auteurs ont été encouragés à approfondir leurs recherches et à soumettre à une prochaine session un document plus détaillé portant sur les résultats obtenus.</w:t>
      </w:r>
    </w:p>
    <w:p w14:paraId="35A69735" w14:textId="77777777" w:rsidR="0012021D" w:rsidRPr="0023073E" w:rsidRDefault="0012021D" w:rsidP="00043714">
      <w:pPr>
        <w:pStyle w:val="H23G"/>
        <w:rPr>
          <w:lang w:val="fr-FR"/>
        </w:rPr>
      </w:pPr>
      <w:r w:rsidRPr="0023073E">
        <w:rPr>
          <w:bCs/>
          <w:lang w:val="fr-FR"/>
        </w:rPr>
        <w:tab/>
        <w:t>b)</w:t>
      </w:r>
      <w:r w:rsidRPr="0023073E">
        <w:rPr>
          <w:lang w:val="fr-FR"/>
        </w:rPr>
        <w:tab/>
        <w:t>Réaction au document informel INF.42 de la soixantième session</w:t>
      </w:r>
    </w:p>
    <w:p w14:paraId="5303917D" w14:textId="77777777" w:rsidR="0012021D" w:rsidRPr="00612F52" w:rsidRDefault="0012021D" w:rsidP="000C044E">
      <w:pPr>
        <w:pStyle w:val="SingleTxtG"/>
        <w:tabs>
          <w:tab w:val="clear" w:pos="2268"/>
          <w:tab w:val="clear" w:pos="2835"/>
        </w:tabs>
        <w:ind w:left="3402" w:hanging="2268"/>
        <w:jc w:val="left"/>
        <w:rPr>
          <w:lang w:val="fr-FR"/>
        </w:rPr>
      </w:pPr>
      <w:r>
        <w:rPr>
          <w:i/>
          <w:iCs/>
          <w:lang w:val="fr-FR"/>
        </w:rPr>
        <w:t>Document(s)</w:t>
      </w:r>
      <w:r w:rsidRPr="00613823">
        <w:rPr>
          <w:i/>
          <w:iCs/>
          <w:lang w:val="fr-FR"/>
        </w:rPr>
        <w:t xml:space="preserve"> </w:t>
      </w:r>
      <w:r>
        <w:rPr>
          <w:i/>
          <w:iCs/>
          <w:lang w:val="fr-FR"/>
        </w:rPr>
        <w:t>i</w:t>
      </w:r>
      <w:r w:rsidRPr="00612F52">
        <w:rPr>
          <w:i/>
          <w:iCs/>
          <w:lang w:val="fr-FR"/>
        </w:rPr>
        <w:t>nform</w:t>
      </w:r>
      <w:r>
        <w:rPr>
          <w:i/>
          <w:iCs/>
          <w:lang w:val="fr-FR"/>
        </w:rPr>
        <w:t>el(s) </w:t>
      </w:r>
      <w:r w:rsidRPr="00043714">
        <w:rPr>
          <w:lang w:val="fr-FR"/>
        </w:rPr>
        <w:t>:</w:t>
      </w:r>
      <w:r w:rsidRPr="00612F52">
        <w:rPr>
          <w:i/>
          <w:iCs/>
          <w:lang w:val="fr-FR"/>
        </w:rPr>
        <w:tab/>
      </w:r>
      <w:r w:rsidRPr="00612F52">
        <w:rPr>
          <w:lang w:val="fr-FR"/>
        </w:rPr>
        <w:t>INF.43 (IME)</w:t>
      </w:r>
    </w:p>
    <w:p w14:paraId="4AF13BF4" w14:textId="77777777" w:rsidR="0012021D" w:rsidRPr="0023073E" w:rsidRDefault="0012021D" w:rsidP="0012021D">
      <w:pPr>
        <w:pStyle w:val="SingleTxtG"/>
        <w:rPr>
          <w:lang w:val="fr-FR"/>
        </w:rPr>
      </w:pPr>
      <w:r>
        <w:rPr>
          <w:lang w:val="fr-FR"/>
        </w:rPr>
        <w:t>13.</w:t>
      </w:r>
      <w:r>
        <w:rPr>
          <w:lang w:val="fr-FR"/>
        </w:rPr>
        <w:tab/>
        <w:t>Le Sous-Comité a pris note des informations communiquées par l’IME en réponse au document informel INF.42 de la soixantième session. La représentante de la RPMASA a remercié l’IME pour ces informations et a annoncé son intention d’élaborer avec l’IME un document qui serait publié sous une cote officielle en vue de la session suivante.</w:t>
      </w:r>
    </w:p>
    <w:p w14:paraId="2395EDCA" w14:textId="77777777" w:rsidR="0012021D" w:rsidRPr="00224248" w:rsidRDefault="0012021D" w:rsidP="00043714">
      <w:pPr>
        <w:pStyle w:val="H23G"/>
        <w:rPr>
          <w:lang w:val="fr-FR"/>
        </w:rPr>
      </w:pPr>
      <w:r>
        <w:rPr>
          <w:lang w:val="fr-FR"/>
        </w:rPr>
        <w:tab/>
        <w:t>3.</w:t>
      </w:r>
      <w:r>
        <w:rPr>
          <w:lang w:val="fr-FR"/>
        </w:rPr>
        <w:tab/>
        <w:t>Révision des épreuves des parties I, II et III du Manuel d’épreuves et de critères</w:t>
      </w:r>
    </w:p>
    <w:p w14:paraId="49D0124F"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 </w:t>
      </w:r>
      <w:r w:rsidRPr="00043714">
        <w:rPr>
          <w:lang w:val="en-US"/>
        </w:rPr>
        <w:t>:</w:t>
      </w:r>
      <w:proofErr w:type="gramEnd"/>
      <w:r w:rsidRPr="0012021D">
        <w:rPr>
          <w:lang w:val="en-US"/>
        </w:rPr>
        <w:tab/>
        <w:t>ST/SG/AC.10/C.3/2022/57 (CEFIC)</w:t>
      </w:r>
    </w:p>
    <w:p w14:paraId="4E5B35D1" w14:textId="31823520" w:rsidR="0012021D" w:rsidRPr="00224248" w:rsidRDefault="0012021D" w:rsidP="0012021D">
      <w:pPr>
        <w:pStyle w:val="SingleTxtG"/>
        <w:rPr>
          <w:lang w:val="fr-FR"/>
        </w:rPr>
      </w:pPr>
      <w:r w:rsidRPr="00224248">
        <w:rPr>
          <w:lang w:val="fr-FR"/>
        </w:rPr>
        <w:t>14.</w:t>
      </w:r>
      <w:r w:rsidRPr="00224248">
        <w:rPr>
          <w:lang w:val="fr-FR"/>
        </w:rPr>
        <w:tab/>
      </w:r>
      <w:r>
        <w:rPr>
          <w:lang w:val="fr-FR"/>
        </w:rPr>
        <w:t>Le Sous-Comité a adopté les amendements proposés aux paragraphes</w:t>
      </w:r>
      <w:r w:rsidR="00043714">
        <w:rPr>
          <w:lang w:val="fr-FR"/>
        </w:rPr>
        <w:t> </w:t>
      </w:r>
      <w:r>
        <w:rPr>
          <w:lang w:val="fr-FR"/>
        </w:rPr>
        <w:t>5 et 6 du document ST/SG/AC.10/C.3/2022/57, se rapportant aux sections</w:t>
      </w:r>
      <w:r w:rsidR="00043714">
        <w:rPr>
          <w:lang w:val="fr-FR"/>
        </w:rPr>
        <w:t> </w:t>
      </w:r>
      <w:r>
        <w:rPr>
          <w:lang w:val="fr-FR"/>
        </w:rPr>
        <w:t>1.2.1.4.3 et 20.2.5 du Manuel d’épreuves et de critères (voir l’annexe </w:t>
      </w:r>
      <w:r w:rsidRPr="00224248">
        <w:rPr>
          <w:lang w:val="fr-FR"/>
        </w:rPr>
        <w:t xml:space="preserve">II). </w:t>
      </w:r>
      <w:r>
        <w:rPr>
          <w:lang w:val="fr-FR"/>
        </w:rPr>
        <w:t>Il a été noté que le document portant une cote officielle était également à l’ordre du jour de la session du Sous-Comité SGH et que la décision qui venait d’être prise devait donc être portée à sa connaissance</w:t>
      </w:r>
      <w:r w:rsidRPr="00224248">
        <w:rPr>
          <w:lang w:val="fr-FR"/>
        </w:rPr>
        <w:t>.</w:t>
      </w:r>
    </w:p>
    <w:p w14:paraId="1C2C79F4" w14:textId="2D8DB4CB" w:rsidR="0012021D" w:rsidRPr="00224248" w:rsidRDefault="0012021D" w:rsidP="00043714">
      <w:pPr>
        <w:pStyle w:val="H23G"/>
        <w:rPr>
          <w:lang w:val="fr-FR"/>
        </w:rPr>
      </w:pPr>
      <w:r>
        <w:rPr>
          <w:lang w:val="fr-FR"/>
        </w:rPr>
        <w:tab/>
        <w:t>4.</w:t>
      </w:r>
      <w:r>
        <w:rPr>
          <w:lang w:val="fr-FR"/>
        </w:rPr>
        <w:tab/>
        <w:t>Détonateurs normalisés «</w:t>
      </w:r>
      <w:r w:rsidR="000C044E">
        <w:rPr>
          <w:lang w:val="fr-FR"/>
        </w:rPr>
        <w:t> </w:t>
      </w:r>
      <w:r>
        <w:rPr>
          <w:lang w:val="fr-FR"/>
        </w:rPr>
        <w:t>UN</w:t>
      </w:r>
      <w:r w:rsidR="000C044E">
        <w:rPr>
          <w:lang w:val="fr-FR"/>
        </w:rPr>
        <w:t> </w:t>
      </w:r>
      <w:r>
        <w:rPr>
          <w:lang w:val="fr-FR"/>
        </w:rPr>
        <w:t>»</w:t>
      </w:r>
    </w:p>
    <w:p w14:paraId="714F561C" w14:textId="77777777" w:rsidR="0012021D" w:rsidRPr="00224248" w:rsidRDefault="0012021D" w:rsidP="0012021D">
      <w:pPr>
        <w:pStyle w:val="SingleTxtG"/>
        <w:rPr>
          <w:lang w:val="fr-FR"/>
        </w:rPr>
      </w:pPr>
      <w:r>
        <w:rPr>
          <w:lang w:val="fr-FR"/>
        </w:rPr>
        <w:t>15.</w:t>
      </w:r>
      <w:r>
        <w:rPr>
          <w:lang w:val="fr-FR"/>
        </w:rPr>
        <w:tab/>
        <w:t>Aucun document n’ayant été soumis au titre de ce point de l’ordre du jour, la question n’a pas été abordée.</w:t>
      </w:r>
    </w:p>
    <w:p w14:paraId="0BA77386" w14:textId="77777777" w:rsidR="0012021D" w:rsidRPr="00224248" w:rsidRDefault="0012021D" w:rsidP="0012021D">
      <w:pPr>
        <w:pStyle w:val="H23G"/>
        <w:rPr>
          <w:lang w:val="fr-FR"/>
        </w:rPr>
      </w:pPr>
      <w:r>
        <w:rPr>
          <w:bCs/>
          <w:lang w:val="fr-FR"/>
        </w:rPr>
        <w:tab/>
        <w:t>5.</w:t>
      </w:r>
      <w:r>
        <w:rPr>
          <w:lang w:val="fr-FR"/>
        </w:rPr>
        <w:tab/>
      </w:r>
      <w:r>
        <w:rPr>
          <w:bCs/>
          <w:lang w:val="fr-FR"/>
        </w:rPr>
        <w:t>Révision des instructions d’emballage relatives aux explosifs</w:t>
      </w:r>
    </w:p>
    <w:p w14:paraId="32079F31" w14:textId="77777777" w:rsidR="0012021D" w:rsidRPr="00224248" w:rsidRDefault="0012021D" w:rsidP="0012021D">
      <w:pPr>
        <w:pStyle w:val="SingleTxtG"/>
        <w:rPr>
          <w:lang w:val="fr-FR"/>
        </w:rPr>
      </w:pPr>
      <w:r>
        <w:rPr>
          <w:lang w:val="fr-FR"/>
        </w:rPr>
        <w:t>16.</w:t>
      </w:r>
      <w:r>
        <w:rPr>
          <w:lang w:val="fr-FR"/>
        </w:rPr>
        <w:tab/>
        <w:t>Aucun document n’ayant été soumis au titre de ce point de l’ordre du jour, la question n’a pas été abordée.</w:t>
      </w:r>
    </w:p>
    <w:p w14:paraId="6972E786" w14:textId="77777777" w:rsidR="0012021D" w:rsidRPr="00224248" w:rsidRDefault="0012021D" w:rsidP="0012021D">
      <w:pPr>
        <w:pStyle w:val="H23G"/>
        <w:rPr>
          <w:lang w:val="fr-FR"/>
        </w:rPr>
      </w:pPr>
      <w:r>
        <w:rPr>
          <w:bCs/>
          <w:lang w:val="fr-FR"/>
        </w:rPr>
        <w:tab/>
        <w:t>6.</w:t>
      </w:r>
      <w:r>
        <w:rPr>
          <w:lang w:val="fr-FR"/>
        </w:rPr>
        <w:tab/>
      </w:r>
      <w:r>
        <w:rPr>
          <w:bCs/>
          <w:lang w:val="fr-FR"/>
        </w:rPr>
        <w:t>Échantillons énergétiques</w:t>
      </w:r>
    </w:p>
    <w:p w14:paraId="7828FFE1" w14:textId="77777777" w:rsidR="0012021D" w:rsidRPr="00224248" w:rsidRDefault="0012021D" w:rsidP="0012021D">
      <w:pPr>
        <w:pStyle w:val="SingleTxtG"/>
        <w:rPr>
          <w:lang w:val="fr-FR"/>
        </w:rPr>
      </w:pPr>
      <w:r>
        <w:rPr>
          <w:lang w:val="fr-FR"/>
        </w:rPr>
        <w:t>17.</w:t>
      </w:r>
      <w:r>
        <w:rPr>
          <w:lang w:val="fr-FR"/>
        </w:rPr>
        <w:tab/>
        <w:t>Aucun document n’ayant été soumis au titre de ce point de l’ordre du jour, la question n’a pas été abordée.</w:t>
      </w:r>
    </w:p>
    <w:p w14:paraId="57ED52C6" w14:textId="77777777" w:rsidR="0012021D" w:rsidRPr="00224248" w:rsidRDefault="0012021D" w:rsidP="0012021D">
      <w:pPr>
        <w:pStyle w:val="H23G"/>
        <w:rPr>
          <w:lang w:val="fr-FR"/>
        </w:rPr>
      </w:pPr>
      <w:r>
        <w:rPr>
          <w:bCs/>
          <w:lang w:val="fr-FR"/>
        </w:rPr>
        <w:tab/>
        <w:t>7.</w:t>
      </w:r>
      <w:r>
        <w:rPr>
          <w:lang w:val="fr-FR"/>
        </w:rPr>
        <w:tab/>
      </w:r>
      <w:r>
        <w:rPr>
          <w:bCs/>
          <w:lang w:val="fr-FR"/>
        </w:rPr>
        <w:t>Questions liées à la définition des matières explosibles</w:t>
      </w:r>
    </w:p>
    <w:p w14:paraId="468D4F78"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043714">
        <w:rPr>
          <w:lang w:val="fr-FR"/>
        </w:rPr>
        <w:t>:</w:t>
      </w:r>
      <w:r>
        <w:rPr>
          <w:lang w:val="fr-FR"/>
        </w:rPr>
        <w:tab/>
        <w:t>ST/SG/AC.10/C.3/2022/47 (Suède)</w:t>
      </w:r>
    </w:p>
    <w:p w14:paraId="362E8AC2" w14:textId="59605F3E" w:rsidR="0012021D" w:rsidRPr="00224248" w:rsidRDefault="0012021D" w:rsidP="0012021D">
      <w:pPr>
        <w:pStyle w:val="SingleTxtG"/>
        <w:rPr>
          <w:lang w:val="fr-FR"/>
        </w:rPr>
      </w:pPr>
      <w:r w:rsidRPr="00224248">
        <w:rPr>
          <w:lang w:val="fr-FR"/>
        </w:rPr>
        <w:t>18.</w:t>
      </w:r>
      <w:r w:rsidRPr="00224248">
        <w:rPr>
          <w:lang w:val="fr-FR"/>
        </w:rPr>
        <w:tab/>
      </w:r>
      <w:r>
        <w:rPr>
          <w:lang w:val="fr-FR"/>
        </w:rPr>
        <w:t>Le Sous-Comité a adopté la modification apportée à la définition de « matière pyrotechnique » ainsi que la définition proposée pour « effet par explosion ou effet pyrotechnique » aux paragraphes</w:t>
      </w:r>
      <w:r w:rsidR="00043714">
        <w:rPr>
          <w:lang w:val="fr-FR"/>
        </w:rPr>
        <w:t> </w:t>
      </w:r>
      <w:r>
        <w:rPr>
          <w:lang w:val="fr-FR"/>
        </w:rPr>
        <w:t>10 et 11 du document ST/SG/AC.10/C.3/2022/47 (voir l’annexe </w:t>
      </w:r>
      <w:r w:rsidRPr="00224248">
        <w:rPr>
          <w:lang w:val="fr-FR"/>
        </w:rPr>
        <w:t xml:space="preserve">I). </w:t>
      </w:r>
      <w:r>
        <w:rPr>
          <w:lang w:val="fr-FR"/>
        </w:rPr>
        <w:t>Il a été noté que le Sous-Comité SGH serait informé de la décision prise par le Sous-Comité TMD lorsqu’il examinerait les amendements correspondants au SGH proposés aux paragraphes</w:t>
      </w:r>
      <w:r w:rsidR="00043714">
        <w:rPr>
          <w:lang w:val="fr-FR"/>
        </w:rPr>
        <w:t> </w:t>
      </w:r>
      <w:r>
        <w:rPr>
          <w:lang w:val="fr-FR"/>
        </w:rPr>
        <w:t xml:space="preserve">13 et 14 du document </w:t>
      </w:r>
      <w:r w:rsidRPr="00224248">
        <w:rPr>
          <w:lang w:val="fr-FR"/>
        </w:rPr>
        <w:t>ST/SG/AC.10/C.3/2022/47.</w:t>
      </w:r>
    </w:p>
    <w:p w14:paraId="328DF7FD" w14:textId="1964C435" w:rsidR="0012021D" w:rsidRPr="00373879" w:rsidRDefault="0012021D" w:rsidP="0012021D">
      <w:pPr>
        <w:pStyle w:val="H23G"/>
        <w:rPr>
          <w:lang w:val="fr-FR"/>
        </w:rPr>
      </w:pPr>
      <w:r>
        <w:rPr>
          <w:bCs/>
          <w:lang w:val="fr-FR"/>
        </w:rPr>
        <w:tab/>
        <w:t>8.</w:t>
      </w:r>
      <w:r>
        <w:rPr>
          <w:lang w:val="fr-FR"/>
        </w:rPr>
        <w:tab/>
      </w:r>
      <w:r>
        <w:rPr>
          <w:bCs/>
          <w:lang w:val="fr-FR"/>
        </w:rPr>
        <w:t xml:space="preserve">Examen des prescriptions en matière d’emballage et de transport </w:t>
      </w:r>
      <w:r w:rsidR="00043714">
        <w:rPr>
          <w:bCs/>
          <w:lang w:val="fr-FR"/>
        </w:rPr>
        <w:br/>
      </w:r>
      <w:r>
        <w:rPr>
          <w:bCs/>
          <w:lang w:val="fr-FR"/>
        </w:rPr>
        <w:t>des émulsions de</w:t>
      </w:r>
      <w:r w:rsidR="00043714">
        <w:rPr>
          <w:bCs/>
          <w:lang w:val="fr-FR"/>
        </w:rPr>
        <w:t xml:space="preserve"> </w:t>
      </w:r>
      <w:r>
        <w:rPr>
          <w:bCs/>
          <w:lang w:val="fr-FR"/>
        </w:rPr>
        <w:t>nitrate d’ammonium</w:t>
      </w:r>
    </w:p>
    <w:p w14:paraId="0B6F71A4" w14:textId="77777777" w:rsidR="0012021D" w:rsidRPr="00373879" w:rsidRDefault="0012021D" w:rsidP="0012021D">
      <w:pPr>
        <w:pStyle w:val="SingleTxtG"/>
        <w:rPr>
          <w:lang w:val="fr-FR"/>
        </w:rPr>
      </w:pPr>
      <w:r>
        <w:rPr>
          <w:lang w:val="fr-FR"/>
        </w:rPr>
        <w:t>19.</w:t>
      </w:r>
      <w:r>
        <w:rPr>
          <w:lang w:val="fr-FR"/>
        </w:rPr>
        <w:tab/>
        <w:t>Aucun document n’ayant été soumis au titre de ce point de l’ordre du jour, la question n’a pas été abordée.</w:t>
      </w:r>
    </w:p>
    <w:p w14:paraId="4D67540E" w14:textId="77777777" w:rsidR="0012021D" w:rsidRPr="00612F52" w:rsidRDefault="0012021D" w:rsidP="00043714">
      <w:pPr>
        <w:pStyle w:val="H23G"/>
        <w:rPr>
          <w:lang w:val="fr-FR"/>
        </w:rPr>
      </w:pPr>
      <w:r>
        <w:rPr>
          <w:lang w:val="fr-FR"/>
        </w:rPr>
        <w:tab/>
        <w:t>9.</w:t>
      </w:r>
      <w:r>
        <w:rPr>
          <w:lang w:val="fr-FR"/>
        </w:rPr>
        <w:tab/>
        <w:t xml:space="preserve">Autres </w:t>
      </w:r>
      <w:r w:rsidRPr="00043714">
        <w:t>questions</w:t>
      </w:r>
    </w:p>
    <w:p w14:paraId="10106EC3" w14:textId="3E5D66C9" w:rsidR="0012021D" w:rsidRPr="00373879" w:rsidRDefault="0012021D" w:rsidP="00043714">
      <w:pPr>
        <w:pStyle w:val="H23G"/>
        <w:rPr>
          <w:lang w:val="fr-FR"/>
        </w:rPr>
      </w:pPr>
      <w:r>
        <w:rPr>
          <w:lang w:val="fr-FR"/>
        </w:rPr>
        <w:tab/>
        <w:t>a)</w:t>
      </w:r>
      <w:r>
        <w:rPr>
          <w:lang w:val="fr-FR"/>
        </w:rPr>
        <w:tab/>
        <w:t xml:space="preserve">Classement des membranes filtrantes en nitrocellulose utilisées à des fins </w:t>
      </w:r>
      <w:r w:rsidR="00043714">
        <w:rPr>
          <w:lang w:val="fr-FR"/>
        </w:rPr>
        <w:br/>
      </w:r>
      <w:r>
        <w:rPr>
          <w:lang w:val="fr-FR"/>
        </w:rPr>
        <w:t>de</w:t>
      </w:r>
      <w:r w:rsidR="00043714">
        <w:rPr>
          <w:lang w:val="fr-FR"/>
        </w:rPr>
        <w:t xml:space="preserve"> </w:t>
      </w:r>
      <w:r>
        <w:rPr>
          <w:lang w:val="fr-FR"/>
        </w:rPr>
        <w:t>diagnostic et pour d’autres applications en biologie</w:t>
      </w:r>
    </w:p>
    <w:p w14:paraId="6175E1DD" w14:textId="3EED18C7" w:rsidR="0012021D" w:rsidRPr="0012021D" w:rsidRDefault="0012021D" w:rsidP="000C044E">
      <w:pPr>
        <w:pStyle w:val="SingleTxtG"/>
        <w:tabs>
          <w:tab w:val="clear" w:pos="2268"/>
          <w:tab w:val="clear" w:pos="2835"/>
        </w:tabs>
        <w:ind w:left="3402" w:hanging="2268"/>
        <w:jc w:val="left"/>
        <w:rPr>
          <w:lang w:val="en-US"/>
        </w:rPr>
      </w:pPr>
      <w:r>
        <w:rPr>
          <w:i/>
          <w:iCs/>
          <w:lang w:val="en-US"/>
        </w:rPr>
        <w:t>Document(s</w:t>
      </w:r>
      <w:proofErr w:type="gramStart"/>
      <w:r>
        <w:rPr>
          <w:i/>
          <w:iCs/>
          <w:lang w:val="en-US"/>
        </w:rPr>
        <w:t>) </w:t>
      </w:r>
      <w:r w:rsidRPr="00043714">
        <w:rPr>
          <w:lang w:val="en-US"/>
        </w:rPr>
        <w:t>:</w:t>
      </w:r>
      <w:proofErr w:type="gramEnd"/>
      <w:r w:rsidRPr="009C7B4C">
        <w:rPr>
          <w:lang w:val="en-US"/>
        </w:rPr>
        <w:tab/>
        <w:t>ST/SG/AC.10/C.3/2022/59 (</w:t>
      </w:r>
      <w:r>
        <w:rPr>
          <w:lang w:val="en-US"/>
        </w:rPr>
        <w:t>CEFIC</w:t>
      </w:r>
      <w:r w:rsidRPr="009C7B4C">
        <w:rPr>
          <w:lang w:val="en-US"/>
        </w:rPr>
        <w:t>, WONIPA)</w:t>
      </w:r>
    </w:p>
    <w:p w14:paraId="0266CFE1" w14:textId="10E9F794"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 informel(s</w:t>
      </w:r>
      <w:proofErr w:type="gramStart"/>
      <w:r w:rsidRPr="0012021D">
        <w:rPr>
          <w:i/>
          <w:iCs/>
          <w:lang w:val="en-US"/>
        </w:rPr>
        <w:t>)</w:t>
      </w:r>
      <w:r w:rsidR="000C044E">
        <w:rPr>
          <w:i/>
          <w:iCs/>
          <w:lang w:val="en-US"/>
        </w:rPr>
        <w:t> </w:t>
      </w:r>
      <w:r w:rsidRPr="00043714">
        <w:rPr>
          <w:lang w:val="en-US"/>
        </w:rPr>
        <w:t>:</w:t>
      </w:r>
      <w:proofErr w:type="gramEnd"/>
      <w:r w:rsidRPr="0012021D">
        <w:rPr>
          <w:i/>
          <w:iCs/>
          <w:lang w:val="en-US"/>
        </w:rPr>
        <w:tab/>
      </w:r>
      <w:r w:rsidRPr="0012021D">
        <w:rPr>
          <w:lang w:val="en-US"/>
        </w:rPr>
        <w:t>INF.8 (CEFIC, WONIPA)</w:t>
      </w:r>
    </w:p>
    <w:p w14:paraId="3D419021" w14:textId="6F463A50" w:rsidR="0012021D" w:rsidRPr="00373879" w:rsidRDefault="0012021D" w:rsidP="0012021D">
      <w:pPr>
        <w:pStyle w:val="SingleTxtG"/>
        <w:rPr>
          <w:lang w:val="fr-FR"/>
        </w:rPr>
      </w:pPr>
      <w:r w:rsidRPr="00373879">
        <w:rPr>
          <w:lang w:val="fr-FR"/>
        </w:rPr>
        <w:t>20.</w:t>
      </w:r>
      <w:r w:rsidRPr="00373879">
        <w:rPr>
          <w:lang w:val="fr-FR"/>
        </w:rPr>
        <w:tab/>
      </w:r>
      <w:r>
        <w:rPr>
          <w:lang w:val="fr-FR"/>
        </w:rPr>
        <w:t>Le Sous-Comité a adopté la proposition faite dans le document ST/SG/AC.10/C.3/2022/59 au sujet du classement des membranes filtrantes en nitrocellulose, moyennant une modification supplémentaire de la référence à la norme ISO</w:t>
      </w:r>
      <w:r w:rsidR="00043714">
        <w:rPr>
          <w:lang w:val="fr-FR"/>
        </w:rPr>
        <w:t> </w:t>
      </w:r>
      <w:r>
        <w:rPr>
          <w:lang w:val="fr-FR"/>
        </w:rPr>
        <w:t>15105 (voir l’annexe </w:t>
      </w:r>
      <w:r w:rsidRPr="00373879">
        <w:rPr>
          <w:lang w:val="fr-FR"/>
        </w:rPr>
        <w:t>I).</w:t>
      </w:r>
    </w:p>
    <w:p w14:paraId="17430DF9" w14:textId="255B6285" w:rsidR="0012021D" w:rsidRPr="00861BF1" w:rsidRDefault="00043714" w:rsidP="00043714">
      <w:pPr>
        <w:pStyle w:val="H23G"/>
        <w:rPr>
          <w:lang w:val="fr-FR"/>
        </w:rPr>
      </w:pPr>
      <w:r>
        <w:rPr>
          <w:bCs/>
          <w:lang w:val="fr-FR"/>
        </w:rPr>
        <w:tab/>
      </w:r>
      <w:r w:rsidR="0012021D" w:rsidRPr="00861BF1">
        <w:rPr>
          <w:bCs/>
          <w:lang w:val="fr-FR"/>
        </w:rPr>
        <w:t>b)</w:t>
      </w:r>
      <w:r w:rsidR="0012021D" w:rsidRPr="00861BF1">
        <w:rPr>
          <w:lang w:val="fr-FR"/>
        </w:rPr>
        <w:tab/>
      </w:r>
      <w:r w:rsidR="0012021D" w:rsidRPr="00861BF1">
        <w:rPr>
          <w:lang w:val="fr-FR"/>
        </w:rPr>
        <w:tab/>
        <w:t xml:space="preserve">Affectation de la disposition spéciale 28 aux explosifs liquides désensibilisés </w:t>
      </w:r>
      <w:r>
        <w:rPr>
          <w:lang w:val="fr-FR"/>
        </w:rPr>
        <w:br/>
      </w:r>
      <w:r w:rsidR="0012021D" w:rsidRPr="00861BF1">
        <w:rPr>
          <w:lang w:val="fr-FR"/>
        </w:rPr>
        <w:t xml:space="preserve">figurant </w:t>
      </w:r>
      <w:r w:rsidR="0012021D">
        <w:rPr>
          <w:lang w:val="fr-FR"/>
        </w:rPr>
        <w:t>dans</w:t>
      </w:r>
      <w:r w:rsidR="0012021D" w:rsidRPr="00861BF1">
        <w:rPr>
          <w:lang w:val="fr-FR"/>
        </w:rPr>
        <w:t xml:space="preserve"> la </w:t>
      </w:r>
      <w:r w:rsidR="00267960" w:rsidRPr="00861BF1">
        <w:rPr>
          <w:lang w:val="fr-FR"/>
        </w:rPr>
        <w:t xml:space="preserve">liste </w:t>
      </w:r>
      <w:r w:rsidR="0012021D" w:rsidRPr="00861BF1">
        <w:rPr>
          <w:lang w:val="fr-FR"/>
        </w:rPr>
        <w:t>des marchandises dangereuses</w:t>
      </w:r>
    </w:p>
    <w:p w14:paraId="027BB49F" w14:textId="2736A5DF" w:rsidR="0012021D" w:rsidRPr="0012021D" w:rsidRDefault="0012021D" w:rsidP="000C044E">
      <w:pPr>
        <w:pStyle w:val="SingleTxtG"/>
        <w:tabs>
          <w:tab w:val="clear" w:pos="2268"/>
          <w:tab w:val="clear" w:pos="2835"/>
        </w:tabs>
        <w:ind w:left="3402" w:hanging="2268"/>
        <w:jc w:val="left"/>
        <w:rPr>
          <w:lang w:val="en-US"/>
        </w:rPr>
      </w:pPr>
      <w:proofErr w:type="gramStart"/>
      <w:r w:rsidRPr="0012021D">
        <w:rPr>
          <w:i/>
          <w:iCs/>
          <w:lang w:val="en-US"/>
        </w:rPr>
        <w:t>Documents </w:t>
      </w:r>
      <w:r w:rsidRPr="00043714">
        <w:rPr>
          <w:lang w:val="en-US"/>
        </w:rPr>
        <w:t>:</w:t>
      </w:r>
      <w:proofErr w:type="gramEnd"/>
      <w:r w:rsidRPr="0012021D">
        <w:rPr>
          <w:lang w:val="en-US"/>
        </w:rPr>
        <w:tab/>
        <w:t>ST/SG/AC.10/C.3/2022/58 (CEFIC)</w:t>
      </w:r>
      <w:r w:rsidRPr="0012021D">
        <w:rPr>
          <w:lang w:val="en-US"/>
        </w:rPr>
        <w:br/>
        <w:t>ST/SG/AC.10/C.3/2022/63 (Chine)</w:t>
      </w:r>
    </w:p>
    <w:p w14:paraId="5ECCDCDA" w14:textId="6F97AF4E" w:rsidR="0012021D" w:rsidRPr="003E0A65" w:rsidRDefault="0012021D" w:rsidP="000C044E">
      <w:pPr>
        <w:pStyle w:val="SingleTxtG"/>
        <w:tabs>
          <w:tab w:val="clear" w:pos="2268"/>
          <w:tab w:val="clear" w:pos="2835"/>
        </w:tabs>
        <w:ind w:left="3402" w:hanging="2268"/>
        <w:jc w:val="left"/>
        <w:rPr>
          <w:lang w:val="fr-FR"/>
        </w:rPr>
      </w:pPr>
      <w:r>
        <w:rPr>
          <w:i/>
          <w:iCs/>
          <w:lang w:val="fr-FR"/>
        </w:rPr>
        <w:t>Document(s) informel(s)</w:t>
      </w:r>
      <w:r w:rsidR="000C044E">
        <w:rPr>
          <w:i/>
          <w:iCs/>
          <w:lang w:val="fr-FR"/>
        </w:rPr>
        <w:t> </w:t>
      </w:r>
      <w:r w:rsidRPr="00043714">
        <w:rPr>
          <w:lang w:val="fr-FR"/>
        </w:rPr>
        <w:t>:</w:t>
      </w:r>
      <w:r>
        <w:rPr>
          <w:i/>
          <w:iCs/>
          <w:lang w:val="fr-FR"/>
        </w:rPr>
        <w:tab/>
      </w:r>
      <w:r w:rsidRPr="003E0A65">
        <w:rPr>
          <w:lang w:val="fr-FR"/>
        </w:rPr>
        <w:t>INF.6 et INF.48 (</w:t>
      </w:r>
      <w:r>
        <w:rPr>
          <w:lang w:val="fr-FR"/>
        </w:rPr>
        <w:t>CEFIC</w:t>
      </w:r>
      <w:r w:rsidRPr="003E0A65">
        <w:rPr>
          <w:lang w:val="fr-FR"/>
        </w:rPr>
        <w:t>)</w:t>
      </w:r>
      <w:r w:rsidRPr="003E0A65">
        <w:rPr>
          <w:lang w:val="fr-FR"/>
        </w:rPr>
        <w:br/>
        <w:t>INF.46 (Royaume-Uni)</w:t>
      </w:r>
    </w:p>
    <w:p w14:paraId="74416DA9" w14:textId="77777777" w:rsidR="0012021D" w:rsidRPr="00861BF1" w:rsidRDefault="0012021D" w:rsidP="00043714">
      <w:pPr>
        <w:pStyle w:val="SingleTxtG"/>
        <w:rPr>
          <w:lang w:val="fr-FR"/>
        </w:rPr>
      </w:pPr>
      <w:r w:rsidRPr="00861BF1">
        <w:rPr>
          <w:lang w:val="fr-FR"/>
        </w:rPr>
        <w:t>21.</w:t>
      </w:r>
      <w:r w:rsidRPr="00861BF1">
        <w:rPr>
          <w:lang w:val="fr-FR"/>
        </w:rPr>
        <w:tab/>
        <w:t xml:space="preserve">Le Sous-Comité a adopté la proposition révisée énoncée dans le document informel INF.48 (voir </w:t>
      </w:r>
      <w:r>
        <w:rPr>
          <w:lang w:val="fr-FR"/>
        </w:rPr>
        <w:t>l’</w:t>
      </w:r>
      <w:r w:rsidRPr="00861BF1">
        <w:rPr>
          <w:lang w:val="fr-FR"/>
        </w:rPr>
        <w:t>annexe I).</w:t>
      </w:r>
    </w:p>
    <w:p w14:paraId="0D18F4C4" w14:textId="0EEDBDFA" w:rsidR="0012021D" w:rsidRPr="00861BF1" w:rsidRDefault="0012021D" w:rsidP="000C044E">
      <w:pPr>
        <w:pStyle w:val="HChG"/>
        <w:rPr>
          <w:lang w:val="fr-FR"/>
        </w:rPr>
      </w:pPr>
      <w:r>
        <w:rPr>
          <w:lang w:val="fr-FR"/>
        </w:rPr>
        <w:tab/>
        <w:t>V.</w:t>
      </w:r>
      <w:r>
        <w:rPr>
          <w:lang w:val="fr-FR"/>
        </w:rPr>
        <w:tab/>
      </w:r>
      <w:r w:rsidRPr="000C044E">
        <w:t>Inscription</w:t>
      </w:r>
      <w:r>
        <w:rPr>
          <w:lang w:val="fr-FR"/>
        </w:rPr>
        <w:t xml:space="preserve">, classement et emballage </w:t>
      </w:r>
      <w:r w:rsidR="00043714">
        <w:rPr>
          <w:lang w:val="fr-FR"/>
        </w:rPr>
        <w:br/>
      </w:r>
      <w:r>
        <w:rPr>
          <w:lang w:val="fr-FR"/>
        </w:rPr>
        <w:t>(point 3 de l’ordre du</w:t>
      </w:r>
      <w:r w:rsidR="00043714">
        <w:rPr>
          <w:lang w:val="fr-FR"/>
        </w:rPr>
        <w:t xml:space="preserve"> </w:t>
      </w:r>
      <w:r>
        <w:rPr>
          <w:lang w:val="fr-FR"/>
        </w:rPr>
        <w:t>jour)</w:t>
      </w:r>
    </w:p>
    <w:p w14:paraId="1172CD29" w14:textId="77777777" w:rsidR="0012021D" w:rsidRPr="00861BF1" w:rsidRDefault="0012021D" w:rsidP="000C044E">
      <w:pPr>
        <w:pStyle w:val="H1G"/>
        <w:rPr>
          <w:lang w:val="fr-FR"/>
        </w:rPr>
      </w:pPr>
      <w:r>
        <w:rPr>
          <w:lang w:val="fr-FR"/>
        </w:rPr>
        <w:tab/>
        <w:t>A.</w:t>
      </w:r>
      <w:r>
        <w:rPr>
          <w:lang w:val="fr-FR"/>
        </w:rPr>
        <w:tab/>
        <w:t>Activité spécifique et activité massique</w:t>
      </w:r>
    </w:p>
    <w:p w14:paraId="7C355C15"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043714">
        <w:rPr>
          <w:lang w:val="fr-FR"/>
        </w:rPr>
        <w:t>:</w:t>
      </w:r>
      <w:r>
        <w:rPr>
          <w:lang w:val="fr-FR"/>
        </w:rPr>
        <w:tab/>
        <w:t>ST/SG/AC.10/C.3/2022/46 (secrétariat)</w:t>
      </w:r>
    </w:p>
    <w:p w14:paraId="261A88B1" w14:textId="77777777" w:rsidR="0012021D" w:rsidRPr="00861BF1" w:rsidRDefault="0012021D" w:rsidP="00043714">
      <w:pPr>
        <w:pStyle w:val="SingleTxtG"/>
        <w:rPr>
          <w:lang w:val="fr-FR"/>
        </w:rPr>
      </w:pPr>
      <w:r w:rsidRPr="00043714">
        <w:t>22</w:t>
      </w:r>
      <w:r w:rsidRPr="00861BF1">
        <w:rPr>
          <w:lang w:val="fr-FR"/>
        </w:rPr>
        <w:t>.</w:t>
      </w:r>
      <w:r w:rsidRPr="00861BF1">
        <w:rPr>
          <w:lang w:val="fr-FR"/>
        </w:rPr>
        <w:tab/>
      </w:r>
      <w:r>
        <w:rPr>
          <w:lang w:val="fr-FR"/>
        </w:rPr>
        <w:t>Le Sous-Comité a adopté l’amendement proposé, visant à ajouter au 2.7.1.3 du Règlement type un nota clarifiant la définition de l</w:t>
      </w:r>
      <w:proofErr w:type="gramStart"/>
      <w:r>
        <w:rPr>
          <w:lang w:val="fr-FR"/>
        </w:rPr>
        <w:t>’«</w:t>
      </w:r>
      <w:proofErr w:type="gramEnd"/>
      <w:r>
        <w:rPr>
          <w:lang w:val="fr-FR"/>
        </w:rPr>
        <w:t> activité spécifique d’un radionucléide » (voir l’annexe</w:t>
      </w:r>
      <w:r w:rsidRPr="00861BF1">
        <w:rPr>
          <w:lang w:val="fr-FR"/>
        </w:rPr>
        <w:t xml:space="preserve"> I).</w:t>
      </w:r>
    </w:p>
    <w:p w14:paraId="62FAB9E7" w14:textId="6994BB08" w:rsidR="0012021D" w:rsidRPr="00314F8F" w:rsidRDefault="0012021D" w:rsidP="00043714">
      <w:pPr>
        <w:pStyle w:val="H1G"/>
        <w:rPr>
          <w:lang w:val="fr-FR"/>
        </w:rPr>
      </w:pPr>
      <w:r>
        <w:rPr>
          <w:lang w:val="fr-FR"/>
        </w:rPr>
        <w:tab/>
        <w:t>B.</w:t>
      </w:r>
      <w:r>
        <w:rPr>
          <w:lang w:val="fr-FR"/>
        </w:rPr>
        <w:tab/>
        <w:t xml:space="preserve">Produits actuels et futurs dans le secteur du gaz de pétrole </w:t>
      </w:r>
      <w:r w:rsidR="00043714">
        <w:rPr>
          <w:lang w:val="fr-FR"/>
        </w:rPr>
        <w:br/>
      </w:r>
      <w:r>
        <w:rPr>
          <w:lang w:val="fr-FR"/>
        </w:rPr>
        <w:t xml:space="preserve">liquéfié, modification des numéros ONU, </w:t>
      </w:r>
      <w:r w:rsidR="00043714">
        <w:rPr>
          <w:lang w:val="fr-FR"/>
        </w:rPr>
        <w:br/>
      </w:r>
      <w:r>
        <w:rPr>
          <w:lang w:val="fr-FR"/>
        </w:rPr>
        <w:t>points à examiner et propositions</w:t>
      </w:r>
    </w:p>
    <w:p w14:paraId="47BAB752"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 </w:t>
      </w:r>
      <w:r w:rsidRPr="00043714">
        <w:rPr>
          <w:lang w:val="en-US"/>
        </w:rPr>
        <w:t>:</w:t>
      </w:r>
      <w:proofErr w:type="gramEnd"/>
      <w:r w:rsidRPr="0012021D">
        <w:rPr>
          <w:lang w:val="en-US"/>
        </w:rPr>
        <w:tab/>
        <w:t xml:space="preserve">ST/SG/AC.10/C.3/2022/53 (World LPG Association, </w:t>
      </w:r>
      <w:r w:rsidRPr="0012021D">
        <w:rPr>
          <w:lang w:val="en-US"/>
        </w:rPr>
        <w:br/>
        <w:t>Liquid Gas Europe)</w:t>
      </w:r>
    </w:p>
    <w:p w14:paraId="6117ADE9" w14:textId="3352A79C" w:rsidR="0012021D" w:rsidRPr="00314F8F"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i/>
          <w:iCs/>
          <w:lang w:val="fr-FR"/>
        </w:rPr>
        <w:t> </w:t>
      </w:r>
      <w:r w:rsidRPr="00043714">
        <w:rPr>
          <w:lang w:val="fr-FR"/>
        </w:rPr>
        <w:t>:</w:t>
      </w:r>
      <w:r>
        <w:rPr>
          <w:i/>
          <w:iCs/>
          <w:lang w:val="fr-FR"/>
        </w:rPr>
        <w:tab/>
      </w:r>
      <w:r>
        <w:rPr>
          <w:lang w:val="fr-FR"/>
        </w:rPr>
        <w:t>INF.23 et INF.24 (World LPG Association, Liquid Gas Europe)</w:t>
      </w:r>
    </w:p>
    <w:p w14:paraId="6477BDC7" w14:textId="77777777" w:rsidR="0012021D" w:rsidRPr="00314F8F" w:rsidRDefault="0012021D" w:rsidP="00043714">
      <w:pPr>
        <w:pStyle w:val="SingleTxtG"/>
        <w:rPr>
          <w:lang w:val="fr-FR"/>
        </w:rPr>
      </w:pPr>
      <w:r>
        <w:rPr>
          <w:lang w:val="fr-FR"/>
        </w:rPr>
        <w:t>23.</w:t>
      </w:r>
      <w:r>
        <w:rPr>
          <w:lang w:val="fr-FR"/>
        </w:rPr>
        <w:tab/>
        <w:t>Le Sous-Comité a pris note des informations figurant dans le document ST/SG/AC.10/C.3/2022/53 et le document informel INF.23. Il s’est félicité que le secteur du gaz de pétrole liquéfié (GPL) ait proposé, pour aller dans le sens de l’économie circulaire et de l’utilisation durable des ressources naturelles, une solution visant à réduire l’empreinte carbone globale. En ce qui concernait les solutions proposées dans les deux documents, la plupart des experts qui ont pris la parole ont dit pencher en faveur d’une nouvelle disposition spéciale. De l’avis général, concernant le pourcentage d’éther méthylique mélangé au GPL, il était nécessaire de disposer de résultats de recherches et de données supplémentaires, notamment en ce qui concernait la compatibilité de cet éther avec les matériaux utilisés pour fabriquer les réservoirs, les bouteilles et leurs joints.</w:t>
      </w:r>
    </w:p>
    <w:p w14:paraId="60B857FA" w14:textId="77777777" w:rsidR="0012021D" w:rsidRPr="004A0BC6" w:rsidRDefault="0012021D" w:rsidP="0012021D">
      <w:pPr>
        <w:pStyle w:val="SingleTxtG"/>
        <w:rPr>
          <w:lang w:val="fr-FR"/>
        </w:rPr>
      </w:pPr>
      <w:r w:rsidRPr="004A0BC6">
        <w:rPr>
          <w:lang w:val="fr-FR"/>
        </w:rPr>
        <w:t>24.</w:t>
      </w:r>
      <w:r w:rsidRPr="004A0BC6">
        <w:rPr>
          <w:lang w:val="fr-FR"/>
        </w:rPr>
        <w:tab/>
      </w:r>
      <w:r>
        <w:rPr>
          <w:lang w:val="fr-FR"/>
        </w:rPr>
        <w:t>En ce qui concernait la proposition figurant dans le document informel INF.24, à savoir la création d’un nouveau numéro ONU pour les mélanges contenant un pourcentage beaucoup plus élevé d’éther méthylique, les experts qui se sont exprimés se sont en général montrés prudents et ont souhaité élargir leur vision à d’autres secteurs que celui des transports, en particulier pour prendre en compte les implications pour le secteur des engins mobiles non routiers</w:t>
      </w:r>
      <w:r w:rsidRPr="004A0BC6">
        <w:rPr>
          <w:lang w:val="fr-FR"/>
        </w:rPr>
        <w:t>.</w:t>
      </w:r>
    </w:p>
    <w:p w14:paraId="1B14061D" w14:textId="77777777" w:rsidR="0012021D" w:rsidRPr="004A0BC6" w:rsidRDefault="0012021D" w:rsidP="0012021D">
      <w:pPr>
        <w:pStyle w:val="SingleTxtG"/>
        <w:rPr>
          <w:lang w:val="fr-FR"/>
        </w:rPr>
      </w:pPr>
      <w:r w:rsidRPr="004A0BC6">
        <w:rPr>
          <w:lang w:val="fr-FR"/>
        </w:rPr>
        <w:t>25.</w:t>
      </w:r>
      <w:r w:rsidRPr="004A0BC6">
        <w:rPr>
          <w:lang w:val="fr-FR"/>
        </w:rPr>
        <w:tab/>
      </w:r>
      <w:r>
        <w:rPr>
          <w:lang w:val="fr-FR"/>
        </w:rPr>
        <w:t>Le Sous-Comité a décidé de reprendre l’examen de ce sujet à sa session suivante, si possible à partir de nouveaux documents présentés en particulier par la World LPG Association et Liquid Gas Europe sur les résultats de leurs recherches</w:t>
      </w:r>
      <w:r w:rsidRPr="004A0BC6">
        <w:rPr>
          <w:lang w:val="fr-FR"/>
        </w:rPr>
        <w:t>.</w:t>
      </w:r>
    </w:p>
    <w:p w14:paraId="6A3B3669" w14:textId="205CF2A8" w:rsidR="0012021D" w:rsidRPr="004A0BC6" w:rsidRDefault="0012021D" w:rsidP="00E80FF4">
      <w:pPr>
        <w:pStyle w:val="H1G"/>
        <w:rPr>
          <w:lang w:val="fr-FR"/>
        </w:rPr>
      </w:pPr>
      <w:r w:rsidRPr="00612F52">
        <w:rPr>
          <w:lang w:val="fr-FR"/>
        </w:rPr>
        <w:tab/>
      </w:r>
      <w:r>
        <w:rPr>
          <w:lang w:val="fr-FR"/>
        </w:rPr>
        <w:t>C.</w:t>
      </w:r>
      <w:r>
        <w:rPr>
          <w:lang w:val="fr-FR"/>
        </w:rPr>
        <w:tab/>
      </w:r>
      <w:r w:rsidRPr="00E80FF4">
        <w:t>Proposition</w:t>
      </w:r>
      <w:r>
        <w:rPr>
          <w:lang w:val="fr-FR"/>
        </w:rPr>
        <w:t xml:space="preserve"> visant à ajouter la classe 8 en tant que danger subsidiaire pour le N</w:t>
      </w:r>
      <w:r w:rsidRPr="00267960">
        <w:rPr>
          <w:vertAlign w:val="superscript"/>
          <w:lang w:val="fr-FR"/>
        </w:rPr>
        <w:t>o</w:t>
      </w:r>
      <w:r w:rsidR="00267960">
        <w:rPr>
          <w:lang w:val="fr-FR"/>
        </w:rPr>
        <w:t> </w:t>
      </w:r>
      <w:r>
        <w:rPr>
          <w:lang w:val="fr-FR"/>
        </w:rPr>
        <w:t xml:space="preserve">ONU 1040 (OXYDE D’ÉTHYLÈNE, ou OXYDE D’ÉTHYLÈNE AVEC DE L’AZOTE jusqu’à une pression </w:t>
      </w:r>
      <w:r>
        <w:rPr>
          <w:lang w:val="fr-FR"/>
        </w:rPr>
        <w:br/>
        <w:t xml:space="preserve">totale de 1 MPa (10 </w:t>
      </w:r>
      <w:proofErr w:type="gramStart"/>
      <w:r>
        <w:rPr>
          <w:lang w:val="fr-FR"/>
        </w:rPr>
        <w:t>bar</w:t>
      </w:r>
      <w:proofErr w:type="gramEnd"/>
      <w:r>
        <w:rPr>
          <w:lang w:val="fr-FR"/>
        </w:rPr>
        <w:t>) à 50</w:t>
      </w:r>
      <w:r w:rsidR="00043714">
        <w:rPr>
          <w:lang w:val="fr-FR"/>
        </w:rPr>
        <w:t> </w:t>
      </w:r>
      <w:r>
        <w:rPr>
          <w:lang w:val="fr-FR"/>
        </w:rPr>
        <w:t>°C)</w:t>
      </w:r>
    </w:p>
    <w:p w14:paraId="7CA35CF7"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043714">
        <w:rPr>
          <w:lang w:val="fr-FR"/>
        </w:rPr>
        <w:t>:</w:t>
      </w:r>
      <w:r>
        <w:rPr>
          <w:lang w:val="fr-FR"/>
        </w:rPr>
        <w:tab/>
        <w:t>ST/SG/AC.10/C.3/2022/54 (Allemagne)</w:t>
      </w:r>
    </w:p>
    <w:p w14:paraId="2232757B" w14:textId="23893D1E" w:rsidR="0012021D" w:rsidRPr="005440F9" w:rsidRDefault="0012021D" w:rsidP="0012021D">
      <w:pPr>
        <w:pStyle w:val="SingleTxtG"/>
        <w:rPr>
          <w:lang w:val="fr-FR"/>
        </w:rPr>
      </w:pPr>
      <w:r w:rsidRPr="005440F9">
        <w:rPr>
          <w:lang w:val="fr-FR"/>
        </w:rPr>
        <w:t>26.</w:t>
      </w:r>
      <w:r w:rsidRPr="005440F9">
        <w:rPr>
          <w:lang w:val="fr-FR"/>
        </w:rPr>
        <w:tab/>
      </w:r>
      <w:r>
        <w:rPr>
          <w:lang w:val="fr-FR"/>
        </w:rPr>
        <w:t>Certains experts estimaient que le classement du N</w:t>
      </w:r>
      <w:r w:rsidRPr="00043714">
        <w:rPr>
          <w:vertAlign w:val="superscript"/>
          <w:lang w:val="fr-FR"/>
        </w:rPr>
        <w:t>o</w:t>
      </w:r>
      <w:r w:rsidR="00043714">
        <w:rPr>
          <w:lang w:val="fr-FR"/>
        </w:rPr>
        <w:t> </w:t>
      </w:r>
      <w:r>
        <w:rPr>
          <w:lang w:val="fr-FR"/>
        </w:rPr>
        <w:t>ONU 1040 dans le Règlement type devait être revu, compte tenu des propriétés corrosives de l’oxyde d’éthylène. D’autres se disaient préoccupés par les amendements proposés dans le document ST/SG/AC.10/C.3/2022/54 et préféraient examiner en détail le type d’implications et de risques sur la base de données plus détaillées. Pour la plupart des délégations qui se sont exprimées, des travaux et des études supplémentaires étaient nécessaires. L’expert de l’Allemagne a dit qu’il souhaitait présenter à la session suivante, pour examen, un document révisé tenant compte des observations formulées</w:t>
      </w:r>
      <w:r w:rsidRPr="005440F9">
        <w:rPr>
          <w:lang w:val="fr-FR"/>
        </w:rPr>
        <w:t>.</w:t>
      </w:r>
    </w:p>
    <w:p w14:paraId="04D1AC01" w14:textId="19E7915B" w:rsidR="0012021D" w:rsidRPr="005440F9" w:rsidRDefault="0012021D" w:rsidP="00E80FF4">
      <w:pPr>
        <w:pStyle w:val="H1G"/>
        <w:rPr>
          <w:lang w:val="fr-FR"/>
        </w:rPr>
      </w:pPr>
      <w:r w:rsidRPr="005440F9">
        <w:rPr>
          <w:bCs/>
          <w:lang w:val="fr-FR"/>
        </w:rPr>
        <w:tab/>
        <w:t>D.</w:t>
      </w:r>
      <w:r w:rsidRPr="005440F9">
        <w:rPr>
          <w:lang w:val="fr-FR"/>
        </w:rPr>
        <w:tab/>
      </w:r>
      <w:r>
        <w:rPr>
          <w:lang w:val="fr-FR"/>
        </w:rPr>
        <w:t xml:space="preserve">Dispositions relatives au transport de petites quantités de peintures </w:t>
      </w:r>
      <w:r w:rsidR="00043714">
        <w:rPr>
          <w:lang w:val="fr-FR"/>
        </w:rPr>
        <w:br/>
      </w:r>
      <w:r>
        <w:rPr>
          <w:lang w:val="fr-FR"/>
        </w:rPr>
        <w:t>et</w:t>
      </w:r>
      <w:r w:rsidR="00043714">
        <w:rPr>
          <w:lang w:val="fr-FR"/>
        </w:rPr>
        <w:t xml:space="preserve"> </w:t>
      </w:r>
      <w:r>
        <w:rPr>
          <w:lang w:val="fr-FR"/>
        </w:rPr>
        <w:t xml:space="preserve">d’encres d’imprimerie (et de matières apparentées) </w:t>
      </w:r>
      <w:r w:rsidR="00043714">
        <w:rPr>
          <w:lang w:val="fr-FR"/>
        </w:rPr>
        <w:br/>
      </w:r>
      <w:r>
        <w:rPr>
          <w:lang w:val="fr-FR"/>
        </w:rPr>
        <w:t>dangereuses pour</w:t>
      </w:r>
      <w:r w:rsidR="00043714">
        <w:rPr>
          <w:lang w:val="fr-FR"/>
        </w:rPr>
        <w:t xml:space="preserve"> </w:t>
      </w:r>
      <w:r>
        <w:rPr>
          <w:lang w:val="fr-FR"/>
        </w:rPr>
        <w:t>l’environnement</w:t>
      </w:r>
    </w:p>
    <w:p w14:paraId="7AC05E4D"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 </w:t>
      </w:r>
      <w:r w:rsidRPr="00043714">
        <w:rPr>
          <w:lang w:val="en-US"/>
        </w:rPr>
        <w:t>:</w:t>
      </w:r>
      <w:proofErr w:type="gramEnd"/>
      <w:r w:rsidRPr="0012021D">
        <w:rPr>
          <w:lang w:val="en-US"/>
        </w:rPr>
        <w:tab/>
        <w:t>ST/SG/AC.10/C.3/2022/56 (WCC)</w:t>
      </w:r>
    </w:p>
    <w:p w14:paraId="40EEBC2A" w14:textId="4B367D68" w:rsidR="0012021D" w:rsidRPr="00FE7F11" w:rsidRDefault="0012021D" w:rsidP="000C044E">
      <w:pPr>
        <w:pStyle w:val="SingleTxtG"/>
        <w:tabs>
          <w:tab w:val="clear" w:pos="2268"/>
          <w:tab w:val="clear" w:pos="2835"/>
        </w:tabs>
        <w:ind w:left="3402" w:hanging="2268"/>
        <w:jc w:val="left"/>
        <w:rPr>
          <w:lang w:val="fr-FR"/>
        </w:rPr>
      </w:pPr>
      <w:r>
        <w:rPr>
          <w:i/>
          <w:lang w:val="fr-FR"/>
        </w:rPr>
        <w:t>Document(s) informel(s)</w:t>
      </w:r>
      <w:r w:rsidR="00E80FF4">
        <w:rPr>
          <w:i/>
          <w:lang w:val="fr-FR"/>
        </w:rPr>
        <w:t> </w:t>
      </w:r>
      <w:r w:rsidRPr="00043714">
        <w:rPr>
          <w:iCs/>
          <w:lang w:val="fr-FR"/>
        </w:rPr>
        <w:t>:</w:t>
      </w:r>
      <w:r>
        <w:rPr>
          <w:i/>
          <w:lang w:val="fr-FR"/>
        </w:rPr>
        <w:tab/>
      </w:r>
      <w:r w:rsidRPr="00FE7F11">
        <w:rPr>
          <w:lang w:val="fr-FR"/>
        </w:rPr>
        <w:t>INF.47 (WCC)</w:t>
      </w:r>
    </w:p>
    <w:p w14:paraId="21B56B68" w14:textId="5C29768A" w:rsidR="0012021D" w:rsidRPr="0050188F" w:rsidRDefault="0012021D" w:rsidP="0012021D">
      <w:pPr>
        <w:pStyle w:val="SingleTxtG"/>
        <w:rPr>
          <w:lang w:val="fr-FR"/>
        </w:rPr>
      </w:pPr>
      <w:r w:rsidRPr="0050188F">
        <w:rPr>
          <w:lang w:val="fr-FR"/>
        </w:rPr>
        <w:t>27.</w:t>
      </w:r>
      <w:r w:rsidRPr="0050188F">
        <w:rPr>
          <w:lang w:val="fr-FR"/>
        </w:rPr>
        <w:tab/>
      </w:r>
      <w:r>
        <w:rPr>
          <w:lang w:val="fr-FR"/>
        </w:rPr>
        <w:t>Le Sous-Comité n’a soutenu ni la proposition du document ST/SG/AC.10/C.3/2022/56, tendant à créer deux nouveaux numéros ONU pour les mélanges de peintures et d’encres d’imprimerie dangereux pour l’environnement (un pour les produits liquides et un pour les poudres), ni celle d’une nouvelle disposition spéciale visant à porter les quantités maximales à 30</w:t>
      </w:r>
      <w:r w:rsidR="00043714">
        <w:rPr>
          <w:lang w:val="fr-FR"/>
        </w:rPr>
        <w:t> </w:t>
      </w:r>
      <w:r>
        <w:rPr>
          <w:lang w:val="fr-FR"/>
        </w:rPr>
        <w:t>litres ou 30</w:t>
      </w:r>
      <w:r w:rsidR="00043714">
        <w:rPr>
          <w:lang w:val="fr-FR"/>
        </w:rPr>
        <w:t> </w:t>
      </w:r>
      <w:r>
        <w:rPr>
          <w:lang w:val="fr-FR"/>
        </w:rPr>
        <w:t>kg. Une telle modification était jugée très préoccupante, dans la mesure où elle créerait un précédent pour de nombreux autres produits concernés. Le Sous-Comité était d’avis qu’à l’avenir il pourrait discuter plus globalement de la nécessité d’emballages satisfaisant à certaines caractéristiques fonctionnelles pour les produits dangereux pour l’environnement. Il a été recommandé de rechercher des solutions nationales ou régionales dans les différents modes de transport, par exemple en modifiant les Règlements annexés à l’ADR, à l’ADN ou au RID. Le représentant du WCC a été invité à prendre contact avec les délégations qui avaient exprimé des préoccupations et y donner suite</w:t>
      </w:r>
      <w:r w:rsidRPr="0050188F">
        <w:rPr>
          <w:lang w:val="fr-FR"/>
        </w:rPr>
        <w:t>.</w:t>
      </w:r>
    </w:p>
    <w:p w14:paraId="47E62795" w14:textId="62E73A9A" w:rsidR="0012021D" w:rsidRPr="0050188F" w:rsidRDefault="0012021D" w:rsidP="00E80FF4">
      <w:pPr>
        <w:pStyle w:val="H1G"/>
        <w:rPr>
          <w:lang w:val="fr-FR"/>
        </w:rPr>
      </w:pPr>
      <w:r>
        <w:rPr>
          <w:lang w:val="fr-FR"/>
        </w:rPr>
        <w:tab/>
        <w:t>E.</w:t>
      </w:r>
      <w:r>
        <w:rPr>
          <w:lang w:val="fr-FR"/>
        </w:rPr>
        <w:tab/>
        <w:t xml:space="preserve">Épreuves du feu prescrites dans les dispositions </w:t>
      </w:r>
      <w:r w:rsidR="00043714">
        <w:rPr>
          <w:lang w:val="fr-FR"/>
        </w:rPr>
        <w:br/>
      </w:r>
      <w:r>
        <w:rPr>
          <w:lang w:val="fr-FR"/>
        </w:rPr>
        <w:t>spéciales 283 et 371</w:t>
      </w:r>
    </w:p>
    <w:p w14:paraId="63895ECF"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w:t>
      </w:r>
      <w:r w:rsidRPr="00043714">
        <w:rPr>
          <w:lang w:val="en-US"/>
        </w:rPr>
        <w:t> :</w:t>
      </w:r>
      <w:r>
        <w:rPr>
          <w:lang w:val="fr-FR"/>
        </w:rPr>
        <w:tab/>
        <w:t>ST/SG/AC.10/C.3/2022/64 (Chine)</w:t>
      </w:r>
    </w:p>
    <w:p w14:paraId="280729AE" w14:textId="52887A2A" w:rsidR="0012021D" w:rsidRPr="00374CDF" w:rsidRDefault="0012021D" w:rsidP="000C044E">
      <w:pPr>
        <w:pStyle w:val="SingleTxtG"/>
        <w:tabs>
          <w:tab w:val="clear" w:pos="2268"/>
          <w:tab w:val="clear" w:pos="2835"/>
        </w:tabs>
        <w:ind w:left="3402" w:hanging="2268"/>
        <w:jc w:val="left"/>
        <w:rPr>
          <w:lang w:val="fr-FR"/>
        </w:rPr>
      </w:pPr>
      <w:r>
        <w:rPr>
          <w:i/>
          <w:iCs/>
          <w:lang w:val="fr-FR"/>
        </w:rPr>
        <w:t>Document(s) informel(s)</w:t>
      </w:r>
      <w:r w:rsidR="000C044E">
        <w:rPr>
          <w:lang w:val="fr-FR"/>
        </w:rPr>
        <w:t> </w:t>
      </w:r>
      <w:r w:rsidRPr="00043714">
        <w:rPr>
          <w:lang w:val="fr-FR"/>
        </w:rPr>
        <w:t>:</w:t>
      </w:r>
      <w:r>
        <w:rPr>
          <w:i/>
          <w:iCs/>
          <w:lang w:val="fr-FR"/>
        </w:rPr>
        <w:tab/>
      </w:r>
      <w:r w:rsidRPr="00374CDF">
        <w:rPr>
          <w:lang w:val="fr-FR"/>
        </w:rPr>
        <w:t>INF.11 (Espagne)</w:t>
      </w:r>
    </w:p>
    <w:p w14:paraId="35D6C311" w14:textId="37783873" w:rsidR="0012021D" w:rsidRPr="00374CDF" w:rsidRDefault="0012021D" w:rsidP="0012021D">
      <w:pPr>
        <w:pStyle w:val="SingleTxtG"/>
        <w:rPr>
          <w:lang w:val="fr-FR"/>
        </w:rPr>
      </w:pPr>
      <w:r w:rsidRPr="00374CDF">
        <w:rPr>
          <w:lang w:val="fr-FR"/>
        </w:rPr>
        <w:t>28.</w:t>
      </w:r>
      <w:r w:rsidRPr="00374CDF">
        <w:rPr>
          <w:lang w:val="fr-FR"/>
        </w:rPr>
        <w:tab/>
      </w:r>
      <w:r>
        <w:rPr>
          <w:lang w:val="fr-FR"/>
        </w:rPr>
        <w:t>Le Sous-Comité a adopté les modifications proposées au paragraphe</w:t>
      </w:r>
      <w:r w:rsidR="00043714">
        <w:rPr>
          <w:lang w:val="fr-FR"/>
        </w:rPr>
        <w:t> </w:t>
      </w:r>
      <w:r>
        <w:rPr>
          <w:lang w:val="fr-FR"/>
        </w:rPr>
        <w:t>7 du document ST/SG/AC.10/C.3/2022/64 pour corriger l’alinéa</w:t>
      </w:r>
      <w:r w:rsidR="00043714">
        <w:rPr>
          <w:lang w:val="fr-FR"/>
        </w:rPr>
        <w:t> </w:t>
      </w:r>
      <w:r>
        <w:rPr>
          <w:lang w:val="fr-FR"/>
        </w:rPr>
        <w:t>f) du paragraphe</w:t>
      </w:r>
      <w:r w:rsidR="00043714">
        <w:rPr>
          <w:lang w:val="fr-FR"/>
        </w:rPr>
        <w:t> </w:t>
      </w:r>
      <w:r>
        <w:rPr>
          <w:lang w:val="fr-FR"/>
        </w:rPr>
        <w:t>1 de la disposition spéciale 371 (voir l’annexe </w:t>
      </w:r>
      <w:r w:rsidRPr="00374CDF">
        <w:rPr>
          <w:lang w:val="fr-FR"/>
        </w:rPr>
        <w:t>I).</w:t>
      </w:r>
    </w:p>
    <w:p w14:paraId="0B062843" w14:textId="77777777" w:rsidR="0012021D" w:rsidRPr="00374CDF" w:rsidRDefault="0012021D" w:rsidP="0012021D">
      <w:pPr>
        <w:pStyle w:val="SingleTxtG"/>
        <w:rPr>
          <w:lang w:val="fr-FR"/>
        </w:rPr>
      </w:pPr>
      <w:r w:rsidRPr="00374CDF">
        <w:rPr>
          <w:lang w:val="fr-FR"/>
        </w:rPr>
        <w:t>29.</w:t>
      </w:r>
      <w:r w:rsidRPr="00374CDF">
        <w:rPr>
          <w:lang w:val="fr-FR"/>
        </w:rPr>
        <w:tab/>
        <w:t>Le Sous-Comité a adopté les modifications d</w:t>
      </w:r>
      <w:r>
        <w:rPr>
          <w:lang w:val="fr-FR"/>
        </w:rPr>
        <w:t>’</w:t>
      </w:r>
      <w:r w:rsidRPr="00374CDF">
        <w:rPr>
          <w:lang w:val="fr-FR"/>
        </w:rPr>
        <w:t xml:space="preserve">ordre rédactionnel proposées dans le document informel INF.11 </w:t>
      </w:r>
      <w:r>
        <w:rPr>
          <w:lang w:val="fr-FR"/>
        </w:rPr>
        <w:t xml:space="preserve">afin d’harmoniser </w:t>
      </w:r>
      <w:r w:rsidRPr="00374CDF">
        <w:rPr>
          <w:lang w:val="fr-FR"/>
        </w:rPr>
        <w:t>le texte des dispositions spéciales 283 et 371 dans la version espagnole du Règlement type (</w:t>
      </w:r>
      <w:r>
        <w:rPr>
          <w:lang w:val="fr-FR"/>
        </w:rPr>
        <w:t>voir l’annexe </w:t>
      </w:r>
      <w:r w:rsidRPr="00374CDF">
        <w:rPr>
          <w:lang w:val="fr-FR"/>
        </w:rPr>
        <w:t>I).</w:t>
      </w:r>
    </w:p>
    <w:p w14:paraId="064357F4" w14:textId="77777777" w:rsidR="0012021D" w:rsidRPr="001011DE" w:rsidRDefault="0012021D" w:rsidP="00E80FF4">
      <w:pPr>
        <w:pStyle w:val="H1G"/>
        <w:rPr>
          <w:lang w:val="fr-FR"/>
        </w:rPr>
      </w:pPr>
      <w:r>
        <w:rPr>
          <w:lang w:val="fr-FR"/>
        </w:rPr>
        <w:tab/>
      </w:r>
      <w:r w:rsidRPr="005A4C4D">
        <w:rPr>
          <w:lang w:val="fr-FR"/>
        </w:rPr>
        <w:t>F.</w:t>
      </w:r>
      <w:r w:rsidRPr="005A4C4D">
        <w:rPr>
          <w:lang w:val="fr-FR"/>
        </w:rPr>
        <w:tab/>
        <w:t>Modification à apporter au 3.1.2.2 du Règlement type</w:t>
      </w:r>
    </w:p>
    <w:p w14:paraId="6091D54D" w14:textId="77777777" w:rsidR="0012021D" w:rsidRPr="005A4C4D" w:rsidRDefault="0012021D" w:rsidP="000C044E">
      <w:pPr>
        <w:pStyle w:val="SingleTxtG"/>
        <w:tabs>
          <w:tab w:val="clear" w:pos="2268"/>
          <w:tab w:val="clear" w:pos="2835"/>
        </w:tabs>
        <w:ind w:left="3402" w:hanging="2268"/>
        <w:jc w:val="left"/>
        <w:rPr>
          <w:lang w:val="fr-FR"/>
        </w:rPr>
      </w:pPr>
      <w:r>
        <w:rPr>
          <w:i/>
          <w:iCs/>
          <w:lang w:val="fr-FR"/>
        </w:rPr>
        <w:t>Document(s) </w:t>
      </w:r>
      <w:r w:rsidRPr="000C044E">
        <w:rPr>
          <w:lang w:val="fr-FR"/>
        </w:rPr>
        <w:t>:</w:t>
      </w:r>
      <w:r w:rsidRPr="005A4C4D">
        <w:rPr>
          <w:lang w:val="fr-FR"/>
        </w:rPr>
        <w:tab/>
        <w:t>ST/SG/AC.10/C.3/2022/65 (Chine)</w:t>
      </w:r>
    </w:p>
    <w:p w14:paraId="55B0C483" w14:textId="77777777" w:rsidR="0012021D" w:rsidRPr="001011DE" w:rsidRDefault="0012021D" w:rsidP="000C044E">
      <w:pPr>
        <w:pStyle w:val="SingleTxtG"/>
        <w:rPr>
          <w:lang w:val="fr-FR"/>
        </w:rPr>
      </w:pPr>
      <w:r w:rsidRPr="001011DE">
        <w:rPr>
          <w:lang w:val="fr-FR"/>
        </w:rPr>
        <w:t>30.</w:t>
      </w:r>
      <w:r w:rsidRPr="001011DE">
        <w:rPr>
          <w:lang w:val="fr-FR"/>
        </w:rPr>
        <w:tab/>
      </w:r>
      <w:r w:rsidRPr="005A4C4D">
        <w:rPr>
          <w:lang w:val="fr-FR"/>
        </w:rPr>
        <w:t xml:space="preserve">Le Sous-Comité a adopté les amendements proposés visant à </w:t>
      </w:r>
      <w:r>
        <w:rPr>
          <w:lang w:val="fr-FR"/>
        </w:rPr>
        <w:t>préciser</w:t>
      </w:r>
      <w:r w:rsidRPr="005A4C4D">
        <w:rPr>
          <w:lang w:val="fr-FR"/>
        </w:rPr>
        <w:t xml:space="preserve"> le libellé du 3.1.2.2 (</w:t>
      </w:r>
      <w:r>
        <w:rPr>
          <w:lang w:val="fr-FR"/>
        </w:rPr>
        <w:t>voir l’annexe </w:t>
      </w:r>
      <w:r w:rsidRPr="001011DE">
        <w:rPr>
          <w:lang w:val="fr-FR"/>
        </w:rPr>
        <w:t>I).</w:t>
      </w:r>
    </w:p>
    <w:p w14:paraId="796FB1C0" w14:textId="77777777" w:rsidR="0012021D" w:rsidRPr="001011DE" w:rsidRDefault="0012021D" w:rsidP="00E80FF4">
      <w:pPr>
        <w:pStyle w:val="H1G"/>
        <w:rPr>
          <w:lang w:val="fr-FR"/>
        </w:rPr>
      </w:pPr>
      <w:r w:rsidRPr="001011DE">
        <w:rPr>
          <w:lang w:val="fr-FR"/>
        </w:rPr>
        <w:tab/>
        <w:t>G.</w:t>
      </w:r>
      <w:r w:rsidRPr="001011DE">
        <w:rPr>
          <w:lang w:val="fr-FR"/>
        </w:rPr>
        <w:tab/>
      </w:r>
      <w:r w:rsidRPr="00E80FF4">
        <w:t>Propositions</w:t>
      </w:r>
      <w:r w:rsidRPr="005A4C4D">
        <w:rPr>
          <w:lang w:val="fr-FR"/>
        </w:rPr>
        <w:t xml:space="preserve"> relatives à la trousse de résine polyester</w:t>
      </w:r>
    </w:p>
    <w:p w14:paraId="4D02FCA0" w14:textId="77777777" w:rsidR="0012021D" w:rsidRPr="005A4C4D" w:rsidRDefault="0012021D" w:rsidP="000C044E">
      <w:pPr>
        <w:pStyle w:val="SingleTxtG"/>
        <w:tabs>
          <w:tab w:val="clear" w:pos="2268"/>
          <w:tab w:val="clear" w:pos="2835"/>
        </w:tabs>
        <w:ind w:left="3402" w:hanging="2268"/>
        <w:jc w:val="left"/>
        <w:rPr>
          <w:lang w:val="fr-FR"/>
        </w:rPr>
      </w:pPr>
      <w:r>
        <w:rPr>
          <w:i/>
          <w:iCs/>
          <w:lang w:val="fr-FR"/>
        </w:rPr>
        <w:t>Document(s) </w:t>
      </w:r>
      <w:r w:rsidRPr="000C044E">
        <w:rPr>
          <w:lang w:val="fr-FR"/>
        </w:rPr>
        <w:t>:</w:t>
      </w:r>
      <w:r w:rsidRPr="005A4C4D">
        <w:rPr>
          <w:lang w:val="fr-FR"/>
        </w:rPr>
        <w:tab/>
        <w:t>ST/SG/AC.10/C.3/2022/67 (Chine)</w:t>
      </w:r>
    </w:p>
    <w:p w14:paraId="06A252EE" w14:textId="6AC0119F" w:rsidR="0012021D" w:rsidRPr="006A6C5B"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i/>
          <w:iCs/>
          <w:lang w:val="fr-FR"/>
        </w:rPr>
        <w:t> </w:t>
      </w:r>
      <w:r w:rsidRPr="000C044E">
        <w:rPr>
          <w:lang w:val="fr-FR"/>
        </w:rPr>
        <w:t>:</w:t>
      </w:r>
      <w:r>
        <w:rPr>
          <w:i/>
          <w:iCs/>
          <w:lang w:val="fr-FR"/>
        </w:rPr>
        <w:tab/>
      </w:r>
      <w:r w:rsidRPr="005A4C4D">
        <w:rPr>
          <w:lang w:val="fr-FR"/>
        </w:rPr>
        <w:t>INF.25 (Espagne)</w:t>
      </w:r>
    </w:p>
    <w:p w14:paraId="1C542EE8" w14:textId="77777777" w:rsidR="0012021D" w:rsidRPr="006A6C5B" w:rsidRDefault="0012021D" w:rsidP="0012021D">
      <w:pPr>
        <w:pStyle w:val="SingleTxtG"/>
        <w:rPr>
          <w:lang w:val="fr-FR"/>
        </w:rPr>
      </w:pPr>
      <w:r w:rsidRPr="006A6C5B">
        <w:rPr>
          <w:lang w:val="fr-FR"/>
        </w:rPr>
        <w:t>31.</w:t>
      </w:r>
      <w:r w:rsidRPr="006A6C5B">
        <w:rPr>
          <w:lang w:val="fr-FR"/>
        </w:rPr>
        <w:tab/>
      </w:r>
      <w:r w:rsidRPr="005A4C4D">
        <w:rPr>
          <w:lang w:val="fr-FR"/>
        </w:rPr>
        <w:t>La plupart des délégations qui se sont exprimées étaient d</w:t>
      </w:r>
      <w:r>
        <w:rPr>
          <w:lang w:val="fr-FR"/>
        </w:rPr>
        <w:t>’</w:t>
      </w:r>
      <w:r w:rsidRPr="005A4C4D">
        <w:rPr>
          <w:lang w:val="fr-FR"/>
        </w:rPr>
        <w:t>avis que le texte actuel de la disposition spéciale 236 était suffisamment clair et que, en l</w:t>
      </w:r>
      <w:r>
        <w:rPr>
          <w:lang w:val="fr-FR"/>
        </w:rPr>
        <w:t>’</w:t>
      </w:r>
      <w:r w:rsidRPr="005A4C4D">
        <w:rPr>
          <w:lang w:val="fr-FR"/>
        </w:rPr>
        <w:t>absence de problème de sécurité, aucune modification n</w:t>
      </w:r>
      <w:r>
        <w:rPr>
          <w:lang w:val="fr-FR"/>
        </w:rPr>
        <w:t>’</w:t>
      </w:r>
      <w:r w:rsidRPr="005A4C4D">
        <w:rPr>
          <w:lang w:val="fr-FR"/>
        </w:rPr>
        <w:t>était nécessaire. On a relevé que les trousses de résine n</w:t>
      </w:r>
      <w:r>
        <w:rPr>
          <w:lang w:val="fr-FR"/>
        </w:rPr>
        <w:t>’</w:t>
      </w:r>
      <w:r w:rsidRPr="005A4C4D">
        <w:rPr>
          <w:lang w:val="fr-FR"/>
        </w:rPr>
        <w:t>étaient pas comparables aux trousses de produits chimiques ou aux trousses de premiers secours, lesquelles pouvaient contenir un large éventail de matières. L</w:t>
      </w:r>
      <w:r>
        <w:rPr>
          <w:lang w:val="fr-FR"/>
        </w:rPr>
        <w:t>’</w:t>
      </w:r>
      <w:r w:rsidRPr="005A4C4D">
        <w:rPr>
          <w:lang w:val="fr-FR"/>
        </w:rPr>
        <w:t>expert de la Chine a proposé de poursuivre l</w:t>
      </w:r>
      <w:r>
        <w:rPr>
          <w:lang w:val="fr-FR"/>
        </w:rPr>
        <w:t>’</w:t>
      </w:r>
      <w:r w:rsidRPr="005A4C4D">
        <w:rPr>
          <w:lang w:val="fr-FR"/>
        </w:rPr>
        <w:t xml:space="preserve">examen de la question sur la base des </w:t>
      </w:r>
      <w:r>
        <w:rPr>
          <w:lang w:val="fr-FR"/>
        </w:rPr>
        <w:t>observations</w:t>
      </w:r>
      <w:r w:rsidRPr="005A4C4D">
        <w:rPr>
          <w:lang w:val="fr-FR"/>
        </w:rPr>
        <w:t xml:space="preserve"> reçu</w:t>
      </w:r>
      <w:r>
        <w:rPr>
          <w:lang w:val="fr-FR"/>
        </w:rPr>
        <w:t>e</w:t>
      </w:r>
      <w:r w:rsidRPr="005A4C4D">
        <w:rPr>
          <w:lang w:val="fr-FR"/>
        </w:rPr>
        <w:t>s et, si nécessaire, de soumettre un document actualisé à la session</w:t>
      </w:r>
      <w:r>
        <w:rPr>
          <w:lang w:val="fr-FR"/>
        </w:rPr>
        <w:t xml:space="preserve"> suivante</w:t>
      </w:r>
      <w:r w:rsidRPr="006A6C5B">
        <w:rPr>
          <w:lang w:val="fr-FR"/>
        </w:rPr>
        <w:t>.</w:t>
      </w:r>
    </w:p>
    <w:p w14:paraId="649847D5" w14:textId="77777777" w:rsidR="0012021D" w:rsidRPr="0089341F" w:rsidRDefault="0012021D" w:rsidP="00E80FF4">
      <w:pPr>
        <w:pStyle w:val="H1G"/>
        <w:rPr>
          <w:lang w:val="fr-FR"/>
        </w:rPr>
      </w:pPr>
      <w:r>
        <w:rPr>
          <w:lang w:val="fr-FR"/>
        </w:rPr>
        <w:tab/>
        <w:t>H.</w:t>
      </w:r>
      <w:r>
        <w:rPr>
          <w:lang w:val="fr-FR"/>
        </w:rPr>
        <w:tab/>
        <w:t>Propositions d’amendements aux instructions d’emballage</w:t>
      </w:r>
    </w:p>
    <w:p w14:paraId="41089025" w14:textId="77777777" w:rsidR="0012021D" w:rsidRPr="006D227B" w:rsidRDefault="0012021D" w:rsidP="000C044E">
      <w:pPr>
        <w:pStyle w:val="SingleTxtG"/>
        <w:tabs>
          <w:tab w:val="clear" w:pos="2268"/>
          <w:tab w:val="clear" w:pos="2835"/>
        </w:tabs>
        <w:ind w:left="3402" w:hanging="2268"/>
        <w:jc w:val="left"/>
        <w:rPr>
          <w:lang w:val="fr-FR"/>
        </w:rPr>
      </w:pPr>
      <w:r>
        <w:rPr>
          <w:i/>
          <w:iCs/>
          <w:lang w:val="fr-FR"/>
        </w:rPr>
        <w:t>Document(s) </w:t>
      </w:r>
      <w:r w:rsidRPr="00E80FF4">
        <w:rPr>
          <w:lang w:val="fr-FR"/>
        </w:rPr>
        <w:t>:</w:t>
      </w:r>
      <w:r>
        <w:rPr>
          <w:lang w:val="fr-FR"/>
        </w:rPr>
        <w:tab/>
        <w:t>ST/SG/AC.10/C.3/2022/76 (secrétariat)</w:t>
      </w:r>
    </w:p>
    <w:p w14:paraId="008EA626" w14:textId="5D27E495" w:rsidR="0012021D" w:rsidRPr="0089341F"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i/>
          <w:iCs/>
          <w:lang w:val="fr-FR"/>
        </w:rPr>
        <w:t> </w:t>
      </w:r>
      <w:r w:rsidRPr="00E80FF4">
        <w:rPr>
          <w:lang w:val="fr-FR"/>
        </w:rPr>
        <w:t>:</w:t>
      </w:r>
      <w:r>
        <w:rPr>
          <w:i/>
          <w:iCs/>
          <w:lang w:val="fr-FR"/>
        </w:rPr>
        <w:tab/>
      </w:r>
      <w:r>
        <w:rPr>
          <w:lang w:val="fr-FR"/>
        </w:rPr>
        <w:t>INF.3 (secrétariat)</w:t>
      </w:r>
    </w:p>
    <w:p w14:paraId="7B88B6F3" w14:textId="413A9E10" w:rsidR="0012021D" w:rsidRPr="0089341F" w:rsidRDefault="0012021D" w:rsidP="0012021D">
      <w:pPr>
        <w:pStyle w:val="SingleTxtG"/>
        <w:rPr>
          <w:lang w:val="fr-FR"/>
        </w:rPr>
      </w:pPr>
      <w:r>
        <w:rPr>
          <w:lang w:val="fr-FR"/>
        </w:rPr>
        <w:t>32.</w:t>
      </w:r>
      <w:r>
        <w:rPr>
          <w:lang w:val="fr-FR"/>
        </w:rPr>
        <w:tab/>
        <w:t>Le Sous-Comité a accueilli avec intérêt et adopté les propositions d’amendements 1, 2, 3, 5, 6, 7, 8 et 10 présentées dans le document ST/SG/AC.10/C.3/2022/76, y compris quelques modifications de forme énumérées dans le document informel INF.3 (voir l’annexe I). Il a également adopté l’option « masse nette maximale » pour la proposition</w:t>
      </w:r>
      <w:r w:rsidR="00E80FF4">
        <w:rPr>
          <w:lang w:val="fr-FR"/>
        </w:rPr>
        <w:t> </w:t>
      </w:r>
      <w:r>
        <w:rPr>
          <w:lang w:val="fr-FR"/>
        </w:rPr>
        <w:t>4, ainsi que l’option</w:t>
      </w:r>
      <w:r w:rsidR="00E80FF4">
        <w:rPr>
          <w:lang w:val="fr-FR"/>
        </w:rPr>
        <w:t> </w:t>
      </w:r>
      <w:r>
        <w:rPr>
          <w:lang w:val="fr-FR"/>
        </w:rPr>
        <w:t>9a pour la proposition</w:t>
      </w:r>
      <w:r w:rsidR="00E80FF4">
        <w:rPr>
          <w:lang w:val="fr-FR"/>
        </w:rPr>
        <w:t> </w:t>
      </w:r>
      <w:r>
        <w:rPr>
          <w:lang w:val="fr-FR"/>
        </w:rPr>
        <w:t>9, consistant à ajouter le texte visé en tant que nouvelle disposition supplémentaire. S’agissant de la proposition 2, le secrétariat a été invité à harmoniser au besoin le modèle actuel figurant parmi les Principes directeurs.</w:t>
      </w:r>
    </w:p>
    <w:p w14:paraId="46DF7C7E" w14:textId="3E639114" w:rsidR="0012021D" w:rsidRPr="0089341F" w:rsidRDefault="0012021D" w:rsidP="00E80FF4">
      <w:pPr>
        <w:pStyle w:val="H1G"/>
        <w:rPr>
          <w:lang w:val="fr-FR"/>
        </w:rPr>
      </w:pPr>
      <w:r>
        <w:rPr>
          <w:lang w:val="fr-FR"/>
        </w:rPr>
        <w:tab/>
        <w:t>I.</w:t>
      </w:r>
      <w:r>
        <w:rPr>
          <w:lang w:val="fr-FR"/>
        </w:rPr>
        <w:tab/>
        <w:t xml:space="preserve">Instructions de transport en citernes mobiles et dispositions </w:t>
      </w:r>
      <w:r w:rsidR="00E80FF4">
        <w:rPr>
          <w:lang w:val="fr-FR"/>
        </w:rPr>
        <w:br/>
      </w:r>
      <w:r>
        <w:rPr>
          <w:lang w:val="fr-FR"/>
        </w:rPr>
        <w:t xml:space="preserve">spéciales applicables au transport en citernes mobiles </w:t>
      </w:r>
      <w:r w:rsidR="00E80FF4">
        <w:rPr>
          <w:lang w:val="fr-FR"/>
        </w:rPr>
        <w:br/>
      </w:r>
      <w:r>
        <w:rPr>
          <w:lang w:val="fr-FR"/>
        </w:rPr>
        <w:t>(suite donnée au document ST/SG/AC.10/C.3/2022/39)</w:t>
      </w:r>
    </w:p>
    <w:p w14:paraId="06B7C8AA"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E80FF4">
        <w:rPr>
          <w:lang w:val="fr-FR"/>
        </w:rPr>
        <w:t>:</w:t>
      </w:r>
      <w:r>
        <w:rPr>
          <w:lang w:val="fr-FR"/>
        </w:rPr>
        <w:tab/>
        <w:t>ST/SG/AC.10/C.3/2022/77 (secrétariat)</w:t>
      </w:r>
    </w:p>
    <w:p w14:paraId="5399E1E5" w14:textId="77777777" w:rsidR="0012021D" w:rsidRPr="0089341F" w:rsidRDefault="0012021D" w:rsidP="0012021D">
      <w:pPr>
        <w:pStyle w:val="SingleTxtG"/>
        <w:rPr>
          <w:lang w:val="fr-FR"/>
        </w:rPr>
      </w:pPr>
      <w:r w:rsidRPr="0089341F">
        <w:rPr>
          <w:lang w:val="fr-FR"/>
        </w:rPr>
        <w:t>33.</w:t>
      </w:r>
      <w:r w:rsidRPr="0089341F">
        <w:rPr>
          <w:lang w:val="fr-FR"/>
        </w:rPr>
        <w:tab/>
      </w:r>
      <w:r>
        <w:rPr>
          <w:lang w:val="fr-FR"/>
        </w:rPr>
        <w:t>Le Sous-Comité a adopté les propositions d’amendements 1 et 3 (voir les</w:t>
      </w:r>
      <w:r w:rsidRPr="0089341F">
        <w:rPr>
          <w:lang w:val="fr-FR"/>
        </w:rPr>
        <w:t xml:space="preserve"> annexes</w:t>
      </w:r>
      <w:r>
        <w:rPr>
          <w:lang w:val="fr-FR"/>
        </w:rPr>
        <w:t> </w:t>
      </w:r>
      <w:r w:rsidRPr="0089341F">
        <w:rPr>
          <w:lang w:val="fr-FR"/>
        </w:rPr>
        <w:t xml:space="preserve">I </w:t>
      </w:r>
      <w:r>
        <w:rPr>
          <w:lang w:val="fr-FR"/>
        </w:rPr>
        <w:t>et </w:t>
      </w:r>
      <w:r w:rsidRPr="0089341F">
        <w:rPr>
          <w:lang w:val="fr-FR"/>
        </w:rPr>
        <w:t>I</w:t>
      </w:r>
      <w:r>
        <w:rPr>
          <w:lang w:val="fr-FR"/>
        </w:rPr>
        <w:t>I</w:t>
      </w:r>
      <w:r w:rsidRPr="0089341F">
        <w:rPr>
          <w:lang w:val="fr-FR"/>
        </w:rPr>
        <w:t>I). La proposition 2 a été retirée dans l</w:t>
      </w:r>
      <w:r>
        <w:rPr>
          <w:lang w:val="fr-FR"/>
        </w:rPr>
        <w:t>’</w:t>
      </w:r>
      <w:r w:rsidRPr="0089341F">
        <w:rPr>
          <w:lang w:val="fr-FR"/>
        </w:rPr>
        <w:t>attente de recherches complémentaires.</w:t>
      </w:r>
    </w:p>
    <w:p w14:paraId="517BFA9D" w14:textId="3EEA11F0" w:rsidR="0012021D" w:rsidRPr="0089341F" w:rsidRDefault="0012021D" w:rsidP="00E80FF4">
      <w:pPr>
        <w:pStyle w:val="H1G"/>
        <w:rPr>
          <w:lang w:val="fr-FR"/>
        </w:rPr>
      </w:pPr>
      <w:r>
        <w:rPr>
          <w:lang w:val="fr-FR"/>
        </w:rPr>
        <w:tab/>
        <w:t>J.</w:t>
      </w:r>
      <w:r>
        <w:rPr>
          <w:lang w:val="fr-FR"/>
        </w:rPr>
        <w:tab/>
        <w:t xml:space="preserve">Rubrique ONU appropriée pour le 2,4-dichlorophénol </w:t>
      </w:r>
      <w:r w:rsidR="00E80FF4">
        <w:rPr>
          <w:lang w:val="fr-FR"/>
        </w:rPr>
        <w:br/>
      </w:r>
      <w:r>
        <w:rPr>
          <w:lang w:val="fr-FR"/>
        </w:rPr>
        <w:t>et solution envisageable pour tous les chlorophénols</w:t>
      </w:r>
    </w:p>
    <w:p w14:paraId="1C4A2C82" w14:textId="20070E7E" w:rsidR="0012021D" w:rsidRPr="0089341F"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lang w:val="fr-FR"/>
        </w:rPr>
        <w:t> </w:t>
      </w:r>
      <w:r w:rsidRPr="00E80FF4">
        <w:rPr>
          <w:lang w:val="fr-FR"/>
        </w:rPr>
        <w:t>:</w:t>
      </w:r>
      <w:r>
        <w:rPr>
          <w:i/>
          <w:iCs/>
          <w:lang w:val="fr-FR"/>
        </w:rPr>
        <w:tab/>
      </w:r>
      <w:r>
        <w:rPr>
          <w:lang w:val="fr-FR"/>
        </w:rPr>
        <w:t>INF.9 (Allemagne)</w:t>
      </w:r>
    </w:p>
    <w:p w14:paraId="649A380A" w14:textId="77777777" w:rsidR="0012021D" w:rsidRPr="0089341F" w:rsidRDefault="0012021D" w:rsidP="0012021D">
      <w:pPr>
        <w:pStyle w:val="SingleTxtG"/>
        <w:rPr>
          <w:lang w:val="fr-FR"/>
        </w:rPr>
      </w:pPr>
      <w:r w:rsidRPr="0089341F">
        <w:rPr>
          <w:lang w:val="fr-FR"/>
        </w:rPr>
        <w:t>34.</w:t>
      </w:r>
      <w:r w:rsidRPr="0089341F">
        <w:rPr>
          <w:lang w:val="fr-FR"/>
        </w:rPr>
        <w:tab/>
        <w:t>La plupart des experts qui se sont exprimés ont appuyé la proposition d</w:t>
      </w:r>
      <w:r>
        <w:rPr>
          <w:lang w:val="fr-FR"/>
        </w:rPr>
        <w:t>’</w:t>
      </w:r>
      <w:r w:rsidRPr="0089341F">
        <w:rPr>
          <w:lang w:val="fr-FR"/>
        </w:rPr>
        <w:t>insérer dans le Règlement type une sous-classification pour l</w:t>
      </w:r>
      <w:r>
        <w:rPr>
          <w:lang w:val="fr-FR"/>
        </w:rPr>
        <w:t>’</w:t>
      </w:r>
      <w:r w:rsidRPr="0089341F">
        <w:rPr>
          <w:lang w:val="fr-FR"/>
        </w:rPr>
        <w:t>ensemble des chlorophénols et ont exprimé leur préférence pour l</w:t>
      </w:r>
      <w:r>
        <w:rPr>
          <w:lang w:val="fr-FR"/>
        </w:rPr>
        <w:t>’</w:t>
      </w:r>
      <w:r w:rsidRPr="0089341F">
        <w:rPr>
          <w:lang w:val="fr-FR"/>
        </w:rPr>
        <w:t>option</w:t>
      </w:r>
      <w:r>
        <w:rPr>
          <w:lang w:val="fr-FR"/>
        </w:rPr>
        <w:t> </w:t>
      </w:r>
      <w:r w:rsidRPr="0089341F">
        <w:rPr>
          <w:lang w:val="fr-FR"/>
        </w:rPr>
        <w:t>3. Certains experts se sont interrogés sur la manière de créer cette sous-classification compte tenu des nombreux composés de</w:t>
      </w:r>
      <w:r>
        <w:rPr>
          <w:lang w:val="fr-FR"/>
        </w:rPr>
        <w:t>s</w:t>
      </w:r>
      <w:r w:rsidRPr="0089341F">
        <w:rPr>
          <w:lang w:val="fr-FR"/>
        </w:rPr>
        <w:t xml:space="preserve"> chlorophénols. D</w:t>
      </w:r>
      <w:r>
        <w:rPr>
          <w:lang w:val="fr-FR"/>
        </w:rPr>
        <w:t>’</w:t>
      </w:r>
      <w:r w:rsidRPr="0089341F">
        <w:rPr>
          <w:lang w:val="fr-FR"/>
        </w:rPr>
        <w:t>autres se sont interrogés sur la nécessité d</w:t>
      </w:r>
      <w:r>
        <w:rPr>
          <w:lang w:val="fr-FR"/>
        </w:rPr>
        <w:t>’</w:t>
      </w:r>
      <w:r w:rsidRPr="0089341F">
        <w:rPr>
          <w:lang w:val="fr-FR"/>
        </w:rPr>
        <w:t>une telle sous-classification en l</w:t>
      </w:r>
      <w:r>
        <w:rPr>
          <w:lang w:val="fr-FR"/>
        </w:rPr>
        <w:t>’</w:t>
      </w:r>
      <w:r w:rsidRPr="0089341F">
        <w:rPr>
          <w:lang w:val="fr-FR"/>
        </w:rPr>
        <w:t>absence d</w:t>
      </w:r>
      <w:r>
        <w:rPr>
          <w:lang w:val="fr-FR"/>
        </w:rPr>
        <w:t>’éléments probants</w:t>
      </w:r>
      <w:r w:rsidRPr="0089341F">
        <w:rPr>
          <w:lang w:val="fr-FR"/>
        </w:rPr>
        <w:t xml:space="preserve"> concernant les problèmes de sécurité. Le Sous-Comité a convenu de reprendre l</w:t>
      </w:r>
      <w:r>
        <w:rPr>
          <w:lang w:val="fr-FR"/>
        </w:rPr>
        <w:t>’</w:t>
      </w:r>
      <w:r w:rsidRPr="0089341F">
        <w:rPr>
          <w:lang w:val="fr-FR"/>
        </w:rPr>
        <w:t>examen de cette question à sa session suivante. L</w:t>
      </w:r>
      <w:r>
        <w:rPr>
          <w:lang w:val="fr-FR"/>
        </w:rPr>
        <w:t>’</w:t>
      </w:r>
      <w:r w:rsidRPr="0089341F">
        <w:rPr>
          <w:lang w:val="fr-FR"/>
        </w:rPr>
        <w:t>expert de l</w:t>
      </w:r>
      <w:r>
        <w:rPr>
          <w:lang w:val="fr-FR"/>
        </w:rPr>
        <w:t>’</w:t>
      </w:r>
      <w:r w:rsidRPr="0089341F">
        <w:rPr>
          <w:lang w:val="fr-FR"/>
        </w:rPr>
        <w:t>Allemagne a proposé d</w:t>
      </w:r>
      <w:r>
        <w:rPr>
          <w:lang w:val="fr-FR"/>
        </w:rPr>
        <w:t>’</w:t>
      </w:r>
      <w:r w:rsidRPr="0089341F">
        <w:rPr>
          <w:lang w:val="fr-FR"/>
        </w:rPr>
        <w:t>établir une proposition actualisée tenant compte des observations reçues, y compris une justification détaillée, et de la soumettre sous une cote officielle à la session suivante.</w:t>
      </w:r>
    </w:p>
    <w:p w14:paraId="0B64B60C" w14:textId="4ABCFA0D" w:rsidR="0012021D" w:rsidRPr="005933F9" w:rsidRDefault="0012021D" w:rsidP="00E80FF4">
      <w:pPr>
        <w:pStyle w:val="H1G"/>
        <w:rPr>
          <w:rFonts w:eastAsia="MS Mincho"/>
          <w:lang w:val="fr-FR"/>
        </w:rPr>
      </w:pPr>
      <w:r w:rsidRPr="0089341F">
        <w:rPr>
          <w:lang w:val="fr-FR"/>
        </w:rPr>
        <w:tab/>
      </w:r>
      <w:r w:rsidRPr="005933F9">
        <w:rPr>
          <w:lang w:val="fr-FR"/>
        </w:rPr>
        <w:t>K.</w:t>
      </w:r>
      <w:r w:rsidRPr="005933F9">
        <w:rPr>
          <w:lang w:val="fr-FR"/>
        </w:rPr>
        <w:tab/>
      </w:r>
      <w:r w:rsidR="00E80FF4" w:rsidRPr="005F1938">
        <w:rPr>
          <w:lang w:val="fr-FR"/>
        </w:rPr>
        <w:t>Distinction entre le N</w:t>
      </w:r>
      <w:r w:rsidR="00E80FF4" w:rsidRPr="00E80FF4">
        <w:rPr>
          <w:vertAlign w:val="superscript"/>
          <w:lang w:val="fr-FR"/>
        </w:rPr>
        <w:t>o</w:t>
      </w:r>
      <w:r w:rsidR="00E80FF4">
        <w:rPr>
          <w:lang w:val="fr-FR"/>
        </w:rPr>
        <w:t> </w:t>
      </w:r>
      <w:r w:rsidR="00E80FF4" w:rsidRPr="005F1938">
        <w:rPr>
          <w:lang w:val="fr-FR"/>
        </w:rPr>
        <w:t>ONU 1950 aérosols et le N</w:t>
      </w:r>
      <w:r w:rsidR="00E80FF4" w:rsidRPr="00E80FF4">
        <w:rPr>
          <w:vertAlign w:val="superscript"/>
          <w:lang w:val="fr-FR"/>
        </w:rPr>
        <w:t>o</w:t>
      </w:r>
      <w:r w:rsidR="00E80FF4">
        <w:rPr>
          <w:lang w:val="fr-FR"/>
        </w:rPr>
        <w:t> </w:t>
      </w:r>
      <w:r w:rsidR="00E80FF4" w:rsidRPr="005F1938">
        <w:rPr>
          <w:lang w:val="fr-FR"/>
        </w:rPr>
        <w:t xml:space="preserve">ONU 2037 récipients de faible capacité contenant du gaz (cartouches à gaz), et proposition </w:t>
      </w:r>
      <w:r w:rsidR="00E80FF4">
        <w:rPr>
          <w:lang w:val="fr-FR"/>
        </w:rPr>
        <w:br/>
      </w:r>
      <w:r w:rsidR="00E80FF4" w:rsidRPr="005F1938">
        <w:rPr>
          <w:lang w:val="fr-FR"/>
        </w:rPr>
        <w:t>de prescriptions de marquage pour le N</w:t>
      </w:r>
      <w:r w:rsidR="00E80FF4" w:rsidRPr="00E80FF4">
        <w:rPr>
          <w:vertAlign w:val="superscript"/>
          <w:lang w:val="fr-FR"/>
        </w:rPr>
        <w:t>o</w:t>
      </w:r>
      <w:r w:rsidR="00E80FF4">
        <w:rPr>
          <w:lang w:val="fr-FR"/>
        </w:rPr>
        <w:t> </w:t>
      </w:r>
      <w:r w:rsidR="00E80FF4" w:rsidRPr="005F1938">
        <w:rPr>
          <w:lang w:val="fr-FR"/>
        </w:rPr>
        <w:t xml:space="preserve">ONU 2037 récipients </w:t>
      </w:r>
      <w:r w:rsidR="00E80FF4">
        <w:rPr>
          <w:lang w:val="fr-FR"/>
        </w:rPr>
        <w:br/>
      </w:r>
      <w:r w:rsidR="00E80FF4" w:rsidRPr="005F1938">
        <w:rPr>
          <w:lang w:val="fr-FR"/>
        </w:rPr>
        <w:t>de faible capacité contenant du gaz (cartouches à gaz</w:t>
      </w:r>
      <w:r w:rsidR="00E80FF4" w:rsidRPr="005933F9">
        <w:rPr>
          <w:lang w:val="fr-FR"/>
        </w:rPr>
        <w:t>)</w:t>
      </w:r>
    </w:p>
    <w:p w14:paraId="31A898BE" w14:textId="77777777" w:rsidR="0012021D" w:rsidRPr="00FE7F11" w:rsidRDefault="0012021D" w:rsidP="00E80FF4">
      <w:pPr>
        <w:pStyle w:val="SingleTxtG"/>
        <w:keepNext/>
        <w:tabs>
          <w:tab w:val="clear" w:pos="2268"/>
          <w:tab w:val="clear" w:pos="2835"/>
        </w:tabs>
        <w:ind w:left="3402" w:hanging="2268"/>
        <w:jc w:val="left"/>
        <w:rPr>
          <w:lang w:val="fr-FR"/>
        </w:rPr>
      </w:pPr>
      <w:r>
        <w:rPr>
          <w:i/>
          <w:iCs/>
          <w:lang w:val="fr-FR"/>
        </w:rPr>
        <w:t>Document(s) </w:t>
      </w:r>
      <w:r w:rsidRPr="00E80FF4">
        <w:rPr>
          <w:lang w:val="fr-FR"/>
        </w:rPr>
        <w:t>:</w:t>
      </w:r>
      <w:r w:rsidRPr="005F1938">
        <w:rPr>
          <w:lang w:val="fr-FR"/>
        </w:rPr>
        <w:tab/>
        <w:t>ST/SG/AC.10/C.3/2022/51 (Allemagne)</w:t>
      </w:r>
    </w:p>
    <w:p w14:paraId="2BF87536" w14:textId="5E128593" w:rsidR="0012021D" w:rsidRPr="00FE7F11" w:rsidRDefault="0012021D" w:rsidP="000C044E">
      <w:pPr>
        <w:pStyle w:val="SingleTxtG"/>
        <w:tabs>
          <w:tab w:val="clear" w:pos="2268"/>
          <w:tab w:val="clear" w:pos="2835"/>
        </w:tabs>
        <w:ind w:left="3402" w:hanging="2268"/>
        <w:jc w:val="left"/>
        <w:rPr>
          <w:lang w:val="fr-FR"/>
        </w:rPr>
      </w:pPr>
      <w:r>
        <w:rPr>
          <w:i/>
          <w:lang w:val="fr-FR"/>
        </w:rPr>
        <w:t>Document(s) informel(s)</w:t>
      </w:r>
      <w:r w:rsidR="00E80FF4">
        <w:rPr>
          <w:i/>
          <w:lang w:val="fr-FR"/>
        </w:rPr>
        <w:t> </w:t>
      </w:r>
      <w:r w:rsidRPr="00E80FF4">
        <w:rPr>
          <w:iCs/>
          <w:lang w:val="fr-FR"/>
        </w:rPr>
        <w:t>:</w:t>
      </w:r>
      <w:r>
        <w:rPr>
          <w:i/>
          <w:lang w:val="fr-FR"/>
        </w:rPr>
        <w:tab/>
      </w:r>
      <w:r w:rsidRPr="00FE7F11">
        <w:rPr>
          <w:lang w:val="fr-FR"/>
        </w:rPr>
        <w:t>INF.16 (FEA</w:t>
      </w:r>
      <w:r>
        <w:rPr>
          <w:lang w:val="fr-FR"/>
        </w:rPr>
        <w:t xml:space="preserve"> et </w:t>
      </w:r>
      <w:r w:rsidRPr="00FE7F11">
        <w:rPr>
          <w:lang w:val="fr-FR"/>
        </w:rPr>
        <w:t>HCPA)</w:t>
      </w:r>
    </w:p>
    <w:p w14:paraId="75B55754" w14:textId="1A611F88" w:rsidR="0012021D" w:rsidRPr="005933F9" w:rsidRDefault="0012021D" w:rsidP="0012021D">
      <w:pPr>
        <w:pStyle w:val="SingleTxtG"/>
        <w:rPr>
          <w:lang w:val="fr-FR"/>
        </w:rPr>
      </w:pPr>
      <w:r w:rsidRPr="005933F9">
        <w:rPr>
          <w:lang w:val="fr-FR"/>
        </w:rPr>
        <w:t>35.</w:t>
      </w:r>
      <w:r w:rsidRPr="005933F9">
        <w:rPr>
          <w:lang w:val="fr-FR"/>
        </w:rPr>
        <w:tab/>
      </w:r>
      <w:r w:rsidRPr="005F1938">
        <w:rPr>
          <w:lang w:val="fr-FR"/>
        </w:rPr>
        <w:t>Différents avis ont été exprimés quant à la nécessité de modifier le Règlement type pour mieux faire la distinction entre les articles classés sous le N</w:t>
      </w:r>
      <w:r w:rsidRPr="00E80FF4">
        <w:rPr>
          <w:vertAlign w:val="superscript"/>
          <w:lang w:val="fr-FR"/>
        </w:rPr>
        <w:t>o</w:t>
      </w:r>
      <w:r w:rsidR="00E80FF4">
        <w:rPr>
          <w:lang w:val="fr-FR"/>
        </w:rPr>
        <w:t> </w:t>
      </w:r>
      <w:r w:rsidRPr="005F1938">
        <w:rPr>
          <w:lang w:val="fr-FR"/>
        </w:rPr>
        <w:t>ONU 1950 et ceux classés sous le N</w:t>
      </w:r>
      <w:r w:rsidRPr="00E80FF4">
        <w:rPr>
          <w:vertAlign w:val="superscript"/>
          <w:lang w:val="fr-FR"/>
        </w:rPr>
        <w:t>o</w:t>
      </w:r>
      <w:r w:rsidR="00E80FF4">
        <w:rPr>
          <w:lang w:val="fr-FR"/>
        </w:rPr>
        <w:t> </w:t>
      </w:r>
      <w:r w:rsidRPr="005F1938">
        <w:rPr>
          <w:lang w:val="fr-FR"/>
        </w:rPr>
        <w:t xml:space="preserve">ONU 2037. </w:t>
      </w:r>
      <w:r>
        <w:rPr>
          <w:lang w:val="fr-FR"/>
        </w:rPr>
        <w:t>P</w:t>
      </w:r>
      <w:r w:rsidRPr="005F1938">
        <w:rPr>
          <w:lang w:val="fr-FR"/>
        </w:rPr>
        <w:t>lusieurs experts étaient d</w:t>
      </w:r>
      <w:r>
        <w:rPr>
          <w:lang w:val="fr-FR"/>
        </w:rPr>
        <w:t>’</w:t>
      </w:r>
      <w:r w:rsidRPr="005F1938">
        <w:rPr>
          <w:lang w:val="fr-FR"/>
        </w:rPr>
        <w:t xml:space="preserve">avis que des </w:t>
      </w:r>
      <w:r>
        <w:rPr>
          <w:lang w:val="fr-FR"/>
        </w:rPr>
        <w:t>é</w:t>
      </w:r>
      <w:r w:rsidRPr="005F1938">
        <w:rPr>
          <w:lang w:val="fr-FR"/>
        </w:rPr>
        <w:t>cla</w:t>
      </w:r>
      <w:r>
        <w:rPr>
          <w:lang w:val="fr-FR"/>
        </w:rPr>
        <w:t>ircissement</w:t>
      </w:r>
      <w:r w:rsidRPr="005F1938">
        <w:rPr>
          <w:lang w:val="fr-FR"/>
        </w:rPr>
        <w:t>s et des travaux supplémentaires étaient nécessaires,</w:t>
      </w:r>
      <w:r>
        <w:rPr>
          <w:lang w:val="fr-FR"/>
        </w:rPr>
        <w:t xml:space="preserve"> mais</w:t>
      </w:r>
      <w:r w:rsidRPr="005F1938">
        <w:rPr>
          <w:lang w:val="fr-FR"/>
        </w:rPr>
        <w:t xml:space="preserve"> d</w:t>
      </w:r>
      <w:r>
        <w:rPr>
          <w:lang w:val="fr-FR"/>
        </w:rPr>
        <w:t>’</w:t>
      </w:r>
      <w:r w:rsidRPr="005F1938">
        <w:rPr>
          <w:lang w:val="fr-FR"/>
        </w:rPr>
        <w:t>autres, faisant valoir l</w:t>
      </w:r>
      <w:r>
        <w:rPr>
          <w:lang w:val="fr-FR"/>
        </w:rPr>
        <w:t>’</w:t>
      </w:r>
      <w:r w:rsidRPr="005F1938">
        <w:rPr>
          <w:lang w:val="fr-FR"/>
        </w:rPr>
        <w:t>absence de problèmes de sécurité dans la pratique, ont mis en garde contre les incidences potentielles des amendements sur le transport de ces articles. Il a été constaté que</w:t>
      </w:r>
      <w:r>
        <w:rPr>
          <w:lang w:val="fr-FR"/>
        </w:rPr>
        <w:t>,</w:t>
      </w:r>
      <w:r w:rsidRPr="005F1938">
        <w:rPr>
          <w:lang w:val="fr-FR"/>
        </w:rPr>
        <w:t xml:space="preserve"> dans certaines régions, les aérosols, les générateurs d</w:t>
      </w:r>
      <w:r>
        <w:rPr>
          <w:lang w:val="fr-FR"/>
        </w:rPr>
        <w:t>’</w:t>
      </w:r>
      <w:r w:rsidRPr="005F1938">
        <w:rPr>
          <w:lang w:val="fr-FR"/>
        </w:rPr>
        <w:t>aérosols et les cartouches de gaz étaient réglementés de différentes manières, notamment en fonction du mélange qu</w:t>
      </w:r>
      <w:r>
        <w:rPr>
          <w:lang w:val="fr-FR"/>
        </w:rPr>
        <w:t>’</w:t>
      </w:r>
      <w:r w:rsidRPr="005F1938">
        <w:rPr>
          <w:lang w:val="fr-FR"/>
        </w:rPr>
        <w:t>ils cont</w:t>
      </w:r>
      <w:r>
        <w:rPr>
          <w:lang w:val="fr-FR"/>
        </w:rPr>
        <w:t>enai</w:t>
      </w:r>
      <w:r w:rsidRPr="005F1938">
        <w:rPr>
          <w:lang w:val="fr-FR"/>
        </w:rPr>
        <w:t>ent et du fait qu</w:t>
      </w:r>
      <w:r>
        <w:rPr>
          <w:lang w:val="fr-FR"/>
        </w:rPr>
        <w:t>’</w:t>
      </w:r>
      <w:r w:rsidRPr="005F1938">
        <w:rPr>
          <w:lang w:val="fr-FR"/>
        </w:rPr>
        <w:t>ils soient ou non équipés d</w:t>
      </w:r>
      <w:r>
        <w:rPr>
          <w:lang w:val="fr-FR"/>
        </w:rPr>
        <w:t>’</w:t>
      </w:r>
      <w:r w:rsidRPr="005F1938">
        <w:rPr>
          <w:lang w:val="fr-FR"/>
        </w:rPr>
        <w:t>un dispositif de détente</w:t>
      </w:r>
      <w:r w:rsidRPr="005933F9">
        <w:rPr>
          <w:lang w:val="fr-FR"/>
        </w:rPr>
        <w:t>.</w:t>
      </w:r>
    </w:p>
    <w:p w14:paraId="48E432FE" w14:textId="77777777" w:rsidR="0012021D" w:rsidRPr="005933F9" w:rsidRDefault="0012021D" w:rsidP="0012021D">
      <w:pPr>
        <w:pStyle w:val="SingleTxtG"/>
        <w:rPr>
          <w:lang w:val="fr-FR"/>
        </w:rPr>
      </w:pPr>
      <w:r w:rsidRPr="005933F9">
        <w:rPr>
          <w:lang w:val="fr-FR"/>
        </w:rPr>
        <w:t>36.</w:t>
      </w:r>
      <w:r w:rsidRPr="005933F9">
        <w:rPr>
          <w:lang w:val="fr-FR"/>
        </w:rPr>
        <w:tab/>
      </w:r>
      <w:r w:rsidRPr="005F1938">
        <w:rPr>
          <w:lang w:val="fr-FR"/>
        </w:rPr>
        <w:t>Après une discussion informelle, il a été convenu qu</w:t>
      </w:r>
      <w:r>
        <w:rPr>
          <w:lang w:val="fr-FR"/>
        </w:rPr>
        <w:t>’</w:t>
      </w:r>
      <w:r w:rsidRPr="005F1938">
        <w:rPr>
          <w:lang w:val="fr-FR"/>
        </w:rPr>
        <w:t>il était nécessaire d</w:t>
      </w:r>
      <w:r>
        <w:rPr>
          <w:lang w:val="fr-FR"/>
        </w:rPr>
        <w:t>’</w:t>
      </w:r>
      <w:r w:rsidRPr="005F1938">
        <w:rPr>
          <w:lang w:val="fr-FR"/>
        </w:rPr>
        <w:t>harmoniser les dispositions du Règlement type. L</w:t>
      </w:r>
      <w:r>
        <w:rPr>
          <w:lang w:val="fr-FR"/>
        </w:rPr>
        <w:t>’</w:t>
      </w:r>
      <w:r w:rsidRPr="005F1938">
        <w:rPr>
          <w:lang w:val="fr-FR"/>
        </w:rPr>
        <w:t>expert de l</w:t>
      </w:r>
      <w:r>
        <w:rPr>
          <w:lang w:val="fr-FR"/>
        </w:rPr>
        <w:t>’</w:t>
      </w:r>
      <w:r w:rsidRPr="005F1938">
        <w:rPr>
          <w:lang w:val="fr-FR"/>
        </w:rPr>
        <w:t xml:space="preserve">Allemagne a proposé de créer un groupe de travail par correspondance pour approfondir les options proposées et </w:t>
      </w:r>
      <w:r>
        <w:rPr>
          <w:lang w:val="fr-FR"/>
        </w:rPr>
        <w:t>établir</w:t>
      </w:r>
      <w:r w:rsidRPr="005F1938">
        <w:rPr>
          <w:lang w:val="fr-FR"/>
        </w:rPr>
        <w:t xml:space="preserve"> un document actualisé pour la session</w:t>
      </w:r>
      <w:r>
        <w:rPr>
          <w:lang w:val="fr-FR"/>
        </w:rPr>
        <w:t xml:space="preserve"> suivante</w:t>
      </w:r>
      <w:r w:rsidRPr="005F1938">
        <w:rPr>
          <w:lang w:val="fr-FR"/>
        </w:rPr>
        <w:t>. Il a invité toutes les délégations à lui envoyer un courriel (à l</w:t>
      </w:r>
      <w:r>
        <w:rPr>
          <w:lang w:val="fr-FR"/>
        </w:rPr>
        <w:t>’</w:t>
      </w:r>
      <w:r w:rsidRPr="005F1938">
        <w:rPr>
          <w:lang w:val="fr-FR"/>
        </w:rPr>
        <w:t xml:space="preserve">adresse Philipp.Beyer@bmdv.bund.de) pour lui faire part de leur souhait de participer aux activités du groupe et lui communiquer leurs suggestions ou leurs éventuelles propositions </w:t>
      </w:r>
      <w:r>
        <w:rPr>
          <w:lang w:val="fr-FR"/>
        </w:rPr>
        <w:t>de modification de la proposition</w:t>
      </w:r>
      <w:r w:rsidRPr="005933F9">
        <w:rPr>
          <w:lang w:val="fr-FR"/>
        </w:rPr>
        <w:t>.</w:t>
      </w:r>
    </w:p>
    <w:p w14:paraId="75850F50" w14:textId="77777777" w:rsidR="0012021D" w:rsidRPr="005933F9" w:rsidRDefault="0012021D" w:rsidP="0012021D">
      <w:pPr>
        <w:pStyle w:val="SingleTxtG"/>
        <w:rPr>
          <w:lang w:val="fr-FR"/>
        </w:rPr>
      </w:pPr>
      <w:r w:rsidRPr="005933F9">
        <w:rPr>
          <w:lang w:val="fr-FR"/>
        </w:rPr>
        <w:t>37.</w:t>
      </w:r>
      <w:r w:rsidRPr="005933F9">
        <w:rPr>
          <w:lang w:val="fr-FR"/>
        </w:rPr>
        <w:tab/>
      </w:r>
      <w:r w:rsidRPr="005F1938">
        <w:rPr>
          <w:lang w:val="fr-FR"/>
        </w:rPr>
        <w:t>Le Sous-Comité a salué cette initiative et a décidé d</w:t>
      </w:r>
      <w:r>
        <w:rPr>
          <w:lang w:val="fr-FR"/>
        </w:rPr>
        <w:t>’</w:t>
      </w:r>
      <w:r w:rsidRPr="005F1938">
        <w:rPr>
          <w:lang w:val="fr-FR"/>
        </w:rPr>
        <w:t>examiner la question plus en détail à sa session</w:t>
      </w:r>
      <w:r>
        <w:rPr>
          <w:lang w:val="fr-FR"/>
        </w:rPr>
        <w:t xml:space="preserve"> suivante</w:t>
      </w:r>
      <w:r w:rsidRPr="005F1938">
        <w:rPr>
          <w:lang w:val="fr-FR"/>
        </w:rPr>
        <w:t>, sur la base d</w:t>
      </w:r>
      <w:r>
        <w:rPr>
          <w:lang w:val="fr-FR"/>
        </w:rPr>
        <w:t>’</w:t>
      </w:r>
      <w:r w:rsidRPr="005F1938">
        <w:rPr>
          <w:lang w:val="fr-FR"/>
        </w:rPr>
        <w:t>un nouveau document qui serait soumis par l</w:t>
      </w:r>
      <w:r>
        <w:rPr>
          <w:lang w:val="fr-FR"/>
        </w:rPr>
        <w:t>’</w:t>
      </w:r>
      <w:r w:rsidRPr="005F1938">
        <w:rPr>
          <w:lang w:val="fr-FR"/>
        </w:rPr>
        <w:t>Allemagne</w:t>
      </w:r>
      <w:r w:rsidRPr="005933F9">
        <w:rPr>
          <w:lang w:val="fr-FR"/>
        </w:rPr>
        <w:t>.</w:t>
      </w:r>
    </w:p>
    <w:p w14:paraId="0CA9767D" w14:textId="77777777" w:rsidR="0012021D" w:rsidRPr="005B3ACB" w:rsidRDefault="0012021D" w:rsidP="00E80FF4">
      <w:pPr>
        <w:pStyle w:val="H1G"/>
        <w:rPr>
          <w:lang w:val="fr-FR"/>
        </w:rPr>
      </w:pPr>
      <w:r w:rsidRPr="005933F9">
        <w:rPr>
          <w:lang w:val="fr-FR"/>
        </w:rPr>
        <w:tab/>
      </w:r>
      <w:r w:rsidRPr="005B3ACB">
        <w:rPr>
          <w:lang w:val="fr-FR"/>
        </w:rPr>
        <w:t>L.</w:t>
      </w:r>
      <w:r w:rsidRPr="005B3ACB">
        <w:rPr>
          <w:lang w:val="fr-FR"/>
        </w:rPr>
        <w:tab/>
      </w:r>
      <w:r>
        <w:rPr>
          <w:lang w:val="fr-FR"/>
        </w:rPr>
        <w:t>Révision du classement de l’hydroxyde de tétraméthylammonium</w:t>
      </w:r>
    </w:p>
    <w:p w14:paraId="5C3347CA" w14:textId="77777777" w:rsidR="0012021D" w:rsidRPr="005B3ACB" w:rsidRDefault="0012021D" w:rsidP="000C044E">
      <w:pPr>
        <w:pStyle w:val="SingleTxtG"/>
        <w:tabs>
          <w:tab w:val="clear" w:pos="2268"/>
          <w:tab w:val="clear" w:pos="2835"/>
        </w:tabs>
        <w:ind w:left="3402" w:hanging="2268"/>
        <w:jc w:val="left"/>
        <w:rPr>
          <w:lang w:val="fr-FR"/>
        </w:rPr>
      </w:pPr>
      <w:r w:rsidRPr="005B3ACB">
        <w:rPr>
          <w:i/>
          <w:iCs/>
          <w:lang w:val="fr-FR"/>
        </w:rPr>
        <w:t>Documents</w:t>
      </w:r>
      <w:r>
        <w:rPr>
          <w:i/>
          <w:iCs/>
          <w:lang w:val="fr-FR"/>
        </w:rPr>
        <w:t> </w:t>
      </w:r>
      <w:r w:rsidRPr="00E80FF4">
        <w:rPr>
          <w:lang w:val="fr-FR"/>
        </w:rPr>
        <w:t>:</w:t>
      </w:r>
      <w:r w:rsidRPr="005B3ACB">
        <w:rPr>
          <w:lang w:val="fr-FR"/>
        </w:rPr>
        <w:tab/>
        <w:t>ST/SG/AC.10/C.3/2022/68 (</w:t>
      </w:r>
      <w:r>
        <w:rPr>
          <w:lang w:val="fr-FR"/>
        </w:rPr>
        <w:t>Pays-Bas</w:t>
      </w:r>
      <w:r w:rsidRPr="005B3ACB">
        <w:rPr>
          <w:lang w:val="fr-FR"/>
        </w:rPr>
        <w:t>)</w:t>
      </w:r>
      <w:r w:rsidRPr="005B3ACB">
        <w:rPr>
          <w:lang w:val="fr-FR"/>
        </w:rPr>
        <w:br/>
        <w:t>ST/SG/AC.10/C.3/2022/72 (</w:t>
      </w:r>
      <w:r>
        <w:rPr>
          <w:lang w:val="fr-FR"/>
        </w:rPr>
        <w:t>CEFIC</w:t>
      </w:r>
      <w:r w:rsidRPr="005B3ACB">
        <w:rPr>
          <w:lang w:val="fr-FR"/>
        </w:rPr>
        <w:t>, DGAC)</w:t>
      </w:r>
    </w:p>
    <w:p w14:paraId="3655FAEF" w14:textId="38C9CB5D" w:rsidR="0012021D" w:rsidRPr="005B3ACB"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i/>
          <w:iCs/>
          <w:lang w:val="fr-FR"/>
        </w:rPr>
        <w:t> </w:t>
      </w:r>
      <w:r w:rsidRPr="00E80FF4">
        <w:rPr>
          <w:lang w:val="fr-FR"/>
        </w:rPr>
        <w:t>:</w:t>
      </w:r>
      <w:r>
        <w:rPr>
          <w:i/>
          <w:iCs/>
          <w:lang w:val="fr-FR"/>
        </w:rPr>
        <w:tab/>
      </w:r>
      <w:r w:rsidRPr="005B3ACB">
        <w:rPr>
          <w:lang w:val="fr-FR"/>
        </w:rPr>
        <w:t>INF.19 (</w:t>
      </w:r>
      <w:r>
        <w:rPr>
          <w:lang w:val="fr-FR"/>
        </w:rPr>
        <w:t>Pays-Bas</w:t>
      </w:r>
      <w:r w:rsidRPr="005B3ACB">
        <w:rPr>
          <w:lang w:val="fr-FR"/>
        </w:rPr>
        <w:t xml:space="preserve">) </w:t>
      </w:r>
      <w:r w:rsidRPr="005B3ACB">
        <w:rPr>
          <w:lang w:val="fr-FR"/>
        </w:rPr>
        <w:br/>
        <w:t xml:space="preserve">INF.21 </w:t>
      </w:r>
      <w:r>
        <w:rPr>
          <w:lang w:val="fr-FR"/>
        </w:rPr>
        <w:t>et</w:t>
      </w:r>
      <w:r w:rsidRPr="005B3ACB">
        <w:rPr>
          <w:lang w:val="fr-FR"/>
        </w:rPr>
        <w:t xml:space="preserve"> 54 (</w:t>
      </w:r>
      <w:r>
        <w:rPr>
          <w:lang w:val="fr-FR"/>
        </w:rPr>
        <w:t>CEFIC</w:t>
      </w:r>
      <w:r w:rsidRPr="005B3ACB">
        <w:rPr>
          <w:lang w:val="fr-FR"/>
        </w:rPr>
        <w:t>, DGAC)</w:t>
      </w:r>
    </w:p>
    <w:p w14:paraId="1B88618B" w14:textId="77777777" w:rsidR="0012021D" w:rsidRPr="005B3ACB" w:rsidRDefault="0012021D" w:rsidP="0012021D">
      <w:pPr>
        <w:pStyle w:val="SingleTxtG"/>
        <w:rPr>
          <w:lang w:val="fr-FR"/>
        </w:rPr>
      </w:pPr>
      <w:r w:rsidRPr="005B3ACB">
        <w:rPr>
          <w:lang w:val="fr-FR"/>
        </w:rPr>
        <w:t>38.</w:t>
      </w:r>
      <w:r w:rsidRPr="005B3ACB">
        <w:rPr>
          <w:lang w:val="fr-FR"/>
        </w:rPr>
        <w:tab/>
      </w:r>
      <w:r>
        <w:rPr>
          <w:lang w:val="fr-FR"/>
        </w:rPr>
        <w:t xml:space="preserve">Le Sous-Comité avait approuvé la tenue d’un débat plus approfondi sur la question au cours d’une séance de travail informelle sur les documents informels INF.19 et INF.21, sous la direction de la Belgique. </w:t>
      </w:r>
      <w:r w:rsidRPr="00E256A6">
        <w:rPr>
          <w:lang w:val="fr-FR"/>
        </w:rPr>
        <w:t>Au cours de ce débat, aucun consensus ne s</w:t>
      </w:r>
      <w:r>
        <w:rPr>
          <w:lang w:val="fr-FR"/>
        </w:rPr>
        <w:t>’</w:t>
      </w:r>
      <w:r w:rsidRPr="00E256A6">
        <w:rPr>
          <w:lang w:val="fr-FR"/>
        </w:rPr>
        <w:t>est dégagé sur la manière de progresser. Le document informel INF.54 fait état de l</w:t>
      </w:r>
      <w:r>
        <w:rPr>
          <w:lang w:val="fr-FR"/>
        </w:rPr>
        <w:t>’</w:t>
      </w:r>
      <w:r w:rsidRPr="00E256A6">
        <w:rPr>
          <w:lang w:val="fr-FR"/>
        </w:rPr>
        <w:t>opinion majoritaire du Sous-Comité.</w:t>
      </w:r>
    </w:p>
    <w:p w14:paraId="5A12C63F" w14:textId="77777777" w:rsidR="0012021D" w:rsidRPr="00CF4262" w:rsidRDefault="0012021D" w:rsidP="0012021D">
      <w:pPr>
        <w:pStyle w:val="SingleTxtG"/>
        <w:rPr>
          <w:lang w:val="fr-FR"/>
        </w:rPr>
      </w:pPr>
      <w:r w:rsidRPr="00CF4262">
        <w:rPr>
          <w:lang w:val="fr-FR"/>
        </w:rPr>
        <w:t>39.</w:t>
      </w:r>
      <w:r w:rsidRPr="00CF4262">
        <w:rPr>
          <w:lang w:val="fr-FR"/>
        </w:rPr>
        <w:tab/>
      </w:r>
      <w:r>
        <w:rPr>
          <w:lang w:val="fr-FR"/>
        </w:rPr>
        <w:t>Enfin</w:t>
      </w:r>
      <w:r w:rsidRPr="00CF4262">
        <w:rPr>
          <w:lang w:val="fr-FR"/>
        </w:rPr>
        <w:t>, l</w:t>
      </w:r>
      <w:r>
        <w:rPr>
          <w:lang w:val="fr-FR"/>
        </w:rPr>
        <w:t>’</w:t>
      </w:r>
      <w:r w:rsidRPr="00CF4262">
        <w:rPr>
          <w:lang w:val="fr-FR"/>
        </w:rPr>
        <w:t xml:space="preserve">expert des Pays-Bas a encore soulevé une préoccupation concernant les amendements proposés dans le document informel INF.54 sur les valeurs seuils des limites de concentration. </w:t>
      </w:r>
    </w:p>
    <w:p w14:paraId="1D4C33EF" w14:textId="77777777" w:rsidR="0012021D" w:rsidRPr="00CF4262" w:rsidRDefault="0012021D" w:rsidP="0012021D">
      <w:pPr>
        <w:pStyle w:val="SingleTxtG"/>
        <w:rPr>
          <w:lang w:val="fr-FR"/>
        </w:rPr>
      </w:pPr>
      <w:r w:rsidRPr="00CF4262">
        <w:rPr>
          <w:lang w:val="fr-FR"/>
        </w:rPr>
        <w:t>40.</w:t>
      </w:r>
      <w:r w:rsidRPr="00CF4262">
        <w:rPr>
          <w:lang w:val="fr-FR"/>
        </w:rPr>
        <w:tab/>
      </w:r>
      <w:r>
        <w:rPr>
          <w:lang w:val="fr-FR"/>
        </w:rPr>
        <w:t>Le Sous-Comité a adopté à la majorité les amendements proposés dans le document informel INF.54 tel que modifié (voir l’annexe</w:t>
      </w:r>
      <w:r w:rsidRPr="00CF4262">
        <w:rPr>
          <w:lang w:val="fr-FR"/>
        </w:rPr>
        <w:t xml:space="preserve"> I).</w:t>
      </w:r>
    </w:p>
    <w:p w14:paraId="0F711186" w14:textId="58B425BE" w:rsidR="0012021D" w:rsidRPr="009870CF" w:rsidRDefault="0012021D" w:rsidP="00E80FF4">
      <w:pPr>
        <w:pStyle w:val="H1G"/>
        <w:rPr>
          <w:lang w:val="fr-FR"/>
        </w:rPr>
      </w:pPr>
      <w:r w:rsidRPr="00CF4262">
        <w:rPr>
          <w:lang w:val="fr-FR"/>
        </w:rPr>
        <w:tab/>
      </w:r>
      <w:r w:rsidRPr="009870CF">
        <w:rPr>
          <w:lang w:val="fr-FR"/>
        </w:rPr>
        <w:t>M.</w:t>
      </w:r>
      <w:r w:rsidRPr="009870CF">
        <w:rPr>
          <w:lang w:val="fr-FR"/>
        </w:rPr>
        <w:tab/>
      </w:r>
      <w:r w:rsidRPr="00EF35E3">
        <w:rPr>
          <w:lang w:val="fr-FR"/>
        </w:rPr>
        <w:t>Attribution d</w:t>
      </w:r>
      <w:r>
        <w:rPr>
          <w:lang w:val="fr-FR"/>
        </w:rPr>
        <w:t>’</w:t>
      </w:r>
      <w:r w:rsidRPr="00EF35E3">
        <w:rPr>
          <w:lang w:val="fr-FR"/>
        </w:rPr>
        <w:t xml:space="preserve">un nouveau numéro ONU aux véhicules alimentés </w:t>
      </w:r>
      <w:r w:rsidR="00E80FF4">
        <w:rPr>
          <w:lang w:val="fr-FR"/>
        </w:rPr>
        <w:br/>
      </w:r>
      <w:r w:rsidRPr="00EF35E3">
        <w:rPr>
          <w:lang w:val="fr-FR"/>
        </w:rPr>
        <w:t>par</w:t>
      </w:r>
      <w:r w:rsidR="00E80FF4">
        <w:rPr>
          <w:lang w:val="fr-FR"/>
        </w:rPr>
        <w:t xml:space="preserve"> </w:t>
      </w:r>
      <w:r w:rsidRPr="00EF35E3">
        <w:rPr>
          <w:lang w:val="fr-FR"/>
        </w:rPr>
        <w:t>des</w:t>
      </w:r>
      <w:r w:rsidR="00E80FF4">
        <w:rPr>
          <w:lang w:val="fr-FR"/>
        </w:rPr>
        <w:t xml:space="preserve"> </w:t>
      </w:r>
      <w:r w:rsidRPr="00EF35E3">
        <w:rPr>
          <w:lang w:val="fr-FR"/>
        </w:rPr>
        <w:t>batteries au lithium</w:t>
      </w:r>
    </w:p>
    <w:p w14:paraId="7FB9EFE8"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w:t>
      </w:r>
      <w:r w:rsidRPr="00E80FF4">
        <w:rPr>
          <w:lang w:val="en-US"/>
        </w:rPr>
        <w:t> :</w:t>
      </w:r>
      <w:proofErr w:type="gramEnd"/>
      <w:r w:rsidRPr="0012021D">
        <w:rPr>
          <w:lang w:val="en-US"/>
        </w:rPr>
        <w:tab/>
        <w:t>ST/SG/AC.10/C.3/2022/70 (IATA)</w:t>
      </w:r>
    </w:p>
    <w:p w14:paraId="1B359A42" w14:textId="77777777" w:rsidR="0012021D" w:rsidRPr="00FD1154" w:rsidRDefault="0012021D" w:rsidP="000C044E">
      <w:pPr>
        <w:pStyle w:val="SingleTxtG"/>
        <w:tabs>
          <w:tab w:val="clear" w:pos="2268"/>
          <w:tab w:val="clear" w:pos="2835"/>
        </w:tabs>
        <w:ind w:left="3402" w:hanging="2268"/>
        <w:jc w:val="left"/>
        <w:rPr>
          <w:lang w:val="fr-FR"/>
        </w:rPr>
      </w:pPr>
      <w:r>
        <w:rPr>
          <w:i/>
          <w:lang w:val="fr-FR"/>
        </w:rPr>
        <w:t xml:space="preserve">Document(s) informel(s) </w:t>
      </w:r>
      <w:r w:rsidRPr="00E80FF4">
        <w:rPr>
          <w:iCs/>
          <w:lang w:val="fr-FR"/>
        </w:rPr>
        <w:t>:</w:t>
      </w:r>
      <w:r>
        <w:rPr>
          <w:i/>
          <w:lang w:val="fr-FR"/>
        </w:rPr>
        <w:tab/>
      </w:r>
      <w:r w:rsidRPr="00FD1154">
        <w:rPr>
          <w:lang w:val="fr-FR"/>
        </w:rPr>
        <w:t>INF.45 (</w:t>
      </w:r>
      <w:r w:rsidRPr="00EF35E3">
        <w:rPr>
          <w:lang w:val="fr-FR"/>
        </w:rPr>
        <w:t>Royaume-Uni</w:t>
      </w:r>
      <w:r w:rsidRPr="00FD1154">
        <w:rPr>
          <w:lang w:val="fr-FR"/>
        </w:rPr>
        <w:t>)</w:t>
      </w:r>
      <w:r w:rsidRPr="00FD1154">
        <w:rPr>
          <w:lang w:val="fr-FR"/>
        </w:rPr>
        <w:br/>
        <w:t>INF.51/Rev.1 (IATA)</w:t>
      </w:r>
    </w:p>
    <w:p w14:paraId="726B9CEE" w14:textId="77777777" w:rsidR="0012021D" w:rsidRPr="00FD1154" w:rsidRDefault="0012021D" w:rsidP="0012021D">
      <w:pPr>
        <w:pStyle w:val="SingleTxtG"/>
        <w:rPr>
          <w:lang w:val="fr-FR"/>
        </w:rPr>
      </w:pPr>
      <w:r w:rsidRPr="00FD1154">
        <w:rPr>
          <w:lang w:val="fr-FR"/>
        </w:rPr>
        <w:t>41.</w:t>
      </w:r>
      <w:r w:rsidRPr="00FD1154">
        <w:rPr>
          <w:lang w:val="fr-FR"/>
        </w:rPr>
        <w:tab/>
      </w:r>
      <w:r w:rsidRPr="00EF35E3">
        <w:rPr>
          <w:lang w:val="fr-FR"/>
        </w:rPr>
        <w:t xml:space="preserve">Le Sous-Comité a examiné le document ST/SG/AC.10/C.3/2022/70 et a adopté les amendements proposés dans le document informel INF.51/Rev.1 </w:t>
      </w:r>
      <w:r>
        <w:rPr>
          <w:lang w:val="fr-FR"/>
        </w:rPr>
        <w:t>moyennant</w:t>
      </w:r>
      <w:r w:rsidRPr="00EF35E3">
        <w:rPr>
          <w:lang w:val="fr-FR"/>
        </w:rPr>
        <w:t xml:space="preserve"> une correction supplémentaire (</w:t>
      </w:r>
      <w:r>
        <w:rPr>
          <w:lang w:val="fr-FR"/>
        </w:rPr>
        <w:t>voir l’annexe </w:t>
      </w:r>
      <w:r w:rsidRPr="00FD1154">
        <w:rPr>
          <w:lang w:val="fr-FR"/>
        </w:rPr>
        <w:t>I).</w:t>
      </w:r>
    </w:p>
    <w:p w14:paraId="25705731" w14:textId="77777777" w:rsidR="0012021D" w:rsidRPr="00175D4B" w:rsidRDefault="0012021D" w:rsidP="00E80FF4">
      <w:pPr>
        <w:pStyle w:val="H1G"/>
        <w:rPr>
          <w:lang w:val="fr-FR"/>
        </w:rPr>
      </w:pPr>
      <w:r w:rsidRPr="00FD1154">
        <w:rPr>
          <w:lang w:val="fr-FR"/>
        </w:rPr>
        <w:tab/>
      </w:r>
      <w:r w:rsidRPr="00175D4B">
        <w:rPr>
          <w:lang w:val="fr-FR"/>
        </w:rPr>
        <w:t>N.</w:t>
      </w:r>
      <w:r w:rsidRPr="00175D4B">
        <w:rPr>
          <w:lang w:val="fr-FR"/>
        </w:rPr>
        <w:tab/>
      </w:r>
      <w:r w:rsidRPr="00EF35E3">
        <w:rPr>
          <w:lang w:val="fr-FR"/>
        </w:rPr>
        <w:t>Dispositifs d</w:t>
      </w:r>
      <w:r>
        <w:rPr>
          <w:lang w:val="fr-FR"/>
        </w:rPr>
        <w:t>’</w:t>
      </w:r>
      <w:r w:rsidRPr="00EF35E3">
        <w:rPr>
          <w:lang w:val="fr-FR"/>
        </w:rPr>
        <w:t>extinction de feu contenant une matière pyrotechnique</w:t>
      </w:r>
    </w:p>
    <w:p w14:paraId="61CDA8AC"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w:t>
      </w:r>
      <w:r w:rsidRPr="00E80FF4">
        <w:rPr>
          <w:lang w:val="en-US"/>
        </w:rPr>
        <w:t> :</w:t>
      </w:r>
      <w:proofErr w:type="gramEnd"/>
      <w:r w:rsidRPr="0012021D">
        <w:rPr>
          <w:lang w:val="en-US"/>
        </w:rPr>
        <w:tab/>
        <w:t>ST/SG/AC.10/C.3/2022/73 (COSTHA)</w:t>
      </w:r>
    </w:p>
    <w:p w14:paraId="29CCBF54"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 informel(s</w:t>
      </w:r>
      <w:proofErr w:type="gramStart"/>
      <w:r w:rsidRPr="0012021D">
        <w:rPr>
          <w:i/>
          <w:iCs/>
          <w:lang w:val="en-US"/>
        </w:rPr>
        <w:t xml:space="preserve">) </w:t>
      </w:r>
      <w:r w:rsidRPr="00E80FF4">
        <w:rPr>
          <w:lang w:val="en-US"/>
        </w:rPr>
        <w:t>:</w:t>
      </w:r>
      <w:proofErr w:type="gramEnd"/>
      <w:r w:rsidRPr="0012021D">
        <w:rPr>
          <w:i/>
          <w:iCs/>
          <w:lang w:val="en-US"/>
        </w:rPr>
        <w:tab/>
      </w:r>
      <w:r w:rsidRPr="0012021D">
        <w:rPr>
          <w:lang w:val="en-US"/>
        </w:rPr>
        <w:t>INF.53/Rev.1 (COSTHA)</w:t>
      </w:r>
    </w:p>
    <w:p w14:paraId="2ED4C21F" w14:textId="77777777" w:rsidR="0012021D" w:rsidRPr="00175D4B" w:rsidRDefault="0012021D" w:rsidP="0012021D">
      <w:pPr>
        <w:pStyle w:val="SingleTxtG"/>
        <w:rPr>
          <w:lang w:val="fr-FR"/>
        </w:rPr>
      </w:pPr>
      <w:r w:rsidRPr="00175D4B">
        <w:rPr>
          <w:lang w:val="fr-FR"/>
        </w:rPr>
        <w:t>42.</w:t>
      </w:r>
      <w:r w:rsidRPr="00175D4B">
        <w:rPr>
          <w:lang w:val="fr-FR"/>
        </w:rPr>
        <w:tab/>
      </w:r>
      <w:r w:rsidRPr="00EF35E3">
        <w:rPr>
          <w:lang w:val="fr-FR"/>
        </w:rPr>
        <w:t>À la suite d</w:t>
      </w:r>
      <w:r>
        <w:rPr>
          <w:lang w:val="fr-FR"/>
        </w:rPr>
        <w:t>’</w:t>
      </w:r>
      <w:r w:rsidRPr="00EF35E3">
        <w:rPr>
          <w:lang w:val="fr-FR"/>
        </w:rPr>
        <w:t xml:space="preserve">un </w:t>
      </w:r>
      <w:r>
        <w:rPr>
          <w:lang w:val="fr-FR"/>
        </w:rPr>
        <w:t>débat</w:t>
      </w:r>
      <w:r w:rsidRPr="00EF35E3">
        <w:rPr>
          <w:lang w:val="fr-FR"/>
        </w:rPr>
        <w:t xml:space="preserve"> sur le document ST/SG/AC.10/C.3/2022/73 tenue lors d</w:t>
      </w:r>
      <w:r>
        <w:rPr>
          <w:lang w:val="fr-FR"/>
        </w:rPr>
        <w:t>’</w:t>
      </w:r>
      <w:r w:rsidRPr="00EF35E3">
        <w:rPr>
          <w:lang w:val="fr-FR"/>
        </w:rPr>
        <w:t xml:space="preserve">une </w:t>
      </w:r>
      <w:r>
        <w:rPr>
          <w:lang w:val="fr-FR"/>
        </w:rPr>
        <w:t>séance</w:t>
      </w:r>
      <w:r w:rsidRPr="00EF35E3">
        <w:rPr>
          <w:lang w:val="fr-FR"/>
        </w:rPr>
        <w:t xml:space="preserve"> informelle, le Sous-Comité a adopté à la majorité les amendements proposés dans le document informel INF.53/Rev</w:t>
      </w:r>
      <w:r>
        <w:rPr>
          <w:lang w:val="fr-FR"/>
        </w:rPr>
        <w:t>.</w:t>
      </w:r>
      <w:r w:rsidRPr="00EF35E3">
        <w:rPr>
          <w:lang w:val="fr-FR"/>
        </w:rPr>
        <w:t xml:space="preserve">1 </w:t>
      </w:r>
      <w:r>
        <w:rPr>
          <w:lang w:val="fr-FR"/>
        </w:rPr>
        <w:t>moyennant</w:t>
      </w:r>
      <w:r w:rsidRPr="00EF35E3">
        <w:rPr>
          <w:lang w:val="fr-FR"/>
        </w:rPr>
        <w:t xml:space="preserve"> quelques modifications d</w:t>
      </w:r>
      <w:r>
        <w:rPr>
          <w:lang w:val="fr-FR"/>
        </w:rPr>
        <w:t>’</w:t>
      </w:r>
      <w:r w:rsidRPr="00EF35E3">
        <w:rPr>
          <w:lang w:val="fr-FR"/>
        </w:rPr>
        <w:t>ordre rédactionnel (</w:t>
      </w:r>
      <w:r>
        <w:rPr>
          <w:lang w:val="fr-FR"/>
        </w:rPr>
        <w:t>voir l’annexe </w:t>
      </w:r>
      <w:r w:rsidRPr="00175D4B">
        <w:rPr>
          <w:lang w:val="fr-FR"/>
        </w:rPr>
        <w:t>I).</w:t>
      </w:r>
    </w:p>
    <w:p w14:paraId="3327F97A" w14:textId="0DFB72B0" w:rsidR="0012021D" w:rsidRPr="00727606" w:rsidRDefault="0012021D" w:rsidP="00E80FF4">
      <w:pPr>
        <w:pStyle w:val="HChG"/>
        <w:rPr>
          <w:lang w:val="fr-FR"/>
        </w:rPr>
      </w:pPr>
      <w:r w:rsidRPr="00175D4B">
        <w:rPr>
          <w:bCs/>
          <w:lang w:val="fr-FR"/>
        </w:rPr>
        <w:tab/>
      </w:r>
      <w:r w:rsidRPr="00727606">
        <w:rPr>
          <w:bCs/>
          <w:lang w:val="fr-FR"/>
        </w:rPr>
        <w:t>VI.</w:t>
      </w:r>
      <w:r w:rsidRPr="00727606">
        <w:rPr>
          <w:lang w:val="fr-FR"/>
        </w:rPr>
        <w:tab/>
      </w:r>
      <w:r w:rsidRPr="00D14911">
        <w:rPr>
          <w:lang w:val="fr-FR"/>
        </w:rPr>
        <w:t>Systèmes de stockage de l</w:t>
      </w:r>
      <w:r>
        <w:rPr>
          <w:lang w:val="fr-FR"/>
        </w:rPr>
        <w:t>’</w:t>
      </w:r>
      <w:r w:rsidRPr="00D14911">
        <w:rPr>
          <w:lang w:val="fr-FR"/>
        </w:rPr>
        <w:t xml:space="preserve">électricité </w:t>
      </w:r>
      <w:r w:rsidR="00E80FF4">
        <w:rPr>
          <w:lang w:val="fr-FR"/>
        </w:rPr>
        <w:br/>
      </w:r>
      <w:r w:rsidRPr="00D14911">
        <w:rPr>
          <w:lang w:val="fr-FR"/>
        </w:rPr>
        <w:t xml:space="preserve">(point </w:t>
      </w:r>
      <w:r>
        <w:rPr>
          <w:lang w:val="fr-FR"/>
        </w:rPr>
        <w:t>4</w:t>
      </w:r>
      <w:r w:rsidRPr="00D14911">
        <w:rPr>
          <w:lang w:val="fr-FR"/>
        </w:rPr>
        <w:t xml:space="preserve"> de l</w:t>
      </w:r>
      <w:r>
        <w:rPr>
          <w:lang w:val="fr-FR"/>
        </w:rPr>
        <w:t>’</w:t>
      </w:r>
      <w:r w:rsidRPr="00D14911">
        <w:rPr>
          <w:lang w:val="fr-FR"/>
        </w:rPr>
        <w:t>ordre du</w:t>
      </w:r>
      <w:r w:rsidR="00E80FF4">
        <w:rPr>
          <w:lang w:val="fr-FR"/>
        </w:rPr>
        <w:t xml:space="preserve"> </w:t>
      </w:r>
      <w:r w:rsidRPr="00D14911">
        <w:rPr>
          <w:lang w:val="fr-FR"/>
        </w:rPr>
        <w:t>jour</w:t>
      </w:r>
      <w:r w:rsidRPr="00727606">
        <w:rPr>
          <w:lang w:val="fr-FR"/>
        </w:rPr>
        <w:t>)</w:t>
      </w:r>
    </w:p>
    <w:p w14:paraId="1F9A8B79" w14:textId="77777777" w:rsidR="0012021D" w:rsidRPr="00727606" w:rsidRDefault="0012021D" w:rsidP="00E80FF4">
      <w:pPr>
        <w:pStyle w:val="H1G"/>
        <w:rPr>
          <w:lang w:val="fr-FR"/>
        </w:rPr>
      </w:pPr>
      <w:r w:rsidRPr="00727606">
        <w:rPr>
          <w:bCs/>
          <w:lang w:val="fr-FR"/>
        </w:rPr>
        <w:tab/>
        <w:t>A.</w:t>
      </w:r>
      <w:r w:rsidRPr="00727606">
        <w:rPr>
          <w:lang w:val="fr-FR"/>
        </w:rPr>
        <w:tab/>
      </w:r>
      <w:r w:rsidRPr="00D14911">
        <w:rPr>
          <w:lang w:val="fr-FR"/>
        </w:rPr>
        <w:t>Épreuves pour les batteries au lithium</w:t>
      </w:r>
    </w:p>
    <w:p w14:paraId="06E565BF" w14:textId="77777777" w:rsidR="0012021D" w:rsidRPr="00727606" w:rsidRDefault="0012021D" w:rsidP="0012021D">
      <w:pPr>
        <w:pStyle w:val="SingleTxtG"/>
        <w:rPr>
          <w:lang w:val="fr-FR"/>
        </w:rPr>
      </w:pPr>
      <w:r w:rsidRPr="00727606">
        <w:rPr>
          <w:lang w:val="fr-FR"/>
        </w:rPr>
        <w:t>43.</w:t>
      </w:r>
      <w:r w:rsidRPr="00727606">
        <w:rPr>
          <w:lang w:val="fr-FR"/>
        </w:rPr>
        <w:tab/>
      </w:r>
      <w:r w:rsidRPr="00D14911">
        <w:rPr>
          <w:lang w:val="fr-FR"/>
        </w:rPr>
        <w:t>Aucun document n</w:t>
      </w:r>
      <w:r>
        <w:rPr>
          <w:lang w:val="fr-FR"/>
        </w:rPr>
        <w:t>’</w:t>
      </w:r>
      <w:r w:rsidRPr="00D14911">
        <w:rPr>
          <w:lang w:val="fr-FR"/>
        </w:rPr>
        <w:t>ayant été soumis au titre de ce point de l</w:t>
      </w:r>
      <w:r>
        <w:rPr>
          <w:lang w:val="fr-FR"/>
        </w:rPr>
        <w:t>’</w:t>
      </w:r>
      <w:r w:rsidRPr="00D14911">
        <w:rPr>
          <w:lang w:val="fr-FR"/>
        </w:rPr>
        <w:t>ordre du jour, la question n</w:t>
      </w:r>
      <w:r>
        <w:rPr>
          <w:lang w:val="fr-FR"/>
        </w:rPr>
        <w:t>’</w:t>
      </w:r>
      <w:r w:rsidRPr="00D14911">
        <w:rPr>
          <w:lang w:val="fr-FR"/>
        </w:rPr>
        <w:t>a pas été abordée</w:t>
      </w:r>
      <w:r w:rsidRPr="00727606">
        <w:rPr>
          <w:lang w:val="fr-FR"/>
        </w:rPr>
        <w:t>.</w:t>
      </w:r>
    </w:p>
    <w:p w14:paraId="297CFA20" w14:textId="7C201E4B" w:rsidR="0012021D" w:rsidRPr="00727606" w:rsidRDefault="0012021D" w:rsidP="00E80FF4">
      <w:pPr>
        <w:pStyle w:val="H1G"/>
        <w:rPr>
          <w:lang w:val="fr-FR"/>
        </w:rPr>
      </w:pPr>
      <w:r w:rsidRPr="00727606">
        <w:rPr>
          <w:bCs/>
          <w:lang w:val="fr-FR"/>
        </w:rPr>
        <w:tab/>
        <w:t>B.</w:t>
      </w:r>
      <w:r w:rsidRPr="00727606">
        <w:rPr>
          <w:lang w:val="fr-FR"/>
        </w:rPr>
        <w:tab/>
      </w:r>
      <w:r w:rsidRPr="00D14911">
        <w:rPr>
          <w:lang w:val="fr-FR"/>
        </w:rPr>
        <w:t xml:space="preserve">Système de classification des batteries au lithium </w:t>
      </w:r>
      <w:r w:rsidR="00E80FF4">
        <w:rPr>
          <w:lang w:val="fr-FR"/>
        </w:rPr>
        <w:br/>
      </w:r>
      <w:r w:rsidRPr="00D14911">
        <w:rPr>
          <w:lang w:val="fr-FR"/>
        </w:rPr>
        <w:t>en fonction du danger</w:t>
      </w:r>
    </w:p>
    <w:p w14:paraId="3A9457C5" w14:textId="77777777" w:rsidR="0012021D" w:rsidRPr="00727606" w:rsidRDefault="0012021D" w:rsidP="0012021D">
      <w:pPr>
        <w:pStyle w:val="SingleTxtG"/>
        <w:rPr>
          <w:lang w:val="fr-FR"/>
        </w:rPr>
      </w:pPr>
      <w:r w:rsidRPr="00727606">
        <w:rPr>
          <w:lang w:val="fr-FR"/>
        </w:rPr>
        <w:t>44.</w:t>
      </w:r>
      <w:r w:rsidRPr="00727606">
        <w:rPr>
          <w:lang w:val="fr-FR"/>
        </w:rPr>
        <w:tab/>
      </w:r>
      <w:r w:rsidRPr="008A5BA9">
        <w:rPr>
          <w:lang w:val="fr-FR"/>
        </w:rPr>
        <w:t>Aucun document n</w:t>
      </w:r>
      <w:r>
        <w:rPr>
          <w:lang w:val="fr-FR"/>
        </w:rPr>
        <w:t>’</w:t>
      </w:r>
      <w:r w:rsidRPr="008A5BA9">
        <w:rPr>
          <w:lang w:val="fr-FR"/>
        </w:rPr>
        <w:t>ayant été soumis au titre de ce point de l</w:t>
      </w:r>
      <w:r>
        <w:rPr>
          <w:lang w:val="fr-FR"/>
        </w:rPr>
        <w:t>’</w:t>
      </w:r>
      <w:r w:rsidRPr="008A5BA9">
        <w:rPr>
          <w:lang w:val="fr-FR"/>
        </w:rPr>
        <w:t>ordre du jour, la question n</w:t>
      </w:r>
      <w:r>
        <w:rPr>
          <w:lang w:val="fr-FR"/>
        </w:rPr>
        <w:t>’</w:t>
      </w:r>
      <w:r w:rsidRPr="008A5BA9">
        <w:rPr>
          <w:lang w:val="fr-FR"/>
        </w:rPr>
        <w:t>a pas été abordée</w:t>
      </w:r>
      <w:r w:rsidRPr="00727606">
        <w:rPr>
          <w:lang w:val="fr-FR"/>
        </w:rPr>
        <w:t>.</w:t>
      </w:r>
    </w:p>
    <w:p w14:paraId="67F7F89B" w14:textId="77777777" w:rsidR="0012021D" w:rsidRPr="00727606" w:rsidRDefault="0012021D" w:rsidP="00E80FF4">
      <w:pPr>
        <w:pStyle w:val="H1G"/>
        <w:rPr>
          <w:lang w:val="fr-FR"/>
        </w:rPr>
      </w:pPr>
      <w:r w:rsidRPr="00727606">
        <w:rPr>
          <w:bCs/>
          <w:lang w:val="fr-FR"/>
        </w:rPr>
        <w:tab/>
        <w:t>C.</w:t>
      </w:r>
      <w:r w:rsidRPr="00727606">
        <w:rPr>
          <w:lang w:val="fr-FR"/>
        </w:rPr>
        <w:tab/>
      </w:r>
      <w:r w:rsidRPr="00D90ED9">
        <w:rPr>
          <w:lang w:val="fr-FR"/>
        </w:rPr>
        <w:t>Dispositions relatives au transport</w:t>
      </w:r>
    </w:p>
    <w:p w14:paraId="2F093C8F" w14:textId="674AE1B2" w:rsidR="0012021D" w:rsidRPr="00727606" w:rsidRDefault="0012021D" w:rsidP="00E80FF4">
      <w:pPr>
        <w:pStyle w:val="H23G"/>
        <w:rPr>
          <w:lang w:val="fr-FR"/>
        </w:rPr>
      </w:pPr>
      <w:r w:rsidRPr="00612F52">
        <w:rPr>
          <w:bCs/>
          <w:lang w:val="fr-FR"/>
        </w:rPr>
        <w:tab/>
      </w:r>
      <w:r w:rsidRPr="00727606">
        <w:rPr>
          <w:bCs/>
          <w:lang w:val="fr-FR"/>
        </w:rPr>
        <w:t>1.</w:t>
      </w:r>
      <w:r w:rsidRPr="00727606">
        <w:rPr>
          <w:lang w:val="fr-FR"/>
        </w:rPr>
        <w:tab/>
      </w:r>
      <w:bookmarkStart w:id="0" w:name="_Hlk119063808"/>
      <w:bookmarkStart w:id="1" w:name="_Hlk119064260"/>
      <w:bookmarkEnd w:id="0"/>
      <w:bookmarkEnd w:id="1"/>
      <w:r w:rsidRPr="00460D89">
        <w:rPr>
          <w:lang w:val="fr-FR"/>
        </w:rPr>
        <w:t xml:space="preserve">Dispositions concernant les batteries composites constituées de piles </w:t>
      </w:r>
      <w:r w:rsidR="00E80FF4">
        <w:rPr>
          <w:lang w:val="fr-FR"/>
        </w:rPr>
        <w:br/>
      </w:r>
      <w:r w:rsidRPr="00460D89">
        <w:rPr>
          <w:lang w:val="fr-FR"/>
        </w:rPr>
        <w:t>au lithium ionique et</w:t>
      </w:r>
      <w:r>
        <w:rPr>
          <w:lang w:val="fr-FR"/>
        </w:rPr>
        <w:t xml:space="preserve"> de piles au s</w:t>
      </w:r>
      <w:r w:rsidRPr="00460D89">
        <w:rPr>
          <w:lang w:val="fr-FR"/>
        </w:rPr>
        <w:t>odium ion</w:t>
      </w:r>
      <w:r>
        <w:rPr>
          <w:lang w:val="fr-FR"/>
        </w:rPr>
        <w:t>ique</w:t>
      </w:r>
    </w:p>
    <w:p w14:paraId="10650328" w14:textId="1B7D6D0A" w:rsidR="0012021D" w:rsidRPr="00612F52" w:rsidRDefault="0012021D" w:rsidP="000C044E">
      <w:pPr>
        <w:pStyle w:val="SingleTxtG"/>
        <w:tabs>
          <w:tab w:val="clear" w:pos="2268"/>
          <w:tab w:val="clear" w:pos="2835"/>
        </w:tabs>
        <w:ind w:left="3402" w:hanging="2268"/>
        <w:jc w:val="left"/>
        <w:rPr>
          <w:lang w:val="fr-FR"/>
        </w:rPr>
      </w:pPr>
      <w:r>
        <w:rPr>
          <w:i/>
          <w:lang w:val="fr-FR"/>
        </w:rPr>
        <w:t>Document(s) informel(s)</w:t>
      </w:r>
      <w:r w:rsidR="00E80FF4">
        <w:rPr>
          <w:i/>
          <w:lang w:val="fr-FR"/>
        </w:rPr>
        <w:t> </w:t>
      </w:r>
      <w:r w:rsidRPr="00E80FF4">
        <w:rPr>
          <w:iCs/>
          <w:lang w:val="fr-FR"/>
        </w:rPr>
        <w:t>:</w:t>
      </w:r>
      <w:r>
        <w:rPr>
          <w:i/>
          <w:lang w:val="fr-FR"/>
        </w:rPr>
        <w:tab/>
      </w:r>
      <w:r w:rsidRPr="00612F52">
        <w:rPr>
          <w:lang w:val="fr-FR"/>
        </w:rPr>
        <w:t>INF.37 (Chine)</w:t>
      </w:r>
    </w:p>
    <w:p w14:paraId="0E36DAC5" w14:textId="77777777" w:rsidR="0012021D" w:rsidRPr="00727606" w:rsidRDefault="0012021D" w:rsidP="0012021D">
      <w:pPr>
        <w:pStyle w:val="SingleTxtG"/>
        <w:rPr>
          <w:lang w:val="fr-FR"/>
        </w:rPr>
      </w:pPr>
      <w:r w:rsidRPr="00727606">
        <w:rPr>
          <w:lang w:val="fr-FR"/>
        </w:rPr>
        <w:t>45.</w:t>
      </w:r>
      <w:r w:rsidRPr="00727606">
        <w:rPr>
          <w:lang w:val="fr-FR"/>
        </w:rPr>
        <w:tab/>
      </w:r>
      <w:r>
        <w:rPr>
          <w:lang w:val="fr-FR"/>
        </w:rPr>
        <w:t>Le Sous-Comité a constaté que, dans le cas où des batteries hybrides étaient connectées, les dispositions actuelles du Règlement type relatives aux épreuves et aux emballages n’étaient pas claires et devaient être revues. L’expert de la Chine a proposé d’étudier plus avant la question et de soumettre une nouvelle proposition détaillée</w:t>
      </w:r>
      <w:r w:rsidRPr="00164E4D">
        <w:rPr>
          <w:lang w:val="fr-FR"/>
        </w:rPr>
        <w:t xml:space="preserve"> </w:t>
      </w:r>
      <w:r>
        <w:rPr>
          <w:lang w:val="fr-FR"/>
        </w:rPr>
        <w:t>pour la session suivante</w:t>
      </w:r>
      <w:r w:rsidRPr="00727606">
        <w:rPr>
          <w:lang w:val="fr-FR"/>
        </w:rPr>
        <w:t>.</w:t>
      </w:r>
    </w:p>
    <w:p w14:paraId="697364BF" w14:textId="2CECDD34" w:rsidR="0012021D" w:rsidRPr="00727606" w:rsidRDefault="0012021D" w:rsidP="00E80FF4">
      <w:pPr>
        <w:pStyle w:val="H23G"/>
        <w:rPr>
          <w:lang w:val="fr-FR"/>
        </w:rPr>
      </w:pPr>
      <w:r w:rsidRPr="00727606">
        <w:rPr>
          <w:lang w:val="fr-FR"/>
        </w:rPr>
        <w:tab/>
        <w:t>2.</w:t>
      </w:r>
      <w:r w:rsidRPr="00727606">
        <w:rPr>
          <w:lang w:val="fr-FR"/>
        </w:rPr>
        <w:tab/>
      </w:r>
      <w:r>
        <w:rPr>
          <w:lang w:val="fr-FR"/>
        </w:rPr>
        <w:t xml:space="preserve">Amendements aux prescriptions d’étiquetage des colis </w:t>
      </w:r>
      <w:r w:rsidR="00E80FF4">
        <w:rPr>
          <w:lang w:val="fr-FR"/>
        </w:rPr>
        <w:br/>
      </w:r>
      <w:r>
        <w:rPr>
          <w:lang w:val="fr-FR"/>
        </w:rPr>
        <w:t>dans le Règlement type de</w:t>
      </w:r>
      <w:r w:rsidR="00E80FF4">
        <w:rPr>
          <w:lang w:val="fr-FR"/>
        </w:rPr>
        <w:t xml:space="preserve"> </w:t>
      </w:r>
      <w:r>
        <w:rPr>
          <w:lang w:val="fr-FR"/>
        </w:rPr>
        <w:t>l’ONU</w:t>
      </w:r>
    </w:p>
    <w:p w14:paraId="0AECE189" w14:textId="0A95EB70" w:rsidR="0012021D" w:rsidRPr="00C234A9" w:rsidRDefault="0012021D" w:rsidP="000C044E">
      <w:pPr>
        <w:pStyle w:val="SingleTxtG"/>
        <w:tabs>
          <w:tab w:val="clear" w:pos="2268"/>
          <w:tab w:val="clear" w:pos="2835"/>
        </w:tabs>
        <w:ind w:left="3402" w:hanging="2268"/>
        <w:jc w:val="left"/>
        <w:rPr>
          <w:i/>
          <w:iCs/>
        </w:rPr>
      </w:pPr>
      <w:r w:rsidRPr="00C234A9">
        <w:rPr>
          <w:i/>
          <w:iCs/>
        </w:rPr>
        <w:t>Document(s) informel(s)</w:t>
      </w:r>
      <w:r w:rsidR="00E80FF4">
        <w:rPr>
          <w:i/>
          <w:iCs/>
        </w:rPr>
        <w:t> </w:t>
      </w:r>
      <w:r w:rsidRPr="00E80FF4">
        <w:t>:</w:t>
      </w:r>
      <w:r w:rsidRPr="00C234A9">
        <w:rPr>
          <w:i/>
          <w:iCs/>
        </w:rPr>
        <w:tab/>
      </w:r>
      <w:r w:rsidRPr="00C234A9">
        <w:t>INF.38 (Chine)</w:t>
      </w:r>
    </w:p>
    <w:p w14:paraId="3C94F8B2" w14:textId="77777777" w:rsidR="0012021D" w:rsidRPr="00727606" w:rsidRDefault="0012021D" w:rsidP="0012021D">
      <w:pPr>
        <w:pStyle w:val="SingleTxtG"/>
        <w:rPr>
          <w:lang w:val="fr-FR"/>
        </w:rPr>
      </w:pPr>
      <w:r w:rsidRPr="00727606">
        <w:rPr>
          <w:lang w:val="fr-FR"/>
        </w:rPr>
        <w:t>46.</w:t>
      </w:r>
      <w:r w:rsidRPr="00727606">
        <w:rPr>
          <w:lang w:val="fr-FR"/>
        </w:rPr>
        <w:tab/>
      </w:r>
      <w:r>
        <w:rPr>
          <w:lang w:val="fr-FR"/>
        </w:rPr>
        <w:t>Le Sous-Comité a constaté que les avis concernant les options proposées étaient partagés. Certains experts étaient favorables à l’option 1, visant à modifier la disposition spéciale 384, tandis que d’autres estimaient que les prescriptions d’étiquetage étaient bien établies et qu’un amendement ne se justifiait pas et pourrait même entraîner des conséquences non désirées. L’expert de la Chine a proposé de revoir la proposition en tenant compte des observations reçues et de soumettre la proposition ainsi révisée pour examen à la session suivante</w:t>
      </w:r>
      <w:r w:rsidRPr="00727606">
        <w:rPr>
          <w:lang w:val="fr-FR"/>
        </w:rPr>
        <w:t>.</w:t>
      </w:r>
    </w:p>
    <w:p w14:paraId="3A1599C9" w14:textId="77777777" w:rsidR="0012021D" w:rsidRPr="00727606" w:rsidRDefault="0012021D" w:rsidP="00E80FF4">
      <w:pPr>
        <w:pStyle w:val="H1G"/>
        <w:rPr>
          <w:lang w:val="fr-FR"/>
        </w:rPr>
      </w:pPr>
      <w:r w:rsidRPr="00727606">
        <w:rPr>
          <w:lang w:val="fr-FR"/>
        </w:rPr>
        <w:tab/>
        <w:t>D.</w:t>
      </w:r>
      <w:r w:rsidRPr="00727606">
        <w:rPr>
          <w:lang w:val="fr-FR"/>
        </w:rPr>
        <w:tab/>
      </w:r>
      <w:r>
        <w:rPr>
          <w:lang w:val="fr-FR"/>
        </w:rPr>
        <w:t xml:space="preserve">Batteries </w:t>
      </w:r>
      <w:proofErr w:type="gramStart"/>
      <w:r>
        <w:rPr>
          <w:lang w:val="fr-FR"/>
        </w:rPr>
        <w:t>au lithium endommagées</w:t>
      </w:r>
      <w:proofErr w:type="gramEnd"/>
      <w:r>
        <w:rPr>
          <w:lang w:val="fr-FR"/>
        </w:rPr>
        <w:t xml:space="preserve"> ou défectueuses</w:t>
      </w:r>
    </w:p>
    <w:p w14:paraId="69B974AE" w14:textId="77777777" w:rsidR="0012021D" w:rsidRPr="00727606" w:rsidRDefault="0012021D" w:rsidP="00E80FF4">
      <w:pPr>
        <w:pStyle w:val="SingleTxtG"/>
        <w:rPr>
          <w:lang w:val="fr-FR"/>
        </w:rPr>
      </w:pPr>
      <w:r w:rsidRPr="00727606">
        <w:rPr>
          <w:lang w:val="fr-FR"/>
        </w:rPr>
        <w:t>47.</w:t>
      </w:r>
      <w:r w:rsidRPr="00727606">
        <w:rPr>
          <w:lang w:val="fr-FR"/>
        </w:rPr>
        <w:tab/>
      </w:r>
      <w:r>
        <w:rPr>
          <w:lang w:val="fr-FR"/>
        </w:rPr>
        <w:t>Aucun document n’ayant été soumis au titre de ce point de l’ordre du jour, la question n’a pas été abordée</w:t>
      </w:r>
      <w:r w:rsidRPr="00727606">
        <w:rPr>
          <w:lang w:val="fr-FR"/>
        </w:rPr>
        <w:t>.</w:t>
      </w:r>
    </w:p>
    <w:p w14:paraId="0ABE2E0D" w14:textId="77777777" w:rsidR="0012021D" w:rsidRPr="00727606" w:rsidRDefault="0012021D" w:rsidP="00E80FF4">
      <w:pPr>
        <w:pStyle w:val="H1G"/>
        <w:rPr>
          <w:lang w:val="fr-FR"/>
        </w:rPr>
      </w:pPr>
      <w:r w:rsidRPr="00727606">
        <w:rPr>
          <w:lang w:val="fr-FR"/>
        </w:rPr>
        <w:tab/>
        <w:t>E.</w:t>
      </w:r>
      <w:r w:rsidRPr="00727606">
        <w:rPr>
          <w:lang w:val="fr-FR"/>
        </w:rPr>
        <w:tab/>
      </w:r>
      <w:r w:rsidRPr="00E80FF4">
        <w:t>Batteries</w:t>
      </w:r>
      <w:r>
        <w:rPr>
          <w:lang w:val="fr-FR"/>
        </w:rPr>
        <w:t xml:space="preserve"> au sodium ionique</w:t>
      </w:r>
    </w:p>
    <w:p w14:paraId="3CF95F59" w14:textId="77777777" w:rsidR="0012021D" w:rsidRPr="00727606" w:rsidRDefault="0012021D" w:rsidP="0012021D">
      <w:pPr>
        <w:pStyle w:val="SingleTxtG"/>
        <w:rPr>
          <w:lang w:val="fr-FR"/>
        </w:rPr>
      </w:pPr>
      <w:r w:rsidRPr="00727606">
        <w:rPr>
          <w:lang w:val="fr-FR"/>
        </w:rPr>
        <w:t>48.</w:t>
      </w:r>
      <w:r w:rsidRPr="00727606">
        <w:rPr>
          <w:lang w:val="fr-FR"/>
        </w:rPr>
        <w:tab/>
      </w:r>
      <w:r>
        <w:rPr>
          <w:lang w:val="fr-FR"/>
        </w:rPr>
        <w:t>Aucun document n’ayant été soumis au titre de ce point de l’ordre du jour, la question n’a pas été abordée</w:t>
      </w:r>
      <w:r w:rsidRPr="00727606">
        <w:rPr>
          <w:lang w:val="fr-FR"/>
        </w:rPr>
        <w:t>.</w:t>
      </w:r>
    </w:p>
    <w:p w14:paraId="45CB9CC4" w14:textId="77777777" w:rsidR="0012021D" w:rsidRPr="00F80C23" w:rsidRDefault="0012021D" w:rsidP="0012021D">
      <w:pPr>
        <w:pStyle w:val="H1G"/>
        <w:rPr>
          <w:lang w:val="fr-FR"/>
        </w:rPr>
      </w:pPr>
      <w:r w:rsidRPr="00727606">
        <w:rPr>
          <w:bCs/>
          <w:lang w:val="fr-FR"/>
        </w:rPr>
        <w:tab/>
      </w:r>
      <w:r w:rsidRPr="00F80C23">
        <w:rPr>
          <w:bCs/>
          <w:lang w:val="fr-FR"/>
        </w:rPr>
        <w:t>F.</w:t>
      </w:r>
      <w:r w:rsidRPr="00F80C23">
        <w:rPr>
          <w:lang w:val="fr-FR"/>
        </w:rPr>
        <w:tab/>
      </w:r>
      <w:r>
        <w:rPr>
          <w:bCs/>
          <w:lang w:val="fr-FR"/>
        </w:rPr>
        <w:t>Autres questions</w:t>
      </w:r>
    </w:p>
    <w:p w14:paraId="2F49F753" w14:textId="16FA4FC6" w:rsidR="0012021D" w:rsidRPr="00F80C23" w:rsidRDefault="0012021D" w:rsidP="00E80FF4">
      <w:pPr>
        <w:pStyle w:val="H23G"/>
        <w:rPr>
          <w:lang w:val="fr-FR"/>
        </w:rPr>
      </w:pPr>
      <w:r w:rsidRPr="00F80C23">
        <w:rPr>
          <w:lang w:val="fr-FR"/>
        </w:rPr>
        <w:tab/>
        <w:t>1.</w:t>
      </w:r>
      <w:r w:rsidRPr="00F80C23">
        <w:rPr>
          <w:lang w:val="fr-FR"/>
        </w:rPr>
        <w:tab/>
      </w:r>
      <w:r>
        <w:rPr>
          <w:lang w:val="fr-FR"/>
        </w:rPr>
        <w:t xml:space="preserve">Emploi des termes « rated capacity », « nominal energy » </w:t>
      </w:r>
      <w:r w:rsidR="00E80FF4">
        <w:rPr>
          <w:lang w:val="fr-FR"/>
        </w:rPr>
        <w:br/>
      </w:r>
      <w:r>
        <w:rPr>
          <w:lang w:val="fr-FR"/>
        </w:rPr>
        <w:t>et « watt-hour rating » dans les</w:t>
      </w:r>
      <w:r w:rsidR="00E80FF4">
        <w:rPr>
          <w:lang w:val="fr-FR"/>
        </w:rPr>
        <w:t xml:space="preserve"> </w:t>
      </w:r>
      <w:r>
        <w:rPr>
          <w:lang w:val="fr-FR"/>
        </w:rPr>
        <w:t xml:space="preserve">différentes versions </w:t>
      </w:r>
      <w:r w:rsidR="00E80FF4">
        <w:rPr>
          <w:lang w:val="fr-FR"/>
        </w:rPr>
        <w:br/>
      </w:r>
      <w:r>
        <w:rPr>
          <w:lang w:val="fr-FR"/>
        </w:rPr>
        <w:t>du Règlement type et du Manuel d’épreuves et de critères</w:t>
      </w:r>
    </w:p>
    <w:p w14:paraId="43A2091D" w14:textId="0F360643" w:rsidR="0012021D" w:rsidRPr="00BD4105"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i/>
          <w:iCs/>
          <w:lang w:val="fr-FR"/>
        </w:rPr>
        <w:t> </w:t>
      </w:r>
      <w:r w:rsidRPr="00E80FF4">
        <w:rPr>
          <w:lang w:val="fr-FR"/>
        </w:rPr>
        <w:t>:</w:t>
      </w:r>
      <w:r>
        <w:rPr>
          <w:i/>
          <w:iCs/>
          <w:lang w:val="fr-FR"/>
        </w:rPr>
        <w:tab/>
      </w:r>
      <w:r>
        <w:rPr>
          <w:lang w:val="fr-FR"/>
        </w:rPr>
        <w:t>INF.5 (secrétariat</w:t>
      </w:r>
      <w:r w:rsidRPr="00BD4105">
        <w:rPr>
          <w:lang w:val="fr-FR"/>
        </w:rPr>
        <w:t>)</w:t>
      </w:r>
    </w:p>
    <w:p w14:paraId="3A446ED5" w14:textId="20F67B5C" w:rsidR="0012021D" w:rsidRPr="00BD4105" w:rsidRDefault="0012021D" w:rsidP="0012021D">
      <w:pPr>
        <w:pStyle w:val="SingleTxtG"/>
        <w:rPr>
          <w:lang w:val="fr-FR"/>
        </w:rPr>
      </w:pPr>
      <w:r w:rsidRPr="00BD4105">
        <w:rPr>
          <w:lang w:val="fr-FR"/>
        </w:rPr>
        <w:t>49.</w:t>
      </w:r>
      <w:r w:rsidRPr="00BD4105">
        <w:rPr>
          <w:lang w:val="fr-FR"/>
        </w:rPr>
        <w:tab/>
      </w:r>
      <w:r>
        <w:rPr>
          <w:lang w:val="fr-FR"/>
        </w:rPr>
        <w:t>Le Sous-Comité a accueilli avec intérêt les propositions présentées dans le document informel INF.5 afin d’apporter davantage de clarté et de cohérence à plusieurs éléments des règlements visés. S’agissant de la proposition 1, il n’a pas appuyé l’introduction d’un point dans le symbole de l’unité pour les wattheures. S’agissant de la proposition 2, certaines délégations penchaient pour le terme « nominal energy » (option 2a) ; toutefois, la plupart des délégations ont préféré le terme « watt-hour rating » (option 2b), ce dernier étant plus courant dans la pratique. S’agissant de la proposition 3, certains experts ont demandé un délai pour étudier la question du choix à faire en français entre « capacité nominale » et « capacité électrique nominale ». Les propositions</w:t>
      </w:r>
      <w:r w:rsidR="00E80FF4">
        <w:rPr>
          <w:lang w:val="fr-FR"/>
        </w:rPr>
        <w:t> </w:t>
      </w:r>
      <w:r>
        <w:rPr>
          <w:lang w:val="fr-FR"/>
        </w:rPr>
        <w:t>4, 5 et 6 ont été approuvées de façon générale. Le Sous-Comité a demandé au secrétariat de soumettre pour la session suivante une proposition sous une cote officielle tenant compte des observations reçues</w:t>
      </w:r>
      <w:r w:rsidRPr="00BD4105">
        <w:rPr>
          <w:lang w:val="fr-FR"/>
        </w:rPr>
        <w:t>.</w:t>
      </w:r>
    </w:p>
    <w:p w14:paraId="6E5CBE4A" w14:textId="77777777" w:rsidR="0012021D" w:rsidRPr="00BD4105" w:rsidRDefault="0012021D" w:rsidP="00E80FF4">
      <w:pPr>
        <w:pStyle w:val="H23G"/>
        <w:rPr>
          <w:lang w:val="fr-FR"/>
        </w:rPr>
      </w:pPr>
      <w:r w:rsidRPr="00BD4105">
        <w:rPr>
          <w:lang w:val="fr-FR"/>
        </w:rPr>
        <w:tab/>
        <w:t>2.</w:t>
      </w:r>
      <w:r w:rsidRPr="00BD4105">
        <w:rPr>
          <w:lang w:val="fr-FR"/>
        </w:rPr>
        <w:tab/>
      </w:r>
      <w:r>
        <w:rPr>
          <w:lang w:val="fr-FR"/>
        </w:rPr>
        <w:t>Réutilisation et réaffectation des piles et batteries au lithium ionique</w:t>
      </w:r>
    </w:p>
    <w:p w14:paraId="76FCFFB6" w14:textId="23E49CE7" w:rsidR="0012021D" w:rsidRPr="00FE7F11" w:rsidRDefault="0012021D" w:rsidP="000C044E">
      <w:pPr>
        <w:pStyle w:val="SingleTxtG"/>
        <w:tabs>
          <w:tab w:val="clear" w:pos="2268"/>
          <w:tab w:val="clear" w:pos="2835"/>
        </w:tabs>
        <w:ind w:left="3402" w:hanging="2268"/>
        <w:jc w:val="left"/>
        <w:rPr>
          <w:lang w:val="fr-FR"/>
        </w:rPr>
      </w:pPr>
      <w:r>
        <w:rPr>
          <w:i/>
          <w:iCs/>
          <w:lang w:val="fr-FR"/>
        </w:rPr>
        <w:t>Document(s) informel(s)</w:t>
      </w:r>
      <w:r w:rsidR="00E80FF4">
        <w:rPr>
          <w:i/>
          <w:iCs/>
          <w:lang w:val="fr-FR"/>
        </w:rPr>
        <w:t> </w:t>
      </w:r>
      <w:r w:rsidRPr="00E80FF4">
        <w:rPr>
          <w:lang w:val="fr-FR"/>
        </w:rPr>
        <w:t>:</w:t>
      </w:r>
      <w:r>
        <w:rPr>
          <w:i/>
          <w:iCs/>
          <w:lang w:val="fr-FR"/>
        </w:rPr>
        <w:tab/>
      </w:r>
      <w:r>
        <w:rPr>
          <w:lang w:val="fr-FR"/>
        </w:rPr>
        <w:t>INF.58 (PRBA, RECHARGE)</w:t>
      </w:r>
    </w:p>
    <w:p w14:paraId="62EAD96F" w14:textId="77777777" w:rsidR="0012021D" w:rsidRPr="001B69D2" w:rsidRDefault="0012021D" w:rsidP="0012021D">
      <w:pPr>
        <w:pStyle w:val="SingleTxtG"/>
        <w:rPr>
          <w:lang w:val="fr-FR"/>
        </w:rPr>
      </w:pPr>
      <w:r w:rsidRPr="001B69D2">
        <w:rPr>
          <w:lang w:val="fr-FR"/>
        </w:rPr>
        <w:t>50.</w:t>
      </w:r>
      <w:r w:rsidRPr="001B69D2">
        <w:rPr>
          <w:lang w:val="fr-FR"/>
        </w:rPr>
        <w:tab/>
      </w:r>
      <w:r>
        <w:rPr>
          <w:lang w:val="fr-FR"/>
        </w:rPr>
        <w:t>À la suite d’un échange de vues informel, le Sous-Comité a relevé qu’il n’était pas nécessaire de mentionner dans le Règlement type les différentes définitions employées dans la pratique. Il a été suggéré que des travaux supplémentaires étaient nécessaires et que le groupe de travail informel de la réutilisation, la réparation et la réaffectation des piles et batteries au lithium ionique poursuive ses activités</w:t>
      </w:r>
      <w:r w:rsidRPr="001B69D2">
        <w:rPr>
          <w:lang w:val="fr-FR"/>
        </w:rPr>
        <w:t>.</w:t>
      </w:r>
    </w:p>
    <w:p w14:paraId="66A45BF3" w14:textId="77777777" w:rsidR="0012021D" w:rsidRPr="0089341F" w:rsidRDefault="0012021D" w:rsidP="00E80FF4">
      <w:pPr>
        <w:pStyle w:val="HChG"/>
        <w:rPr>
          <w:lang w:val="fr-FR"/>
        </w:rPr>
      </w:pPr>
      <w:r w:rsidRPr="001B69D2">
        <w:rPr>
          <w:lang w:val="fr-FR"/>
        </w:rPr>
        <w:tab/>
      </w:r>
      <w:r w:rsidRPr="0089341F">
        <w:rPr>
          <w:lang w:val="fr-FR"/>
        </w:rPr>
        <w:t>VII.</w:t>
      </w:r>
      <w:r w:rsidRPr="0089341F">
        <w:rPr>
          <w:lang w:val="fr-FR"/>
        </w:rPr>
        <w:tab/>
      </w:r>
      <w:r>
        <w:rPr>
          <w:lang w:val="fr-FR"/>
        </w:rPr>
        <w:t>Transport de gaz (point 5 de l’ordre du jour)</w:t>
      </w:r>
    </w:p>
    <w:p w14:paraId="4A68774E" w14:textId="2B747B9E" w:rsidR="0012021D" w:rsidRPr="0089341F" w:rsidRDefault="0012021D" w:rsidP="00E80FF4">
      <w:pPr>
        <w:pStyle w:val="H1G"/>
        <w:rPr>
          <w:lang w:val="fr-FR"/>
        </w:rPr>
      </w:pPr>
      <w:r>
        <w:rPr>
          <w:lang w:val="fr-FR"/>
        </w:rPr>
        <w:tab/>
        <w:t>A.</w:t>
      </w:r>
      <w:r>
        <w:rPr>
          <w:lang w:val="fr-FR"/>
        </w:rPr>
        <w:tab/>
        <w:t xml:space="preserve">Reconnaissance universelle des récipients à pression ONU </w:t>
      </w:r>
      <w:r w:rsidR="00E80FF4">
        <w:rPr>
          <w:lang w:val="fr-FR"/>
        </w:rPr>
        <w:br/>
      </w:r>
      <w:r>
        <w:rPr>
          <w:lang w:val="fr-FR"/>
        </w:rPr>
        <w:t>et non ONU</w:t>
      </w:r>
    </w:p>
    <w:p w14:paraId="24B5D91C" w14:textId="77777777" w:rsidR="0012021D" w:rsidRPr="00D56B18" w:rsidRDefault="0012021D" w:rsidP="0012021D">
      <w:pPr>
        <w:pStyle w:val="SingleTxtG"/>
        <w:rPr>
          <w:lang w:val="fr-FR"/>
        </w:rPr>
      </w:pPr>
      <w:r w:rsidRPr="00D56B18">
        <w:rPr>
          <w:lang w:val="fr-FR"/>
        </w:rPr>
        <w:t>51.</w:t>
      </w:r>
      <w:r w:rsidRPr="00D56B18">
        <w:rPr>
          <w:lang w:val="fr-FR"/>
        </w:rPr>
        <w:tab/>
      </w:r>
      <w:r>
        <w:rPr>
          <w:lang w:val="fr-FR"/>
        </w:rPr>
        <w:t>Aucun document n’ayant été soumis au titre de ce point de l’ordre du jour, la question n’a pas été abordée</w:t>
      </w:r>
      <w:r w:rsidRPr="00D56B18">
        <w:rPr>
          <w:lang w:val="fr-FR"/>
        </w:rPr>
        <w:t>.</w:t>
      </w:r>
    </w:p>
    <w:p w14:paraId="6F56BE9E" w14:textId="77777777" w:rsidR="0012021D" w:rsidRPr="00CF4262" w:rsidRDefault="0012021D" w:rsidP="00E80FF4">
      <w:pPr>
        <w:pStyle w:val="H1G"/>
        <w:rPr>
          <w:lang w:val="fr-FR"/>
        </w:rPr>
      </w:pPr>
      <w:r w:rsidRPr="00D56B18">
        <w:rPr>
          <w:lang w:val="fr-FR"/>
        </w:rPr>
        <w:tab/>
      </w:r>
      <w:r w:rsidRPr="00CF4262">
        <w:rPr>
          <w:lang w:val="fr-FR"/>
        </w:rPr>
        <w:t>B.</w:t>
      </w:r>
      <w:r w:rsidRPr="00CF4262">
        <w:rPr>
          <w:lang w:val="fr-FR"/>
        </w:rPr>
        <w:tab/>
      </w:r>
      <w:r>
        <w:rPr>
          <w:lang w:val="fr-FR"/>
        </w:rPr>
        <w:t>Gaz de la division 2.2 transportés en quantités limitées</w:t>
      </w:r>
    </w:p>
    <w:p w14:paraId="6DDB9D1F" w14:textId="77777777" w:rsidR="0012021D" w:rsidRPr="0012021D" w:rsidRDefault="0012021D" w:rsidP="000C044E">
      <w:pPr>
        <w:pStyle w:val="SingleTxtG"/>
        <w:tabs>
          <w:tab w:val="clear" w:pos="2268"/>
          <w:tab w:val="clear" w:pos="2835"/>
        </w:tabs>
        <w:ind w:left="3402" w:hanging="2268"/>
        <w:jc w:val="left"/>
        <w:rPr>
          <w:lang w:val="en-US"/>
        </w:rPr>
      </w:pPr>
      <w:r>
        <w:rPr>
          <w:i/>
          <w:iCs/>
          <w:lang w:val="en-US"/>
        </w:rPr>
        <w:t>Document(s</w:t>
      </w:r>
      <w:proofErr w:type="gramStart"/>
      <w:r>
        <w:rPr>
          <w:i/>
          <w:iCs/>
          <w:lang w:val="en-US"/>
        </w:rPr>
        <w:t>) </w:t>
      </w:r>
      <w:r w:rsidRPr="00E80FF4">
        <w:rPr>
          <w:lang w:val="en-US"/>
        </w:rPr>
        <w:t>:</w:t>
      </w:r>
      <w:proofErr w:type="gramEnd"/>
      <w:r w:rsidRPr="0012021D">
        <w:rPr>
          <w:lang w:val="en-US"/>
        </w:rPr>
        <w:tab/>
        <w:t>ST/SG/AC.10/C.3/2022/74 (COSTHA)</w:t>
      </w:r>
    </w:p>
    <w:p w14:paraId="1D27937E"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 informel(s</w:t>
      </w:r>
      <w:proofErr w:type="gramStart"/>
      <w:r w:rsidRPr="0012021D">
        <w:rPr>
          <w:i/>
          <w:iCs/>
          <w:lang w:val="en-US"/>
        </w:rPr>
        <w:t xml:space="preserve">) </w:t>
      </w:r>
      <w:r w:rsidRPr="00E80FF4">
        <w:rPr>
          <w:lang w:val="en-US"/>
        </w:rPr>
        <w:t>:</w:t>
      </w:r>
      <w:proofErr w:type="gramEnd"/>
      <w:r w:rsidRPr="0012021D">
        <w:rPr>
          <w:i/>
          <w:iCs/>
          <w:lang w:val="en-US"/>
        </w:rPr>
        <w:tab/>
      </w:r>
      <w:r w:rsidRPr="0012021D">
        <w:rPr>
          <w:lang w:val="en-US"/>
        </w:rPr>
        <w:t>INF.52 (COSTHA)</w:t>
      </w:r>
    </w:p>
    <w:p w14:paraId="12520B8A" w14:textId="77777777" w:rsidR="0012021D" w:rsidRPr="00CF4262" w:rsidRDefault="0012021D" w:rsidP="0012021D">
      <w:pPr>
        <w:pStyle w:val="SingleTxtG"/>
        <w:rPr>
          <w:lang w:val="fr-FR"/>
        </w:rPr>
      </w:pPr>
      <w:r w:rsidRPr="00CF4262">
        <w:rPr>
          <w:lang w:val="fr-FR"/>
        </w:rPr>
        <w:t>52.</w:t>
      </w:r>
      <w:r w:rsidRPr="00CF4262">
        <w:rPr>
          <w:lang w:val="fr-FR"/>
        </w:rPr>
        <w:tab/>
        <w:t xml:space="preserve">Certains experts ont fait part de leurs préoccupations concernant la proposition présentée dans le document ST/SG/AC.10/C.3/2022/74 </w:t>
      </w:r>
      <w:r>
        <w:rPr>
          <w:lang w:val="fr-FR"/>
        </w:rPr>
        <w:t>tend</w:t>
      </w:r>
      <w:r w:rsidRPr="00CF4262">
        <w:rPr>
          <w:lang w:val="fr-FR"/>
        </w:rPr>
        <w:t xml:space="preserve">ant à augmenter le volume de la quantité limitée pour les gaz comprimés de la division 2.2. </w:t>
      </w:r>
      <w:r>
        <w:rPr>
          <w:lang w:val="fr-FR"/>
        </w:rPr>
        <w:t>D’autres ont approuvé les amendements proposés, dans leur principe. Après un échange de vues, le Sous-Comité a adopté à la majorité les amendements proposés dans le document informel INF.52, moyennant des modifications supplémentaires (voir l’annexe </w:t>
      </w:r>
      <w:r w:rsidRPr="00CF4262">
        <w:rPr>
          <w:lang w:val="fr-FR"/>
        </w:rPr>
        <w:t>I).</w:t>
      </w:r>
    </w:p>
    <w:p w14:paraId="70915A89" w14:textId="165C3497" w:rsidR="0012021D" w:rsidRPr="00612F52" w:rsidRDefault="0012021D" w:rsidP="00CC5B54">
      <w:pPr>
        <w:pStyle w:val="H1G"/>
        <w:rPr>
          <w:lang w:val="fr-FR"/>
        </w:rPr>
      </w:pPr>
      <w:r>
        <w:rPr>
          <w:lang w:val="fr-FR"/>
        </w:rPr>
        <w:tab/>
        <w:t>C.</w:t>
      </w:r>
      <w:r>
        <w:rPr>
          <w:lang w:val="fr-FR"/>
        </w:rPr>
        <w:tab/>
      </w:r>
      <w:r w:rsidR="00CC5B54">
        <w:rPr>
          <w:lang w:val="fr-FR"/>
        </w:rPr>
        <w:t>Autres questions</w:t>
      </w:r>
    </w:p>
    <w:p w14:paraId="134B3CD2" w14:textId="77777777" w:rsidR="0012021D" w:rsidRPr="00D56B18" w:rsidRDefault="0012021D" w:rsidP="00E80FF4">
      <w:pPr>
        <w:pStyle w:val="H23G"/>
        <w:rPr>
          <w:lang w:val="fr-FR"/>
        </w:rPr>
      </w:pPr>
      <w:r>
        <w:rPr>
          <w:lang w:val="fr-FR"/>
        </w:rPr>
        <w:tab/>
        <w:t>1.</w:t>
      </w:r>
      <w:r>
        <w:rPr>
          <w:lang w:val="fr-FR"/>
        </w:rPr>
        <w:tab/>
        <w:t>Normes ISO mises à jour dans la classe 2</w:t>
      </w:r>
    </w:p>
    <w:p w14:paraId="4869124A" w14:textId="77777777" w:rsidR="0012021D" w:rsidRPr="0012021D" w:rsidRDefault="0012021D" w:rsidP="000C044E">
      <w:pPr>
        <w:pStyle w:val="SingleTxtG"/>
        <w:tabs>
          <w:tab w:val="clear" w:pos="2268"/>
          <w:tab w:val="clear" w:pos="2835"/>
        </w:tabs>
        <w:ind w:left="3402" w:hanging="2268"/>
        <w:jc w:val="left"/>
        <w:rPr>
          <w:lang w:val="en-US"/>
        </w:rPr>
      </w:pPr>
      <w:r w:rsidRPr="0012021D">
        <w:rPr>
          <w:i/>
          <w:iCs/>
          <w:lang w:val="en-US"/>
        </w:rPr>
        <w:t>Document(s</w:t>
      </w:r>
      <w:proofErr w:type="gramStart"/>
      <w:r w:rsidRPr="0012021D">
        <w:rPr>
          <w:i/>
          <w:iCs/>
          <w:lang w:val="en-US"/>
        </w:rPr>
        <w:t>) </w:t>
      </w:r>
      <w:r w:rsidRPr="00E80FF4">
        <w:rPr>
          <w:lang w:val="en-US"/>
        </w:rPr>
        <w:t>:</w:t>
      </w:r>
      <w:proofErr w:type="gramEnd"/>
      <w:r w:rsidRPr="0012021D">
        <w:rPr>
          <w:lang w:val="en-US"/>
        </w:rPr>
        <w:tab/>
        <w:t>ST/SG/AC.10/C.3/2022/60 (ISO)</w:t>
      </w:r>
    </w:p>
    <w:p w14:paraId="01EF7E19"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E80FF4">
        <w:rPr>
          <w:lang w:val="fr-FR"/>
        </w:rPr>
        <w:t>:</w:t>
      </w:r>
      <w:r>
        <w:rPr>
          <w:i/>
          <w:iCs/>
          <w:lang w:val="fr-FR"/>
        </w:rPr>
        <w:tab/>
      </w:r>
      <w:r>
        <w:rPr>
          <w:lang w:val="fr-FR"/>
        </w:rPr>
        <w:t>INF.7 (ISO)</w:t>
      </w:r>
    </w:p>
    <w:p w14:paraId="5BC5370F" w14:textId="7E66B796" w:rsidR="0012021D" w:rsidRPr="006B168D" w:rsidRDefault="0012021D" w:rsidP="0012021D">
      <w:pPr>
        <w:pStyle w:val="SingleTxtG"/>
        <w:rPr>
          <w:lang w:val="fr-FR"/>
        </w:rPr>
      </w:pPr>
      <w:r w:rsidRPr="006B168D">
        <w:rPr>
          <w:lang w:val="fr-FR"/>
        </w:rPr>
        <w:t>53.</w:t>
      </w:r>
      <w:r w:rsidRPr="006B168D">
        <w:rPr>
          <w:lang w:val="fr-FR"/>
        </w:rPr>
        <w:tab/>
      </w:r>
      <w:r>
        <w:rPr>
          <w:lang w:val="fr-FR"/>
        </w:rPr>
        <w:t>Le représentant de l’ISO a présenté les propositions d’amendements figurant dans le document ST/SG/AC.10/C.3/2022/60. Le Sous-Comité a adopté les propositions 1 et 2, ainsi que la proposition de modification d’ordre rédactionnel pour le 6.2.1.6.1 (voir l’annexe </w:t>
      </w:r>
      <w:r w:rsidRPr="006B168D">
        <w:rPr>
          <w:lang w:val="fr-FR"/>
        </w:rPr>
        <w:t xml:space="preserve">I). </w:t>
      </w:r>
      <w:r>
        <w:rPr>
          <w:lang w:val="fr-FR"/>
        </w:rPr>
        <w:t>La première proposition de modification rédactionnelle a été remplacée par les amendements adoptés pour le 4.1.6.8 dans le document ST/SG/AC.10/C3/2022/75. S’agissant de la note de la proposition 1, il a été confirmé qu’une homologation de type pour une petite quantité de bouteilles à gaz ne pouvait s’appliquer à un lot dépassant 200</w:t>
      </w:r>
      <w:r w:rsidR="00E80FF4">
        <w:rPr>
          <w:lang w:val="fr-FR"/>
        </w:rPr>
        <w:t> </w:t>
      </w:r>
      <w:r>
        <w:rPr>
          <w:lang w:val="fr-FR"/>
        </w:rPr>
        <w:t>bouteilles</w:t>
      </w:r>
      <w:r w:rsidRPr="006B168D">
        <w:rPr>
          <w:lang w:val="fr-FR"/>
        </w:rPr>
        <w:t>.</w:t>
      </w:r>
    </w:p>
    <w:p w14:paraId="37DE1A36" w14:textId="77777777" w:rsidR="0012021D" w:rsidRPr="006B168D" w:rsidRDefault="0012021D" w:rsidP="0012021D">
      <w:pPr>
        <w:pStyle w:val="SingleTxtG"/>
        <w:rPr>
          <w:lang w:val="fr-FR"/>
        </w:rPr>
      </w:pPr>
      <w:r w:rsidRPr="006B168D">
        <w:rPr>
          <w:lang w:val="fr-FR"/>
        </w:rPr>
        <w:t>54.</w:t>
      </w:r>
      <w:r w:rsidRPr="006B168D">
        <w:rPr>
          <w:lang w:val="fr-FR"/>
        </w:rPr>
        <w:tab/>
      </w:r>
      <w:r>
        <w:rPr>
          <w:lang w:val="fr-FR"/>
        </w:rPr>
        <w:t>Le Sous-Comité a également adopté les amendements proposés dans le document informel INF.7, visant à mettre à jour les références aux normes ISO ayant fait l’objet de modifications (voir l’annexe </w:t>
      </w:r>
      <w:r w:rsidRPr="006B168D">
        <w:rPr>
          <w:lang w:val="fr-FR"/>
        </w:rPr>
        <w:t>I).</w:t>
      </w:r>
    </w:p>
    <w:p w14:paraId="5EA05957" w14:textId="0BE5341C" w:rsidR="0012021D" w:rsidRPr="006D227B" w:rsidRDefault="0012021D" w:rsidP="00E80FF4">
      <w:pPr>
        <w:pStyle w:val="H23G"/>
        <w:rPr>
          <w:lang w:val="fr-FR"/>
        </w:rPr>
      </w:pPr>
      <w:r>
        <w:rPr>
          <w:lang w:val="fr-FR"/>
        </w:rPr>
        <w:tab/>
        <w:t>2.</w:t>
      </w:r>
      <w:r>
        <w:rPr>
          <w:lang w:val="fr-FR"/>
        </w:rPr>
        <w:tab/>
        <w:t xml:space="preserve">Rapport du groupe de travail intersessions de la limite du produit pV </w:t>
      </w:r>
      <w:r w:rsidR="004E6D29">
        <w:rPr>
          <w:lang w:val="fr-FR"/>
        </w:rPr>
        <w:br/>
      </w:r>
      <w:r>
        <w:rPr>
          <w:lang w:val="fr-FR"/>
        </w:rPr>
        <w:t>pour</w:t>
      </w:r>
      <w:r w:rsidR="00E80FF4">
        <w:rPr>
          <w:lang w:val="fr-FR"/>
        </w:rPr>
        <w:t xml:space="preserve"> </w:t>
      </w:r>
      <w:r>
        <w:rPr>
          <w:lang w:val="fr-FR"/>
        </w:rPr>
        <w:t>les</w:t>
      </w:r>
      <w:r w:rsidR="00E80FF4">
        <w:rPr>
          <w:lang w:val="fr-FR"/>
        </w:rPr>
        <w:t xml:space="preserve"> </w:t>
      </w:r>
      <w:r>
        <w:rPr>
          <w:lang w:val="fr-FR"/>
        </w:rPr>
        <w:t>récipients à pression</w:t>
      </w:r>
    </w:p>
    <w:p w14:paraId="489042A2" w14:textId="77777777" w:rsidR="0012021D" w:rsidRPr="00DF4C92"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4E6D29">
        <w:rPr>
          <w:lang w:val="fr-FR"/>
        </w:rPr>
        <w:t>:</w:t>
      </w:r>
      <w:r>
        <w:rPr>
          <w:i/>
          <w:iCs/>
          <w:lang w:val="fr-FR"/>
        </w:rPr>
        <w:tab/>
      </w:r>
      <w:r>
        <w:rPr>
          <w:lang w:val="fr-FR"/>
        </w:rPr>
        <w:t>INF.41 (Allemagne)</w:t>
      </w:r>
    </w:p>
    <w:p w14:paraId="61592D7F" w14:textId="77777777" w:rsidR="0012021D" w:rsidRPr="00DF4C92" w:rsidRDefault="0012021D" w:rsidP="0012021D">
      <w:pPr>
        <w:pStyle w:val="SingleTxtG"/>
        <w:rPr>
          <w:lang w:val="fr-FR"/>
        </w:rPr>
      </w:pPr>
      <w:r w:rsidRPr="00DF4C92">
        <w:rPr>
          <w:lang w:val="fr-FR"/>
        </w:rPr>
        <w:t>55.</w:t>
      </w:r>
      <w:r w:rsidRPr="00DF4C92">
        <w:rPr>
          <w:lang w:val="fr-FR"/>
        </w:rPr>
        <w:tab/>
      </w:r>
      <w:r>
        <w:rPr>
          <w:lang w:val="fr-FR"/>
        </w:rPr>
        <w:t>Le Sous-Comité a pris note des progrès accomplis par le groupe de travail informel de la limite du produit pV pour les récipients à pression. Il l’a invité à reprendre ses travaux et à soumettre à la session suivante un document plus détaillé sur le résultat final, dans la mesure du possible</w:t>
      </w:r>
      <w:r w:rsidRPr="00DF4C92">
        <w:rPr>
          <w:lang w:val="fr-FR"/>
        </w:rPr>
        <w:t>.</w:t>
      </w:r>
    </w:p>
    <w:p w14:paraId="35334983" w14:textId="47798E34" w:rsidR="0012021D" w:rsidRPr="00DE245C" w:rsidRDefault="0012021D" w:rsidP="004E6D29">
      <w:pPr>
        <w:pStyle w:val="HChG"/>
        <w:rPr>
          <w:lang w:val="fr-FR"/>
        </w:rPr>
      </w:pPr>
      <w:r>
        <w:rPr>
          <w:lang w:val="fr-FR"/>
        </w:rPr>
        <w:tab/>
        <w:t>VIII.</w:t>
      </w:r>
      <w:r>
        <w:rPr>
          <w:lang w:val="fr-FR"/>
        </w:rPr>
        <w:tab/>
        <w:t>Propositions diverses d’amendements au Règlement type</w:t>
      </w:r>
      <w:r w:rsidR="004E6D29">
        <w:rPr>
          <w:lang w:val="fr-FR"/>
        </w:rPr>
        <w:t xml:space="preserve"> </w:t>
      </w:r>
      <w:r>
        <w:rPr>
          <w:lang w:val="fr-FR"/>
        </w:rPr>
        <w:t xml:space="preserve">pour le transport des marchandises dangereuses </w:t>
      </w:r>
      <w:r w:rsidR="004E6D29">
        <w:rPr>
          <w:lang w:val="fr-FR"/>
        </w:rPr>
        <w:br/>
      </w:r>
      <w:r>
        <w:rPr>
          <w:lang w:val="fr-FR"/>
        </w:rPr>
        <w:t>(point 6</w:t>
      </w:r>
      <w:r w:rsidR="004E6D29">
        <w:rPr>
          <w:lang w:val="fr-FR"/>
        </w:rPr>
        <w:t xml:space="preserve"> </w:t>
      </w:r>
      <w:r>
        <w:rPr>
          <w:lang w:val="fr-FR"/>
        </w:rPr>
        <w:t>de</w:t>
      </w:r>
      <w:r w:rsidR="004E6D29">
        <w:rPr>
          <w:lang w:val="fr-FR"/>
        </w:rPr>
        <w:t xml:space="preserve"> </w:t>
      </w:r>
      <w:r>
        <w:rPr>
          <w:lang w:val="fr-FR"/>
        </w:rPr>
        <w:t>l’ordre du jour)</w:t>
      </w:r>
    </w:p>
    <w:p w14:paraId="0B980168" w14:textId="77777777" w:rsidR="0012021D" w:rsidRPr="00DE245C" w:rsidRDefault="0012021D" w:rsidP="004E6D29">
      <w:pPr>
        <w:pStyle w:val="H1G"/>
        <w:rPr>
          <w:lang w:val="fr-FR"/>
        </w:rPr>
      </w:pPr>
      <w:r>
        <w:rPr>
          <w:lang w:val="fr-FR"/>
        </w:rPr>
        <w:tab/>
        <w:t>A.</w:t>
      </w:r>
      <w:r>
        <w:rPr>
          <w:lang w:val="fr-FR"/>
        </w:rPr>
        <w:tab/>
        <w:t>Marquage et étiquetage</w:t>
      </w:r>
    </w:p>
    <w:p w14:paraId="617AABF3" w14:textId="77777777" w:rsidR="0012021D" w:rsidRPr="00DE245C" w:rsidRDefault="0012021D" w:rsidP="000C044E">
      <w:pPr>
        <w:pStyle w:val="SingleTxtG"/>
        <w:tabs>
          <w:tab w:val="clear" w:pos="2268"/>
          <w:tab w:val="clear" w:pos="2835"/>
        </w:tabs>
        <w:ind w:left="3402" w:hanging="2268"/>
        <w:jc w:val="left"/>
        <w:rPr>
          <w:lang w:val="fr-FR"/>
        </w:rPr>
      </w:pPr>
      <w:r>
        <w:rPr>
          <w:i/>
          <w:iCs/>
          <w:lang w:val="fr-FR"/>
        </w:rPr>
        <w:t>Document(s) </w:t>
      </w:r>
      <w:r w:rsidRPr="004E6D29">
        <w:rPr>
          <w:lang w:val="fr-FR"/>
        </w:rPr>
        <w:t>:</w:t>
      </w:r>
      <w:r>
        <w:rPr>
          <w:lang w:val="fr-FR"/>
        </w:rPr>
        <w:tab/>
        <w:t>ST/SG/AC.10/C.3/2022/49 (Allemagne)</w:t>
      </w:r>
    </w:p>
    <w:p w14:paraId="3A2379D2" w14:textId="7694418A" w:rsidR="0012021D" w:rsidRPr="00DE245C" w:rsidRDefault="0012021D" w:rsidP="0012021D">
      <w:pPr>
        <w:pStyle w:val="SingleTxtG"/>
        <w:rPr>
          <w:lang w:val="fr-FR"/>
        </w:rPr>
      </w:pPr>
      <w:r w:rsidRPr="00DE245C">
        <w:rPr>
          <w:lang w:val="fr-FR"/>
        </w:rPr>
        <w:t>56.</w:t>
      </w:r>
      <w:r w:rsidRPr="00DE245C">
        <w:rPr>
          <w:lang w:val="fr-FR"/>
        </w:rPr>
        <w:tab/>
      </w:r>
      <w:r>
        <w:rPr>
          <w:lang w:val="fr-FR"/>
        </w:rPr>
        <w:t>Le document initialement référencé sous ce point de l’ordre du jour a été examiné au titre du point</w:t>
      </w:r>
      <w:r w:rsidR="004E6D29">
        <w:rPr>
          <w:lang w:val="fr-FR"/>
        </w:rPr>
        <w:t> </w:t>
      </w:r>
      <w:r>
        <w:rPr>
          <w:lang w:val="fr-FR"/>
        </w:rPr>
        <w:t>2</w:t>
      </w:r>
      <w:r w:rsidR="004E6D29">
        <w:rPr>
          <w:lang w:val="fr-FR"/>
        </w:rPr>
        <w:t> </w:t>
      </w:r>
      <w:r>
        <w:rPr>
          <w:lang w:val="fr-FR"/>
        </w:rPr>
        <w:t>a) de l’ordre du jour (voir plus haut).</w:t>
      </w:r>
    </w:p>
    <w:p w14:paraId="7E054062" w14:textId="030E9570" w:rsidR="0012021D" w:rsidRPr="00217DD4" w:rsidRDefault="0012021D" w:rsidP="004E6D29">
      <w:pPr>
        <w:pStyle w:val="H1G"/>
        <w:rPr>
          <w:lang w:val="fr-FR"/>
        </w:rPr>
      </w:pPr>
      <w:r w:rsidRPr="00DE245C">
        <w:rPr>
          <w:lang w:val="fr-FR"/>
        </w:rPr>
        <w:tab/>
      </w:r>
      <w:r w:rsidRPr="00217DD4">
        <w:rPr>
          <w:lang w:val="fr-FR"/>
        </w:rPr>
        <w:t>B.</w:t>
      </w:r>
      <w:r w:rsidRPr="00217DD4">
        <w:rPr>
          <w:lang w:val="fr-FR"/>
        </w:rPr>
        <w:tab/>
      </w:r>
      <w:r w:rsidRPr="00EF35E3">
        <w:rPr>
          <w:lang w:val="fr-FR"/>
        </w:rPr>
        <w:t>Emballages, y compris l</w:t>
      </w:r>
      <w:r>
        <w:rPr>
          <w:lang w:val="fr-FR"/>
        </w:rPr>
        <w:t>’</w:t>
      </w:r>
      <w:r w:rsidRPr="00EF35E3">
        <w:rPr>
          <w:lang w:val="fr-FR"/>
        </w:rPr>
        <w:t xml:space="preserve">utilisation des matières </w:t>
      </w:r>
      <w:r w:rsidR="004E6D29">
        <w:rPr>
          <w:lang w:val="fr-FR"/>
        </w:rPr>
        <w:br/>
      </w:r>
      <w:r w:rsidRPr="00EF35E3">
        <w:rPr>
          <w:lang w:val="fr-FR"/>
        </w:rPr>
        <w:t>plastiques recyclées</w:t>
      </w:r>
    </w:p>
    <w:p w14:paraId="2A83DA4D" w14:textId="77777777" w:rsidR="0012021D" w:rsidRPr="00217DD4" w:rsidRDefault="0012021D" w:rsidP="000C044E">
      <w:pPr>
        <w:pStyle w:val="SingleTxtG"/>
        <w:tabs>
          <w:tab w:val="clear" w:pos="2268"/>
          <w:tab w:val="clear" w:pos="2835"/>
        </w:tabs>
        <w:ind w:left="3402" w:hanging="2268"/>
        <w:jc w:val="left"/>
        <w:rPr>
          <w:lang w:val="fr-FR"/>
        </w:rPr>
      </w:pPr>
      <w:r w:rsidRPr="00217DD4">
        <w:rPr>
          <w:i/>
          <w:iCs/>
          <w:lang w:val="fr-FR"/>
        </w:rPr>
        <w:t>Documents</w:t>
      </w:r>
      <w:r>
        <w:rPr>
          <w:i/>
          <w:iCs/>
          <w:lang w:val="fr-FR"/>
        </w:rPr>
        <w:t> </w:t>
      </w:r>
      <w:r w:rsidRPr="004E6D29">
        <w:rPr>
          <w:lang w:val="fr-FR"/>
        </w:rPr>
        <w:t>:</w:t>
      </w:r>
      <w:r w:rsidRPr="00217DD4">
        <w:rPr>
          <w:i/>
          <w:iCs/>
          <w:lang w:val="fr-FR"/>
        </w:rPr>
        <w:tab/>
      </w:r>
      <w:r w:rsidRPr="00217DD4">
        <w:rPr>
          <w:lang w:val="fr-FR"/>
        </w:rPr>
        <w:t>ST/SG/AC.10/C.3/2022/69 (ICPP, ICIBCA)</w:t>
      </w:r>
      <w:r w:rsidRPr="00217DD4">
        <w:rPr>
          <w:lang w:val="fr-FR"/>
        </w:rPr>
        <w:br/>
        <w:t>ST/SG/AC.10/C.3/2022/71 (</w:t>
      </w:r>
      <w:r w:rsidRPr="00EF35E3">
        <w:rPr>
          <w:lang w:val="fr-FR"/>
        </w:rPr>
        <w:t>Belgique</w:t>
      </w:r>
      <w:r w:rsidRPr="00217DD4">
        <w:rPr>
          <w:lang w:val="fr-FR"/>
        </w:rPr>
        <w:t>)</w:t>
      </w:r>
    </w:p>
    <w:p w14:paraId="1F5A88A0" w14:textId="27A88856" w:rsidR="0012021D" w:rsidRPr="00FE7F11" w:rsidRDefault="0012021D" w:rsidP="000C044E">
      <w:pPr>
        <w:pStyle w:val="SingleTxtG"/>
        <w:tabs>
          <w:tab w:val="clear" w:pos="2268"/>
          <w:tab w:val="clear" w:pos="2835"/>
        </w:tabs>
        <w:ind w:left="3402" w:hanging="2268"/>
        <w:jc w:val="left"/>
        <w:rPr>
          <w:lang w:val="fr-FR"/>
        </w:rPr>
      </w:pPr>
      <w:r>
        <w:rPr>
          <w:i/>
          <w:lang w:val="fr-FR"/>
        </w:rPr>
        <w:t>Document(s) informel(s)</w:t>
      </w:r>
      <w:r w:rsidR="004E6D29">
        <w:rPr>
          <w:i/>
          <w:lang w:val="fr-FR"/>
        </w:rPr>
        <w:t> </w:t>
      </w:r>
      <w:r w:rsidRPr="004E6D29">
        <w:rPr>
          <w:iCs/>
          <w:lang w:val="fr-FR"/>
        </w:rPr>
        <w:t>:</w:t>
      </w:r>
      <w:r>
        <w:rPr>
          <w:i/>
          <w:lang w:val="fr-FR"/>
        </w:rPr>
        <w:tab/>
      </w:r>
      <w:r w:rsidRPr="00FE7F11">
        <w:rPr>
          <w:lang w:val="fr-FR"/>
        </w:rPr>
        <w:t>INF.57 (</w:t>
      </w:r>
      <w:r w:rsidRPr="00EF35E3">
        <w:rPr>
          <w:lang w:val="fr-FR"/>
        </w:rPr>
        <w:t>Belgique</w:t>
      </w:r>
      <w:r w:rsidRPr="00FE7F11">
        <w:rPr>
          <w:lang w:val="fr-FR"/>
        </w:rPr>
        <w:t>, ICPP, ICIBCA)</w:t>
      </w:r>
    </w:p>
    <w:p w14:paraId="6F3834FE" w14:textId="7621F605" w:rsidR="0012021D" w:rsidRPr="00217DD4" w:rsidRDefault="0012021D" w:rsidP="0012021D">
      <w:pPr>
        <w:pStyle w:val="SingleTxtG"/>
        <w:rPr>
          <w:lang w:val="fr-FR"/>
        </w:rPr>
      </w:pPr>
      <w:r w:rsidRPr="00217DD4">
        <w:rPr>
          <w:lang w:val="fr-FR"/>
        </w:rPr>
        <w:t>57.</w:t>
      </w:r>
      <w:r w:rsidRPr="00217DD4">
        <w:rPr>
          <w:lang w:val="fr-FR"/>
        </w:rPr>
        <w:tab/>
      </w:r>
      <w:r w:rsidRPr="00EF35E3">
        <w:rPr>
          <w:lang w:val="fr-FR"/>
        </w:rPr>
        <w:t>À la suite d</w:t>
      </w:r>
      <w:r>
        <w:rPr>
          <w:lang w:val="fr-FR"/>
        </w:rPr>
        <w:t>’</w:t>
      </w:r>
      <w:r w:rsidRPr="00EF35E3">
        <w:rPr>
          <w:lang w:val="fr-FR"/>
        </w:rPr>
        <w:t xml:space="preserve">une </w:t>
      </w:r>
      <w:r>
        <w:rPr>
          <w:lang w:val="fr-FR"/>
        </w:rPr>
        <w:t>séance</w:t>
      </w:r>
      <w:r w:rsidRPr="00EF35E3">
        <w:rPr>
          <w:lang w:val="fr-FR"/>
        </w:rPr>
        <w:t xml:space="preserve"> informelle dirigée par la Belgique sur les documents ST/SG/AC.10/C.3/2022/69 et ST/SG/AC.10/C.3/2022/71, le Sous-Comité s</w:t>
      </w:r>
      <w:r>
        <w:rPr>
          <w:lang w:val="fr-FR"/>
        </w:rPr>
        <w:t>’</w:t>
      </w:r>
      <w:r w:rsidRPr="00EF35E3">
        <w:rPr>
          <w:lang w:val="fr-FR"/>
        </w:rPr>
        <w:t>est félicité de l</w:t>
      </w:r>
      <w:r>
        <w:rPr>
          <w:lang w:val="fr-FR"/>
        </w:rPr>
        <w:t>’</w:t>
      </w:r>
      <w:r w:rsidRPr="00EF35E3">
        <w:rPr>
          <w:lang w:val="fr-FR"/>
        </w:rPr>
        <w:t>issue fructueuse d</w:t>
      </w:r>
      <w:r>
        <w:rPr>
          <w:lang w:val="fr-FR"/>
        </w:rPr>
        <w:t>u</w:t>
      </w:r>
      <w:r w:rsidRPr="00EF35E3">
        <w:rPr>
          <w:lang w:val="fr-FR"/>
        </w:rPr>
        <w:t xml:space="preserve"> </w:t>
      </w:r>
      <w:r>
        <w:rPr>
          <w:lang w:val="fr-FR"/>
        </w:rPr>
        <w:t>débat</w:t>
      </w:r>
      <w:r w:rsidRPr="00EF35E3">
        <w:rPr>
          <w:lang w:val="fr-FR"/>
        </w:rPr>
        <w:t xml:space="preserve"> </w:t>
      </w:r>
      <w:r>
        <w:rPr>
          <w:lang w:val="fr-FR"/>
        </w:rPr>
        <w:t>tend</w:t>
      </w:r>
      <w:r w:rsidRPr="00EF35E3">
        <w:rPr>
          <w:lang w:val="fr-FR"/>
        </w:rPr>
        <w:t>ant à permettre une utilisation accrue des matières plastiques recyclées, comme indiqué aux paragraphes</w:t>
      </w:r>
      <w:r w:rsidR="004E6D29">
        <w:rPr>
          <w:lang w:val="fr-FR"/>
        </w:rPr>
        <w:t> </w:t>
      </w:r>
      <w:r w:rsidRPr="00EF35E3">
        <w:rPr>
          <w:lang w:val="fr-FR"/>
        </w:rPr>
        <w:t>2 et 3 du document informel INF.57. Il a adopté les amendements proposés au paragraphe</w:t>
      </w:r>
      <w:r w:rsidR="004E6D29">
        <w:rPr>
          <w:lang w:val="fr-FR"/>
        </w:rPr>
        <w:t> </w:t>
      </w:r>
      <w:r w:rsidRPr="00EF35E3">
        <w:rPr>
          <w:lang w:val="fr-FR"/>
        </w:rPr>
        <w:t>4 du document informel INF.57 (</w:t>
      </w:r>
      <w:r>
        <w:rPr>
          <w:lang w:val="fr-FR"/>
        </w:rPr>
        <w:t>voir l’annexe </w:t>
      </w:r>
      <w:r w:rsidRPr="00217DD4">
        <w:rPr>
          <w:lang w:val="fr-FR"/>
        </w:rPr>
        <w:t xml:space="preserve">I). </w:t>
      </w:r>
      <w:r w:rsidRPr="00EF35E3">
        <w:rPr>
          <w:lang w:val="fr-FR"/>
        </w:rPr>
        <w:t>Il a été noté que cela contribuerait à la réalisation des objectifs de développement durable, en particulier s</w:t>
      </w:r>
      <w:r>
        <w:rPr>
          <w:lang w:val="fr-FR"/>
        </w:rPr>
        <w:t>’</w:t>
      </w:r>
      <w:r w:rsidRPr="00EF35E3">
        <w:rPr>
          <w:lang w:val="fr-FR"/>
        </w:rPr>
        <w:t>agissant de l</w:t>
      </w:r>
      <w:r>
        <w:rPr>
          <w:lang w:val="fr-FR"/>
        </w:rPr>
        <w:t>’</w:t>
      </w:r>
      <w:r w:rsidRPr="00EF35E3">
        <w:rPr>
          <w:lang w:val="fr-FR"/>
        </w:rPr>
        <w:t>utilisation durable des ressources naturelles</w:t>
      </w:r>
      <w:r w:rsidRPr="00217DD4">
        <w:rPr>
          <w:lang w:val="fr-FR"/>
        </w:rPr>
        <w:t>.</w:t>
      </w:r>
    </w:p>
    <w:p w14:paraId="5A55F06E" w14:textId="77777777" w:rsidR="0012021D" w:rsidRPr="00DE245C" w:rsidRDefault="0012021D" w:rsidP="004C546D">
      <w:pPr>
        <w:pStyle w:val="H1G"/>
        <w:rPr>
          <w:lang w:val="fr-FR"/>
        </w:rPr>
      </w:pPr>
      <w:r w:rsidRPr="00217DD4">
        <w:rPr>
          <w:bCs/>
          <w:lang w:val="fr-FR"/>
        </w:rPr>
        <w:tab/>
      </w:r>
      <w:r w:rsidRPr="00DE245C">
        <w:rPr>
          <w:bCs/>
          <w:lang w:val="fr-FR"/>
        </w:rPr>
        <w:t>C.</w:t>
      </w:r>
      <w:r w:rsidRPr="00DE245C">
        <w:rPr>
          <w:lang w:val="fr-FR"/>
        </w:rPr>
        <w:tab/>
      </w:r>
      <w:r w:rsidRPr="004C546D">
        <w:t>Citernes</w:t>
      </w:r>
      <w:r>
        <w:rPr>
          <w:lang w:val="fr-FR"/>
        </w:rPr>
        <w:t xml:space="preserve"> mobiles</w:t>
      </w:r>
    </w:p>
    <w:p w14:paraId="2DF5850D" w14:textId="673535D2" w:rsidR="0012021D" w:rsidRPr="00DE245C" w:rsidRDefault="0012021D" w:rsidP="004C546D">
      <w:pPr>
        <w:pStyle w:val="H23G"/>
        <w:rPr>
          <w:lang w:val="fr-FR"/>
        </w:rPr>
      </w:pPr>
      <w:r w:rsidRPr="00DE245C">
        <w:rPr>
          <w:lang w:val="fr-FR"/>
        </w:rPr>
        <w:tab/>
        <w:t>1.</w:t>
      </w:r>
      <w:r>
        <w:rPr>
          <w:lang w:val="fr-FR"/>
        </w:rPr>
        <w:tab/>
      </w:r>
      <w:r w:rsidRPr="004C546D">
        <w:t>Section</w:t>
      </w:r>
      <w:r>
        <w:rPr>
          <w:lang w:val="fr-FR"/>
        </w:rPr>
        <w:t xml:space="preserve"> 6.9.3, «</w:t>
      </w:r>
      <w:r w:rsidR="004E6D29">
        <w:rPr>
          <w:lang w:val="fr-FR"/>
        </w:rPr>
        <w:t> </w:t>
      </w:r>
      <w:r>
        <w:rPr>
          <w:lang w:val="fr-FR"/>
        </w:rPr>
        <w:t xml:space="preserve">Prescriptions relatives à la conception, à la construction, </w:t>
      </w:r>
      <w:r w:rsidR="004E6D29">
        <w:rPr>
          <w:lang w:val="fr-FR"/>
        </w:rPr>
        <w:br/>
      </w:r>
      <w:r>
        <w:rPr>
          <w:lang w:val="fr-FR"/>
        </w:rPr>
        <w:t>aux</w:t>
      </w:r>
      <w:r w:rsidR="004E6D29">
        <w:rPr>
          <w:lang w:val="fr-FR"/>
        </w:rPr>
        <w:t xml:space="preserve"> </w:t>
      </w:r>
      <w:r>
        <w:rPr>
          <w:lang w:val="fr-FR"/>
        </w:rPr>
        <w:t xml:space="preserve">contrôles et aux épreuves des équipements de service en matière </w:t>
      </w:r>
      <w:r w:rsidR="004E6D29">
        <w:rPr>
          <w:lang w:val="fr-FR"/>
        </w:rPr>
        <w:br/>
      </w:r>
      <w:r>
        <w:rPr>
          <w:lang w:val="fr-FR"/>
        </w:rPr>
        <w:t>plastique renforcée de fibre (PRF) dans le cas des citernes mobiles</w:t>
      </w:r>
      <w:r w:rsidR="004E6D29">
        <w:rPr>
          <w:lang w:val="fr-FR"/>
        </w:rPr>
        <w:t> </w:t>
      </w:r>
      <w:r>
        <w:rPr>
          <w:lang w:val="fr-FR"/>
        </w:rPr>
        <w:t xml:space="preserve">» </w:t>
      </w:r>
      <w:r w:rsidR="004E6D29">
        <w:rPr>
          <w:lang w:val="fr-FR"/>
        </w:rPr>
        <w:br/>
      </w:r>
      <w:r>
        <w:rPr>
          <w:lang w:val="fr-FR"/>
        </w:rPr>
        <w:t>et amendements à</w:t>
      </w:r>
      <w:r w:rsidR="004E6D29">
        <w:rPr>
          <w:lang w:val="fr-FR"/>
        </w:rPr>
        <w:t xml:space="preserve"> </w:t>
      </w:r>
      <w:r>
        <w:rPr>
          <w:lang w:val="fr-FR"/>
        </w:rPr>
        <w:t>la</w:t>
      </w:r>
      <w:r w:rsidR="004E6D29">
        <w:rPr>
          <w:lang w:val="fr-FR"/>
        </w:rPr>
        <w:t xml:space="preserve"> </w:t>
      </w:r>
      <w:r>
        <w:rPr>
          <w:lang w:val="fr-FR"/>
        </w:rPr>
        <w:t xml:space="preserve">section </w:t>
      </w:r>
      <w:r w:rsidRPr="00DE245C">
        <w:rPr>
          <w:lang w:val="fr-FR"/>
        </w:rPr>
        <w:t>6.9.1</w:t>
      </w:r>
    </w:p>
    <w:p w14:paraId="3EFE1C70" w14:textId="52D7F69C" w:rsidR="0012021D" w:rsidRPr="004472BF" w:rsidRDefault="0012021D" w:rsidP="000C044E">
      <w:pPr>
        <w:pStyle w:val="SingleTxtG"/>
        <w:tabs>
          <w:tab w:val="clear" w:pos="2268"/>
          <w:tab w:val="clear" w:pos="2835"/>
        </w:tabs>
        <w:ind w:left="3402" w:hanging="2268"/>
        <w:jc w:val="left"/>
        <w:rPr>
          <w:lang w:val="fr-FR"/>
        </w:rPr>
      </w:pPr>
      <w:r>
        <w:rPr>
          <w:i/>
          <w:iCs/>
          <w:lang w:val="fr-FR"/>
        </w:rPr>
        <w:t>Document(s)</w:t>
      </w:r>
      <w:r w:rsidRPr="004E6D29">
        <w:rPr>
          <w:lang w:val="fr-FR"/>
        </w:rPr>
        <w:t> :</w:t>
      </w:r>
      <w:r>
        <w:rPr>
          <w:lang w:val="fr-FR"/>
        </w:rPr>
        <w:tab/>
        <w:t xml:space="preserve">ST/SG/AC.10/C.3/2022/62 (Fédération de Russie, </w:t>
      </w:r>
      <w:r w:rsidR="004E6D29">
        <w:rPr>
          <w:lang w:val="fr-FR"/>
        </w:rPr>
        <w:br/>
      </w:r>
      <w:r>
        <w:rPr>
          <w:lang w:val="fr-FR"/>
        </w:rPr>
        <w:t>au nom du</w:t>
      </w:r>
      <w:r w:rsidR="004E6D29">
        <w:rPr>
          <w:lang w:val="fr-FR"/>
        </w:rPr>
        <w:t xml:space="preserve"> </w:t>
      </w:r>
      <w:r>
        <w:rPr>
          <w:lang w:val="fr-FR"/>
        </w:rPr>
        <w:t>président du groupe de travail</w:t>
      </w:r>
      <w:r w:rsidRPr="00986FFE">
        <w:rPr>
          <w:lang w:val="fr-FR"/>
        </w:rPr>
        <w:t xml:space="preserve"> informel</w:t>
      </w:r>
      <w:r>
        <w:rPr>
          <w:lang w:val="fr-FR"/>
        </w:rPr>
        <w:t>)</w:t>
      </w:r>
    </w:p>
    <w:p w14:paraId="3595D0ED" w14:textId="421C9EA8" w:rsidR="0012021D" w:rsidRPr="00DE245C"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4E6D29">
        <w:rPr>
          <w:lang w:val="fr-FR"/>
        </w:rPr>
        <w:t>:</w:t>
      </w:r>
      <w:r>
        <w:rPr>
          <w:i/>
          <w:iCs/>
          <w:lang w:val="fr-FR"/>
        </w:rPr>
        <w:tab/>
      </w:r>
      <w:r>
        <w:rPr>
          <w:lang w:val="fr-FR"/>
        </w:rPr>
        <w:t xml:space="preserve">INF.49 (Fédération de Russie, au nom du </w:t>
      </w:r>
      <w:bookmarkStart w:id="2" w:name="_Hlk130064396"/>
      <w:r>
        <w:rPr>
          <w:lang w:val="fr-FR"/>
        </w:rPr>
        <w:t xml:space="preserve">président </w:t>
      </w:r>
      <w:r w:rsidR="004E6D29">
        <w:rPr>
          <w:lang w:val="fr-FR"/>
        </w:rPr>
        <w:br/>
      </w:r>
      <w:r>
        <w:rPr>
          <w:lang w:val="fr-FR"/>
        </w:rPr>
        <w:t>du groupe de</w:t>
      </w:r>
      <w:r w:rsidR="004E6D29">
        <w:rPr>
          <w:lang w:val="fr-FR"/>
        </w:rPr>
        <w:t xml:space="preserve"> </w:t>
      </w:r>
      <w:r>
        <w:rPr>
          <w:lang w:val="fr-FR"/>
        </w:rPr>
        <w:t>travail</w:t>
      </w:r>
      <w:r w:rsidRPr="00986FFE">
        <w:rPr>
          <w:lang w:val="fr-FR"/>
        </w:rPr>
        <w:t xml:space="preserve"> informel</w:t>
      </w:r>
      <w:bookmarkEnd w:id="2"/>
      <w:r>
        <w:rPr>
          <w:lang w:val="fr-FR"/>
        </w:rPr>
        <w:t>)</w:t>
      </w:r>
    </w:p>
    <w:p w14:paraId="04739C60" w14:textId="3D3264B7" w:rsidR="0012021D" w:rsidRPr="00623382" w:rsidRDefault="0012021D" w:rsidP="0012021D">
      <w:pPr>
        <w:pStyle w:val="SingleTxtG"/>
        <w:rPr>
          <w:lang w:val="fr-FR"/>
        </w:rPr>
      </w:pPr>
      <w:r w:rsidRPr="00623382">
        <w:rPr>
          <w:lang w:val="fr-FR"/>
        </w:rPr>
        <w:t>58.</w:t>
      </w:r>
      <w:r w:rsidRPr="00623382">
        <w:rPr>
          <w:lang w:val="fr-FR"/>
        </w:rPr>
        <w:tab/>
      </w:r>
      <w:r>
        <w:rPr>
          <w:lang w:val="fr-FR"/>
        </w:rPr>
        <w:t>Le Sous-Comité a pris note, grâce au document informel INF.49 présenté par le groupe de travail informel des équipements de service en PRF pour citernes mobiles, des progrès effectués par ce groupe lors de la réunion hybride qu’il avait tenue le 28 novembre 2022. Le document visé a suscité plusieurs observations de la part de différentes délégations. Le Sous-Comité a noté que le groupe comptait se réunir à nouveau au début de 2023 pour mettre la dernière main au nouveau projet relatif aux dispositions du chapitre</w:t>
      </w:r>
      <w:r w:rsidR="004C546D">
        <w:rPr>
          <w:lang w:val="fr-FR"/>
        </w:rPr>
        <w:t> </w:t>
      </w:r>
      <w:r>
        <w:rPr>
          <w:lang w:val="fr-FR"/>
        </w:rPr>
        <w:t>6.9 du Règlement type en tenant compte des observations reçues. Le Sous-Comité a décidé de reprendre l’examen de cette question à sa session suivante, en s’appuyant sur un document publié</w:t>
      </w:r>
      <w:r w:rsidRPr="00613823">
        <w:rPr>
          <w:lang w:val="fr-FR"/>
        </w:rPr>
        <w:t xml:space="preserve"> </w:t>
      </w:r>
      <w:r>
        <w:rPr>
          <w:lang w:val="fr-FR"/>
        </w:rPr>
        <w:t>sous une cote officielle</w:t>
      </w:r>
      <w:r w:rsidRPr="00623382">
        <w:rPr>
          <w:lang w:val="fr-FR"/>
        </w:rPr>
        <w:t>.</w:t>
      </w:r>
    </w:p>
    <w:p w14:paraId="6242C2B9" w14:textId="59305C83" w:rsidR="0012021D" w:rsidRPr="00FE7F11" w:rsidRDefault="0012021D" w:rsidP="004C546D">
      <w:pPr>
        <w:pStyle w:val="H23G"/>
        <w:rPr>
          <w:lang w:val="fr-FR"/>
        </w:rPr>
      </w:pPr>
      <w:r>
        <w:rPr>
          <w:lang w:val="fr-FR"/>
        </w:rPr>
        <w:tab/>
        <w:t>2.</w:t>
      </w:r>
      <w:r>
        <w:rPr>
          <w:lang w:val="fr-FR"/>
        </w:rPr>
        <w:tab/>
      </w:r>
      <w:r w:rsidRPr="00EF35E3">
        <w:rPr>
          <w:lang w:val="fr-FR"/>
        </w:rPr>
        <w:t xml:space="preserve">Transport dans des citernes mobiles de </w:t>
      </w:r>
      <w:r w:rsidR="004C546D" w:rsidRPr="00EF35E3">
        <w:rPr>
          <w:lang w:val="fr-FR"/>
        </w:rPr>
        <w:t xml:space="preserve">certaines </w:t>
      </w:r>
      <w:r w:rsidR="00CC5B54" w:rsidRPr="00EF35E3">
        <w:rPr>
          <w:lang w:val="fr-FR"/>
        </w:rPr>
        <w:t xml:space="preserve">DISPERSIONS DE MÉTAUX ALCALINS </w:t>
      </w:r>
      <w:r w:rsidR="004C546D" w:rsidRPr="00EF35E3">
        <w:rPr>
          <w:lang w:val="fr-FR"/>
        </w:rPr>
        <w:t>(N</w:t>
      </w:r>
      <w:r w:rsidR="004C546D" w:rsidRPr="004C546D">
        <w:rPr>
          <w:vertAlign w:val="superscript"/>
          <w:lang w:val="fr-FR"/>
        </w:rPr>
        <w:t>o</w:t>
      </w:r>
      <w:r w:rsidR="004C546D">
        <w:rPr>
          <w:lang w:val="fr-FR"/>
        </w:rPr>
        <w:t> </w:t>
      </w:r>
      <w:r w:rsidR="004C546D" w:rsidRPr="00EF35E3">
        <w:rPr>
          <w:lang w:val="fr-FR"/>
        </w:rPr>
        <w:t xml:space="preserve">ONU 1391) et </w:t>
      </w:r>
      <w:r w:rsidR="00CC5B54" w:rsidRPr="00EF35E3">
        <w:rPr>
          <w:lang w:val="fr-FR"/>
        </w:rPr>
        <w:t xml:space="preserve">DISPERSIONS DE MÉTAUX </w:t>
      </w:r>
      <w:r w:rsidR="00CC5B54">
        <w:rPr>
          <w:lang w:val="fr-FR"/>
        </w:rPr>
        <w:br/>
      </w:r>
      <w:r w:rsidR="00CC5B54" w:rsidRPr="00EF35E3">
        <w:rPr>
          <w:lang w:val="fr-FR"/>
        </w:rPr>
        <w:t>ALCALINS INFLAMMABLES</w:t>
      </w:r>
      <w:r w:rsidR="004C546D" w:rsidRPr="00EF35E3">
        <w:rPr>
          <w:lang w:val="fr-FR"/>
        </w:rPr>
        <w:t xml:space="preserve"> (N</w:t>
      </w:r>
      <w:r w:rsidR="004C546D" w:rsidRPr="004C546D">
        <w:rPr>
          <w:vertAlign w:val="superscript"/>
          <w:lang w:val="fr-FR"/>
        </w:rPr>
        <w:t>o</w:t>
      </w:r>
      <w:r w:rsidR="004C546D">
        <w:rPr>
          <w:lang w:val="fr-FR"/>
        </w:rPr>
        <w:t> </w:t>
      </w:r>
      <w:r w:rsidR="004C546D" w:rsidRPr="00EF35E3">
        <w:rPr>
          <w:lang w:val="fr-FR"/>
        </w:rPr>
        <w:t>ONU 3482)</w:t>
      </w:r>
    </w:p>
    <w:p w14:paraId="363527B9"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4C546D">
        <w:rPr>
          <w:lang w:val="fr-FR"/>
        </w:rPr>
        <w:t>:</w:t>
      </w:r>
      <w:r>
        <w:rPr>
          <w:lang w:val="fr-FR"/>
        </w:rPr>
        <w:tab/>
        <w:t>ST/SG/AC.10/C.3/2022/61 (États-Unis d’Amérique)</w:t>
      </w:r>
    </w:p>
    <w:p w14:paraId="3041A8FE" w14:textId="77777777" w:rsidR="0012021D" w:rsidRPr="00020268" w:rsidRDefault="0012021D" w:rsidP="000C044E">
      <w:pPr>
        <w:pStyle w:val="SingleTxtG"/>
        <w:tabs>
          <w:tab w:val="clear" w:pos="2268"/>
          <w:tab w:val="clear" w:pos="2835"/>
        </w:tabs>
        <w:ind w:left="3402" w:hanging="2268"/>
        <w:jc w:val="left"/>
        <w:rPr>
          <w:lang w:val="fr-FR"/>
        </w:rPr>
      </w:pPr>
      <w:r>
        <w:rPr>
          <w:i/>
          <w:iCs/>
          <w:lang w:val="fr-FR"/>
        </w:rPr>
        <w:t>Document(s) informel(s)</w:t>
      </w:r>
      <w:r w:rsidRPr="004C546D">
        <w:rPr>
          <w:lang w:val="fr-FR"/>
        </w:rPr>
        <w:t xml:space="preserve"> :</w:t>
      </w:r>
      <w:r>
        <w:rPr>
          <w:i/>
          <w:iCs/>
          <w:lang w:val="fr-FR"/>
        </w:rPr>
        <w:tab/>
      </w:r>
      <w:r w:rsidRPr="00020268">
        <w:rPr>
          <w:lang w:val="fr-FR"/>
        </w:rPr>
        <w:t>INF.56 (</w:t>
      </w:r>
      <w:r>
        <w:rPr>
          <w:lang w:val="fr-FR"/>
        </w:rPr>
        <w:t>États-Unis d’Amérique</w:t>
      </w:r>
      <w:r w:rsidRPr="00020268">
        <w:rPr>
          <w:lang w:val="fr-FR"/>
        </w:rPr>
        <w:t>)</w:t>
      </w:r>
    </w:p>
    <w:p w14:paraId="61FCE85F" w14:textId="77777777" w:rsidR="0012021D" w:rsidRPr="00020268" w:rsidRDefault="0012021D" w:rsidP="0012021D">
      <w:pPr>
        <w:pStyle w:val="SingleTxtG"/>
        <w:rPr>
          <w:lang w:val="fr-FR"/>
        </w:rPr>
      </w:pPr>
      <w:r w:rsidRPr="00020268">
        <w:rPr>
          <w:lang w:val="fr-FR"/>
        </w:rPr>
        <w:t>59.</w:t>
      </w:r>
      <w:r w:rsidRPr="00020268">
        <w:rPr>
          <w:lang w:val="fr-FR"/>
        </w:rPr>
        <w:tab/>
      </w:r>
      <w:r w:rsidRPr="00EF35E3">
        <w:rPr>
          <w:lang w:val="fr-FR"/>
        </w:rPr>
        <w:t>Le Sous-Comité a examiné les modifications qu</w:t>
      </w:r>
      <w:r>
        <w:rPr>
          <w:lang w:val="fr-FR"/>
        </w:rPr>
        <w:t>’</w:t>
      </w:r>
      <w:r w:rsidRPr="00EF35E3">
        <w:rPr>
          <w:lang w:val="fr-FR"/>
        </w:rPr>
        <w:t>il était proposé d</w:t>
      </w:r>
      <w:r>
        <w:rPr>
          <w:lang w:val="fr-FR"/>
        </w:rPr>
        <w:t>’</w:t>
      </w:r>
      <w:r w:rsidRPr="00EF35E3">
        <w:rPr>
          <w:lang w:val="fr-FR"/>
        </w:rPr>
        <w:t>apporter aux N</w:t>
      </w:r>
      <w:r w:rsidRPr="004C546D">
        <w:rPr>
          <w:vertAlign w:val="superscript"/>
          <w:lang w:val="fr-FR"/>
        </w:rPr>
        <w:t>os</w:t>
      </w:r>
      <w:r>
        <w:rPr>
          <w:lang w:val="fr-FR"/>
        </w:rPr>
        <w:t> </w:t>
      </w:r>
      <w:r w:rsidRPr="00EF35E3">
        <w:rPr>
          <w:lang w:val="fr-FR"/>
        </w:rPr>
        <w:t xml:space="preserve">ONU 1391 et 3482 dans la </w:t>
      </w:r>
      <w:r>
        <w:rPr>
          <w:lang w:val="fr-FR"/>
        </w:rPr>
        <w:t>L</w:t>
      </w:r>
      <w:r w:rsidRPr="00EF35E3">
        <w:rPr>
          <w:lang w:val="fr-FR"/>
        </w:rPr>
        <w:t>iste des marchandises dangereuses et s</w:t>
      </w:r>
      <w:r>
        <w:rPr>
          <w:lang w:val="fr-FR"/>
        </w:rPr>
        <w:t>’</w:t>
      </w:r>
      <w:r w:rsidRPr="00EF35E3">
        <w:rPr>
          <w:lang w:val="fr-FR"/>
        </w:rPr>
        <w:t>est penché sur la possibilité d</w:t>
      </w:r>
      <w:r>
        <w:rPr>
          <w:lang w:val="fr-FR"/>
        </w:rPr>
        <w:t>’</w:t>
      </w:r>
      <w:r w:rsidRPr="00EF35E3">
        <w:rPr>
          <w:lang w:val="fr-FR"/>
        </w:rPr>
        <w:t>ajouter une disposition spéciale au 4.2.5.3. Il a adopté les amendements proposés dans le document informel INF.56 (</w:t>
      </w:r>
      <w:r>
        <w:rPr>
          <w:lang w:val="fr-FR"/>
        </w:rPr>
        <w:t>voir l’annexe </w:t>
      </w:r>
      <w:r w:rsidRPr="00020268">
        <w:rPr>
          <w:lang w:val="fr-FR"/>
        </w:rPr>
        <w:t xml:space="preserve">I). </w:t>
      </w:r>
      <w:r>
        <w:rPr>
          <w:lang w:val="fr-FR"/>
        </w:rPr>
        <w:t>Il a été relevé qu’</w:t>
      </w:r>
      <w:r w:rsidRPr="00EF35E3">
        <w:rPr>
          <w:lang w:val="fr-FR"/>
        </w:rPr>
        <w:t>un amendement de conséquence aux Principes directeurs</w:t>
      </w:r>
      <w:r>
        <w:rPr>
          <w:lang w:val="fr-FR"/>
        </w:rPr>
        <w:t xml:space="preserve"> serait nécessaire</w:t>
      </w:r>
      <w:r w:rsidRPr="00020268">
        <w:rPr>
          <w:lang w:val="fr-FR"/>
        </w:rPr>
        <w:t>.</w:t>
      </w:r>
    </w:p>
    <w:p w14:paraId="3E6B6505" w14:textId="77777777" w:rsidR="0012021D" w:rsidRPr="00623382" w:rsidRDefault="0012021D" w:rsidP="004C546D">
      <w:pPr>
        <w:pStyle w:val="H1G"/>
        <w:rPr>
          <w:lang w:val="fr-FR"/>
        </w:rPr>
      </w:pPr>
      <w:r w:rsidRPr="00020268">
        <w:rPr>
          <w:lang w:val="fr-FR"/>
        </w:rPr>
        <w:tab/>
      </w:r>
      <w:r w:rsidRPr="00623382">
        <w:rPr>
          <w:lang w:val="fr-FR"/>
        </w:rPr>
        <w:t>D.</w:t>
      </w:r>
      <w:r w:rsidRPr="00623382">
        <w:rPr>
          <w:lang w:val="fr-FR"/>
        </w:rPr>
        <w:tab/>
      </w:r>
      <w:r>
        <w:rPr>
          <w:lang w:val="fr-FR"/>
        </w:rPr>
        <w:t>Autres propositions diverses</w:t>
      </w:r>
    </w:p>
    <w:p w14:paraId="390F48DC" w14:textId="77777777" w:rsidR="0012021D" w:rsidRPr="00623382" w:rsidRDefault="0012021D" w:rsidP="0012021D">
      <w:pPr>
        <w:pStyle w:val="SingleTxtG"/>
        <w:rPr>
          <w:lang w:val="fr-FR"/>
        </w:rPr>
      </w:pPr>
      <w:r w:rsidRPr="00623382">
        <w:rPr>
          <w:lang w:val="fr-FR"/>
        </w:rPr>
        <w:t>60.</w:t>
      </w:r>
      <w:r w:rsidRPr="00623382">
        <w:rPr>
          <w:lang w:val="fr-FR"/>
        </w:rPr>
        <w:tab/>
      </w:r>
      <w:r>
        <w:rPr>
          <w:lang w:val="fr-FR"/>
        </w:rPr>
        <w:t>Aucun document n’ayant été soumis au titre de ce point de l’ordre du jour, la question n’a pas été abordée</w:t>
      </w:r>
      <w:r w:rsidRPr="00623382">
        <w:rPr>
          <w:lang w:val="fr-FR"/>
        </w:rPr>
        <w:t>.</w:t>
      </w:r>
    </w:p>
    <w:p w14:paraId="1A6AE3CF" w14:textId="0B3A6053" w:rsidR="0012021D" w:rsidRPr="00631E4E" w:rsidRDefault="004C546D" w:rsidP="004C546D">
      <w:pPr>
        <w:pStyle w:val="HChG"/>
        <w:rPr>
          <w:lang w:val="fr-FR"/>
        </w:rPr>
      </w:pPr>
      <w:r>
        <w:rPr>
          <w:lang w:val="fr-FR"/>
        </w:rPr>
        <w:tab/>
      </w:r>
      <w:r w:rsidR="0012021D" w:rsidRPr="00631E4E">
        <w:rPr>
          <w:lang w:val="fr-FR"/>
        </w:rPr>
        <w:t>IX.</w:t>
      </w:r>
      <w:r w:rsidR="0012021D" w:rsidRPr="00631E4E">
        <w:rPr>
          <w:lang w:val="fr-FR"/>
        </w:rPr>
        <w:tab/>
      </w:r>
      <w:r w:rsidR="0012021D" w:rsidRPr="004C546D">
        <w:t>Harmonisation</w:t>
      </w:r>
      <w:r w:rsidR="0012021D">
        <w:rPr>
          <w:lang w:val="fr-FR"/>
        </w:rPr>
        <w:t xml:space="preserve"> générale des règlements relatifs </w:t>
      </w:r>
      <w:r>
        <w:rPr>
          <w:lang w:val="fr-FR"/>
        </w:rPr>
        <w:br/>
      </w:r>
      <w:r w:rsidR="0012021D">
        <w:rPr>
          <w:lang w:val="fr-FR"/>
        </w:rPr>
        <w:t xml:space="preserve">au transport des marchandises dangereuses avec </w:t>
      </w:r>
      <w:r>
        <w:rPr>
          <w:lang w:val="fr-FR"/>
        </w:rPr>
        <w:br/>
      </w:r>
      <w:r w:rsidR="0012021D">
        <w:rPr>
          <w:lang w:val="fr-FR"/>
        </w:rPr>
        <w:t>le Règlement type (point 7 de l’ordre du jour</w:t>
      </w:r>
      <w:r w:rsidR="0012021D" w:rsidRPr="00631E4E">
        <w:rPr>
          <w:lang w:val="fr-FR"/>
        </w:rPr>
        <w:t>)</w:t>
      </w:r>
    </w:p>
    <w:p w14:paraId="11B24568" w14:textId="537496DF" w:rsidR="0012021D" w:rsidRPr="00EA40C7" w:rsidRDefault="0012021D" w:rsidP="004C546D">
      <w:pPr>
        <w:pStyle w:val="H1G"/>
        <w:rPr>
          <w:lang w:val="fr-FR"/>
        </w:rPr>
      </w:pPr>
      <w:r w:rsidRPr="00631E4E">
        <w:rPr>
          <w:bCs/>
          <w:lang w:val="fr-FR"/>
        </w:rPr>
        <w:tab/>
      </w:r>
      <w:r w:rsidRPr="00EA40C7">
        <w:rPr>
          <w:bCs/>
          <w:lang w:val="fr-FR"/>
        </w:rPr>
        <w:t>A.</w:t>
      </w:r>
      <w:r w:rsidRPr="00EA40C7">
        <w:rPr>
          <w:lang w:val="fr-FR"/>
        </w:rPr>
        <w:tab/>
        <w:t>Projet d</w:t>
      </w:r>
      <w:r>
        <w:rPr>
          <w:lang w:val="fr-FR"/>
        </w:rPr>
        <w:t>’</w:t>
      </w:r>
      <w:r w:rsidRPr="00EA40C7">
        <w:rPr>
          <w:lang w:val="fr-FR"/>
        </w:rPr>
        <w:t>amendements de l</w:t>
      </w:r>
      <w:r>
        <w:rPr>
          <w:lang w:val="fr-FR"/>
        </w:rPr>
        <w:t>’</w:t>
      </w:r>
      <w:r w:rsidRPr="00EA40C7">
        <w:rPr>
          <w:lang w:val="fr-FR"/>
        </w:rPr>
        <w:t xml:space="preserve">OMI </w:t>
      </w:r>
      <w:r>
        <w:rPr>
          <w:lang w:val="fr-FR"/>
        </w:rPr>
        <w:t>à la section</w:t>
      </w:r>
      <w:r w:rsidRPr="00EA40C7">
        <w:rPr>
          <w:lang w:val="fr-FR"/>
        </w:rPr>
        <w:t xml:space="preserve"> 5.5.4 </w:t>
      </w:r>
      <w:r w:rsidR="004C546D">
        <w:rPr>
          <w:lang w:val="fr-FR"/>
        </w:rPr>
        <w:br/>
      </w:r>
      <w:r w:rsidRPr="00EA40C7">
        <w:rPr>
          <w:lang w:val="fr-FR"/>
        </w:rPr>
        <w:t xml:space="preserve">du </w:t>
      </w:r>
      <w:r>
        <w:rPr>
          <w:lang w:val="fr-FR"/>
        </w:rPr>
        <w:t>C</w:t>
      </w:r>
      <w:r w:rsidRPr="00EA40C7">
        <w:rPr>
          <w:lang w:val="fr-FR"/>
        </w:rPr>
        <w:t>ode IMDG</w:t>
      </w:r>
    </w:p>
    <w:p w14:paraId="7F1D6C03"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4C546D">
        <w:rPr>
          <w:lang w:val="fr-FR"/>
        </w:rPr>
        <w:t>:</w:t>
      </w:r>
      <w:r>
        <w:rPr>
          <w:i/>
          <w:iCs/>
          <w:lang w:val="fr-FR"/>
        </w:rPr>
        <w:tab/>
      </w:r>
      <w:r w:rsidRPr="00FE7F11">
        <w:rPr>
          <w:lang w:val="fr-FR"/>
        </w:rPr>
        <w:t>INF.26 (France)</w:t>
      </w:r>
      <w:r w:rsidRPr="00FE7F11">
        <w:rPr>
          <w:lang w:val="fr-FR"/>
        </w:rPr>
        <w:br/>
        <w:t>INF.28 (</w:t>
      </w:r>
      <w:r>
        <w:rPr>
          <w:lang w:val="fr-FR"/>
        </w:rPr>
        <w:t>O</w:t>
      </w:r>
      <w:r w:rsidRPr="00FE7F11">
        <w:rPr>
          <w:lang w:val="fr-FR"/>
        </w:rPr>
        <w:t>M</w:t>
      </w:r>
      <w:r>
        <w:rPr>
          <w:lang w:val="fr-FR"/>
        </w:rPr>
        <w:t>I</w:t>
      </w:r>
      <w:r w:rsidRPr="00FE7F11">
        <w:rPr>
          <w:lang w:val="fr-FR"/>
        </w:rPr>
        <w:t>)</w:t>
      </w:r>
    </w:p>
    <w:p w14:paraId="26C5A900" w14:textId="5E9DBCDF" w:rsidR="0012021D" w:rsidRPr="005933F9" w:rsidRDefault="0012021D" w:rsidP="0012021D">
      <w:pPr>
        <w:pStyle w:val="SingleTxtG"/>
        <w:rPr>
          <w:rFonts w:cstheme="minorHAnsi"/>
          <w:lang w:val="fr-FR"/>
        </w:rPr>
      </w:pPr>
      <w:r w:rsidRPr="005933F9">
        <w:rPr>
          <w:lang w:val="fr-FR"/>
        </w:rPr>
        <w:t>61.</w:t>
      </w:r>
      <w:r w:rsidRPr="005933F9">
        <w:rPr>
          <w:lang w:val="fr-FR"/>
        </w:rPr>
        <w:tab/>
      </w:r>
      <w:r>
        <w:rPr>
          <w:lang w:val="fr-FR"/>
        </w:rPr>
        <w:t>Le représentant de la France a rendu compte des débats qui animaient le Sous-Comité du transport des cargaisons et des conteneurs de l’OMI (CCC 8) à propos des propositions d’amendements à la section</w:t>
      </w:r>
      <w:r w:rsidR="004C546D">
        <w:rPr>
          <w:lang w:val="fr-FR"/>
        </w:rPr>
        <w:t> </w:t>
      </w:r>
      <w:r>
        <w:rPr>
          <w:lang w:val="fr-FR"/>
        </w:rPr>
        <w:t xml:space="preserve">5.5.4 du </w:t>
      </w:r>
      <w:r w:rsidRPr="00EA40C7">
        <w:rPr>
          <w:lang w:val="fr-FR"/>
        </w:rPr>
        <w:t xml:space="preserve">Code maritime international des marchandises dangereuses </w:t>
      </w:r>
      <w:r>
        <w:rPr>
          <w:lang w:val="fr-FR"/>
        </w:rPr>
        <w:t>(Code IMDG) susceptibles d’entraîner des répercussions sur le transport multimodal et donc sur le Règlement type.</w:t>
      </w:r>
      <w:r w:rsidRPr="005933F9">
        <w:rPr>
          <w:lang w:val="fr-FR"/>
        </w:rPr>
        <w:t xml:space="preserve"> </w:t>
      </w:r>
    </w:p>
    <w:p w14:paraId="07F12CDC" w14:textId="77777777" w:rsidR="0012021D" w:rsidRPr="005933F9" w:rsidRDefault="0012021D" w:rsidP="004C546D">
      <w:pPr>
        <w:pStyle w:val="SingleTxtG"/>
        <w:keepLines/>
        <w:rPr>
          <w:rFonts w:cstheme="minorHAnsi"/>
          <w:lang w:val="fr-FR"/>
        </w:rPr>
      </w:pPr>
      <w:r w:rsidRPr="005933F9">
        <w:rPr>
          <w:lang w:val="fr-FR"/>
        </w:rPr>
        <w:t>62.</w:t>
      </w:r>
      <w:r w:rsidRPr="005933F9">
        <w:rPr>
          <w:lang w:val="fr-FR"/>
        </w:rPr>
        <w:tab/>
      </w:r>
      <w:r>
        <w:rPr>
          <w:lang w:val="fr-FR"/>
        </w:rPr>
        <w:t>Le Sous-Comité a dit que les propositions de modifications concernant les dispositifs contenant des marchandises dangereuses utilisés ou destinés à être utilisés pendant le transport pourraient être utiles pour d’autres modes de transport. Il a également été fait valoir que ces nouvelles dispositions, qui impliquaient l’adaptation du titre du chapitre du Règlement type, auraient des effets en ce qui concernait le champ d’application, et qu’il convenait donc de les examiner attentivement</w:t>
      </w:r>
      <w:r w:rsidRPr="005933F9">
        <w:rPr>
          <w:lang w:val="fr-FR"/>
        </w:rPr>
        <w:t>.</w:t>
      </w:r>
    </w:p>
    <w:p w14:paraId="4A52AED1" w14:textId="77777777" w:rsidR="0012021D" w:rsidRPr="005933F9" w:rsidRDefault="0012021D" w:rsidP="0012021D">
      <w:pPr>
        <w:pStyle w:val="SingleTxtG"/>
        <w:rPr>
          <w:rFonts w:cstheme="minorHAnsi"/>
          <w:lang w:val="fr-FR"/>
        </w:rPr>
      </w:pPr>
      <w:r w:rsidRPr="005933F9">
        <w:rPr>
          <w:lang w:val="fr-FR"/>
        </w:rPr>
        <w:t>63.</w:t>
      </w:r>
      <w:r w:rsidRPr="005933F9">
        <w:rPr>
          <w:lang w:val="fr-FR"/>
        </w:rPr>
        <w:tab/>
      </w:r>
      <w:r>
        <w:rPr>
          <w:lang w:val="fr-FR"/>
        </w:rPr>
        <w:t>Le Sous-Comité a convenu de reprendre l’examen de cette question à sa session de juillet 2023, sur la base du résultat des travaux du Groupe des questions techniques et éditoriales à sa session de printemps. Si nécessaire, l’expert de la France soumettrait un document sous une cote officielle à ce sujet</w:t>
      </w:r>
      <w:r w:rsidRPr="005933F9">
        <w:rPr>
          <w:lang w:val="fr-FR"/>
        </w:rPr>
        <w:t>.</w:t>
      </w:r>
    </w:p>
    <w:p w14:paraId="610958EC" w14:textId="47B031CC" w:rsidR="0012021D" w:rsidRPr="004472BF" w:rsidRDefault="0012021D" w:rsidP="004C546D">
      <w:pPr>
        <w:pStyle w:val="H1G"/>
        <w:rPr>
          <w:lang w:val="fr-FR"/>
        </w:rPr>
      </w:pPr>
      <w:r>
        <w:rPr>
          <w:lang w:val="fr-FR"/>
        </w:rPr>
        <w:tab/>
        <w:t>B.</w:t>
      </w:r>
      <w:r>
        <w:rPr>
          <w:lang w:val="fr-FR"/>
        </w:rPr>
        <w:tab/>
        <w:t xml:space="preserve">Mise à jour des références aux normes dans le Manuel </w:t>
      </w:r>
      <w:r w:rsidR="004C546D">
        <w:rPr>
          <w:lang w:val="fr-FR"/>
        </w:rPr>
        <w:br/>
      </w:r>
      <w:r>
        <w:rPr>
          <w:lang w:val="fr-FR"/>
        </w:rPr>
        <w:t>d’épreuves et</w:t>
      </w:r>
      <w:r w:rsidR="004C546D">
        <w:rPr>
          <w:lang w:val="fr-FR"/>
        </w:rPr>
        <w:t xml:space="preserve"> </w:t>
      </w:r>
      <w:r>
        <w:rPr>
          <w:lang w:val="fr-FR"/>
        </w:rPr>
        <w:t>de</w:t>
      </w:r>
      <w:r w:rsidR="004C546D">
        <w:rPr>
          <w:lang w:val="fr-FR"/>
        </w:rPr>
        <w:t xml:space="preserve"> </w:t>
      </w:r>
      <w:r>
        <w:rPr>
          <w:lang w:val="fr-FR"/>
        </w:rPr>
        <w:t>critères</w:t>
      </w:r>
    </w:p>
    <w:p w14:paraId="3EA53D23" w14:textId="77777777" w:rsidR="0012021D" w:rsidRPr="005933F9"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4C546D">
        <w:rPr>
          <w:lang w:val="fr-FR"/>
        </w:rPr>
        <w:t>:</w:t>
      </w:r>
      <w:r>
        <w:rPr>
          <w:i/>
          <w:iCs/>
          <w:lang w:val="fr-FR"/>
        </w:rPr>
        <w:tab/>
      </w:r>
      <w:r>
        <w:rPr>
          <w:lang w:val="fr-FR"/>
        </w:rPr>
        <w:t>INF.27 (secrétariat)</w:t>
      </w:r>
    </w:p>
    <w:p w14:paraId="642734AA" w14:textId="580377F5" w:rsidR="0012021D" w:rsidRPr="005933F9" w:rsidRDefault="0012021D" w:rsidP="0012021D">
      <w:pPr>
        <w:pStyle w:val="SingleTxtG"/>
        <w:rPr>
          <w:lang w:val="fr-FR"/>
        </w:rPr>
      </w:pPr>
      <w:r w:rsidRPr="005933F9">
        <w:rPr>
          <w:lang w:val="fr-FR"/>
        </w:rPr>
        <w:t>64.</w:t>
      </w:r>
      <w:r w:rsidRPr="005933F9">
        <w:rPr>
          <w:lang w:val="fr-FR"/>
        </w:rPr>
        <w:tab/>
      </w:r>
      <w:r>
        <w:rPr>
          <w:lang w:val="fr-FR"/>
        </w:rPr>
        <w:t>Dans le prolongement du débat tenu à la session précédente sur la nécessaire actualisation de certaines normes visées dans le Manuel d’épreuves et de critères (par.</w:t>
      </w:r>
      <w:r w:rsidR="004C546D">
        <w:rPr>
          <w:lang w:val="fr-FR"/>
        </w:rPr>
        <w:t> </w:t>
      </w:r>
      <w:r>
        <w:rPr>
          <w:lang w:val="fr-FR"/>
        </w:rPr>
        <w:t>114 du document ST/SG/AC.10/C.3/120), le secrétariat a présenté le document informel INF.27 rendant compte des résultats de ses consultations avec l’ISO. Le Sous-Comité a demandé au secrétariat de soumettre à nouveau ce document sous une cote officielle pour sa session suivante, et les délégations ont été invitées à déterminer s’il convenait de mettre à jour les références aux normes du Manuel d’épreuves et de critères</w:t>
      </w:r>
      <w:r w:rsidRPr="005933F9">
        <w:rPr>
          <w:lang w:val="fr-FR"/>
        </w:rPr>
        <w:t>.</w:t>
      </w:r>
    </w:p>
    <w:p w14:paraId="4F1C4C80" w14:textId="77777777" w:rsidR="0012021D" w:rsidRPr="005933F9" w:rsidRDefault="0012021D" w:rsidP="004C546D">
      <w:pPr>
        <w:pStyle w:val="HChG"/>
        <w:rPr>
          <w:lang w:val="fr-FR"/>
        </w:rPr>
      </w:pPr>
      <w:r w:rsidRPr="005933F9">
        <w:rPr>
          <w:lang w:val="fr-FR"/>
        </w:rPr>
        <w:tab/>
        <w:t>X.</w:t>
      </w:r>
      <w:r w:rsidRPr="005933F9">
        <w:rPr>
          <w:lang w:val="fr-FR"/>
        </w:rPr>
        <w:tab/>
      </w:r>
      <w:r w:rsidRPr="005F1938">
        <w:rPr>
          <w:lang w:val="fr-FR"/>
        </w:rPr>
        <w:t>Coopération avec l</w:t>
      </w:r>
      <w:r>
        <w:rPr>
          <w:lang w:val="fr-FR"/>
        </w:rPr>
        <w:t>’</w:t>
      </w:r>
      <w:r w:rsidRPr="005F1938">
        <w:rPr>
          <w:lang w:val="fr-FR"/>
        </w:rPr>
        <w:t>Agence internationale de l</w:t>
      </w:r>
      <w:r>
        <w:rPr>
          <w:lang w:val="fr-FR"/>
        </w:rPr>
        <w:t>’</w:t>
      </w:r>
      <w:r w:rsidRPr="005F1938">
        <w:rPr>
          <w:lang w:val="fr-FR"/>
        </w:rPr>
        <w:t>énergie atomique (point 8 de l</w:t>
      </w:r>
      <w:r>
        <w:rPr>
          <w:lang w:val="fr-FR"/>
        </w:rPr>
        <w:t>’</w:t>
      </w:r>
      <w:r w:rsidRPr="005F1938">
        <w:rPr>
          <w:lang w:val="fr-FR"/>
        </w:rPr>
        <w:t>ordre du jour</w:t>
      </w:r>
      <w:r w:rsidRPr="005933F9">
        <w:rPr>
          <w:lang w:val="fr-FR"/>
        </w:rPr>
        <w:t>)</w:t>
      </w:r>
    </w:p>
    <w:p w14:paraId="0BAFB62D" w14:textId="77777777" w:rsidR="0012021D" w:rsidRPr="005933F9" w:rsidRDefault="0012021D" w:rsidP="0012021D">
      <w:pPr>
        <w:pStyle w:val="SingleTxtG"/>
        <w:rPr>
          <w:lang w:val="fr-FR"/>
        </w:rPr>
      </w:pPr>
      <w:r w:rsidRPr="005933F9">
        <w:rPr>
          <w:lang w:val="fr-FR"/>
        </w:rPr>
        <w:t>65.</w:t>
      </w:r>
      <w:r w:rsidRPr="005933F9">
        <w:rPr>
          <w:lang w:val="fr-FR"/>
        </w:rPr>
        <w:tab/>
      </w:r>
      <w:r w:rsidRPr="005F1938">
        <w:rPr>
          <w:lang w:val="fr-FR"/>
        </w:rPr>
        <w:t>Aucun document n</w:t>
      </w:r>
      <w:r>
        <w:rPr>
          <w:lang w:val="fr-FR"/>
        </w:rPr>
        <w:t>’</w:t>
      </w:r>
      <w:r w:rsidRPr="005F1938">
        <w:rPr>
          <w:lang w:val="fr-FR"/>
        </w:rPr>
        <w:t>ayant été soumis au titre de ce point de l</w:t>
      </w:r>
      <w:r>
        <w:rPr>
          <w:lang w:val="fr-FR"/>
        </w:rPr>
        <w:t>’</w:t>
      </w:r>
      <w:r w:rsidRPr="005F1938">
        <w:rPr>
          <w:lang w:val="fr-FR"/>
        </w:rPr>
        <w:t>ordre du jour, la question n</w:t>
      </w:r>
      <w:r>
        <w:rPr>
          <w:lang w:val="fr-FR"/>
        </w:rPr>
        <w:t>’</w:t>
      </w:r>
      <w:r w:rsidRPr="005F1938">
        <w:rPr>
          <w:lang w:val="fr-FR"/>
        </w:rPr>
        <w:t>a pas été abordée</w:t>
      </w:r>
      <w:r w:rsidRPr="005933F9">
        <w:rPr>
          <w:lang w:val="fr-FR"/>
        </w:rPr>
        <w:t>.</w:t>
      </w:r>
    </w:p>
    <w:p w14:paraId="6EEC907F" w14:textId="589556F3" w:rsidR="0012021D" w:rsidRPr="005933F9" w:rsidRDefault="0012021D" w:rsidP="004C546D">
      <w:pPr>
        <w:pStyle w:val="HChG"/>
        <w:rPr>
          <w:lang w:val="fr-FR"/>
        </w:rPr>
      </w:pPr>
      <w:r w:rsidRPr="005933F9">
        <w:rPr>
          <w:lang w:val="fr-FR"/>
        </w:rPr>
        <w:tab/>
        <w:t>XI.</w:t>
      </w:r>
      <w:r w:rsidRPr="005933F9">
        <w:rPr>
          <w:lang w:val="fr-FR"/>
        </w:rPr>
        <w:tab/>
      </w:r>
      <w:r w:rsidRPr="005F1938">
        <w:rPr>
          <w:lang w:val="fr-FR"/>
        </w:rPr>
        <w:t xml:space="preserve">Principes directeurs du Règlement type </w:t>
      </w:r>
      <w:r w:rsidR="004C546D">
        <w:rPr>
          <w:lang w:val="fr-FR"/>
        </w:rPr>
        <w:br/>
      </w:r>
      <w:r w:rsidRPr="005F1938">
        <w:rPr>
          <w:lang w:val="fr-FR"/>
        </w:rPr>
        <w:t>(point 9 de l</w:t>
      </w:r>
      <w:r>
        <w:rPr>
          <w:lang w:val="fr-FR"/>
        </w:rPr>
        <w:t>’</w:t>
      </w:r>
      <w:r w:rsidRPr="005F1938">
        <w:rPr>
          <w:lang w:val="fr-FR"/>
        </w:rPr>
        <w:t>ordre du</w:t>
      </w:r>
      <w:r w:rsidR="004C546D">
        <w:rPr>
          <w:lang w:val="fr-FR"/>
        </w:rPr>
        <w:t xml:space="preserve"> </w:t>
      </w:r>
      <w:r w:rsidRPr="005F1938">
        <w:rPr>
          <w:lang w:val="fr-FR"/>
        </w:rPr>
        <w:t>jour</w:t>
      </w:r>
      <w:r w:rsidRPr="005933F9">
        <w:rPr>
          <w:lang w:val="fr-FR"/>
        </w:rPr>
        <w:t>)</w:t>
      </w:r>
    </w:p>
    <w:p w14:paraId="0470422A" w14:textId="77777777" w:rsidR="0012021D" w:rsidRPr="005933F9" w:rsidRDefault="0012021D" w:rsidP="0012021D">
      <w:pPr>
        <w:pStyle w:val="SingleTxtG"/>
        <w:rPr>
          <w:lang w:val="fr-FR"/>
        </w:rPr>
      </w:pPr>
      <w:r w:rsidRPr="005933F9">
        <w:rPr>
          <w:lang w:val="fr-FR"/>
        </w:rPr>
        <w:t>66.</w:t>
      </w:r>
      <w:r w:rsidRPr="005933F9">
        <w:rPr>
          <w:lang w:val="fr-FR"/>
        </w:rPr>
        <w:tab/>
      </w:r>
      <w:r w:rsidRPr="005F1938">
        <w:rPr>
          <w:lang w:val="fr-FR"/>
        </w:rPr>
        <w:t>Aucun document n</w:t>
      </w:r>
      <w:r>
        <w:rPr>
          <w:lang w:val="fr-FR"/>
        </w:rPr>
        <w:t>’</w:t>
      </w:r>
      <w:r w:rsidRPr="005F1938">
        <w:rPr>
          <w:lang w:val="fr-FR"/>
        </w:rPr>
        <w:t>ayant été soumis au titre de ce point de l</w:t>
      </w:r>
      <w:r>
        <w:rPr>
          <w:lang w:val="fr-FR"/>
        </w:rPr>
        <w:t>’</w:t>
      </w:r>
      <w:r w:rsidRPr="005F1938">
        <w:rPr>
          <w:lang w:val="fr-FR"/>
        </w:rPr>
        <w:t>ordre du jour, la question n</w:t>
      </w:r>
      <w:r>
        <w:rPr>
          <w:lang w:val="fr-FR"/>
        </w:rPr>
        <w:t>’</w:t>
      </w:r>
      <w:r w:rsidRPr="005F1938">
        <w:rPr>
          <w:lang w:val="fr-FR"/>
        </w:rPr>
        <w:t>a pas été abordée</w:t>
      </w:r>
      <w:r w:rsidRPr="005933F9">
        <w:rPr>
          <w:lang w:val="fr-FR"/>
        </w:rPr>
        <w:t>.</w:t>
      </w:r>
    </w:p>
    <w:p w14:paraId="61A6F9A2" w14:textId="484CF0CD" w:rsidR="0012021D" w:rsidRPr="001B69D2" w:rsidRDefault="0012021D" w:rsidP="004C546D">
      <w:pPr>
        <w:pStyle w:val="HChG"/>
        <w:rPr>
          <w:lang w:val="fr-FR"/>
        </w:rPr>
      </w:pPr>
      <w:r w:rsidRPr="005933F9">
        <w:rPr>
          <w:lang w:val="fr-FR"/>
        </w:rPr>
        <w:tab/>
      </w:r>
      <w:r w:rsidRPr="001B69D2">
        <w:rPr>
          <w:lang w:val="fr-FR"/>
        </w:rPr>
        <w:t>XII.</w:t>
      </w:r>
      <w:r w:rsidRPr="001B69D2">
        <w:rPr>
          <w:lang w:val="fr-FR"/>
        </w:rPr>
        <w:tab/>
      </w:r>
      <w:r w:rsidRPr="004C546D">
        <w:t>Questions</w:t>
      </w:r>
      <w:r>
        <w:rPr>
          <w:lang w:val="fr-FR"/>
        </w:rPr>
        <w:t xml:space="preserve"> relatives au Système général harmonisé </w:t>
      </w:r>
      <w:r w:rsidR="004C546D">
        <w:rPr>
          <w:lang w:val="fr-FR"/>
        </w:rPr>
        <w:br/>
      </w:r>
      <w:r>
        <w:rPr>
          <w:lang w:val="fr-FR"/>
        </w:rPr>
        <w:t xml:space="preserve">de classification et d’étiquetage des produits </w:t>
      </w:r>
      <w:r w:rsidR="004C546D">
        <w:rPr>
          <w:lang w:val="fr-FR"/>
        </w:rPr>
        <w:br/>
      </w:r>
      <w:r>
        <w:rPr>
          <w:lang w:val="fr-FR"/>
        </w:rPr>
        <w:t>chimiques (SGH) (point 10 de l’ordre du jour</w:t>
      </w:r>
      <w:r w:rsidRPr="001B69D2">
        <w:rPr>
          <w:lang w:val="fr-FR"/>
        </w:rPr>
        <w:t>)</w:t>
      </w:r>
    </w:p>
    <w:p w14:paraId="5DC3946A" w14:textId="77777777" w:rsidR="0012021D" w:rsidRPr="001B69D2" w:rsidRDefault="0012021D" w:rsidP="004C546D">
      <w:pPr>
        <w:pStyle w:val="H1G"/>
        <w:rPr>
          <w:lang w:val="fr-FR"/>
        </w:rPr>
      </w:pPr>
      <w:r w:rsidRPr="001B69D2">
        <w:rPr>
          <w:lang w:val="fr-FR"/>
        </w:rPr>
        <w:tab/>
        <w:t>A.</w:t>
      </w:r>
      <w:r w:rsidRPr="001B69D2">
        <w:rPr>
          <w:lang w:val="fr-FR"/>
        </w:rPr>
        <w:tab/>
      </w:r>
      <w:r>
        <w:rPr>
          <w:lang w:val="fr-FR"/>
        </w:rPr>
        <w:t>Épreuves relatives aux matières comburantes</w:t>
      </w:r>
    </w:p>
    <w:p w14:paraId="33219B2C" w14:textId="77777777" w:rsidR="0012021D" w:rsidRPr="001B69D2" w:rsidRDefault="0012021D" w:rsidP="0012021D">
      <w:pPr>
        <w:pStyle w:val="SingleTxtG"/>
        <w:rPr>
          <w:lang w:val="fr-FR"/>
        </w:rPr>
      </w:pPr>
      <w:r w:rsidRPr="001B69D2">
        <w:rPr>
          <w:lang w:val="fr-FR"/>
        </w:rPr>
        <w:t>67.</w:t>
      </w:r>
      <w:r w:rsidRPr="001B69D2">
        <w:rPr>
          <w:lang w:val="fr-FR"/>
        </w:rPr>
        <w:tab/>
      </w:r>
      <w:r>
        <w:rPr>
          <w:lang w:val="fr-FR"/>
        </w:rPr>
        <w:t>Aucun document n’ayant été soumis au titre de ce point de l’ordre du jour, la question n’a pas été abordée</w:t>
      </w:r>
      <w:r w:rsidRPr="001B69D2">
        <w:rPr>
          <w:lang w:val="fr-FR"/>
        </w:rPr>
        <w:t>.</w:t>
      </w:r>
    </w:p>
    <w:p w14:paraId="2B4AB9B5" w14:textId="7B7CED86" w:rsidR="0012021D" w:rsidRPr="001B69D2" w:rsidRDefault="0012021D" w:rsidP="004C546D">
      <w:pPr>
        <w:pStyle w:val="H1G"/>
        <w:rPr>
          <w:lang w:val="fr-FR"/>
        </w:rPr>
      </w:pPr>
      <w:r w:rsidRPr="001B69D2">
        <w:rPr>
          <w:lang w:val="fr-FR"/>
        </w:rPr>
        <w:tab/>
      </w:r>
      <w:r w:rsidRPr="00612F52">
        <w:rPr>
          <w:lang w:val="fr-FR"/>
        </w:rPr>
        <w:t>B.</w:t>
      </w:r>
      <w:r w:rsidRPr="00612F52">
        <w:rPr>
          <w:lang w:val="fr-FR"/>
        </w:rPr>
        <w:tab/>
      </w:r>
      <w:r w:rsidRPr="00612F52">
        <w:rPr>
          <w:lang w:val="fr-FR"/>
        </w:rPr>
        <w:tab/>
      </w:r>
      <w:r>
        <w:rPr>
          <w:lang w:val="fr-FR"/>
        </w:rPr>
        <w:t xml:space="preserve">Affectation à plusieurs classes de danger physique </w:t>
      </w:r>
      <w:r w:rsidR="004C546D">
        <w:rPr>
          <w:lang w:val="fr-FR"/>
        </w:rPr>
        <w:br/>
      </w:r>
      <w:r>
        <w:rPr>
          <w:lang w:val="fr-FR"/>
        </w:rPr>
        <w:t>et hiérarchisation des dangers</w:t>
      </w:r>
    </w:p>
    <w:p w14:paraId="6CC31C9C"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4C546D">
        <w:rPr>
          <w:lang w:val="fr-FR"/>
        </w:rPr>
        <w:t>:</w:t>
      </w:r>
      <w:r>
        <w:rPr>
          <w:lang w:val="fr-FR"/>
        </w:rPr>
        <w:tab/>
        <w:t>ST/SG/AC.10/C.3/2022/48 (Allemagne)</w:t>
      </w:r>
    </w:p>
    <w:p w14:paraId="142D6DEF" w14:textId="63A9F84B" w:rsidR="0012021D" w:rsidRPr="002070A7" w:rsidRDefault="0012021D" w:rsidP="0012021D">
      <w:pPr>
        <w:pStyle w:val="SingleTxtG"/>
        <w:rPr>
          <w:lang w:val="fr-FR"/>
        </w:rPr>
      </w:pPr>
      <w:r w:rsidRPr="002070A7">
        <w:rPr>
          <w:lang w:val="fr-FR"/>
        </w:rPr>
        <w:t>68.</w:t>
      </w:r>
      <w:r w:rsidRPr="002070A7">
        <w:rPr>
          <w:lang w:val="fr-FR"/>
        </w:rPr>
        <w:tab/>
      </w:r>
      <w:r>
        <w:rPr>
          <w:lang w:val="fr-FR"/>
        </w:rPr>
        <w:t>Le Sous-Comité a confirmé l’interprétation faite du Nota 1 du tableau 2.3.1 du SGH (voir les sections</w:t>
      </w:r>
      <w:r w:rsidR="004C546D">
        <w:rPr>
          <w:lang w:val="fr-FR"/>
        </w:rPr>
        <w:t> </w:t>
      </w:r>
      <w:r>
        <w:rPr>
          <w:lang w:val="fr-FR"/>
        </w:rPr>
        <w:t xml:space="preserve">I et II du document ST/SG/AC.10/C.3/2022/48). Il a également confirmé que les composants inflammables énumérés ne devaient pas faire partie des aérosols parce qu’ils pouvaient réagir avec l’air. Il a été recommandé d’harmoniser le texte de la disposition spéciale 63 avec celui de la disposition spéciale </w:t>
      </w:r>
      <w:r w:rsidRPr="002070A7">
        <w:rPr>
          <w:lang w:val="fr-FR"/>
        </w:rPr>
        <w:t>362.</w:t>
      </w:r>
    </w:p>
    <w:p w14:paraId="2DDF149C" w14:textId="4D304BDD" w:rsidR="0012021D" w:rsidRPr="005B6736" w:rsidRDefault="0012021D" w:rsidP="0012021D">
      <w:pPr>
        <w:pStyle w:val="SingleTxtG"/>
        <w:rPr>
          <w:lang w:val="fr-FR"/>
        </w:rPr>
      </w:pPr>
      <w:r w:rsidRPr="005B6736">
        <w:rPr>
          <w:lang w:val="fr-FR"/>
        </w:rPr>
        <w:t>69.</w:t>
      </w:r>
      <w:r w:rsidRPr="005B6736">
        <w:rPr>
          <w:lang w:val="fr-FR"/>
        </w:rPr>
        <w:tab/>
      </w:r>
      <w:r>
        <w:rPr>
          <w:lang w:val="fr-FR"/>
        </w:rPr>
        <w:t>S’agissant de la section III du document, le Sous-Comité a pris note de l’historique de l’épreuve C.1 de corrosivité pour les métaux (tel que l’aluminium et l’acier) et des dangers des matières libérées, en particulier pour les aéronefs. Il a été confirmé que les dispositions relatives aux épreuves ne s’appliquaient pas aux gaz ni aux emballages. S’agissant de la section</w:t>
      </w:r>
      <w:r w:rsidR="004C546D">
        <w:rPr>
          <w:lang w:val="fr-FR"/>
        </w:rPr>
        <w:t> </w:t>
      </w:r>
      <w:r>
        <w:rPr>
          <w:lang w:val="fr-FR"/>
        </w:rPr>
        <w:t>IV, il a été constaté que le Nota 1 du 2.8.2.2 et du 2.15.2.2 du SGH pour les matières autoréactives et les peroxydes organiques de type G avait été formulé de façon à s’appliquer largement et qu’aucune précision ne se justifiait compte tenu des principes usuels de classement</w:t>
      </w:r>
      <w:r w:rsidRPr="005B6736">
        <w:rPr>
          <w:lang w:val="fr-FR"/>
        </w:rPr>
        <w:t>.</w:t>
      </w:r>
    </w:p>
    <w:p w14:paraId="622673A5" w14:textId="77777777" w:rsidR="0012021D" w:rsidRPr="005B6736" w:rsidRDefault="0012021D" w:rsidP="004C546D">
      <w:pPr>
        <w:pStyle w:val="H1G"/>
        <w:rPr>
          <w:lang w:val="fr-FR"/>
        </w:rPr>
      </w:pPr>
      <w:r>
        <w:rPr>
          <w:lang w:val="fr-FR"/>
        </w:rPr>
        <w:tab/>
        <w:t>C.</w:t>
      </w:r>
      <w:r>
        <w:rPr>
          <w:lang w:val="fr-FR"/>
        </w:rPr>
        <w:tab/>
      </w:r>
      <w:r>
        <w:rPr>
          <w:lang w:val="fr-FR"/>
        </w:rPr>
        <w:tab/>
        <w:t>Autres questions</w:t>
      </w:r>
    </w:p>
    <w:p w14:paraId="782F6C03" w14:textId="2FE7E695" w:rsidR="0012021D" w:rsidRPr="005B6736" w:rsidRDefault="0012021D" w:rsidP="004C546D">
      <w:pPr>
        <w:pStyle w:val="H23G"/>
        <w:rPr>
          <w:lang w:val="fr-FR"/>
        </w:rPr>
      </w:pPr>
      <w:r w:rsidRPr="005B6736">
        <w:rPr>
          <w:lang w:val="fr-FR"/>
        </w:rPr>
        <w:tab/>
        <w:t>1.</w:t>
      </w:r>
      <w:r w:rsidRPr="005B6736">
        <w:rPr>
          <w:lang w:val="fr-FR"/>
        </w:rPr>
        <w:tab/>
      </w:r>
      <w:r>
        <w:rPr>
          <w:lang w:val="fr-FR"/>
        </w:rPr>
        <w:t xml:space="preserve">Modifications à apporter aux procédures de classement des matières </w:t>
      </w:r>
      <w:r w:rsidR="004C546D">
        <w:rPr>
          <w:lang w:val="fr-FR"/>
        </w:rPr>
        <w:br/>
      </w:r>
      <w:r>
        <w:rPr>
          <w:lang w:val="fr-FR"/>
        </w:rPr>
        <w:t>explosibles désensibilisées selon le SGH</w:t>
      </w:r>
    </w:p>
    <w:p w14:paraId="4E4F9E95" w14:textId="77777777" w:rsidR="0012021D" w:rsidRPr="005B6736" w:rsidRDefault="0012021D" w:rsidP="000C044E">
      <w:pPr>
        <w:pStyle w:val="SingleTxtG"/>
        <w:tabs>
          <w:tab w:val="clear" w:pos="2268"/>
          <w:tab w:val="clear" w:pos="2835"/>
        </w:tabs>
        <w:ind w:left="3402" w:hanging="2268"/>
        <w:jc w:val="left"/>
        <w:rPr>
          <w:lang w:val="fr-FR"/>
        </w:rPr>
      </w:pPr>
      <w:r>
        <w:rPr>
          <w:i/>
          <w:iCs/>
          <w:lang w:val="fr-FR"/>
        </w:rPr>
        <w:t>Document(s) </w:t>
      </w:r>
      <w:r w:rsidRPr="004C546D">
        <w:rPr>
          <w:lang w:val="fr-FR"/>
        </w:rPr>
        <w:t>:</w:t>
      </w:r>
      <w:r>
        <w:rPr>
          <w:lang w:val="fr-FR"/>
        </w:rPr>
        <w:tab/>
        <w:t>ST/SG/AC.10/C.3/2022/50 (Allemagne, États-Unis d’Amérique</w:t>
      </w:r>
      <w:r w:rsidRPr="005B6736">
        <w:rPr>
          <w:lang w:val="fr-FR"/>
        </w:rPr>
        <w:t>)</w:t>
      </w:r>
    </w:p>
    <w:p w14:paraId="5F839EC2" w14:textId="77777777" w:rsidR="0012021D" w:rsidRPr="005B6736"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4C546D">
        <w:rPr>
          <w:lang w:val="fr-FR"/>
        </w:rPr>
        <w:t>:</w:t>
      </w:r>
      <w:r>
        <w:rPr>
          <w:i/>
          <w:iCs/>
          <w:lang w:val="fr-FR"/>
        </w:rPr>
        <w:tab/>
      </w:r>
      <w:r w:rsidRPr="005B6736">
        <w:rPr>
          <w:lang w:val="fr-FR"/>
        </w:rPr>
        <w:t xml:space="preserve">INF.4 (Allemagne, </w:t>
      </w:r>
      <w:r>
        <w:rPr>
          <w:lang w:val="fr-FR"/>
        </w:rPr>
        <w:t>États</w:t>
      </w:r>
      <w:r w:rsidRPr="005B6736">
        <w:rPr>
          <w:lang w:val="fr-FR"/>
        </w:rPr>
        <w:t>-Unis d</w:t>
      </w:r>
      <w:r>
        <w:rPr>
          <w:lang w:val="fr-FR"/>
        </w:rPr>
        <w:t>’</w:t>
      </w:r>
      <w:r w:rsidRPr="005B6736">
        <w:rPr>
          <w:lang w:val="fr-FR"/>
        </w:rPr>
        <w:t>Amérique)</w:t>
      </w:r>
      <w:r w:rsidRPr="005B6736">
        <w:rPr>
          <w:lang w:val="fr-FR"/>
        </w:rPr>
        <w:br/>
        <w:t>INF.20 (AEISG)</w:t>
      </w:r>
      <w:r w:rsidRPr="005B6736">
        <w:rPr>
          <w:lang w:val="fr-FR"/>
        </w:rPr>
        <w:br/>
        <w:t>INF.42 (</w:t>
      </w:r>
      <w:r>
        <w:rPr>
          <w:lang w:val="fr-FR"/>
        </w:rPr>
        <w:t>Royaume-Uni</w:t>
      </w:r>
      <w:r w:rsidRPr="005B6736">
        <w:rPr>
          <w:lang w:val="fr-FR"/>
        </w:rPr>
        <w:t>)</w:t>
      </w:r>
      <w:r w:rsidRPr="005B6736">
        <w:rPr>
          <w:lang w:val="fr-FR"/>
        </w:rPr>
        <w:br/>
        <w:t>INF.59 (</w:t>
      </w:r>
      <w:r>
        <w:rPr>
          <w:lang w:val="fr-FR"/>
        </w:rPr>
        <w:t>Allemagne, Royaume-Uni, États-Unis d’Amérique</w:t>
      </w:r>
      <w:r w:rsidRPr="005B6736">
        <w:rPr>
          <w:lang w:val="fr-FR"/>
        </w:rPr>
        <w:t>)</w:t>
      </w:r>
    </w:p>
    <w:p w14:paraId="576E5024" w14:textId="1F906137" w:rsidR="0012021D" w:rsidRPr="005B6736" w:rsidRDefault="0012021D" w:rsidP="0012021D">
      <w:pPr>
        <w:pStyle w:val="SingleTxtG"/>
        <w:rPr>
          <w:lang w:val="fr-FR"/>
        </w:rPr>
      </w:pPr>
      <w:r w:rsidRPr="005B6736">
        <w:rPr>
          <w:lang w:val="fr-FR"/>
        </w:rPr>
        <w:t>70.</w:t>
      </w:r>
      <w:r w:rsidRPr="005B6736">
        <w:rPr>
          <w:lang w:val="fr-FR"/>
        </w:rPr>
        <w:tab/>
      </w:r>
      <w:r>
        <w:rPr>
          <w:lang w:val="fr-FR"/>
        </w:rPr>
        <w:t>Le Sous-Comité a décidé de reporter à la période biennale suivante l’examen de la proposition relative à la question 1 énoncée dans le document informel INF.20. Après avoir examiné le document ST/SG/AC.10/C.3/2022/50, il a adopté les amendements proposés à la section</w:t>
      </w:r>
      <w:r w:rsidR="004C546D">
        <w:rPr>
          <w:lang w:val="fr-FR"/>
        </w:rPr>
        <w:t> </w:t>
      </w:r>
      <w:r>
        <w:rPr>
          <w:lang w:val="fr-FR"/>
        </w:rPr>
        <w:t>51 du Manuel d’épreuves et de critères, tels que modifiés par le document informel INF.59 (voir l’annexe </w:t>
      </w:r>
      <w:r w:rsidRPr="005B6736">
        <w:rPr>
          <w:lang w:val="fr-FR"/>
        </w:rPr>
        <w:t>II)</w:t>
      </w:r>
      <w:r>
        <w:rPr>
          <w:lang w:val="fr-FR"/>
        </w:rPr>
        <w:t>.</w:t>
      </w:r>
      <w:r w:rsidRPr="005B6736">
        <w:rPr>
          <w:lang w:val="fr-FR"/>
        </w:rPr>
        <w:t xml:space="preserve"> </w:t>
      </w:r>
      <w:r>
        <w:rPr>
          <w:lang w:val="fr-FR"/>
        </w:rPr>
        <w:t>En outre, il a appuyé les amendements au chapitre</w:t>
      </w:r>
      <w:r w:rsidR="004C546D">
        <w:rPr>
          <w:lang w:val="fr-FR"/>
        </w:rPr>
        <w:t> </w:t>
      </w:r>
      <w:r>
        <w:rPr>
          <w:lang w:val="fr-FR"/>
        </w:rPr>
        <w:t>2.17 du SGH, sous réserve de leur approbation par le Sous-Comité SGH</w:t>
      </w:r>
      <w:r w:rsidRPr="005B6736">
        <w:rPr>
          <w:lang w:val="fr-FR"/>
        </w:rPr>
        <w:t>.</w:t>
      </w:r>
    </w:p>
    <w:p w14:paraId="3E0562D9" w14:textId="14B0373D" w:rsidR="0012021D" w:rsidRPr="00655628" w:rsidRDefault="0012021D" w:rsidP="004C546D">
      <w:pPr>
        <w:pStyle w:val="H23G"/>
        <w:rPr>
          <w:lang w:val="fr-FR"/>
        </w:rPr>
      </w:pPr>
      <w:r w:rsidRPr="005B6736">
        <w:rPr>
          <w:lang w:val="fr-FR"/>
        </w:rPr>
        <w:tab/>
      </w:r>
      <w:r w:rsidRPr="00655628">
        <w:rPr>
          <w:lang w:val="fr-FR"/>
        </w:rPr>
        <w:t>2.</w:t>
      </w:r>
      <w:r w:rsidRPr="00655628">
        <w:rPr>
          <w:lang w:val="fr-FR"/>
        </w:rPr>
        <w:tab/>
      </w:r>
      <w:r>
        <w:rPr>
          <w:lang w:val="fr-FR"/>
        </w:rPr>
        <w:t xml:space="preserve">Liquides inflammables : épreuves en creuset ouvert et en creuset fermé </w:t>
      </w:r>
      <w:r w:rsidR="004C546D">
        <w:rPr>
          <w:lang w:val="fr-FR"/>
        </w:rPr>
        <w:br/>
      </w:r>
      <w:r>
        <w:rPr>
          <w:lang w:val="fr-FR"/>
        </w:rPr>
        <w:t>pour le point d’éclair</w:t>
      </w:r>
    </w:p>
    <w:p w14:paraId="6FADFCA4" w14:textId="19438DF5" w:rsidR="0012021D" w:rsidRPr="00655628" w:rsidRDefault="0012021D" w:rsidP="000C044E">
      <w:pPr>
        <w:pStyle w:val="SingleTxtG"/>
        <w:tabs>
          <w:tab w:val="clear" w:pos="2268"/>
          <w:tab w:val="clear" w:pos="2835"/>
        </w:tabs>
        <w:ind w:left="3402" w:hanging="2268"/>
        <w:jc w:val="left"/>
        <w:rPr>
          <w:lang w:val="fr-FR"/>
        </w:rPr>
      </w:pPr>
      <w:r>
        <w:rPr>
          <w:i/>
          <w:iCs/>
          <w:lang w:val="fr-FR"/>
        </w:rPr>
        <w:t>Document(s) </w:t>
      </w:r>
      <w:r w:rsidRPr="004C546D">
        <w:rPr>
          <w:lang w:val="fr-FR"/>
        </w:rPr>
        <w:t>:</w:t>
      </w:r>
      <w:r>
        <w:rPr>
          <w:lang w:val="fr-FR"/>
        </w:rPr>
        <w:tab/>
        <w:t xml:space="preserve">ST/SG/AC.10/C.3/2022/52 (Allemagne, Président </w:t>
      </w:r>
      <w:r w:rsidR="004C546D">
        <w:rPr>
          <w:lang w:val="fr-FR"/>
        </w:rPr>
        <w:br/>
      </w:r>
      <w:r>
        <w:rPr>
          <w:lang w:val="fr-FR"/>
        </w:rPr>
        <w:t>du Groupe de</w:t>
      </w:r>
      <w:r w:rsidR="004C546D">
        <w:rPr>
          <w:lang w:val="fr-FR"/>
        </w:rPr>
        <w:t xml:space="preserve"> </w:t>
      </w:r>
      <w:r>
        <w:rPr>
          <w:lang w:val="fr-FR"/>
        </w:rPr>
        <w:t>travail des explosifs)</w:t>
      </w:r>
    </w:p>
    <w:p w14:paraId="00C2094E" w14:textId="304DA902" w:rsidR="0012021D" w:rsidRPr="00126097" w:rsidRDefault="0012021D" w:rsidP="0012021D">
      <w:pPr>
        <w:pStyle w:val="SingleTxtG"/>
        <w:rPr>
          <w:lang w:val="fr-FR"/>
        </w:rPr>
      </w:pPr>
      <w:r w:rsidRPr="00126097">
        <w:rPr>
          <w:lang w:val="fr-FR"/>
        </w:rPr>
        <w:t>71.</w:t>
      </w:r>
      <w:r w:rsidRPr="00126097">
        <w:rPr>
          <w:lang w:val="fr-FR"/>
        </w:rPr>
        <w:tab/>
      </w:r>
      <w:r>
        <w:rPr>
          <w:lang w:val="fr-FR"/>
        </w:rPr>
        <w:t>Le Sous-Comité a adopté les amendements proposés au Manuel d’épreuves et de critères dans l’annexe du document ST/SG/AC.10/C.3/2022/52, tels que modifiés (voir l’annexe </w:t>
      </w:r>
      <w:r w:rsidRPr="00126097">
        <w:rPr>
          <w:lang w:val="fr-FR"/>
        </w:rPr>
        <w:t xml:space="preserve">II). </w:t>
      </w:r>
      <w:r>
        <w:rPr>
          <w:lang w:val="fr-FR"/>
        </w:rPr>
        <w:t>Il a appuyé la proposition correspondante pour le SGH. La valeur « 5 °C » a été remplacée par « 5,6 °C » pour mise en concordance avec le 2.3.1.2 du Règlement type. Un expert a toutefois fait observer avec préoccupation que l’utilisation d’une valeur comportant des décimales pouvait donner une fausse impression de précision. Il a été noté que la valeur « 5,6</w:t>
      </w:r>
      <w:r w:rsidR="00521006">
        <w:rPr>
          <w:lang w:val="fr-FR"/>
        </w:rPr>
        <w:t> °</w:t>
      </w:r>
      <w:r>
        <w:rPr>
          <w:lang w:val="fr-FR"/>
        </w:rPr>
        <w:t>C » provenait de la conversion de 10</w:t>
      </w:r>
      <w:r w:rsidR="00521006">
        <w:rPr>
          <w:lang w:val="fr-FR"/>
        </w:rPr>
        <w:t> °</w:t>
      </w:r>
      <w:r>
        <w:rPr>
          <w:lang w:val="fr-FR"/>
        </w:rPr>
        <w:t>F en degrés Celsius</w:t>
      </w:r>
      <w:r w:rsidRPr="00126097">
        <w:rPr>
          <w:lang w:val="fr-FR"/>
        </w:rPr>
        <w:t>.</w:t>
      </w:r>
    </w:p>
    <w:p w14:paraId="2EEBB434" w14:textId="150CDD37" w:rsidR="0012021D" w:rsidRPr="00126097" w:rsidRDefault="0012021D" w:rsidP="00521006">
      <w:pPr>
        <w:pStyle w:val="H23G"/>
        <w:rPr>
          <w:lang w:val="fr-FR"/>
        </w:rPr>
      </w:pPr>
      <w:r w:rsidRPr="00126097">
        <w:rPr>
          <w:lang w:val="fr-FR"/>
        </w:rPr>
        <w:tab/>
        <w:t>3.</w:t>
      </w:r>
      <w:r w:rsidRPr="00126097">
        <w:rPr>
          <w:lang w:val="fr-FR"/>
        </w:rPr>
        <w:tab/>
      </w:r>
      <w:r>
        <w:rPr>
          <w:lang w:val="fr-FR"/>
        </w:rPr>
        <w:t xml:space="preserve">Poudres métalliques et poudres de métaux ou d’alliages métalliques </w:t>
      </w:r>
      <w:r w:rsidR="00521006">
        <w:rPr>
          <w:lang w:val="fr-FR"/>
        </w:rPr>
        <w:br/>
      </w:r>
      <w:r>
        <w:rPr>
          <w:lang w:val="fr-FR"/>
        </w:rPr>
        <w:t>dans</w:t>
      </w:r>
      <w:r w:rsidR="00521006">
        <w:rPr>
          <w:lang w:val="fr-FR"/>
        </w:rPr>
        <w:t xml:space="preserve"> </w:t>
      </w:r>
      <w:r>
        <w:rPr>
          <w:lang w:val="fr-FR"/>
        </w:rPr>
        <w:t>l’épreuve </w:t>
      </w:r>
      <w:r w:rsidRPr="00126097">
        <w:rPr>
          <w:lang w:val="fr-FR"/>
        </w:rPr>
        <w:t>N.1</w:t>
      </w:r>
    </w:p>
    <w:p w14:paraId="236CF194"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Document(s) </w:t>
      </w:r>
      <w:r w:rsidRPr="00521006">
        <w:rPr>
          <w:lang w:val="fr-FR"/>
        </w:rPr>
        <w:t>:</w:t>
      </w:r>
      <w:r>
        <w:rPr>
          <w:lang w:val="fr-FR"/>
        </w:rPr>
        <w:tab/>
        <w:t>ST/SG/AC.10/C.3/2022/66 (Chine)</w:t>
      </w:r>
    </w:p>
    <w:p w14:paraId="257C9312" w14:textId="298F427A" w:rsidR="0012021D" w:rsidRPr="00126097"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21006">
        <w:rPr>
          <w:lang w:val="fr-FR"/>
        </w:rPr>
        <w:t>:</w:t>
      </w:r>
      <w:r>
        <w:rPr>
          <w:i/>
          <w:iCs/>
          <w:lang w:val="fr-FR"/>
        </w:rPr>
        <w:tab/>
      </w:r>
      <w:r>
        <w:rPr>
          <w:lang w:val="fr-FR"/>
        </w:rPr>
        <w:t>INF.44 (Royaume-Uni)</w:t>
      </w:r>
    </w:p>
    <w:p w14:paraId="3722E2A2" w14:textId="040916E0" w:rsidR="0012021D" w:rsidRPr="00126097" w:rsidRDefault="0012021D" w:rsidP="0012021D">
      <w:pPr>
        <w:pStyle w:val="SingleTxtG"/>
        <w:rPr>
          <w:lang w:val="fr-FR"/>
        </w:rPr>
      </w:pPr>
      <w:r w:rsidRPr="00126097">
        <w:rPr>
          <w:lang w:val="fr-FR"/>
        </w:rPr>
        <w:t>72.</w:t>
      </w:r>
      <w:r w:rsidRPr="00126097">
        <w:rPr>
          <w:lang w:val="fr-FR"/>
        </w:rPr>
        <w:tab/>
      </w:r>
      <w:r>
        <w:rPr>
          <w:lang w:val="fr-FR"/>
        </w:rPr>
        <w:t>Après avoir examiné les propositions présentées dans les deux documents, le Sous</w:t>
      </w:r>
      <w:r w:rsidR="00521006">
        <w:rPr>
          <w:lang w:val="fr-FR"/>
        </w:rPr>
        <w:noBreakHyphen/>
      </w:r>
      <w:r>
        <w:rPr>
          <w:lang w:val="fr-FR"/>
        </w:rPr>
        <w:t xml:space="preserve">Comité a adopté les amendements au Manuel d’épreuves et de critères et au Règlement type proposés dans le document informel INF.44 (voir les </w:t>
      </w:r>
      <w:r w:rsidRPr="00126097">
        <w:rPr>
          <w:lang w:val="fr-FR"/>
        </w:rPr>
        <w:t>annexes</w:t>
      </w:r>
      <w:r w:rsidR="00521006">
        <w:rPr>
          <w:lang w:val="fr-FR"/>
        </w:rPr>
        <w:t> </w:t>
      </w:r>
      <w:r w:rsidRPr="00126097">
        <w:rPr>
          <w:lang w:val="fr-FR"/>
        </w:rPr>
        <w:t xml:space="preserve">I </w:t>
      </w:r>
      <w:r>
        <w:rPr>
          <w:lang w:val="fr-FR"/>
        </w:rPr>
        <w:t>et</w:t>
      </w:r>
      <w:r w:rsidRPr="00126097">
        <w:rPr>
          <w:lang w:val="fr-FR"/>
        </w:rPr>
        <w:t xml:space="preserve"> II). </w:t>
      </w:r>
      <w:r>
        <w:rPr>
          <w:lang w:val="fr-FR"/>
        </w:rPr>
        <w:t>Il a en outre appuyé les amendements au chapitre</w:t>
      </w:r>
      <w:r w:rsidR="00521006">
        <w:rPr>
          <w:lang w:val="fr-FR"/>
        </w:rPr>
        <w:t> </w:t>
      </w:r>
      <w:r>
        <w:rPr>
          <w:lang w:val="fr-FR"/>
        </w:rPr>
        <w:t>2.7 du SGH, sous réserve de leur approbation par le Sous</w:t>
      </w:r>
      <w:r w:rsidR="00521006">
        <w:rPr>
          <w:lang w:val="fr-FR"/>
        </w:rPr>
        <w:noBreakHyphen/>
      </w:r>
      <w:r>
        <w:rPr>
          <w:lang w:val="fr-FR"/>
        </w:rPr>
        <w:t>Comité SGH</w:t>
      </w:r>
      <w:r w:rsidRPr="00126097">
        <w:rPr>
          <w:lang w:val="fr-FR"/>
        </w:rPr>
        <w:t>.</w:t>
      </w:r>
    </w:p>
    <w:p w14:paraId="505D2ED0" w14:textId="77777777" w:rsidR="0012021D" w:rsidRPr="005933F9" w:rsidRDefault="0012021D" w:rsidP="00521006">
      <w:pPr>
        <w:pStyle w:val="HChG"/>
        <w:rPr>
          <w:lang w:val="fr-FR"/>
        </w:rPr>
      </w:pPr>
      <w:r w:rsidRPr="00126097">
        <w:rPr>
          <w:lang w:val="fr-FR"/>
        </w:rPr>
        <w:tab/>
      </w:r>
      <w:r w:rsidRPr="00612F52">
        <w:rPr>
          <w:lang w:val="fr-FR"/>
        </w:rPr>
        <w:t>XIII.</w:t>
      </w:r>
      <w:r w:rsidRPr="00612F52">
        <w:rPr>
          <w:lang w:val="fr-FR"/>
        </w:rPr>
        <w:tab/>
      </w:r>
      <w:r w:rsidRPr="005F1938">
        <w:rPr>
          <w:lang w:val="fr-FR"/>
        </w:rPr>
        <w:t>Uniformisation des interprétations du Règlement type (point</w:t>
      </w:r>
      <w:r>
        <w:rPr>
          <w:lang w:val="fr-FR"/>
        </w:rPr>
        <w:t> </w:t>
      </w:r>
      <w:r w:rsidRPr="005F1938">
        <w:rPr>
          <w:lang w:val="fr-FR"/>
        </w:rPr>
        <w:t>11 de l</w:t>
      </w:r>
      <w:r>
        <w:rPr>
          <w:lang w:val="fr-FR"/>
        </w:rPr>
        <w:t>’</w:t>
      </w:r>
      <w:r w:rsidRPr="005F1938">
        <w:rPr>
          <w:lang w:val="fr-FR"/>
        </w:rPr>
        <w:t>ordre du jour</w:t>
      </w:r>
      <w:r w:rsidRPr="005933F9">
        <w:rPr>
          <w:lang w:val="fr-FR"/>
        </w:rPr>
        <w:t>)</w:t>
      </w:r>
    </w:p>
    <w:p w14:paraId="21D9CE83" w14:textId="77777777" w:rsidR="0012021D" w:rsidRPr="005933F9"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21006">
        <w:rPr>
          <w:lang w:val="fr-FR"/>
        </w:rPr>
        <w:t>:</w:t>
      </w:r>
      <w:r>
        <w:rPr>
          <w:i/>
          <w:iCs/>
          <w:lang w:val="fr-FR"/>
        </w:rPr>
        <w:tab/>
      </w:r>
      <w:r w:rsidRPr="005933F9">
        <w:rPr>
          <w:lang w:val="fr-FR"/>
        </w:rPr>
        <w:t>INF.30 (</w:t>
      </w:r>
      <w:r w:rsidRPr="005F1938">
        <w:rPr>
          <w:lang w:val="fr-FR"/>
        </w:rPr>
        <w:t>États-Unis d</w:t>
      </w:r>
      <w:r>
        <w:rPr>
          <w:lang w:val="fr-FR"/>
        </w:rPr>
        <w:t>’</w:t>
      </w:r>
      <w:r w:rsidRPr="005F1938">
        <w:rPr>
          <w:lang w:val="fr-FR"/>
        </w:rPr>
        <w:t>Amérique</w:t>
      </w:r>
      <w:r w:rsidRPr="005933F9">
        <w:rPr>
          <w:lang w:val="fr-FR"/>
        </w:rPr>
        <w:t>)</w:t>
      </w:r>
    </w:p>
    <w:p w14:paraId="3BD42F1D" w14:textId="77777777" w:rsidR="0012021D" w:rsidRPr="005933F9" w:rsidRDefault="0012021D" w:rsidP="0012021D">
      <w:pPr>
        <w:pStyle w:val="SingleTxtG"/>
        <w:rPr>
          <w:lang w:val="fr-FR"/>
        </w:rPr>
      </w:pPr>
      <w:r w:rsidRPr="005933F9">
        <w:rPr>
          <w:lang w:val="fr-FR"/>
        </w:rPr>
        <w:t>73.</w:t>
      </w:r>
      <w:r w:rsidRPr="005933F9">
        <w:rPr>
          <w:lang w:val="fr-FR"/>
        </w:rPr>
        <w:tab/>
      </w:r>
      <w:r w:rsidRPr="005F1938">
        <w:rPr>
          <w:lang w:val="fr-FR"/>
        </w:rPr>
        <w:t>Le Sous-Comité a accueilli favorablement les informations contenues dans le document informel INF.30 et a pris note du soutien général apporté au principe d</w:t>
      </w:r>
      <w:r>
        <w:rPr>
          <w:lang w:val="fr-FR"/>
        </w:rPr>
        <w:t>’</w:t>
      </w:r>
      <w:r w:rsidRPr="005F1938">
        <w:rPr>
          <w:lang w:val="fr-FR"/>
        </w:rPr>
        <w:t>une uniformisation des interprétations du Règlement type. Il a convenu de l</w:t>
      </w:r>
      <w:r>
        <w:rPr>
          <w:lang w:val="fr-FR"/>
        </w:rPr>
        <w:t>’</w:t>
      </w:r>
      <w:r w:rsidRPr="005F1938">
        <w:rPr>
          <w:lang w:val="fr-FR"/>
        </w:rPr>
        <w:t>importance de ce sujet et décidé de le maintenir à l</w:t>
      </w:r>
      <w:r>
        <w:rPr>
          <w:lang w:val="fr-FR"/>
        </w:rPr>
        <w:t>’</w:t>
      </w:r>
      <w:r w:rsidRPr="005F1938">
        <w:rPr>
          <w:lang w:val="fr-FR"/>
        </w:rPr>
        <w:t>ordre du jour de la période biennale</w:t>
      </w:r>
      <w:r>
        <w:rPr>
          <w:lang w:val="fr-FR"/>
        </w:rPr>
        <w:t xml:space="preserve"> suivante</w:t>
      </w:r>
      <w:r w:rsidRPr="005F1938">
        <w:rPr>
          <w:lang w:val="fr-FR"/>
        </w:rPr>
        <w:t>. Il a été suggéré d</w:t>
      </w:r>
      <w:r>
        <w:rPr>
          <w:lang w:val="fr-FR"/>
        </w:rPr>
        <w:t>’</w:t>
      </w:r>
      <w:r w:rsidRPr="005F1938">
        <w:rPr>
          <w:lang w:val="fr-FR"/>
        </w:rPr>
        <w:t xml:space="preserve">organiser au cours de la session </w:t>
      </w:r>
      <w:r>
        <w:rPr>
          <w:lang w:val="fr-FR"/>
        </w:rPr>
        <w:t>suivante</w:t>
      </w:r>
      <w:r w:rsidRPr="005F1938">
        <w:rPr>
          <w:lang w:val="fr-FR"/>
        </w:rPr>
        <w:t xml:space="preserve"> une réunion de réflexion sur la question, en s</w:t>
      </w:r>
      <w:r>
        <w:rPr>
          <w:lang w:val="fr-FR"/>
        </w:rPr>
        <w:t>’</w:t>
      </w:r>
      <w:r w:rsidRPr="005F1938">
        <w:rPr>
          <w:lang w:val="fr-FR"/>
        </w:rPr>
        <w:t xml:space="preserve">appuyant sur un document </w:t>
      </w:r>
      <w:r>
        <w:rPr>
          <w:lang w:val="fr-FR"/>
        </w:rPr>
        <w:t xml:space="preserve">publié sous une cote officielle </w:t>
      </w:r>
      <w:r w:rsidRPr="005F1938">
        <w:rPr>
          <w:lang w:val="fr-FR"/>
        </w:rPr>
        <w:t>qui présenterait une voie possible pour l</w:t>
      </w:r>
      <w:r>
        <w:rPr>
          <w:lang w:val="fr-FR"/>
        </w:rPr>
        <w:t>’</w:t>
      </w:r>
      <w:r w:rsidRPr="005F1938">
        <w:rPr>
          <w:lang w:val="fr-FR"/>
        </w:rPr>
        <w:t>établissement d</w:t>
      </w:r>
      <w:r>
        <w:rPr>
          <w:lang w:val="fr-FR"/>
        </w:rPr>
        <w:t>’</w:t>
      </w:r>
      <w:r w:rsidRPr="005F1938">
        <w:rPr>
          <w:lang w:val="fr-FR"/>
        </w:rPr>
        <w:t>un processus d</w:t>
      </w:r>
      <w:r>
        <w:rPr>
          <w:lang w:val="fr-FR"/>
        </w:rPr>
        <w:t>’</w:t>
      </w:r>
      <w:r w:rsidRPr="005F1938">
        <w:rPr>
          <w:lang w:val="fr-FR"/>
        </w:rPr>
        <w:t>interprétation</w:t>
      </w:r>
      <w:r w:rsidRPr="005933F9">
        <w:rPr>
          <w:lang w:val="fr-FR"/>
        </w:rPr>
        <w:t>.</w:t>
      </w:r>
    </w:p>
    <w:p w14:paraId="562035DD" w14:textId="77777777" w:rsidR="0012021D" w:rsidRPr="005933F9" w:rsidRDefault="0012021D" w:rsidP="0012021D">
      <w:pPr>
        <w:pStyle w:val="SingleTxtG"/>
        <w:rPr>
          <w:lang w:val="fr-FR"/>
        </w:rPr>
      </w:pPr>
      <w:r w:rsidRPr="005933F9">
        <w:rPr>
          <w:lang w:val="fr-FR"/>
        </w:rPr>
        <w:t>74.</w:t>
      </w:r>
      <w:r w:rsidRPr="005933F9">
        <w:rPr>
          <w:lang w:val="fr-FR"/>
        </w:rPr>
        <w:tab/>
      </w:r>
      <w:r w:rsidRPr="005F1938">
        <w:rPr>
          <w:lang w:val="fr-FR"/>
        </w:rPr>
        <w:t>Le Sous-Comité s</w:t>
      </w:r>
      <w:r>
        <w:rPr>
          <w:lang w:val="fr-FR"/>
        </w:rPr>
        <w:t>’</w:t>
      </w:r>
      <w:r w:rsidRPr="005F1938">
        <w:rPr>
          <w:lang w:val="fr-FR"/>
        </w:rPr>
        <w:t>est également félicité des efforts déployés pour faire référence aux objectifs de développement durable, y compris les cibles pertinentes, ce qui facilit</w:t>
      </w:r>
      <w:r>
        <w:rPr>
          <w:lang w:val="fr-FR"/>
        </w:rPr>
        <w:t>ait</w:t>
      </w:r>
      <w:r w:rsidRPr="005F1938">
        <w:rPr>
          <w:lang w:val="fr-FR"/>
        </w:rPr>
        <w:t xml:space="preserve"> la tâche du </w:t>
      </w:r>
      <w:r>
        <w:rPr>
          <w:lang w:val="fr-FR"/>
        </w:rPr>
        <w:t>s</w:t>
      </w:r>
      <w:r w:rsidRPr="005F1938">
        <w:rPr>
          <w:lang w:val="fr-FR"/>
        </w:rPr>
        <w:t>ecrétariat lorsqu</w:t>
      </w:r>
      <w:r>
        <w:rPr>
          <w:lang w:val="fr-FR"/>
        </w:rPr>
        <w:t>’</w:t>
      </w:r>
      <w:r w:rsidRPr="005F1938">
        <w:rPr>
          <w:lang w:val="fr-FR"/>
        </w:rPr>
        <w:t>il d</w:t>
      </w:r>
      <w:r>
        <w:rPr>
          <w:lang w:val="fr-FR"/>
        </w:rPr>
        <w:t>eva</w:t>
      </w:r>
      <w:r w:rsidRPr="005F1938">
        <w:rPr>
          <w:lang w:val="fr-FR"/>
        </w:rPr>
        <w:t>it faire rapport au Conseil économique et social. Il a été rappelé que des informations plus détaillées sur les objectifs de développement durable et les cibles correspondantes pouvaient être consultées sur le site Web de la CEE</w:t>
      </w:r>
      <w:r w:rsidRPr="005F1938">
        <w:rPr>
          <w:rStyle w:val="FootnoteReference"/>
          <w:lang w:val="fr-FR"/>
        </w:rPr>
        <w:footnoteReference w:id="3"/>
      </w:r>
      <w:r w:rsidRPr="005F1938">
        <w:rPr>
          <w:lang w:val="fr-FR"/>
        </w:rPr>
        <w:t>.</w:t>
      </w:r>
    </w:p>
    <w:p w14:paraId="2CBF4052" w14:textId="6EECE2B1" w:rsidR="0012021D" w:rsidRPr="001F7963" w:rsidRDefault="0012021D" w:rsidP="00521006">
      <w:pPr>
        <w:pStyle w:val="HChG"/>
        <w:rPr>
          <w:lang w:val="fr-FR"/>
        </w:rPr>
      </w:pPr>
      <w:r w:rsidRPr="005933F9">
        <w:rPr>
          <w:bCs/>
          <w:lang w:val="fr-FR"/>
        </w:rPr>
        <w:tab/>
      </w:r>
      <w:r w:rsidRPr="001F7963">
        <w:rPr>
          <w:bCs/>
          <w:lang w:val="fr-FR"/>
        </w:rPr>
        <w:t>XIV.</w:t>
      </w:r>
      <w:r w:rsidRPr="001F7963">
        <w:rPr>
          <w:lang w:val="fr-FR"/>
        </w:rPr>
        <w:tab/>
        <w:t xml:space="preserve">Mise en œuvre du Règlement type </w:t>
      </w:r>
      <w:r w:rsidR="00521006">
        <w:rPr>
          <w:lang w:val="fr-FR"/>
        </w:rPr>
        <w:br/>
      </w:r>
      <w:r w:rsidRPr="001F7963">
        <w:rPr>
          <w:lang w:val="fr-FR"/>
        </w:rPr>
        <w:t>(point 12 de l</w:t>
      </w:r>
      <w:r>
        <w:rPr>
          <w:lang w:val="fr-FR"/>
        </w:rPr>
        <w:t>’</w:t>
      </w:r>
      <w:r w:rsidRPr="001F7963">
        <w:rPr>
          <w:lang w:val="fr-FR"/>
        </w:rPr>
        <w:t>ordre du</w:t>
      </w:r>
      <w:r w:rsidR="00521006">
        <w:rPr>
          <w:lang w:val="fr-FR"/>
        </w:rPr>
        <w:t xml:space="preserve"> </w:t>
      </w:r>
      <w:r w:rsidRPr="001F7963">
        <w:rPr>
          <w:lang w:val="fr-FR"/>
        </w:rPr>
        <w:t>jour)</w:t>
      </w:r>
    </w:p>
    <w:p w14:paraId="401345E2" w14:textId="77777777" w:rsidR="0012021D" w:rsidRPr="001F7963"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21006">
        <w:rPr>
          <w:lang w:val="fr-FR"/>
        </w:rPr>
        <w:t>:</w:t>
      </w:r>
      <w:r>
        <w:rPr>
          <w:i/>
          <w:iCs/>
          <w:lang w:val="fr-FR"/>
        </w:rPr>
        <w:tab/>
      </w:r>
      <w:r w:rsidRPr="006B190C">
        <w:rPr>
          <w:lang w:val="fr-FR"/>
        </w:rPr>
        <w:t>INF.31 (États-Unis d</w:t>
      </w:r>
      <w:r>
        <w:rPr>
          <w:lang w:val="fr-FR"/>
        </w:rPr>
        <w:t>’</w:t>
      </w:r>
      <w:r w:rsidRPr="006B190C">
        <w:rPr>
          <w:lang w:val="fr-FR"/>
        </w:rPr>
        <w:t>Amérique)</w:t>
      </w:r>
    </w:p>
    <w:p w14:paraId="3E6CBC81" w14:textId="77777777" w:rsidR="0012021D" w:rsidRPr="006B190C" w:rsidRDefault="0012021D" w:rsidP="0012021D">
      <w:pPr>
        <w:pStyle w:val="SingleTxtG"/>
        <w:rPr>
          <w:lang w:val="fr-FR"/>
        </w:rPr>
      </w:pPr>
      <w:r w:rsidRPr="006B190C">
        <w:rPr>
          <w:lang w:val="fr-FR"/>
        </w:rPr>
        <w:t>75.</w:t>
      </w:r>
      <w:r w:rsidRPr="006B190C">
        <w:rPr>
          <w:lang w:val="fr-FR"/>
        </w:rPr>
        <w:tab/>
        <w:t>Le Sous-Comité a noté le manque d</w:t>
      </w:r>
      <w:r>
        <w:rPr>
          <w:lang w:val="fr-FR"/>
        </w:rPr>
        <w:t>’</w:t>
      </w:r>
      <w:r w:rsidRPr="006B190C">
        <w:rPr>
          <w:lang w:val="fr-FR"/>
        </w:rPr>
        <w:t>harmonisation entre les pays en ce qui concernait le niveau de mise en œuvre, c</w:t>
      </w:r>
      <w:r>
        <w:rPr>
          <w:lang w:val="fr-FR"/>
        </w:rPr>
        <w:t>’</w:t>
      </w:r>
      <w:r w:rsidRPr="006B190C">
        <w:rPr>
          <w:lang w:val="fr-FR"/>
        </w:rPr>
        <w:t>est-à-dire l</w:t>
      </w:r>
      <w:r>
        <w:rPr>
          <w:lang w:val="fr-FR"/>
        </w:rPr>
        <w:t>’</w:t>
      </w:r>
      <w:r w:rsidRPr="006B190C">
        <w:rPr>
          <w:lang w:val="fr-FR"/>
        </w:rPr>
        <w:t xml:space="preserve">application des différentes éditions révisées du Règlement type. Il a été noté que, dans un même pays, les différents modes de transport pouvaient même </w:t>
      </w:r>
      <w:r>
        <w:rPr>
          <w:lang w:val="fr-FR"/>
        </w:rPr>
        <w:t xml:space="preserve">en </w:t>
      </w:r>
      <w:r w:rsidRPr="006B190C">
        <w:rPr>
          <w:lang w:val="fr-FR"/>
        </w:rPr>
        <w:t>appliquer des éditions différentes. Cela pouvait avoir une incidence sur le transport international de marchandises dangereuses et entraîner une perturbation des chaînes d</w:t>
      </w:r>
      <w:r>
        <w:rPr>
          <w:lang w:val="fr-FR"/>
        </w:rPr>
        <w:t>’</w:t>
      </w:r>
      <w:r w:rsidRPr="006B190C">
        <w:rPr>
          <w:lang w:val="fr-FR"/>
        </w:rPr>
        <w:t>approvisionnement. Il était donc important que le secteur des transports ait accès à des informations fiables sur les dispositions applicables en matière de transport de marchandises dangereuses.</w:t>
      </w:r>
    </w:p>
    <w:p w14:paraId="6C886CB0" w14:textId="77777777" w:rsidR="0012021D" w:rsidRPr="006B190C" w:rsidRDefault="0012021D" w:rsidP="0012021D">
      <w:pPr>
        <w:pStyle w:val="SingleTxtG"/>
        <w:rPr>
          <w:lang w:val="fr-FR"/>
        </w:rPr>
      </w:pPr>
      <w:r w:rsidRPr="006B190C">
        <w:rPr>
          <w:lang w:val="fr-FR"/>
        </w:rPr>
        <w:t>76.</w:t>
      </w:r>
      <w:r w:rsidRPr="006B190C">
        <w:rPr>
          <w:lang w:val="fr-FR"/>
        </w:rPr>
        <w:tab/>
        <w:t>Le Sous-Comité s</w:t>
      </w:r>
      <w:r>
        <w:rPr>
          <w:lang w:val="fr-FR"/>
        </w:rPr>
        <w:t>’</w:t>
      </w:r>
      <w:r w:rsidRPr="006B190C">
        <w:rPr>
          <w:lang w:val="fr-FR"/>
        </w:rPr>
        <w:t>est félicité des informations sur la mise en œuvre du Règlement type et sur les autorités compétentes disponibles aux liens indiqués dans le document informel INF.31 et également disponibles sur les sites Web de la CEE relatifs à l</w:t>
      </w:r>
      <w:r>
        <w:rPr>
          <w:lang w:val="fr-FR"/>
        </w:rPr>
        <w:t>’</w:t>
      </w:r>
      <w:r w:rsidRPr="006B190C">
        <w:rPr>
          <w:lang w:val="fr-FR"/>
        </w:rPr>
        <w:t>ADR et à l</w:t>
      </w:r>
      <w:r>
        <w:rPr>
          <w:lang w:val="fr-FR"/>
        </w:rPr>
        <w:t>’</w:t>
      </w:r>
      <w:r w:rsidRPr="006B190C">
        <w:rPr>
          <w:lang w:val="fr-FR"/>
        </w:rPr>
        <w:t>ADN. Les représentants ont été invités à visiter les sites Internet et à communiquer au secrétariat et aux États-Unis d</w:t>
      </w:r>
      <w:r>
        <w:rPr>
          <w:lang w:val="fr-FR"/>
        </w:rPr>
        <w:t>’</w:t>
      </w:r>
      <w:r w:rsidRPr="006B190C">
        <w:rPr>
          <w:lang w:val="fr-FR"/>
        </w:rPr>
        <w:t>Amérique toute information complémentaire dont ils pourraient avoir connaissance, afin que les informations puissent être mises à jour.</w:t>
      </w:r>
    </w:p>
    <w:p w14:paraId="48BE953F" w14:textId="4D92380C" w:rsidR="0012021D" w:rsidRPr="009870CF" w:rsidRDefault="0012021D" w:rsidP="00521006">
      <w:pPr>
        <w:pStyle w:val="HChG"/>
        <w:rPr>
          <w:lang w:val="fr-FR"/>
        </w:rPr>
      </w:pPr>
      <w:r w:rsidRPr="006B190C">
        <w:rPr>
          <w:lang w:val="fr-FR"/>
        </w:rPr>
        <w:tab/>
      </w:r>
      <w:r w:rsidRPr="009870CF">
        <w:rPr>
          <w:lang w:val="fr-FR"/>
        </w:rPr>
        <w:t>XV.</w:t>
      </w:r>
      <w:r w:rsidRPr="009870CF">
        <w:rPr>
          <w:lang w:val="fr-FR"/>
        </w:rPr>
        <w:tab/>
      </w:r>
      <w:r>
        <w:rPr>
          <w:lang w:val="fr-FR"/>
        </w:rPr>
        <w:t xml:space="preserve">Formation à la sécurité et renforcement des capacités </w:t>
      </w:r>
      <w:r w:rsidR="00521006">
        <w:rPr>
          <w:lang w:val="fr-FR"/>
        </w:rPr>
        <w:br/>
      </w:r>
      <w:r>
        <w:rPr>
          <w:lang w:val="fr-FR"/>
        </w:rPr>
        <w:t>en</w:t>
      </w:r>
      <w:r w:rsidR="00521006">
        <w:rPr>
          <w:lang w:val="fr-FR"/>
        </w:rPr>
        <w:t xml:space="preserve"> </w:t>
      </w:r>
      <w:r>
        <w:rPr>
          <w:lang w:val="fr-FR"/>
        </w:rPr>
        <w:t>matière de sécurité en ce qui concerne les marchandises dangereuses (point 13 de l’ordre du jour</w:t>
      </w:r>
      <w:r w:rsidRPr="009870CF">
        <w:rPr>
          <w:lang w:val="fr-FR"/>
        </w:rPr>
        <w:t>)</w:t>
      </w:r>
    </w:p>
    <w:p w14:paraId="52706EB9" w14:textId="77777777" w:rsidR="0012021D" w:rsidRPr="009870CF"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21006">
        <w:rPr>
          <w:lang w:val="fr-FR"/>
        </w:rPr>
        <w:t>:</w:t>
      </w:r>
      <w:r>
        <w:rPr>
          <w:i/>
          <w:iCs/>
          <w:lang w:val="fr-FR"/>
        </w:rPr>
        <w:tab/>
      </w:r>
      <w:r>
        <w:rPr>
          <w:lang w:val="fr-FR"/>
        </w:rPr>
        <w:t>INF.50 (États-Unis d’Amérique</w:t>
      </w:r>
      <w:r w:rsidRPr="009870CF">
        <w:rPr>
          <w:lang w:val="fr-FR"/>
        </w:rPr>
        <w:t>)</w:t>
      </w:r>
    </w:p>
    <w:p w14:paraId="3E548B12" w14:textId="77777777" w:rsidR="0012021D" w:rsidRPr="009870CF" w:rsidRDefault="0012021D" w:rsidP="0012021D">
      <w:pPr>
        <w:pStyle w:val="SingleTxtG"/>
        <w:rPr>
          <w:lang w:val="fr-FR"/>
        </w:rPr>
      </w:pPr>
      <w:r w:rsidRPr="009870CF">
        <w:rPr>
          <w:lang w:val="fr-FR"/>
        </w:rPr>
        <w:t>77.</w:t>
      </w:r>
      <w:r w:rsidRPr="009870CF">
        <w:rPr>
          <w:lang w:val="fr-FR"/>
        </w:rPr>
        <w:tab/>
      </w:r>
      <w:r>
        <w:rPr>
          <w:lang w:val="fr-FR"/>
        </w:rPr>
        <w:t>Le Sous-Comité a apprécié les efforts accomplis aux États-Unis d’Amérique pour mettre sur pied une initiative visant à sensibiliser le public aux marchandises dangereuses non déclarées et à faire mieux respecter les règles de sécurité en : i) établissant une liste des articles couramment expédiés qui sont des marchandises dangereuses et ii) donnant accès à des ressources expliquant comment expédier des marchandises dangereuses en toute sécurité</w:t>
      </w:r>
      <w:r w:rsidRPr="009870CF">
        <w:rPr>
          <w:lang w:val="fr-FR"/>
        </w:rPr>
        <w:t>. L</w:t>
      </w:r>
      <w:r>
        <w:rPr>
          <w:lang w:val="fr-FR"/>
        </w:rPr>
        <w:t>’</w:t>
      </w:r>
      <w:r w:rsidRPr="009870CF">
        <w:rPr>
          <w:lang w:val="fr-FR"/>
        </w:rPr>
        <w:t>expert des États-Unis d</w:t>
      </w:r>
      <w:r>
        <w:rPr>
          <w:lang w:val="fr-FR"/>
        </w:rPr>
        <w:t>’</w:t>
      </w:r>
      <w:r w:rsidRPr="009870CF">
        <w:rPr>
          <w:lang w:val="fr-FR"/>
        </w:rPr>
        <w:t xml:space="preserve">Amérique a invité les </w:t>
      </w:r>
      <w:r>
        <w:rPr>
          <w:lang w:val="fr-FR"/>
        </w:rPr>
        <w:t>représentants</w:t>
      </w:r>
      <w:r w:rsidRPr="009870CF">
        <w:rPr>
          <w:lang w:val="fr-FR"/>
        </w:rPr>
        <w:t xml:space="preserve"> à visiter le site Web et à lui </w:t>
      </w:r>
      <w:r>
        <w:rPr>
          <w:lang w:val="fr-FR"/>
        </w:rPr>
        <w:t>faire parvenir</w:t>
      </w:r>
      <w:r w:rsidRPr="009870CF">
        <w:rPr>
          <w:lang w:val="fr-FR"/>
        </w:rPr>
        <w:t xml:space="preserve"> leurs observations sur la campagne </w:t>
      </w:r>
      <w:r>
        <w:rPr>
          <w:lang w:val="fr-FR"/>
        </w:rPr>
        <w:t>« </w:t>
      </w:r>
      <w:r w:rsidRPr="009870CF">
        <w:rPr>
          <w:lang w:val="fr-FR"/>
        </w:rPr>
        <w:t>U.S. Check the Box</w:t>
      </w:r>
      <w:r>
        <w:rPr>
          <w:lang w:val="fr-FR"/>
        </w:rPr>
        <w:t> »</w:t>
      </w:r>
      <w:r w:rsidRPr="009870CF">
        <w:rPr>
          <w:lang w:val="fr-FR"/>
        </w:rPr>
        <w:t xml:space="preserve"> ainsi que </w:t>
      </w:r>
      <w:r>
        <w:rPr>
          <w:lang w:val="fr-FR"/>
        </w:rPr>
        <w:t>toute</w:t>
      </w:r>
      <w:r w:rsidRPr="009870CF">
        <w:rPr>
          <w:lang w:val="fr-FR"/>
        </w:rPr>
        <w:t xml:space="preserve"> </w:t>
      </w:r>
      <w:r>
        <w:rPr>
          <w:lang w:val="fr-FR"/>
        </w:rPr>
        <w:t>inform</w:t>
      </w:r>
      <w:r w:rsidRPr="009870CF">
        <w:rPr>
          <w:lang w:val="fr-FR"/>
        </w:rPr>
        <w:t xml:space="preserve">ation sur des campagnes similaires </w:t>
      </w:r>
      <w:r>
        <w:rPr>
          <w:lang w:val="fr-FR"/>
        </w:rPr>
        <w:t xml:space="preserve">qui seraient </w:t>
      </w:r>
      <w:r w:rsidRPr="009870CF">
        <w:rPr>
          <w:lang w:val="fr-FR"/>
        </w:rPr>
        <w:t>menées dans d</w:t>
      </w:r>
      <w:r>
        <w:rPr>
          <w:lang w:val="fr-FR"/>
        </w:rPr>
        <w:t>’</w:t>
      </w:r>
      <w:r w:rsidRPr="009870CF">
        <w:rPr>
          <w:lang w:val="fr-FR"/>
        </w:rPr>
        <w:t>autres pays ou régions.</w:t>
      </w:r>
    </w:p>
    <w:p w14:paraId="4C67FF8A" w14:textId="77777777" w:rsidR="0012021D" w:rsidRPr="00EC05ED" w:rsidRDefault="0012021D" w:rsidP="00521006">
      <w:pPr>
        <w:pStyle w:val="HChG"/>
        <w:rPr>
          <w:lang w:val="fr-FR"/>
        </w:rPr>
      </w:pPr>
      <w:r w:rsidRPr="009870CF">
        <w:rPr>
          <w:lang w:val="fr-FR"/>
        </w:rPr>
        <w:tab/>
      </w:r>
      <w:r w:rsidRPr="00EC05ED">
        <w:rPr>
          <w:lang w:val="fr-FR"/>
        </w:rPr>
        <w:t>XVI.</w:t>
      </w:r>
      <w:r w:rsidRPr="00EC05ED">
        <w:rPr>
          <w:lang w:val="fr-FR"/>
        </w:rPr>
        <w:tab/>
      </w:r>
      <w:r w:rsidRPr="00EF35E3">
        <w:rPr>
          <w:lang w:val="fr-FR"/>
        </w:rPr>
        <w:t>Programme de travail pour la période biennale 2023-2024 (point 14 de l</w:t>
      </w:r>
      <w:r>
        <w:rPr>
          <w:lang w:val="fr-FR"/>
        </w:rPr>
        <w:t>’</w:t>
      </w:r>
      <w:r w:rsidRPr="00EF35E3">
        <w:rPr>
          <w:lang w:val="fr-FR"/>
        </w:rPr>
        <w:t>ordre du jour</w:t>
      </w:r>
      <w:r w:rsidRPr="00EC05ED">
        <w:rPr>
          <w:lang w:val="fr-FR"/>
        </w:rPr>
        <w:t>)</w:t>
      </w:r>
    </w:p>
    <w:p w14:paraId="4CC32E58" w14:textId="77777777" w:rsidR="0012021D" w:rsidRPr="00767B10" w:rsidRDefault="0012021D" w:rsidP="00521006">
      <w:pPr>
        <w:pStyle w:val="H1G"/>
        <w:rPr>
          <w:lang w:val="fr-FR"/>
        </w:rPr>
      </w:pPr>
      <w:r w:rsidRPr="00EC05ED">
        <w:rPr>
          <w:lang w:val="fr-FR"/>
        </w:rPr>
        <w:tab/>
      </w:r>
      <w:r w:rsidRPr="00EC05ED">
        <w:rPr>
          <w:lang w:val="fr-FR"/>
        </w:rPr>
        <w:tab/>
      </w:r>
      <w:r w:rsidRPr="00CB1249">
        <w:rPr>
          <w:lang w:val="fr-FR"/>
        </w:rPr>
        <w:t>Programme de travail intégré</w:t>
      </w:r>
      <w:r>
        <w:rPr>
          <w:lang w:val="fr-FR"/>
        </w:rPr>
        <w:t xml:space="preserve"> </w:t>
      </w:r>
      <w:r w:rsidRPr="00EF35E3">
        <w:rPr>
          <w:lang w:val="fr-FR"/>
        </w:rPr>
        <w:t>pour la période 2023-2024</w:t>
      </w:r>
    </w:p>
    <w:p w14:paraId="76D5BE4E" w14:textId="77777777" w:rsidR="0012021D" w:rsidRPr="00DC7928" w:rsidRDefault="0012021D" w:rsidP="0012021D">
      <w:pPr>
        <w:pStyle w:val="SingleTxtG"/>
        <w:rPr>
          <w:lang w:val="fr-FR"/>
        </w:rPr>
      </w:pPr>
      <w:r w:rsidRPr="00DC7928">
        <w:rPr>
          <w:lang w:val="fr-FR"/>
        </w:rPr>
        <w:t>78.</w:t>
      </w:r>
      <w:r w:rsidRPr="00DC7928">
        <w:rPr>
          <w:lang w:val="fr-FR"/>
        </w:rPr>
        <w:tab/>
      </w:r>
      <w:r w:rsidRPr="00EF35E3">
        <w:rPr>
          <w:lang w:val="fr-FR"/>
        </w:rPr>
        <w:t>Prenant acte de la décision de l</w:t>
      </w:r>
      <w:r>
        <w:rPr>
          <w:lang w:val="fr-FR"/>
        </w:rPr>
        <w:t>’</w:t>
      </w:r>
      <w:r w:rsidRPr="00EF35E3">
        <w:rPr>
          <w:lang w:val="fr-FR"/>
        </w:rPr>
        <w:t xml:space="preserve">Organisation des Nations Unies de revenir en 2023 à une situation normale, le Sous-Comité a </w:t>
      </w:r>
      <w:r>
        <w:rPr>
          <w:lang w:val="fr-FR"/>
        </w:rPr>
        <w:t>tenu</w:t>
      </w:r>
      <w:r w:rsidRPr="00EF35E3">
        <w:rPr>
          <w:lang w:val="fr-FR"/>
        </w:rPr>
        <w:t xml:space="preserve"> un échange de vues sur les moyens possibles de rendre son fonctionnement plus efficace et </w:t>
      </w:r>
      <w:r>
        <w:rPr>
          <w:lang w:val="fr-FR"/>
        </w:rPr>
        <w:t>plus ouvert à tous les acteurs concernés</w:t>
      </w:r>
      <w:r w:rsidRPr="00EF35E3">
        <w:rPr>
          <w:lang w:val="fr-FR"/>
        </w:rPr>
        <w:t>, en tenant compte des enseignements</w:t>
      </w:r>
      <w:r>
        <w:rPr>
          <w:lang w:val="fr-FR"/>
        </w:rPr>
        <w:t xml:space="preserve"> tirés</w:t>
      </w:r>
      <w:r w:rsidRPr="00EF35E3">
        <w:rPr>
          <w:lang w:val="fr-FR"/>
        </w:rPr>
        <w:t xml:space="preserve"> de la pandémie de COVID-19 et des outils utilisés pendant cette période. Il a été convenu d</w:t>
      </w:r>
      <w:r>
        <w:rPr>
          <w:lang w:val="fr-FR"/>
        </w:rPr>
        <w:t>’</w:t>
      </w:r>
      <w:r w:rsidRPr="00EF35E3">
        <w:rPr>
          <w:lang w:val="fr-FR"/>
        </w:rPr>
        <w:t>inscrire un nouveau point à l</w:t>
      </w:r>
      <w:r>
        <w:rPr>
          <w:lang w:val="fr-FR"/>
        </w:rPr>
        <w:t>’</w:t>
      </w:r>
      <w:r w:rsidRPr="00EF35E3">
        <w:rPr>
          <w:lang w:val="fr-FR"/>
        </w:rPr>
        <w:t>ordre du jour afin de reprendre l</w:t>
      </w:r>
      <w:r>
        <w:rPr>
          <w:lang w:val="fr-FR"/>
        </w:rPr>
        <w:t>e</w:t>
      </w:r>
      <w:r w:rsidRPr="00EF35E3">
        <w:rPr>
          <w:lang w:val="fr-FR"/>
        </w:rPr>
        <w:t xml:space="preserve"> </w:t>
      </w:r>
      <w:r>
        <w:rPr>
          <w:lang w:val="fr-FR"/>
        </w:rPr>
        <w:t>débat</w:t>
      </w:r>
      <w:r w:rsidRPr="00EF35E3">
        <w:rPr>
          <w:lang w:val="fr-FR"/>
        </w:rPr>
        <w:t xml:space="preserve"> sur ce sujet. Le secrétariat a rappelé au Sous-Comité qu</w:t>
      </w:r>
      <w:r>
        <w:rPr>
          <w:lang w:val="fr-FR"/>
        </w:rPr>
        <w:t>’</w:t>
      </w:r>
      <w:r w:rsidRPr="00EF35E3">
        <w:rPr>
          <w:lang w:val="fr-FR"/>
        </w:rPr>
        <w:t xml:space="preserve">à ce jour, aucun amendement à son </w:t>
      </w:r>
      <w:r>
        <w:rPr>
          <w:lang w:val="fr-FR"/>
        </w:rPr>
        <w:t>R</w:t>
      </w:r>
      <w:r w:rsidRPr="00EF35E3">
        <w:rPr>
          <w:lang w:val="fr-FR"/>
        </w:rPr>
        <w:t>èglement intérieur n</w:t>
      </w:r>
      <w:r>
        <w:rPr>
          <w:lang w:val="fr-FR"/>
        </w:rPr>
        <w:t>’</w:t>
      </w:r>
      <w:r w:rsidRPr="00EF35E3">
        <w:rPr>
          <w:lang w:val="fr-FR"/>
        </w:rPr>
        <w:t xml:space="preserve">avait été adopté, et a invité les représentants à contacter leurs homologues </w:t>
      </w:r>
      <w:r>
        <w:rPr>
          <w:lang w:val="fr-FR"/>
        </w:rPr>
        <w:t xml:space="preserve">au Conseil économique et social </w:t>
      </w:r>
      <w:r w:rsidRPr="00EF35E3">
        <w:rPr>
          <w:lang w:val="fr-FR"/>
        </w:rPr>
        <w:t>et à l</w:t>
      </w:r>
      <w:r>
        <w:rPr>
          <w:lang w:val="fr-FR"/>
        </w:rPr>
        <w:t>’</w:t>
      </w:r>
      <w:r w:rsidRPr="00EF35E3">
        <w:rPr>
          <w:lang w:val="fr-FR"/>
        </w:rPr>
        <w:t>Assemblée générale pour plaider en faveur d</w:t>
      </w:r>
      <w:r>
        <w:rPr>
          <w:lang w:val="fr-FR"/>
        </w:rPr>
        <w:t>’</w:t>
      </w:r>
      <w:r w:rsidRPr="00EF35E3">
        <w:rPr>
          <w:lang w:val="fr-FR"/>
        </w:rPr>
        <w:t xml:space="preserve">une modernisation du </w:t>
      </w:r>
      <w:r>
        <w:rPr>
          <w:lang w:val="fr-FR"/>
        </w:rPr>
        <w:t>R</w:t>
      </w:r>
      <w:r w:rsidRPr="00EF35E3">
        <w:rPr>
          <w:lang w:val="fr-FR"/>
        </w:rPr>
        <w:t>èglement intérieur</w:t>
      </w:r>
      <w:r w:rsidRPr="00DC7928">
        <w:rPr>
          <w:lang w:val="fr-FR"/>
        </w:rPr>
        <w:t>.</w:t>
      </w:r>
    </w:p>
    <w:p w14:paraId="00F2BC76" w14:textId="77777777" w:rsidR="0012021D" w:rsidRPr="00DC7928" w:rsidRDefault="0012021D" w:rsidP="00521006">
      <w:pPr>
        <w:keepNext/>
        <w:ind w:left="1134" w:right="1134"/>
        <w:jc w:val="both"/>
        <w:rPr>
          <w:lang w:val="fr-FR"/>
        </w:rPr>
      </w:pPr>
      <w:r w:rsidRPr="00DC7928">
        <w:rPr>
          <w:lang w:val="fr-FR"/>
        </w:rPr>
        <w:t>79.</w:t>
      </w:r>
      <w:r w:rsidRPr="00DC7928">
        <w:rPr>
          <w:lang w:val="fr-FR"/>
        </w:rPr>
        <w:tab/>
      </w:r>
      <w:r w:rsidRPr="00EF35E3">
        <w:rPr>
          <w:lang w:val="fr-FR"/>
        </w:rPr>
        <w:t>Se fondant sur les propositions examinées et sur les divers points de l</w:t>
      </w:r>
      <w:r>
        <w:rPr>
          <w:lang w:val="fr-FR"/>
        </w:rPr>
        <w:t>’</w:t>
      </w:r>
      <w:r w:rsidRPr="00EF35E3">
        <w:rPr>
          <w:lang w:val="fr-FR"/>
        </w:rPr>
        <w:t>ordre du jour de la session en cours, le Sous-Comité a décidé d</w:t>
      </w:r>
      <w:r>
        <w:rPr>
          <w:lang w:val="fr-FR"/>
        </w:rPr>
        <w:t>’</w:t>
      </w:r>
      <w:r w:rsidRPr="00EF35E3">
        <w:rPr>
          <w:lang w:val="fr-FR"/>
        </w:rPr>
        <w:t>introduire dans son programme de travail pour la période 2023-2024 les points suivants</w:t>
      </w:r>
      <w:r>
        <w:rPr>
          <w:lang w:val="fr-FR"/>
        </w:rPr>
        <w:t> :</w:t>
      </w:r>
    </w:p>
    <w:p w14:paraId="7B34B3BC" w14:textId="49F7BC2C" w:rsidR="0012021D" w:rsidRPr="00DC7928" w:rsidRDefault="0012021D" w:rsidP="0012021D">
      <w:pPr>
        <w:pStyle w:val="SingleTxtG"/>
        <w:spacing w:before="120"/>
        <w:ind w:firstLine="567"/>
        <w:rPr>
          <w:lang w:val="fr-FR"/>
        </w:rPr>
      </w:pPr>
      <w:r w:rsidRPr="00DC7928">
        <w:rPr>
          <w:lang w:val="fr-FR"/>
        </w:rPr>
        <w:t>a)</w:t>
      </w:r>
      <w:r w:rsidRPr="00DC7928">
        <w:rPr>
          <w:lang w:val="fr-FR"/>
        </w:rPr>
        <w:tab/>
      </w:r>
      <w:r w:rsidRPr="00EF35E3">
        <w:rPr>
          <w:lang w:val="fr-FR"/>
        </w:rPr>
        <w:t>Explosifs et questions connexes (</w:t>
      </w:r>
      <w:r>
        <w:rPr>
          <w:lang w:val="fr-FR"/>
        </w:rPr>
        <w:t>y compris :</w:t>
      </w:r>
      <w:r w:rsidRPr="00EF35E3">
        <w:rPr>
          <w:lang w:val="fr-FR"/>
        </w:rPr>
        <w:t xml:space="preserve"> examen des épreuves de la série</w:t>
      </w:r>
      <w:r>
        <w:rPr>
          <w:lang w:val="fr-FR"/>
        </w:rPr>
        <w:t> </w:t>
      </w:r>
      <w:r w:rsidRPr="00EF35E3">
        <w:rPr>
          <w:lang w:val="fr-FR"/>
        </w:rPr>
        <w:t>6</w:t>
      </w:r>
      <w:r>
        <w:rPr>
          <w:lang w:val="fr-FR"/>
        </w:rPr>
        <w:t> ;</w:t>
      </w:r>
      <w:r w:rsidRPr="00EF35E3">
        <w:rPr>
          <w:lang w:val="fr-FR"/>
        </w:rPr>
        <w:t xml:space="preserve"> amélioration des épreuves de la série 8</w:t>
      </w:r>
      <w:r>
        <w:rPr>
          <w:lang w:val="fr-FR"/>
        </w:rPr>
        <w:t> ;</w:t>
      </w:r>
      <w:r w:rsidRPr="00EF35E3">
        <w:rPr>
          <w:lang w:val="fr-FR"/>
        </w:rPr>
        <w:t xml:space="preserve"> révision des épreuves des parties</w:t>
      </w:r>
      <w:r w:rsidR="00521006">
        <w:rPr>
          <w:lang w:val="fr-FR"/>
        </w:rPr>
        <w:t> </w:t>
      </w:r>
      <w:r w:rsidRPr="00EF35E3">
        <w:rPr>
          <w:lang w:val="fr-FR"/>
        </w:rPr>
        <w:t>I, II et III du Manuel d</w:t>
      </w:r>
      <w:r>
        <w:rPr>
          <w:lang w:val="fr-FR"/>
        </w:rPr>
        <w:t>’</w:t>
      </w:r>
      <w:r w:rsidRPr="00EF35E3">
        <w:rPr>
          <w:lang w:val="fr-FR"/>
        </w:rPr>
        <w:t>épreuves et de critères</w:t>
      </w:r>
      <w:r>
        <w:rPr>
          <w:lang w:val="fr-FR"/>
        </w:rPr>
        <w:t> ;</w:t>
      </w:r>
      <w:r w:rsidRPr="00EF35E3">
        <w:rPr>
          <w:lang w:val="fr-FR"/>
        </w:rPr>
        <w:t xml:space="preserve"> détonateurs normalisés «</w:t>
      </w:r>
      <w:r w:rsidR="00521006">
        <w:rPr>
          <w:lang w:val="fr-FR"/>
        </w:rPr>
        <w:t> </w:t>
      </w:r>
      <w:r w:rsidRPr="00EF35E3">
        <w:rPr>
          <w:lang w:val="fr-FR"/>
        </w:rPr>
        <w:t>UN</w:t>
      </w:r>
      <w:r w:rsidR="00521006">
        <w:rPr>
          <w:lang w:val="fr-FR"/>
        </w:rPr>
        <w:t> </w:t>
      </w:r>
      <w:r w:rsidRPr="00EF35E3">
        <w:rPr>
          <w:lang w:val="fr-FR"/>
        </w:rPr>
        <w:t>»</w:t>
      </w:r>
      <w:r>
        <w:rPr>
          <w:lang w:val="fr-FR"/>
        </w:rPr>
        <w:t> ;</w:t>
      </w:r>
      <w:r w:rsidRPr="00EF35E3">
        <w:rPr>
          <w:lang w:val="fr-FR"/>
        </w:rPr>
        <w:t xml:space="preserve"> échantillons énergétiques</w:t>
      </w:r>
      <w:r>
        <w:rPr>
          <w:lang w:val="fr-FR"/>
        </w:rPr>
        <w:t> ;</w:t>
      </w:r>
      <w:r w:rsidRPr="00EF35E3">
        <w:rPr>
          <w:lang w:val="fr-FR"/>
        </w:rPr>
        <w:t xml:space="preserve"> examen des prescriptions en matière d</w:t>
      </w:r>
      <w:r>
        <w:rPr>
          <w:lang w:val="fr-FR"/>
        </w:rPr>
        <w:t>’</w:t>
      </w:r>
      <w:r w:rsidRPr="00EF35E3">
        <w:rPr>
          <w:lang w:val="fr-FR"/>
        </w:rPr>
        <w:t>emballage et de transport des émulsions de nitrate d</w:t>
      </w:r>
      <w:r>
        <w:rPr>
          <w:lang w:val="fr-FR"/>
        </w:rPr>
        <w:t>’</w:t>
      </w:r>
      <w:r w:rsidRPr="00EF35E3">
        <w:rPr>
          <w:lang w:val="fr-FR"/>
        </w:rPr>
        <w:t>ammonium</w:t>
      </w:r>
      <w:r>
        <w:rPr>
          <w:lang w:val="fr-FR"/>
        </w:rPr>
        <w:t> ;</w:t>
      </w:r>
      <w:r w:rsidRPr="00EF35E3">
        <w:rPr>
          <w:lang w:val="fr-FR"/>
        </w:rPr>
        <w:t xml:space="preserve"> électrification et carburants de substitution et leur incidence sur le transport des explosifs</w:t>
      </w:r>
      <w:r w:rsidRPr="00DC7928">
        <w:rPr>
          <w:lang w:val="fr-FR"/>
        </w:rPr>
        <w:t>)</w:t>
      </w:r>
      <w:r>
        <w:rPr>
          <w:lang w:val="fr-FR"/>
        </w:rPr>
        <w:t> ;</w:t>
      </w:r>
    </w:p>
    <w:p w14:paraId="2FE02E55" w14:textId="77777777" w:rsidR="0012021D" w:rsidRPr="00DC7928" w:rsidRDefault="0012021D" w:rsidP="0012021D">
      <w:pPr>
        <w:pStyle w:val="SingleTxtG"/>
        <w:ind w:firstLine="567"/>
        <w:rPr>
          <w:lang w:val="fr-FR"/>
        </w:rPr>
      </w:pPr>
      <w:r w:rsidRPr="00DC7928">
        <w:rPr>
          <w:lang w:val="fr-FR"/>
        </w:rPr>
        <w:t>b)</w:t>
      </w:r>
      <w:r w:rsidRPr="00DC7928">
        <w:rPr>
          <w:lang w:val="fr-FR"/>
        </w:rPr>
        <w:tab/>
      </w:r>
      <w:r w:rsidRPr="00EF35E3">
        <w:rPr>
          <w:lang w:val="fr-FR"/>
        </w:rPr>
        <w:t>Inscription, classement et emballage (notamment amendements aux fins d</w:t>
      </w:r>
      <w:r>
        <w:rPr>
          <w:lang w:val="fr-FR"/>
        </w:rPr>
        <w:t>’</w:t>
      </w:r>
      <w:r w:rsidRPr="00EF35E3">
        <w:rPr>
          <w:lang w:val="fr-FR"/>
        </w:rPr>
        <w:t>un classement approprié des chlorophénols</w:t>
      </w:r>
      <w:r w:rsidRPr="00DC7928">
        <w:rPr>
          <w:lang w:val="fr-FR"/>
        </w:rPr>
        <w:t>)</w:t>
      </w:r>
      <w:r>
        <w:rPr>
          <w:lang w:val="fr-FR"/>
        </w:rPr>
        <w:t> ;</w:t>
      </w:r>
    </w:p>
    <w:p w14:paraId="465E3BA2" w14:textId="77777777" w:rsidR="0012021D" w:rsidRPr="00DC7928" w:rsidRDefault="0012021D" w:rsidP="0012021D">
      <w:pPr>
        <w:pStyle w:val="SingleTxtG"/>
        <w:ind w:firstLine="567"/>
        <w:rPr>
          <w:lang w:val="fr-FR"/>
        </w:rPr>
      </w:pPr>
      <w:r w:rsidRPr="00DC7928">
        <w:rPr>
          <w:lang w:val="fr-FR"/>
        </w:rPr>
        <w:t>c)</w:t>
      </w:r>
      <w:r w:rsidRPr="00DC7928">
        <w:rPr>
          <w:lang w:val="fr-FR"/>
        </w:rPr>
        <w:tab/>
      </w:r>
      <w:r w:rsidRPr="00EF35E3">
        <w:rPr>
          <w:lang w:val="fr-FR"/>
        </w:rPr>
        <w:t>Systèmes de stockage de l</w:t>
      </w:r>
      <w:r>
        <w:rPr>
          <w:lang w:val="fr-FR"/>
        </w:rPr>
        <w:t>’</w:t>
      </w:r>
      <w:r w:rsidRPr="00EF35E3">
        <w:rPr>
          <w:lang w:val="fr-FR"/>
        </w:rPr>
        <w:t>électricité (</w:t>
      </w:r>
      <w:r>
        <w:rPr>
          <w:lang w:val="fr-FR"/>
        </w:rPr>
        <w:t>y compris :</w:t>
      </w:r>
      <w:r w:rsidRPr="00EF35E3">
        <w:rPr>
          <w:lang w:val="fr-FR"/>
        </w:rPr>
        <w:t xml:space="preserve"> épreuves pour les batteries au lithium</w:t>
      </w:r>
      <w:r>
        <w:rPr>
          <w:lang w:val="fr-FR"/>
        </w:rPr>
        <w:t> ;</w:t>
      </w:r>
      <w:r w:rsidRPr="00EF35E3">
        <w:rPr>
          <w:lang w:val="fr-FR"/>
        </w:rPr>
        <w:t xml:space="preserve"> système de classification des batteries au lithium en fonction du danger</w:t>
      </w:r>
      <w:r>
        <w:rPr>
          <w:lang w:val="fr-FR"/>
        </w:rPr>
        <w:t> ;</w:t>
      </w:r>
      <w:r w:rsidRPr="00EF35E3">
        <w:rPr>
          <w:lang w:val="fr-FR"/>
        </w:rPr>
        <w:t xml:space="preserve"> dispositions relatives au transport</w:t>
      </w:r>
      <w:r>
        <w:rPr>
          <w:lang w:val="fr-FR"/>
        </w:rPr>
        <w:t> ;</w:t>
      </w:r>
      <w:r w:rsidRPr="00EF35E3">
        <w:rPr>
          <w:lang w:val="fr-FR"/>
        </w:rPr>
        <w:t xml:space="preserve"> batteries au lithium endommagées ou défectueuses</w:t>
      </w:r>
      <w:r>
        <w:rPr>
          <w:lang w:val="fr-FR"/>
        </w:rPr>
        <w:t> ;</w:t>
      </w:r>
      <w:r w:rsidRPr="00EF35E3">
        <w:rPr>
          <w:lang w:val="fr-FR"/>
        </w:rPr>
        <w:t xml:space="preserve"> batteries au sodium ionique</w:t>
      </w:r>
      <w:r w:rsidRPr="00DC7928">
        <w:rPr>
          <w:lang w:val="fr-FR"/>
        </w:rPr>
        <w:t>)</w:t>
      </w:r>
      <w:r>
        <w:rPr>
          <w:lang w:val="fr-FR"/>
        </w:rPr>
        <w:t> ;</w:t>
      </w:r>
    </w:p>
    <w:p w14:paraId="28229E01" w14:textId="77777777" w:rsidR="0012021D" w:rsidRPr="00DC7928" w:rsidRDefault="0012021D" w:rsidP="0012021D">
      <w:pPr>
        <w:pStyle w:val="SingleTxtG"/>
        <w:ind w:firstLine="567"/>
        <w:rPr>
          <w:lang w:val="fr-FR"/>
        </w:rPr>
      </w:pPr>
      <w:r w:rsidRPr="00DC7928">
        <w:rPr>
          <w:lang w:val="fr-FR"/>
        </w:rPr>
        <w:t>d)</w:t>
      </w:r>
      <w:r w:rsidRPr="00DC7928">
        <w:rPr>
          <w:lang w:val="fr-FR"/>
        </w:rPr>
        <w:tab/>
      </w:r>
      <w:r w:rsidRPr="00EF35E3">
        <w:rPr>
          <w:lang w:val="fr-FR"/>
        </w:rPr>
        <w:t>Transport de gaz (</w:t>
      </w:r>
      <w:r>
        <w:rPr>
          <w:lang w:val="fr-FR"/>
        </w:rPr>
        <w:t>y compris :</w:t>
      </w:r>
      <w:r w:rsidRPr="00EF35E3">
        <w:rPr>
          <w:lang w:val="fr-FR"/>
        </w:rPr>
        <w:t xml:space="preserve"> reconnaissance universelle des récipients à pression ONU </w:t>
      </w:r>
      <w:r>
        <w:rPr>
          <w:lang w:val="fr-FR"/>
        </w:rPr>
        <w:t>et</w:t>
      </w:r>
      <w:r w:rsidRPr="00EF35E3">
        <w:rPr>
          <w:lang w:val="fr-FR"/>
        </w:rPr>
        <w:t xml:space="preserve"> non ONU</w:t>
      </w:r>
      <w:r>
        <w:rPr>
          <w:lang w:val="fr-FR"/>
        </w:rPr>
        <w:t> ;</w:t>
      </w:r>
      <w:r w:rsidRPr="00EF35E3">
        <w:rPr>
          <w:lang w:val="fr-FR"/>
        </w:rPr>
        <w:t xml:space="preserve"> gaz de la division 2.2 transportés en quantités limitées</w:t>
      </w:r>
      <w:r w:rsidRPr="00DC7928">
        <w:rPr>
          <w:lang w:val="fr-FR"/>
        </w:rPr>
        <w:t>)</w:t>
      </w:r>
      <w:r>
        <w:rPr>
          <w:lang w:val="fr-FR"/>
        </w:rPr>
        <w:t> ;</w:t>
      </w:r>
      <w:r w:rsidRPr="00DC7928">
        <w:rPr>
          <w:lang w:val="fr-FR"/>
        </w:rPr>
        <w:t xml:space="preserve"> </w:t>
      </w:r>
    </w:p>
    <w:p w14:paraId="53145245" w14:textId="77777777" w:rsidR="0012021D" w:rsidRPr="00DC7928" w:rsidRDefault="0012021D" w:rsidP="0012021D">
      <w:pPr>
        <w:pStyle w:val="SingleTxtG"/>
        <w:ind w:firstLine="567"/>
        <w:rPr>
          <w:lang w:val="fr-FR"/>
        </w:rPr>
      </w:pPr>
      <w:r w:rsidRPr="00DC7928">
        <w:rPr>
          <w:lang w:val="fr-FR"/>
        </w:rPr>
        <w:t>e)</w:t>
      </w:r>
      <w:r w:rsidRPr="00DC7928">
        <w:rPr>
          <w:lang w:val="fr-FR"/>
        </w:rPr>
        <w:tab/>
      </w:r>
      <w:r w:rsidRPr="00EF35E3">
        <w:rPr>
          <w:lang w:val="fr-FR"/>
        </w:rPr>
        <w:t>Propositions diverses d</w:t>
      </w:r>
      <w:r>
        <w:rPr>
          <w:lang w:val="fr-FR"/>
        </w:rPr>
        <w:t>’</w:t>
      </w:r>
      <w:r w:rsidRPr="00EF35E3">
        <w:rPr>
          <w:lang w:val="fr-FR"/>
        </w:rPr>
        <w:t>amendements au Règlement type pour le transport</w:t>
      </w:r>
      <w:r>
        <w:rPr>
          <w:lang w:val="fr-FR"/>
        </w:rPr>
        <w:t xml:space="preserve"> </w:t>
      </w:r>
      <w:r w:rsidRPr="00EF35E3">
        <w:rPr>
          <w:lang w:val="fr-FR"/>
        </w:rPr>
        <w:t>des marchandises dangereuses</w:t>
      </w:r>
      <w:r>
        <w:rPr>
          <w:lang w:val="fr-FR"/>
        </w:rPr>
        <w:t xml:space="preserve"> </w:t>
      </w:r>
      <w:r w:rsidRPr="00EF35E3">
        <w:rPr>
          <w:lang w:val="fr-FR"/>
        </w:rPr>
        <w:t>(</w:t>
      </w:r>
      <w:r>
        <w:rPr>
          <w:lang w:val="fr-FR"/>
        </w:rPr>
        <w:t>y compris :</w:t>
      </w:r>
      <w:r w:rsidRPr="00EF35E3">
        <w:rPr>
          <w:lang w:val="fr-FR"/>
        </w:rPr>
        <w:t xml:space="preserve"> marquage et étiquetage</w:t>
      </w:r>
      <w:r>
        <w:rPr>
          <w:lang w:val="fr-FR"/>
        </w:rPr>
        <w:t> ;</w:t>
      </w:r>
      <w:r w:rsidRPr="00EF35E3">
        <w:rPr>
          <w:lang w:val="fr-FR"/>
        </w:rPr>
        <w:t xml:space="preserve"> emballages, y compris l</w:t>
      </w:r>
      <w:r>
        <w:rPr>
          <w:lang w:val="fr-FR"/>
        </w:rPr>
        <w:t>’</w:t>
      </w:r>
      <w:r w:rsidRPr="00EF35E3">
        <w:rPr>
          <w:lang w:val="fr-FR"/>
        </w:rPr>
        <w:t>utilisation des matières plastiques recyclées</w:t>
      </w:r>
      <w:r>
        <w:rPr>
          <w:lang w:val="fr-FR"/>
        </w:rPr>
        <w:t> ;</w:t>
      </w:r>
      <w:r w:rsidRPr="00EF35E3">
        <w:rPr>
          <w:lang w:val="fr-FR"/>
        </w:rPr>
        <w:t xml:space="preserve"> citernes mobiles</w:t>
      </w:r>
      <w:r w:rsidRPr="00DC7928">
        <w:rPr>
          <w:lang w:val="fr-FR"/>
        </w:rPr>
        <w:t>)</w:t>
      </w:r>
      <w:r>
        <w:rPr>
          <w:lang w:val="fr-FR"/>
        </w:rPr>
        <w:t> ;</w:t>
      </w:r>
    </w:p>
    <w:p w14:paraId="4DA50CF6" w14:textId="77777777" w:rsidR="0012021D" w:rsidRPr="00DC7928" w:rsidRDefault="0012021D" w:rsidP="0012021D">
      <w:pPr>
        <w:pStyle w:val="SingleTxtG"/>
        <w:ind w:firstLine="567"/>
        <w:rPr>
          <w:lang w:val="fr-FR"/>
        </w:rPr>
      </w:pPr>
      <w:r w:rsidRPr="00DC7928">
        <w:rPr>
          <w:lang w:val="fr-FR"/>
        </w:rPr>
        <w:t>f)</w:t>
      </w:r>
      <w:r w:rsidRPr="00DC7928">
        <w:rPr>
          <w:lang w:val="fr-FR"/>
        </w:rPr>
        <w:tab/>
      </w:r>
      <w:r w:rsidRPr="00EF35E3">
        <w:rPr>
          <w:lang w:val="fr-FR"/>
        </w:rPr>
        <w:t>Harmonisation générale des règlements relatifs au transport des marchandises dangereuses avec le Règlement type</w:t>
      </w:r>
      <w:r>
        <w:rPr>
          <w:lang w:val="fr-FR"/>
        </w:rPr>
        <w:t> ;</w:t>
      </w:r>
    </w:p>
    <w:p w14:paraId="4FEF28C9" w14:textId="77777777" w:rsidR="0012021D" w:rsidRPr="00DC7928" w:rsidRDefault="0012021D" w:rsidP="0012021D">
      <w:pPr>
        <w:pStyle w:val="SingleTxtG"/>
        <w:ind w:firstLine="567"/>
        <w:rPr>
          <w:lang w:val="fr-FR"/>
        </w:rPr>
      </w:pPr>
      <w:r w:rsidRPr="00DC7928">
        <w:rPr>
          <w:lang w:val="fr-FR"/>
        </w:rPr>
        <w:t>g)</w:t>
      </w:r>
      <w:r w:rsidRPr="00DC7928">
        <w:rPr>
          <w:lang w:val="fr-FR"/>
        </w:rPr>
        <w:tab/>
      </w:r>
      <w:r w:rsidRPr="00EF35E3">
        <w:rPr>
          <w:lang w:val="fr-FR"/>
        </w:rPr>
        <w:t>Coopération avec l</w:t>
      </w:r>
      <w:r>
        <w:rPr>
          <w:lang w:val="fr-FR"/>
        </w:rPr>
        <w:t>’</w:t>
      </w:r>
      <w:r w:rsidRPr="00EF35E3">
        <w:rPr>
          <w:lang w:val="fr-FR"/>
        </w:rPr>
        <w:t>Agence internationale de l</w:t>
      </w:r>
      <w:r>
        <w:rPr>
          <w:lang w:val="fr-FR"/>
        </w:rPr>
        <w:t>’</w:t>
      </w:r>
      <w:r w:rsidRPr="00EF35E3">
        <w:rPr>
          <w:lang w:val="fr-FR"/>
        </w:rPr>
        <w:t>énergie atomique</w:t>
      </w:r>
      <w:r>
        <w:rPr>
          <w:lang w:val="fr-FR"/>
        </w:rPr>
        <w:t> ;</w:t>
      </w:r>
    </w:p>
    <w:p w14:paraId="24FC84AF" w14:textId="77777777" w:rsidR="0012021D" w:rsidRPr="00DC7928" w:rsidRDefault="0012021D" w:rsidP="0012021D">
      <w:pPr>
        <w:pStyle w:val="SingleTxtG"/>
        <w:ind w:firstLine="567"/>
        <w:rPr>
          <w:lang w:val="fr-FR"/>
        </w:rPr>
      </w:pPr>
      <w:r w:rsidRPr="00DC7928">
        <w:rPr>
          <w:lang w:val="fr-FR"/>
        </w:rPr>
        <w:t>h)</w:t>
      </w:r>
      <w:r w:rsidRPr="00DC7928">
        <w:rPr>
          <w:lang w:val="fr-FR"/>
        </w:rPr>
        <w:tab/>
      </w:r>
      <w:r w:rsidRPr="00EF35E3">
        <w:rPr>
          <w:lang w:val="fr-FR"/>
        </w:rPr>
        <w:t>Principes directeurs du Règlement type</w:t>
      </w:r>
      <w:r>
        <w:rPr>
          <w:lang w:val="fr-FR"/>
        </w:rPr>
        <w:t> ;</w:t>
      </w:r>
    </w:p>
    <w:p w14:paraId="067AE300" w14:textId="77777777" w:rsidR="0012021D" w:rsidRPr="00DC7928" w:rsidRDefault="0012021D" w:rsidP="0012021D">
      <w:pPr>
        <w:pStyle w:val="SingleTxtG"/>
        <w:ind w:firstLine="567"/>
        <w:rPr>
          <w:lang w:val="fr-FR"/>
        </w:rPr>
      </w:pPr>
      <w:r w:rsidRPr="00DC7928">
        <w:rPr>
          <w:lang w:val="fr-FR"/>
        </w:rPr>
        <w:t>i)</w:t>
      </w:r>
      <w:r w:rsidRPr="00DC7928">
        <w:rPr>
          <w:lang w:val="fr-FR"/>
        </w:rPr>
        <w:tab/>
      </w:r>
      <w:r w:rsidRPr="00EF35E3">
        <w:rPr>
          <w:lang w:val="fr-FR"/>
        </w:rPr>
        <w:t>Questions relatives au Système général harmonisé</w:t>
      </w:r>
      <w:r>
        <w:rPr>
          <w:lang w:val="fr-FR"/>
        </w:rPr>
        <w:t xml:space="preserve"> </w:t>
      </w:r>
      <w:r w:rsidRPr="00EF35E3">
        <w:rPr>
          <w:lang w:val="fr-FR"/>
        </w:rPr>
        <w:t>de classification et d</w:t>
      </w:r>
      <w:r>
        <w:rPr>
          <w:lang w:val="fr-FR"/>
        </w:rPr>
        <w:t>’</w:t>
      </w:r>
      <w:r w:rsidRPr="00EF35E3">
        <w:rPr>
          <w:lang w:val="fr-FR"/>
        </w:rPr>
        <w:t>étiquetage des produits</w:t>
      </w:r>
      <w:r>
        <w:rPr>
          <w:lang w:val="fr-FR"/>
        </w:rPr>
        <w:t xml:space="preserve"> </w:t>
      </w:r>
      <w:r w:rsidRPr="00EF35E3">
        <w:rPr>
          <w:lang w:val="fr-FR"/>
        </w:rPr>
        <w:t>chimiques (</w:t>
      </w:r>
      <w:r>
        <w:rPr>
          <w:lang w:val="fr-FR"/>
        </w:rPr>
        <w:t>y compris :</w:t>
      </w:r>
      <w:r w:rsidRPr="00EF35E3">
        <w:rPr>
          <w:lang w:val="fr-FR"/>
        </w:rPr>
        <w:t xml:space="preserve"> épreuves relatives aux matières comburantes</w:t>
      </w:r>
      <w:r>
        <w:rPr>
          <w:lang w:val="fr-FR"/>
        </w:rPr>
        <w:t> ;</w:t>
      </w:r>
      <w:r w:rsidRPr="00EF35E3">
        <w:rPr>
          <w:lang w:val="fr-FR"/>
        </w:rPr>
        <w:t xml:space="preserve"> classification simultanée des dangers physiques et </w:t>
      </w:r>
      <w:r w:rsidRPr="006A62B0">
        <w:rPr>
          <w:lang w:val="fr-FR"/>
        </w:rPr>
        <w:t>possibilités de conjonction de dangers</w:t>
      </w:r>
      <w:r w:rsidRPr="00DC7928">
        <w:rPr>
          <w:lang w:val="fr-FR"/>
        </w:rPr>
        <w:t>)</w:t>
      </w:r>
      <w:r>
        <w:rPr>
          <w:lang w:val="fr-FR"/>
        </w:rPr>
        <w:t> ;</w:t>
      </w:r>
    </w:p>
    <w:p w14:paraId="33633E08" w14:textId="77777777" w:rsidR="0012021D" w:rsidRPr="00C25EE5" w:rsidRDefault="0012021D" w:rsidP="0012021D">
      <w:pPr>
        <w:pStyle w:val="SingleTxtG"/>
        <w:ind w:firstLine="567"/>
        <w:rPr>
          <w:lang w:val="fr-FR"/>
        </w:rPr>
      </w:pPr>
      <w:r w:rsidRPr="00521006">
        <w:rPr>
          <w:lang w:val="fr-FR"/>
        </w:rPr>
        <w:t>j)</w:t>
      </w:r>
      <w:r w:rsidRPr="00C25EE5">
        <w:rPr>
          <w:lang w:val="fr-FR"/>
        </w:rPr>
        <w:tab/>
      </w:r>
      <w:r w:rsidRPr="00EF35E3">
        <w:rPr>
          <w:lang w:val="fr-FR"/>
        </w:rPr>
        <w:t>Uniformisation des interprétations du Règlement type</w:t>
      </w:r>
      <w:r>
        <w:rPr>
          <w:lang w:val="fr-FR"/>
        </w:rPr>
        <w:t> ;</w:t>
      </w:r>
    </w:p>
    <w:p w14:paraId="014F9A3E" w14:textId="77777777" w:rsidR="0012021D" w:rsidRPr="00C25EE5" w:rsidRDefault="0012021D" w:rsidP="0012021D">
      <w:pPr>
        <w:pStyle w:val="SingleTxtG"/>
        <w:ind w:firstLine="567"/>
        <w:rPr>
          <w:lang w:val="fr-FR"/>
        </w:rPr>
      </w:pPr>
      <w:r w:rsidRPr="00C25EE5">
        <w:rPr>
          <w:lang w:val="fr-FR"/>
        </w:rPr>
        <w:t>k)</w:t>
      </w:r>
      <w:r w:rsidRPr="00C25EE5">
        <w:rPr>
          <w:lang w:val="fr-FR"/>
        </w:rPr>
        <w:tab/>
      </w:r>
      <w:r w:rsidRPr="00EF35E3">
        <w:rPr>
          <w:lang w:val="fr-FR"/>
        </w:rPr>
        <w:t>Application du Règlement type</w:t>
      </w:r>
      <w:r>
        <w:rPr>
          <w:lang w:val="fr-FR"/>
        </w:rPr>
        <w:t> ;</w:t>
      </w:r>
    </w:p>
    <w:p w14:paraId="65DCEE20" w14:textId="77777777" w:rsidR="0012021D" w:rsidRPr="00C25EE5" w:rsidRDefault="0012021D" w:rsidP="0012021D">
      <w:pPr>
        <w:pStyle w:val="SingleTxtG"/>
        <w:ind w:firstLine="567"/>
        <w:rPr>
          <w:lang w:val="fr-FR"/>
        </w:rPr>
      </w:pPr>
      <w:r w:rsidRPr="00C25EE5">
        <w:rPr>
          <w:lang w:val="fr-FR"/>
        </w:rPr>
        <w:t>l)</w:t>
      </w:r>
      <w:r w:rsidRPr="00C25EE5">
        <w:rPr>
          <w:lang w:val="fr-FR"/>
        </w:rPr>
        <w:tab/>
      </w:r>
      <w:r w:rsidRPr="00EF35E3">
        <w:rPr>
          <w:lang w:val="fr-FR"/>
        </w:rPr>
        <w:t>Formation à la sécurité et renforcement des capacités en matière de sécurité en ce qui concerne les marchandises dangereuses</w:t>
      </w:r>
      <w:r>
        <w:rPr>
          <w:lang w:val="fr-FR"/>
        </w:rPr>
        <w:t> ;</w:t>
      </w:r>
    </w:p>
    <w:p w14:paraId="67A824E7" w14:textId="77777777" w:rsidR="0012021D" w:rsidRPr="00C25EE5" w:rsidRDefault="0012021D" w:rsidP="0012021D">
      <w:pPr>
        <w:pStyle w:val="SingleTxtG"/>
        <w:ind w:firstLine="567"/>
        <w:rPr>
          <w:lang w:val="fr-FR"/>
        </w:rPr>
      </w:pPr>
      <w:r w:rsidRPr="00C25EE5">
        <w:rPr>
          <w:lang w:val="fr-FR"/>
        </w:rPr>
        <w:t>m)</w:t>
      </w:r>
      <w:r w:rsidRPr="00C25EE5">
        <w:rPr>
          <w:lang w:val="fr-FR"/>
        </w:rPr>
        <w:tab/>
      </w:r>
      <w:r w:rsidRPr="00EF35E3">
        <w:rPr>
          <w:lang w:val="fr-FR"/>
        </w:rPr>
        <w:t>Programme de développement durable à l</w:t>
      </w:r>
      <w:r>
        <w:rPr>
          <w:lang w:val="fr-FR"/>
        </w:rPr>
        <w:t>’</w:t>
      </w:r>
      <w:r w:rsidRPr="00EF35E3">
        <w:rPr>
          <w:lang w:val="fr-FR"/>
        </w:rPr>
        <w:t>horizon 2030</w:t>
      </w:r>
      <w:r>
        <w:rPr>
          <w:lang w:val="fr-FR"/>
        </w:rPr>
        <w:t> ;</w:t>
      </w:r>
    </w:p>
    <w:p w14:paraId="389CB112" w14:textId="77777777" w:rsidR="0012021D" w:rsidRPr="00C25EE5" w:rsidRDefault="0012021D" w:rsidP="0012021D">
      <w:pPr>
        <w:pStyle w:val="SingleTxtG"/>
        <w:ind w:firstLine="567"/>
        <w:rPr>
          <w:lang w:val="fr-FR"/>
        </w:rPr>
      </w:pPr>
      <w:r w:rsidRPr="00C25EE5">
        <w:rPr>
          <w:lang w:val="fr-FR"/>
        </w:rPr>
        <w:t>n)</w:t>
      </w:r>
      <w:r w:rsidRPr="00C25EE5">
        <w:rPr>
          <w:lang w:val="fr-FR"/>
        </w:rPr>
        <w:tab/>
      </w:r>
      <w:r w:rsidRPr="00EF35E3">
        <w:rPr>
          <w:lang w:val="fr-FR"/>
        </w:rPr>
        <w:t xml:space="preserve">Possibilités de rendre le fonctionnement du Sous-Comité plus efficace et </w:t>
      </w:r>
      <w:r>
        <w:rPr>
          <w:lang w:val="fr-FR"/>
        </w:rPr>
        <w:t>plus ouvert à tous les acteurs concernés</w:t>
      </w:r>
      <w:r w:rsidRPr="00C25EE5">
        <w:rPr>
          <w:lang w:val="fr-FR"/>
        </w:rPr>
        <w:t>.</w:t>
      </w:r>
    </w:p>
    <w:p w14:paraId="6E41E2BE" w14:textId="616CF2B0" w:rsidR="0012021D" w:rsidRPr="00C25EE5" w:rsidRDefault="0012021D" w:rsidP="00521006">
      <w:pPr>
        <w:pStyle w:val="HChG"/>
        <w:rPr>
          <w:lang w:val="fr-FR"/>
        </w:rPr>
      </w:pPr>
      <w:r w:rsidRPr="00C25EE5">
        <w:rPr>
          <w:lang w:val="fr-FR"/>
        </w:rPr>
        <w:tab/>
      </w:r>
      <w:r w:rsidRPr="00612F52">
        <w:rPr>
          <w:lang w:val="fr-FR"/>
        </w:rPr>
        <w:t>XVII.</w:t>
      </w:r>
      <w:r w:rsidRPr="00612F52">
        <w:rPr>
          <w:lang w:val="fr-FR"/>
        </w:rPr>
        <w:tab/>
      </w:r>
      <w:r w:rsidRPr="00EF35E3">
        <w:rPr>
          <w:lang w:val="fr-FR"/>
        </w:rPr>
        <w:t xml:space="preserve">Projet de résolution 2023/… du Conseil économique </w:t>
      </w:r>
      <w:r w:rsidR="00521006">
        <w:rPr>
          <w:lang w:val="fr-FR"/>
        </w:rPr>
        <w:br/>
      </w:r>
      <w:r w:rsidRPr="00EF35E3">
        <w:rPr>
          <w:lang w:val="fr-FR"/>
        </w:rPr>
        <w:t>et social (point 15 de l</w:t>
      </w:r>
      <w:r>
        <w:rPr>
          <w:lang w:val="fr-FR"/>
        </w:rPr>
        <w:t>’</w:t>
      </w:r>
      <w:r w:rsidRPr="00EF35E3">
        <w:rPr>
          <w:lang w:val="fr-FR"/>
        </w:rPr>
        <w:t>ordre du jour</w:t>
      </w:r>
      <w:r w:rsidRPr="00C25EE5">
        <w:rPr>
          <w:lang w:val="fr-FR"/>
        </w:rPr>
        <w:t>)</w:t>
      </w:r>
    </w:p>
    <w:p w14:paraId="70A47FBE"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sidRPr="00EF35E3">
        <w:rPr>
          <w:lang w:val="fr-FR"/>
        </w:rPr>
        <w:t>INF.12/Rev.1 (secrétariat</w:t>
      </w:r>
      <w:r>
        <w:rPr>
          <w:lang w:val="fr-FR"/>
        </w:rPr>
        <w:t>)</w:t>
      </w:r>
    </w:p>
    <w:p w14:paraId="71C58B70" w14:textId="77777777" w:rsidR="0012021D" w:rsidRPr="00727606" w:rsidRDefault="0012021D" w:rsidP="0012021D">
      <w:pPr>
        <w:pStyle w:val="SingleTxtG"/>
        <w:rPr>
          <w:lang w:val="fr-FR"/>
        </w:rPr>
      </w:pPr>
      <w:r w:rsidRPr="00727606">
        <w:rPr>
          <w:lang w:val="fr-FR"/>
        </w:rPr>
        <w:t>80.</w:t>
      </w:r>
      <w:r w:rsidRPr="00727606">
        <w:rPr>
          <w:lang w:val="fr-FR"/>
        </w:rPr>
        <w:tab/>
      </w:r>
      <w:r w:rsidRPr="00EF35E3">
        <w:rPr>
          <w:lang w:val="fr-FR"/>
        </w:rPr>
        <w:t>Le Sous-Comité a adopté sans aucune objection la partie A de la résolution, relative à ses travaux durant la période biennale 2023-2024, sur la base d</w:t>
      </w:r>
      <w:r>
        <w:rPr>
          <w:lang w:val="fr-FR"/>
        </w:rPr>
        <w:t>’</w:t>
      </w:r>
      <w:r w:rsidRPr="00EF35E3">
        <w:rPr>
          <w:lang w:val="fr-FR"/>
        </w:rPr>
        <w:t xml:space="preserve">un projet établi par le secrétariat et figurant dans le document informel </w:t>
      </w:r>
      <w:r w:rsidRPr="00727606">
        <w:rPr>
          <w:lang w:val="fr-FR"/>
        </w:rPr>
        <w:t>INF.12/Rev.1. Il a été noté qu</w:t>
      </w:r>
      <w:r>
        <w:rPr>
          <w:lang w:val="fr-FR"/>
        </w:rPr>
        <w:t>’</w:t>
      </w:r>
      <w:r w:rsidRPr="00727606">
        <w:rPr>
          <w:lang w:val="fr-FR"/>
        </w:rPr>
        <w:t>une nouvelle vingt-troisième édition révisée du Règlement type et une nouvelle huitième édition révisée du Manuel d</w:t>
      </w:r>
      <w:r>
        <w:rPr>
          <w:lang w:val="fr-FR"/>
        </w:rPr>
        <w:t>’</w:t>
      </w:r>
      <w:r w:rsidRPr="00727606">
        <w:rPr>
          <w:lang w:val="fr-FR"/>
        </w:rPr>
        <w:t>épreuves et de critères seraient publiées en 2023.</w:t>
      </w:r>
    </w:p>
    <w:p w14:paraId="42834BC9" w14:textId="77777777" w:rsidR="0012021D" w:rsidRPr="00727606" w:rsidRDefault="0012021D" w:rsidP="005A59DF">
      <w:pPr>
        <w:pStyle w:val="HChG"/>
        <w:rPr>
          <w:lang w:val="fr-FR"/>
        </w:rPr>
      </w:pPr>
      <w:r w:rsidRPr="00727606">
        <w:rPr>
          <w:lang w:val="fr-FR"/>
        </w:rPr>
        <w:tab/>
      </w:r>
      <w:r w:rsidRPr="00612F52">
        <w:rPr>
          <w:lang w:val="fr-FR"/>
        </w:rPr>
        <w:t>XVIII.</w:t>
      </w:r>
      <w:r w:rsidRPr="00612F52">
        <w:rPr>
          <w:lang w:val="fr-FR"/>
        </w:rPr>
        <w:tab/>
      </w:r>
      <w:r w:rsidRPr="00EF35E3">
        <w:rPr>
          <w:lang w:val="fr-FR"/>
        </w:rPr>
        <w:t>Élection du Bureau pour la période biennale 2023-2024 (point 16 de l</w:t>
      </w:r>
      <w:r>
        <w:rPr>
          <w:lang w:val="fr-FR"/>
        </w:rPr>
        <w:t>’</w:t>
      </w:r>
      <w:r w:rsidRPr="00EF35E3">
        <w:rPr>
          <w:lang w:val="fr-FR"/>
        </w:rPr>
        <w:t>ordre du jour</w:t>
      </w:r>
      <w:r w:rsidRPr="00727606">
        <w:rPr>
          <w:lang w:val="fr-FR"/>
        </w:rPr>
        <w:t>)</w:t>
      </w:r>
    </w:p>
    <w:p w14:paraId="41FF40DA" w14:textId="2DF3D0E2" w:rsidR="0012021D" w:rsidRPr="00727606" w:rsidRDefault="0012021D" w:rsidP="0012021D">
      <w:pPr>
        <w:pStyle w:val="SingleTxtG"/>
        <w:rPr>
          <w:lang w:val="fr-FR"/>
        </w:rPr>
      </w:pPr>
      <w:r w:rsidRPr="00727606">
        <w:rPr>
          <w:lang w:val="fr-FR"/>
        </w:rPr>
        <w:t>81.</w:t>
      </w:r>
      <w:r w:rsidRPr="00727606">
        <w:rPr>
          <w:lang w:val="fr-FR"/>
        </w:rPr>
        <w:tab/>
      </w:r>
      <w:r w:rsidRPr="00EF35E3">
        <w:rPr>
          <w:lang w:val="fr-FR"/>
        </w:rPr>
        <w:t>Conformément au règlement intérieur figurant dans le document E/5715/Rev.2, s</w:t>
      </w:r>
      <w:r>
        <w:rPr>
          <w:lang w:val="fr-FR"/>
        </w:rPr>
        <w:t>’</w:t>
      </w:r>
      <w:r w:rsidRPr="00EF35E3">
        <w:rPr>
          <w:lang w:val="fr-FR"/>
        </w:rPr>
        <w:t>agissant de l</w:t>
      </w:r>
      <w:r>
        <w:rPr>
          <w:lang w:val="fr-FR"/>
        </w:rPr>
        <w:t>’</w:t>
      </w:r>
      <w:r w:rsidRPr="00EF35E3">
        <w:rPr>
          <w:lang w:val="fr-FR"/>
        </w:rPr>
        <w:t>élection des membres du Bureau pour la période biennale</w:t>
      </w:r>
      <w:r>
        <w:rPr>
          <w:lang w:val="fr-FR"/>
        </w:rPr>
        <w:t xml:space="preserve"> suivante</w:t>
      </w:r>
      <w:r w:rsidRPr="00EF35E3">
        <w:rPr>
          <w:lang w:val="fr-FR"/>
        </w:rPr>
        <w:t>, aucune demande de scrutin secret n</w:t>
      </w:r>
      <w:r>
        <w:rPr>
          <w:lang w:val="fr-FR"/>
        </w:rPr>
        <w:t>’</w:t>
      </w:r>
      <w:r w:rsidRPr="00EF35E3">
        <w:rPr>
          <w:lang w:val="fr-FR"/>
        </w:rPr>
        <w:t>a été faite. Le Sous-Comité a réélu M.</w:t>
      </w:r>
      <w:r w:rsidR="005A59DF">
        <w:rPr>
          <w:lang w:val="fr-FR"/>
        </w:rPr>
        <w:t> </w:t>
      </w:r>
      <w:r w:rsidRPr="00EF35E3">
        <w:rPr>
          <w:lang w:val="fr-FR"/>
        </w:rPr>
        <w:t>D. Pfund (États-Unis d</w:t>
      </w:r>
      <w:r>
        <w:rPr>
          <w:lang w:val="fr-FR"/>
        </w:rPr>
        <w:t>’</w:t>
      </w:r>
      <w:r w:rsidRPr="00EF35E3">
        <w:rPr>
          <w:lang w:val="fr-FR"/>
        </w:rPr>
        <w:t>Amérique) Président et M.</w:t>
      </w:r>
      <w:r w:rsidR="005A59DF">
        <w:rPr>
          <w:lang w:val="fr-FR"/>
        </w:rPr>
        <w:t> </w:t>
      </w:r>
      <w:r w:rsidRPr="00EF35E3">
        <w:rPr>
          <w:lang w:val="fr-FR"/>
        </w:rPr>
        <w:t xml:space="preserve">C. Pfauvadel (France) Vice-Président pour la période biennale </w:t>
      </w:r>
      <w:r>
        <w:rPr>
          <w:lang w:val="fr-FR"/>
        </w:rPr>
        <w:t>suivante</w:t>
      </w:r>
      <w:r w:rsidRPr="00EF35E3">
        <w:rPr>
          <w:lang w:val="fr-FR"/>
        </w:rPr>
        <w:t xml:space="preserve"> (2023-2024). M.</w:t>
      </w:r>
      <w:r w:rsidR="005A59DF">
        <w:rPr>
          <w:lang w:val="fr-FR"/>
        </w:rPr>
        <w:t> </w:t>
      </w:r>
      <w:r w:rsidRPr="00EF35E3">
        <w:rPr>
          <w:lang w:val="fr-FR"/>
        </w:rPr>
        <w:t>Pfauvadel a annoncé qu</w:t>
      </w:r>
      <w:r>
        <w:rPr>
          <w:lang w:val="fr-FR"/>
        </w:rPr>
        <w:t>’</w:t>
      </w:r>
      <w:r w:rsidRPr="00EF35E3">
        <w:rPr>
          <w:lang w:val="fr-FR"/>
        </w:rPr>
        <w:t>il prendr</w:t>
      </w:r>
      <w:r>
        <w:rPr>
          <w:lang w:val="fr-FR"/>
        </w:rPr>
        <w:t>ait</w:t>
      </w:r>
      <w:r w:rsidRPr="00EF35E3">
        <w:rPr>
          <w:lang w:val="fr-FR"/>
        </w:rPr>
        <w:t xml:space="preserve"> sa retraite à la fin de 2023 et ne pourrait donc plus exercer cette fonction à partir de 2024</w:t>
      </w:r>
      <w:r w:rsidRPr="00727606">
        <w:rPr>
          <w:lang w:val="fr-FR"/>
        </w:rPr>
        <w:t>.</w:t>
      </w:r>
    </w:p>
    <w:p w14:paraId="7867B512" w14:textId="77777777" w:rsidR="0012021D" w:rsidRPr="005933F9" w:rsidRDefault="0012021D" w:rsidP="005A59DF">
      <w:pPr>
        <w:pStyle w:val="HChG"/>
        <w:rPr>
          <w:lang w:val="fr-FR"/>
        </w:rPr>
      </w:pPr>
      <w:r w:rsidRPr="00727606">
        <w:rPr>
          <w:lang w:val="fr-FR"/>
        </w:rPr>
        <w:tab/>
      </w:r>
      <w:r w:rsidRPr="005933F9">
        <w:rPr>
          <w:lang w:val="fr-FR"/>
        </w:rPr>
        <w:t>XIX.</w:t>
      </w:r>
      <w:r w:rsidRPr="005933F9">
        <w:rPr>
          <w:lang w:val="fr-FR"/>
        </w:rPr>
        <w:tab/>
      </w:r>
      <w:r w:rsidRPr="005F1938">
        <w:rPr>
          <w:lang w:val="fr-FR"/>
        </w:rPr>
        <w:t>Questions diverses (point 17 de l</w:t>
      </w:r>
      <w:r>
        <w:rPr>
          <w:lang w:val="fr-FR"/>
        </w:rPr>
        <w:t>’</w:t>
      </w:r>
      <w:r w:rsidRPr="005F1938">
        <w:rPr>
          <w:lang w:val="fr-FR"/>
        </w:rPr>
        <w:t>ordre du jour</w:t>
      </w:r>
      <w:r w:rsidRPr="005933F9">
        <w:rPr>
          <w:lang w:val="fr-FR"/>
        </w:rPr>
        <w:t>)</w:t>
      </w:r>
    </w:p>
    <w:p w14:paraId="3D9A777D" w14:textId="77777777" w:rsidR="0012021D" w:rsidRPr="005B3ACB" w:rsidRDefault="0012021D" w:rsidP="005A59DF">
      <w:pPr>
        <w:pStyle w:val="H1G"/>
        <w:rPr>
          <w:lang w:val="fr-FR"/>
        </w:rPr>
      </w:pPr>
      <w:r>
        <w:rPr>
          <w:lang w:val="fr-FR"/>
        </w:rPr>
        <w:tab/>
        <w:t>A.</w:t>
      </w:r>
      <w:r>
        <w:rPr>
          <w:lang w:val="fr-FR"/>
        </w:rPr>
        <w:tab/>
      </w:r>
      <w:r>
        <w:rPr>
          <w:lang w:val="fr-FR"/>
        </w:rPr>
        <w:tab/>
      </w:r>
      <w:r w:rsidRPr="005F1938">
        <w:rPr>
          <w:lang w:val="fr-FR"/>
        </w:rPr>
        <w:t>Nouvelles propositions</w:t>
      </w:r>
    </w:p>
    <w:p w14:paraId="69E6CB4D" w14:textId="77777777" w:rsidR="0012021D" w:rsidRPr="00FE7F11" w:rsidRDefault="0012021D" w:rsidP="005A59DF">
      <w:pPr>
        <w:pStyle w:val="H23G"/>
        <w:rPr>
          <w:lang w:val="fr-FR"/>
        </w:rPr>
      </w:pPr>
      <w:r>
        <w:rPr>
          <w:lang w:val="fr-FR"/>
        </w:rPr>
        <w:tab/>
        <w:t>1.</w:t>
      </w:r>
      <w:r>
        <w:rPr>
          <w:lang w:val="fr-FR"/>
        </w:rPr>
        <w:tab/>
      </w:r>
      <w:r w:rsidRPr="005F1938">
        <w:rPr>
          <w:lang w:val="fr-FR"/>
        </w:rPr>
        <w:t>Classification du numéro ONU 2290 DIISOCYANATE D</w:t>
      </w:r>
      <w:r>
        <w:rPr>
          <w:lang w:val="fr-FR"/>
        </w:rPr>
        <w:t>’</w:t>
      </w:r>
      <w:r w:rsidRPr="005F1938">
        <w:rPr>
          <w:lang w:val="fr-FR"/>
        </w:rPr>
        <w:t>ISOPHORONE</w:t>
      </w:r>
    </w:p>
    <w:p w14:paraId="56124175" w14:textId="77777777" w:rsidR="0012021D" w:rsidRPr="00FE7F11"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sidRPr="00FE7F11">
        <w:rPr>
          <w:lang w:val="fr-FR"/>
        </w:rPr>
        <w:t>INF.10 (</w:t>
      </w:r>
      <w:r>
        <w:rPr>
          <w:lang w:val="fr-FR"/>
        </w:rPr>
        <w:t>CEFIC</w:t>
      </w:r>
      <w:r w:rsidRPr="00FE7F11">
        <w:rPr>
          <w:lang w:val="fr-FR"/>
        </w:rPr>
        <w:t>)</w:t>
      </w:r>
    </w:p>
    <w:p w14:paraId="15660258" w14:textId="77777777" w:rsidR="0012021D" w:rsidRPr="005B3ACB" w:rsidRDefault="0012021D" w:rsidP="0012021D">
      <w:pPr>
        <w:pStyle w:val="SingleTxtG"/>
        <w:rPr>
          <w:lang w:val="fr-FR"/>
        </w:rPr>
      </w:pPr>
      <w:r w:rsidRPr="005B3ACB">
        <w:rPr>
          <w:lang w:val="fr-FR"/>
        </w:rPr>
        <w:t>82.</w:t>
      </w:r>
      <w:r w:rsidRPr="005B3ACB">
        <w:rPr>
          <w:lang w:val="fr-FR"/>
        </w:rPr>
        <w:tab/>
      </w:r>
      <w:r w:rsidRPr="005F1938">
        <w:rPr>
          <w:lang w:val="fr-FR"/>
        </w:rPr>
        <w:t xml:space="preserve">Le représentant du </w:t>
      </w:r>
      <w:r>
        <w:rPr>
          <w:lang w:val="fr-FR"/>
        </w:rPr>
        <w:t>CEFIC</w:t>
      </w:r>
      <w:r w:rsidRPr="005F1938">
        <w:rPr>
          <w:lang w:val="fr-FR"/>
        </w:rPr>
        <w:t xml:space="preserve"> a retiré sa proposition</w:t>
      </w:r>
      <w:r w:rsidRPr="005B3ACB">
        <w:rPr>
          <w:lang w:val="fr-FR"/>
        </w:rPr>
        <w:t>.</w:t>
      </w:r>
    </w:p>
    <w:p w14:paraId="05749F79" w14:textId="01C5A796" w:rsidR="0012021D" w:rsidRPr="005B3ACB" w:rsidRDefault="0012021D" w:rsidP="005A59DF">
      <w:pPr>
        <w:pStyle w:val="H23G"/>
        <w:rPr>
          <w:lang w:val="fr-FR"/>
        </w:rPr>
      </w:pPr>
      <w:r w:rsidRPr="005B3ACB">
        <w:rPr>
          <w:lang w:val="fr-FR"/>
        </w:rPr>
        <w:tab/>
        <w:t>2.</w:t>
      </w:r>
      <w:r w:rsidRPr="005B3ACB">
        <w:rPr>
          <w:lang w:val="fr-FR"/>
        </w:rPr>
        <w:tab/>
      </w:r>
      <w:r w:rsidRPr="005F1938">
        <w:rPr>
          <w:lang w:val="fr-FR"/>
        </w:rPr>
        <w:t>Ajout de renvois aux dispositions spéciales d</w:t>
      </w:r>
      <w:r>
        <w:rPr>
          <w:lang w:val="fr-FR"/>
        </w:rPr>
        <w:t>’</w:t>
      </w:r>
      <w:r w:rsidRPr="005F1938">
        <w:rPr>
          <w:lang w:val="fr-FR"/>
        </w:rPr>
        <w:t>emballage de l</w:t>
      </w:r>
      <w:r>
        <w:rPr>
          <w:lang w:val="fr-FR"/>
        </w:rPr>
        <w:t>’</w:t>
      </w:r>
      <w:r w:rsidRPr="005F1938">
        <w:rPr>
          <w:lang w:val="fr-FR"/>
        </w:rPr>
        <w:t xml:space="preserve">instruction P200 </w:t>
      </w:r>
      <w:r w:rsidR="005A59DF">
        <w:rPr>
          <w:lang w:val="fr-FR"/>
        </w:rPr>
        <w:br/>
      </w:r>
      <w:r w:rsidRPr="005F1938">
        <w:rPr>
          <w:lang w:val="fr-FR"/>
        </w:rPr>
        <w:t>dans</w:t>
      </w:r>
      <w:r w:rsidR="005A59DF">
        <w:rPr>
          <w:lang w:val="fr-FR"/>
        </w:rPr>
        <w:t xml:space="preserve"> </w:t>
      </w:r>
      <w:r w:rsidRPr="005F1938">
        <w:rPr>
          <w:lang w:val="fr-FR"/>
        </w:rPr>
        <w:t>la</w:t>
      </w:r>
      <w:r w:rsidR="005A59DF">
        <w:rPr>
          <w:lang w:val="fr-FR"/>
        </w:rPr>
        <w:t xml:space="preserve"> l</w:t>
      </w:r>
      <w:r w:rsidR="005A59DF" w:rsidRPr="005F1938">
        <w:rPr>
          <w:lang w:val="fr-FR"/>
        </w:rPr>
        <w:t xml:space="preserve">iste </w:t>
      </w:r>
      <w:r w:rsidRPr="005F1938">
        <w:rPr>
          <w:lang w:val="fr-FR"/>
        </w:rPr>
        <w:t>des marchandises dangereuses</w:t>
      </w:r>
    </w:p>
    <w:p w14:paraId="66168C98" w14:textId="77777777" w:rsidR="0012021D" w:rsidRPr="005B3ACB"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sidRPr="005B3ACB">
        <w:rPr>
          <w:lang w:val="fr-FR"/>
        </w:rPr>
        <w:t>INF.13 (</w:t>
      </w:r>
      <w:r w:rsidRPr="005F1938">
        <w:rPr>
          <w:lang w:val="fr-FR"/>
        </w:rPr>
        <w:t>République de Corée</w:t>
      </w:r>
      <w:r w:rsidRPr="005B3ACB">
        <w:rPr>
          <w:lang w:val="fr-FR"/>
        </w:rPr>
        <w:t>)</w:t>
      </w:r>
      <w:r w:rsidRPr="005B3ACB">
        <w:rPr>
          <w:lang w:val="fr-FR"/>
        </w:rPr>
        <w:br/>
        <w:t>INF.18 (EIGA)</w:t>
      </w:r>
    </w:p>
    <w:p w14:paraId="0A1C806F" w14:textId="77777777" w:rsidR="0012021D" w:rsidRPr="005B3ACB" w:rsidRDefault="0012021D" w:rsidP="0012021D">
      <w:pPr>
        <w:pStyle w:val="SingleTxtG"/>
        <w:rPr>
          <w:lang w:val="fr-FR"/>
        </w:rPr>
      </w:pPr>
      <w:r w:rsidRPr="005B3ACB">
        <w:rPr>
          <w:lang w:val="fr-FR"/>
        </w:rPr>
        <w:t>83.</w:t>
      </w:r>
      <w:r w:rsidRPr="005B3ACB">
        <w:rPr>
          <w:lang w:val="fr-FR"/>
        </w:rPr>
        <w:tab/>
      </w:r>
      <w:r w:rsidRPr="005F1938">
        <w:rPr>
          <w:lang w:val="fr-FR"/>
        </w:rPr>
        <w:t>Bien que le Sous-Comité ait salué l</w:t>
      </w:r>
      <w:r>
        <w:rPr>
          <w:lang w:val="fr-FR"/>
        </w:rPr>
        <w:t>’</w:t>
      </w:r>
      <w:r w:rsidRPr="005F1938">
        <w:rPr>
          <w:lang w:val="fr-FR"/>
        </w:rPr>
        <w:t>intention des auteurs de rendre la réglementation plus facile à interpréter, la plupart des experts qui se sont exprimés n</w:t>
      </w:r>
      <w:r>
        <w:rPr>
          <w:lang w:val="fr-FR"/>
        </w:rPr>
        <w:t>’</w:t>
      </w:r>
      <w:r w:rsidRPr="005F1938">
        <w:rPr>
          <w:lang w:val="fr-FR"/>
        </w:rPr>
        <w:t>étaient pas convaincus de l</w:t>
      </w:r>
      <w:r>
        <w:rPr>
          <w:lang w:val="fr-FR"/>
        </w:rPr>
        <w:t>’</w:t>
      </w:r>
      <w:r w:rsidRPr="005F1938">
        <w:rPr>
          <w:lang w:val="fr-FR"/>
        </w:rPr>
        <w:t>utilité de renvoyer aux dispositions spéciales d</w:t>
      </w:r>
      <w:r>
        <w:rPr>
          <w:lang w:val="fr-FR"/>
        </w:rPr>
        <w:t>’</w:t>
      </w:r>
      <w:r w:rsidRPr="005F1938">
        <w:rPr>
          <w:lang w:val="fr-FR"/>
        </w:rPr>
        <w:t>emballage de l</w:t>
      </w:r>
      <w:r>
        <w:rPr>
          <w:lang w:val="fr-FR"/>
        </w:rPr>
        <w:t>’</w:t>
      </w:r>
      <w:r w:rsidRPr="005F1938">
        <w:rPr>
          <w:lang w:val="fr-FR"/>
        </w:rPr>
        <w:t>instruction P200 dans la liste des marchandises dangereuses. Certains experts ont indiqué qu</w:t>
      </w:r>
      <w:r>
        <w:rPr>
          <w:lang w:val="fr-FR"/>
        </w:rPr>
        <w:t>’</w:t>
      </w:r>
      <w:r w:rsidRPr="005F1938">
        <w:rPr>
          <w:lang w:val="fr-FR"/>
        </w:rPr>
        <w:t>ils étaient ouverts à l</w:t>
      </w:r>
      <w:r>
        <w:rPr>
          <w:lang w:val="fr-FR"/>
        </w:rPr>
        <w:t>’</w:t>
      </w:r>
      <w:r w:rsidRPr="005F1938">
        <w:rPr>
          <w:lang w:val="fr-FR"/>
        </w:rPr>
        <w:t>inclusion d</w:t>
      </w:r>
      <w:r>
        <w:rPr>
          <w:lang w:val="fr-FR"/>
        </w:rPr>
        <w:t>’</w:t>
      </w:r>
      <w:r w:rsidRPr="005F1938">
        <w:rPr>
          <w:lang w:val="fr-FR"/>
        </w:rPr>
        <w:t>un texte explicatif au 3.2.1 ou à la solution énoncée dans la proposition 2 du document informel INF.18 (ajout d</w:t>
      </w:r>
      <w:r>
        <w:rPr>
          <w:lang w:val="fr-FR"/>
        </w:rPr>
        <w:t>’</w:t>
      </w:r>
      <w:r w:rsidRPr="005F1938">
        <w:rPr>
          <w:lang w:val="fr-FR"/>
        </w:rPr>
        <w:t>un texte générique dans la colonne (9) de la liste des marchandises dangereuses). L</w:t>
      </w:r>
      <w:r>
        <w:rPr>
          <w:lang w:val="fr-FR"/>
        </w:rPr>
        <w:t>’</w:t>
      </w:r>
      <w:r w:rsidRPr="005F1938">
        <w:rPr>
          <w:lang w:val="fr-FR"/>
        </w:rPr>
        <w:t>expert de la République de Corée s</w:t>
      </w:r>
      <w:r>
        <w:rPr>
          <w:lang w:val="fr-FR"/>
        </w:rPr>
        <w:t>’</w:t>
      </w:r>
      <w:r w:rsidRPr="005F1938">
        <w:rPr>
          <w:lang w:val="fr-FR"/>
        </w:rPr>
        <w:t>est porté volontaire pour établir une proposition actualisée en tenant compte des observations reçues</w:t>
      </w:r>
      <w:r w:rsidRPr="005B3ACB">
        <w:rPr>
          <w:lang w:val="fr-FR"/>
        </w:rPr>
        <w:t>.</w:t>
      </w:r>
    </w:p>
    <w:p w14:paraId="0277D44E" w14:textId="43F722C1" w:rsidR="0012021D" w:rsidRPr="005B3ACB" w:rsidRDefault="0012021D" w:rsidP="005A59DF">
      <w:pPr>
        <w:pStyle w:val="H23G"/>
        <w:rPr>
          <w:lang w:val="fr-FR"/>
        </w:rPr>
      </w:pPr>
      <w:r w:rsidRPr="005B3ACB">
        <w:rPr>
          <w:lang w:val="fr-FR"/>
        </w:rPr>
        <w:tab/>
        <w:t>3.</w:t>
      </w:r>
      <w:r w:rsidRPr="005B3ACB">
        <w:rPr>
          <w:lang w:val="fr-FR"/>
        </w:rPr>
        <w:tab/>
      </w:r>
      <w:r w:rsidRPr="005F1938">
        <w:rPr>
          <w:lang w:val="fr-FR"/>
        </w:rPr>
        <w:t>Amendements à la note de bas de page</w:t>
      </w:r>
      <w:r w:rsidR="005A59DF">
        <w:rPr>
          <w:lang w:val="fr-FR"/>
        </w:rPr>
        <w:t> </w:t>
      </w:r>
      <w:r w:rsidRPr="005F1938">
        <w:rPr>
          <w:lang w:val="fr-FR"/>
        </w:rPr>
        <w:t>3 du 2.0.3.1</w:t>
      </w:r>
      <w:r w:rsidR="005A59DF">
        <w:rPr>
          <w:lang w:val="fr-FR"/>
        </w:rPr>
        <w:t> </w:t>
      </w:r>
      <w:r w:rsidRPr="005F1938">
        <w:rPr>
          <w:lang w:val="fr-FR"/>
        </w:rPr>
        <w:t xml:space="preserve">g), au NOTA du 2.6.2.2.4.1 </w:t>
      </w:r>
      <w:r w:rsidR="005A59DF">
        <w:rPr>
          <w:lang w:val="fr-FR"/>
        </w:rPr>
        <w:br/>
      </w:r>
      <w:r w:rsidRPr="005F1938">
        <w:rPr>
          <w:lang w:val="fr-FR"/>
        </w:rPr>
        <w:t>et au 2.8.2.4 en ce qui concerne l</w:t>
      </w:r>
      <w:r>
        <w:rPr>
          <w:lang w:val="fr-FR"/>
        </w:rPr>
        <w:t>’</w:t>
      </w:r>
      <w:r w:rsidRPr="005F1938">
        <w:rPr>
          <w:lang w:val="fr-FR"/>
        </w:rPr>
        <w:t xml:space="preserve">ordre de prépondérance des caractéristiques </w:t>
      </w:r>
      <w:r w:rsidR="005A59DF">
        <w:rPr>
          <w:lang w:val="fr-FR"/>
        </w:rPr>
        <w:br/>
      </w:r>
      <w:r w:rsidRPr="005F1938">
        <w:rPr>
          <w:lang w:val="fr-FR"/>
        </w:rPr>
        <w:t>de danger</w:t>
      </w:r>
    </w:p>
    <w:p w14:paraId="4A186DBB" w14:textId="77777777" w:rsidR="0012021D" w:rsidRPr="005B3ACB"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sidRPr="005B3ACB">
        <w:rPr>
          <w:lang w:val="fr-FR"/>
        </w:rPr>
        <w:t>INF.14 (</w:t>
      </w:r>
      <w:r w:rsidRPr="005F1938">
        <w:rPr>
          <w:lang w:val="fr-FR"/>
        </w:rPr>
        <w:t>République de Corée</w:t>
      </w:r>
      <w:r w:rsidRPr="005B3ACB">
        <w:rPr>
          <w:lang w:val="fr-FR"/>
        </w:rPr>
        <w:t>)</w:t>
      </w:r>
    </w:p>
    <w:p w14:paraId="26367E06" w14:textId="77777777" w:rsidR="0012021D" w:rsidRPr="005B3ACB" w:rsidRDefault="0012021D" w:rsidP="0012021D">
      <w:pPr>
        <w:pStyle w:val="SingleTxtG"/>
        <w:rPr>
          <w:lang w:val="fr-FR"/>
        </w:rPr>
      </w:pPr>
      <w:r w:rsidRPr="005B3ACB">
        <w:rPr>
          <w:lang w:val="fr-FR"/>
        </w:rPr>
        <w:t>84.</w:t>
      </w:r>
      <w:r w:rsidRPr="005B3ACB">
        <w:rPr>
          <w:lang w:val="fr-FR"/>
        </w:rPr>
        <w:tab/>
      </w:r>
      <w:r w:rsidRPr="005F1938">
        <w:rPr>
          <w:lang w:val="fr-FR"/>
        </w:rPr>
        <w:t>Certains experts ont apporté leur soutien de principe à la proposition mais jugeaient préférable de prendre le temps d</w:t>
      </w:r>
      <w:r>
        <w:rPr>
          <w:lang w:val="fr-FR"/>
        </w:rPr>
        <w:t>’</w:t>
      </w:r>
      <w:r w:rsidRPr="005F1938">
        <w:rPr>
          <w:lang w:val="fr-FR"/>
        </w:rPr>
        <w:t>étudier plus en détail les amendements proposés. D</w:t>
      </w:r>
      <w:r>
        <w:rPr>
          <w:lang w:val="fr-FR"/>
        </w:rPr>
        <w:t>’</w:t>
      </w:r>
      <w:r w:rsidRPr="005F1938">
        <w:rPr>
          <w:lang w:val="fr-FR"/>
        </w:rPr>
        <w:t>autres n</w:t>
      </w:r>
      <w:r>
        <w:rPr>
          <w:lang w:val="fr-FR"/>
        </w:rPr>
        <w:t>’</w:t>
      </w:r>
      <w:r w:rsidRPr="005F1938">
        <w:rPr>
          <w:lang w:val="fr-FR"/>
        </w:rPr>
        <w:t>étaient pas convaincus de la nécessité de tels amendements. L</w:t>
      </w:r>
      <w:r>
        <w:rPr>
          <w:lang w:val="fr-FR"/>
        </w:rPr>
        <w:t>’</w:t>
      </w:r>
      <w:r w:rsidRPr="005F1938">
        <w:rPr>
          <w:lang w:val="fr-FR"/>
        </w:rPr>
        <w:t>expert de la République de Corée a proposé de soumettre une nouvelle proposition comprenant une justification plus détaillée</w:t>
      </w:r>
      <w:r w:rsidRPr="005B3ACB">
        <w:rPr>
          <w:lang w:val="fr-FR"/>
        </w:rPr>
        <w:t>.</w:t>
      </w:r>
    </w:p>
    <w:p w14:paraId="138D638E" w14:textId="3BD09BCB" w:rsidR="0012021D" w:rsidRPr="00126097" w:rsidRDefault="0012021D" w:rsidP="005A59DF">
      <w:pPr>
        <w:pStyle w:val="H23G"/>
        <w:rPr>
          <w:lang w:val="fr-FR"/>
        </w:rPr>
      </w:pPr>
      <w:r w:rsidRPr="005B3ACB">
        <w:rPr>
          <w:lang w:val="fr-FR"/>
        </w:rPr>
        <w:tab/>
      </w:r>
      <w:r w:rsidRPr="00126097">
        <w:rPr>
          <w:lang w:val="fr-FR"/>
        </w:rPr>
        <w:t>4.</w:t>
      </w:r>
      <w:r w:rsidRPr="00126097">
        <w:rPr>
          <w:lang w:val="fr-FR"/>
        </w:rPr>
        <w:tab/>
      </w:r>
      <w:r w:rsidRPr="005A59DF">
        <w:t>Éclaircissements</w:t>
      </w:r>
      <w:r>
        <w:rPr>
          <w:lang w:val="fr-FR"/>
        </w:rPr>
        <w:t xml:space="preserve"> relatifs aux objets auxquels s’appliquent les dispositions spéciales 361 et</w:t>
      </w:r>
      <w:r w:rsidR="005A59DF">
        <w:rPr>
          <w:lang w:val="fr-FR"/>
        </w:rPr>
        <w:t xml:space="preserve"> </w:t>
      </w:r>
      <w:r>
        <w:rPr>
          <w:lang w:val="fr-FR"/>
        </w:rPr>
        <w:t>372</w:t>
      </w:r>
    </w:p>
    <w:p w14:paraId="3230FAFB" w14:textId="77777777" w:rsidR="0012021D" w:rsidRPr="00D726DD" w:rsidRDefault="0012021D" w:rsidP="000C044E">
      <w:pPr>
        <w:pStyle w:val="SingleTxtG"/>
        <w:tabs>
          <w:tab w:val="clear" w:pos="2268"/>
          <w:tab w:val="clear" w:pos="2835"/>
        </w:tabs>
        <w:ind w:left="3402" w:hanging="2268"/>
        <w:jc w:val="left"/>
        <w:rPr>
          <w:lang w:val="fr-FR"/>
        </w:rPr>
      </w:pPr>
      <w:r>
        <w:rPr>
          <w:i/>
          <w:iCs/>
          <w:lang w:val="fr-FR"/>
        </w:rPr>
        <w:t>Document(s) informel(s)</w:t>
      </w:r>
      <w:r w:rsidRPr="005A59DF">
        <w:rPr>
          <w:lang w:val="fr-FR"/>
        </w:rPr>
        <w:t xml:space="preserve"> :</w:t>
      </w:r>
      <w:r>
        <w:rPr>
          <w:i/>
          <w:iCs/>
          <w:lang w:val="fr-FR"/>
        </w:rPr>
        <w:tab/>
      </w:r>
      <w:r>
        <w:rPr>
          <w:lang w:val="fr-FR"/>
        </w:rPr>
        <w:t>INF.17 (Chine)</w:t>
      </w:r>
    </w:p>
    <w:p w14:paraId="1C193219" w14:textId="53999B56" w:rsidR="0012021D" w:rsidRPr="00D726DD" w:rsidRDefault="0012021D" w:rsidP="0012021D">
      <w:pPr>
        <w:pStyle w:val="SingleTxtG"/>
        <w:rPr>
          <w:lang w:val="fr-FR"/>
        </w:rPr>
      </w:pPr>
      <w:r w:rsidRPr="00D726DD">
        <w:rPr>
          <w:lang w:val="fr-FR"/>
        </w:rPr>
        <w:t>85.</w:t>
      </w:r>
      <w:r w:rsidRPr="00D726DD">
        <w:rPr>
          <w:lang w:val="fr-FR"/>
        </w:rPr>
        <w:tab/>
      </w:r>
      <w:r>
        <w:rPr>
          <w:lang w:val="fr-FR"/>
        </w:rPr>
        <w:t>Le Sous-Comité a pris note du besoin d’éclaircissements concernant l’application des dispositions spéciales 361 et 372 pour les condensateurs. Un représentant a fait valoir que les condensateurs pouvaient être exemptés lorsqu’ils étaient configurés en modules, à condition que les paragraphes visés comportent la mention « y compris lorsqu’ils sont configurés dans un module ». Le Sous-Comité a pris acte des différences entre les libellés des dispositions</w:t>
      </w:r>
      <w:r w:rsidR="005A59DF">
        <w:rPr>
          <w:lang w:val="fr-FR"/>
        </w:rPr>
        <w:t> </w:t>
      </w:r>
      <w:r>
        <w:rPr>
          <w:lang w:val="fr-FR"/>
        </w:rPr>
        <w:t>361 et 372, mais n’a pas pu déterminer le classement approprié pour les modules dans toutes les circonstances. L’expert de la Chine a proposé de soumettre pour examen à la session suivante un document publié sous une cote officielle tenant compte des observations formulées</w:t>
      </w:r>
      <w:r w:rsidRPr="00D726DD">
        <w:rPr>
          <w:lang w:val="fr-FR"/>
        </w:rPr>
        <w:t>.</w:t>
      </w:r>
    </w:p>
    <w:p w14:paraId="0DA3A46E" w14:textId="623331ED" w:rsidR="0012021D" w:rsidRPr="00D726DD" w:rsidRDefault="0012021D" w:rsidP="005A59DF">
      <w:pPr>
        <w:pStyle w:val="H23G"/>
        <w:rPr>
          <w:lang w:val="fr-FR"/>
        </w:rPr>
      </w:pPr>
      <w:r w:rsidRPr="00D726DD">
        <w:rPr>
          <w:lang w:val="fr-FR"/>
        </w:rPr>
        <w:tab/>
        <w:t>5.</w:t>
      </w:r>
      <w:r w:rsidRPr="00D726DD">
        <w:rPr>
          <w:lang w:val="fr-FR"/>
        </w:rPr>
        <w:tab/>
      </w:r>
      <w:r>
        <w:rPr>
          <w:lang w:val="fr-FR"/>
        </w:rPr>
        <w:t xml:space="preserve">Lignes directrices relatives aux entrepôts dans lesquels des marchandises </w:t>
      </w:r>
      <w:r w:rsidR="005A59DF">
        <w:rPr>
          <w:lang w:val="fr-FR"/>
        </w:rPr>
        <w:br/>
      </w:r>
      <w:r>
        <w:rPr>
          <w:lang w:val="fr-FR"/>
        </w:rPr>
        <w:t>dangereuses sont stockées, manutentionnées et regroupées</w:t>
      </w:r>
    </w:p>
    <w:p w14:paraId="59E7BE0A" w14:textId="77777777" w:rsidR="0012021D" w:rsidRPr="00D726DD"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Pr>
          <w:lang w:val="fr-FR"/>
        </w:rPr>
        <w:t>INF.29 (IVODGA)</w:t>
      </w:r>
    </w:p>
    <w:p w14:paraId="2A727AAC" w14:textId="77777777" w:rsidR="0012021D" w:rsidRPr="00D726DD" w:rsidRDefault="0012021D" w:rsidP="0012021D">
      <w:pPr>
        <w:pStyle w:val="SingleTxtG"/>
        <w:rPr>
          <w:lang w:val="fr-FR"/>
        </w:rPr>
      </w:pPr>
      <w:r w:rsidRPr="00D726DD">
        <w:rPr>
          <w:lang w:val="fr-FR"/>
        </w:rPr>
        <w:t>86.</w:t>
      </w:r>
      <w:r w:rsidRPr="00D726DD">
        <w:rPr>
          <w:lang w:val="fr-FR"/>
        </w:rPr>
        <w:tab/>
      </w:r>
      <w:r>
        <w:rPr>
          <w:lang w:val="fr-FR"/>
        </w:rPr>
        <w:t>Le Sous-Comité a accueilli avec intérêt les informations de l’IVODGA concernant son livre blanc sur les entrepôts, comportant des lignes directrices sur le stockage et la manutention des marchandises dangereuses avant ou après leur transport maritime</w:t>
      </w:r>
      <w:r w:rsidRPr="00D726DD">
        <w:rPr>
          <w:lang w:val="fr-FR"/>
        </w:rPr>
        <w:t>.</w:t>
      </w:r>
    </w:p>
    <w:p w14:paraId="04D8E7B0" w14:textId="63A34AB0" w:rsidR="0012021D" w:rsidRPr="00D726DD" w:rsidRDefault="0012021D" w:rsidP="005A59DF">
      <w:pPr>
        <w:pStyle w:val="H23G"/>
        <w:rPr>
          <w:lang w:val="fr-FR"/>
        </w:rPr>
      </w:pPr>
      <w:r w:rsidRPr="00D726DD">
        <w:rPr>
          <w:lang w:val="fr-FR"/>
        </w:rPr>
        <w:tab/>
        <w:t>6.</w:t>
      </w:r>
      <w:r w:rsidRPr="00D726DD">
        <w:rPr>
          <w:lang w:val="fr-FR"/>
        </w:rPr>
        <w:tab/>
      </w:r>
      <w:r>
        <w:rPr>
          <w:lang w:val="fr-FR"/>
        </w:rPr>
        <w:t>Amendement à la section 51.4.4.2</w:t>
      </w:r>
      <w:r w:rsidR="005A59DF">
        <w:rPr>
          <w:lang w:val="fr-FR"/>
        </w:rPr>
        <w:t> </w:t>
      </w:r>
      <w:r>
        <w:rPr>
          <w:lang w:val="fr-FR"/>
        </w:rPr>
        <w:t>e) du Manuel d’épreuves et de critères</w:t>
      </w:r>
    </w:p>
    <w:p w14:paraId="103CFE31" w14:textId="77777777" w:rsidR="0012021D" w:rsidRPr="00D726DD"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Pr>
          <w:lang w:val="fr-FR"/>
        </w:rPr>
        <w:t>INF.32 (Chine)</w:t>
      </w:r>
    </w:p>
    <w:p w14:paraId="0EF05A92" w14:textId="77777777" w:rsidR="0012021D" w:rsidRPr="00D726DD" w:rsidRDefault="0012021D" w:rsidP="0012021D">
      <w:pPr>
        <w:pStyle w:val="SingleTxtG"/>
        <w:rPr>
          <w:lang w:val="fr-FR"/>
        </w:rPr>
      </w:pPr>
      <w:r w:rsidRPr="00D726DD">
        <w:rPr>
          <w:lang w:val="fr-FR"/>
        </w:rPr>
        <w:t>87.</w:t>
      </w:r>
      <w:r w:rsidRPr="00D726DD">
        <w:rPr>
          <w:lang w:val="fr-FR"/>
        </w:rPr>
        <w:tab/>
      </w:r>
      <w:r>
        <w:rPr>
          <w:lang w:val="fr-FR"/>
        </w:rPr>
        <w:t>Plusieurs experts ont indiqué avoir besoin d’un délai pour étudier la proposition et ont souhaité que son examen soit reporté à la session suivante. L’expert de la Chine a proposé de soumettre pour la session</w:t>
      </w:r>
      <w:r w:rsidRPr="00A70E2F">
        <w:rPr>
          <w:lang w:val="fr-FR"/>
        </w:rPr>
        <w:t xml:space="preserve"> </w:t>
      </w:r>
      <w:r>
        <w:rPr>
          <w:lang w:val="fr-FR"/>
        </w:rPr>
        <w:t>suivante un document publié sous une cote officielle énonçant une proposition d’amendement plus détaillée</w:t>
      </w:r>
      <w:r w:rsidRPr="00D726DD">
        <w:rPr>
          <w:lang w:val="fr-FR"/>
        </w:rPr>
        <w:t>.</w:t>
      </w:r>
    </w:p>
    <w:p w14:paraId="35CF526E" w14:textId="3472FCEC" w:rsidR="0012021D" w:rsidRPr="00D726DD" w:rsidRDefault="0012021D" w:rsidP="0012021D">
      <w:pPr>
        <w:pStyle w:val="H23G"/>
        <w:rPr>
          <w:lang w:val="fr-FR"/>
        </w:rPr>
      </w:pPr>
      <w:r w:rsidRPr="00D726DD">
        <w:rPr>
          <w:bCs/>
          <w:lang w:val="fr-FR"/>
        </w:rPr>
        <w:tab/>
        <w:t>7.</w:t>
      </w:r>
      <w:r w:rsidRPr="00D726DD">
        <w:rPr>
          <w:lang w:val="fr-FR"/>
        </w:rPr>
        <w:tab/>
      </w:r>
      <w:r>
        <w:rPr>
          <w:bCs/>
          <w:lang w:val="fr-FR"/>
        </w:rPr>
        <w:t>Suggestions d’ajustement des températures pour les épreuves ONU 3</w:t>
      </w:r>
      <w:r w:rsidR="005A59DF">
        <w:rPr>
          <w:bCs/>
          <w:lang w:val="fr-FR"/>
        </w:rPr>
        <w:t> </w:t>
      </w:r>
      <w:r>
        <w:rPr>
          <w:bCs/>
          <w:lang w:val="fr-FR"/>
        </w:rPr>
        <w:t>c) et 4</w:t>
      </w:r>
      <w:r w:rsidR="005A59DF">
        <w:rPr>
          <w:bCs/>
          <w:lang w:val="fr-FR"/>
        </w:rPr>
        <w:t> </w:t>
      </w:r>
      <w:r>
        <w:rPr>
          <w:bCs/>
          <w:lang w:val="fr-FR"/>
        </w:rPr>
        <w:t>b)</w:t>
      </w:r>
    </w:p>
    <w:p w14:paraId="6D9A130F" w14:textId="77777777" w:rsidR="0012021D" w:rsidRPr="00D64383"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Pr>
          <w:lang w:val="fr-FR"/>
        </w:rPr>
        <w:t>INF.33 (Chine)</w:t>
      </w:r>
    </w:p>
    <w:p w14:paraId="4ADA2321" w14:textId="37E8A9D0" w:rsidR="0012021D" w:rsidRPr="00D64383" w:rsidRDefault="0012021D" w:rsidP="0012021D">
      <w:pPr>
        <w:pStyle w:val="SingleTxtG"/>
        <w:rPr>
          <w:lang w:val="fr-FR"/>
        </w:rPr>
      </w:pPr>
      <w:r w:rsidRPr="00D64383">
        <w:rPr>
          <w:lang w:val="fr-FR"/>
        </w:rPr>
        <w:t>88.</w:t>
      </w:r>
      <w:r w:rsidRPr="00D64383">
        <w:rPr>
          <w:lang w:val="fr-FR"/>
        </w:rPr>
        <w:tab/>
      </w:r>
      <w:r>
        <w:rPr>
          <w:lang w:val="fr-FR"/>
        </w:rPr>
        <w:t>Plusieurs observations et préoccupations ont été exprimées à propos de la proposition, compte tenu de son importance apparente dans le Manuel d’épreuves et de critères. Le Sous</w:t>
      </w:r>
      <w:r w:rsidR="005A59DF">
        <w:rPr>
          <w:lang w:val="fr-FR"/>
        </w:rPr>
        <w:noBreakHyphen/>
      </w:r>
      <w:r>
        <w:rPr>
          <w:lang w:val="fr-FR"/>
        </w:rPr>
        <w:t>Comité a invité l’expert de la Chine à soumettre pour la session suivante une proposition plus détaillée, qui serait également soumise au Groupe de travail des explosifs</w:t>
      </w:r>
      <w:r w:rsidRPr="00D64383">
        <w:rPr>
          <w:lang w:val="fr-FR"/>
        </w:rPr>
        <w:t>.</w:t>
      </w:r>
    </w:p>
    <w:p w14:paraId="2D828C6B" w14:textId="77777777" w:rsidR="0012021D" w:rsidRPr="00D64383" w:rsidRDefault="0012021D" w:rsidP="0012021D">
      <w:pPr>
        <w:pStyle w:val="H23G"/>
        <w:rPr>
          <w:lang w:val="fr-FR"/>
        </w:rPr>
      </w:pPr>
      <w:r w:rsidRPr="00D64383">
        <w:rPr>
          <w:bCs/>
          <w:lang w:val="fr-FR"/>
        </w:rPr>
        <w:tab/>
        <w:t>8.</w:t>
      </w:r>
      <w:r w:rsidRPr="00D64383">
        <w:rPr>
          <w:lang w:val="fr-FR"/>
        </w:rPr>
        <w:tab/>
      </w:r>
      <w:r>
        <w:rPr>
          <w:bCs/>
          <w:lang w:val="fr-FR"/>
        </w:rPr>
        <w:t>Classement du diesel aux fins du transport</w:t>
      </w:r>
    </w:p>
    <w:p w14:paraId="0451C023" w14:textId="77777777" w:rsidR="0012021D" w:rsidRPr="008B39F3"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Pr>
          <w:lang w:val="fr-FR"/>
        </w:rPr>
        <w:t>INF.35 (Chine)</w:t>
      </w:r>
    </w:p>
    <w:p w14:paraId="4F44BB55" w14:textId="3B38D596" w:rsidR="0012021D" w:rsidRPr="008B39F3" w:rsidRDefault="0012021D" w:rsidP="0012021D">
      <w:pPr>
        <w:pStyle w:val="SingleTxtG"/>
        <w:rPr>
          <w:lang w:val="fr-FR"/>
        </w:rPr>
      </w:pPr>
      <w:r w:rsidRPr="008B39F3">
        <w:rPr>
          <w:lang w:val="fr-FR"/>
        </w:rPr>
        <w:t>89.</w:t>
      </w:r>
      <w:r w:rsidRPr="008B39F3">
        <w:rPr>
          <w:lang w:val="fr-FR"/>
        </w:rPr>
        <w:tab/>
      </w:r>
      <w:r>
        <w:rPr>
          <w:lang w:val="fr-FR"/>
        </w:rPr>
        <w:t>Le Sous-Comité a réaffirmé que le N</w:t>
      </w:r>
      <w:r w:rsidRPr="005A59DF">
        <w:rPr>
          <w:vertAlign w:val="superscript"/>
          <w:lang w:val="fr-FR"/>
        </w:rPr>
        <w:t>o</w:t>
      </w:r>
      <w:r w:rsidR="005A59DF">
        <w:rPr>
          <w:lang w:val="fr-FR"/>
        </w:rPr>
        <w:t> </w:t>
      </w:r>
      <w:r>
        <w:rPr>
          <w:lang w:val="fr-FR"/>
        </w:rPr>
        <w:t>ONU 1202, qui ne répondait pas aux critères généraux de classement parmi les liquides inflammables du chapitre</w:t>
      </w:r>
      <w:r w:rsidR="005A59DF">
        <w:rPr>
          <w:lang w:val="fr-FR"/>
        </w:rPr>
        <w:t> </w:t>
      </w:r>
      <w:r>
        <w:rPr>
          <w:lang w:val="fr-FR"/>
        </w:rPr>
        <w:t>2.3 (par exemple ceux à point d’éclair supérieur à 60 °C) n’était pas soumis au Règlement type, à condition qu’il ne réponde aux critères d’aucune autre classe de danger</w:t>
      </w:r>
      <w:r w:rsidRPr="008B39F3">
        <w:rPr>
          <w:lang w:val="fr-FR"/>
        </w:rPr>
        <w:t>.</w:t>
      </w:r>
    </w:p>
    <w:p w14:paraId="1AD383B3" w14:textId="77777777" w:rsidR="0012021D" w:rsidRPr="008B39F3" w:rsidRDefault="0012021D" w:rsidP="0012021D">
      <w:pPr>
        <w:pStyle w:val="H23G"/>
        <w:rPr>
          <w:lang w:val="fr-FR"/>
        </w:rPr>
      </w:pPr>
      <w:r w:rsidRPr="008B39F3">
        <w:rPr>
          <w:bCs/>
          <w:lang w:val="fr-FR"/>
        </w:rPr>
        <w:tab/>
        <w:t>9.</w:t>
      </w:r>
      <w:r w:rsidRPr="008B39F3">
        <w:rPr>
          <w:lang w:val="fr-FR"/>
        </w:rPr>
        <w:tab/>
      </w:r>
      <w:r>
        <w:rPr>
          <w:bCs/>
          <w:lang w:val="fr-FR"/>
        </w:rPr>
        <w:t>Machines frigorifiques et pompes à chaleur</w:t>
      </w:r>
    </w:p>
    <w:p w14:paraId="3F701902" w14:textId="77777777" w:rsidR="0012021D" w:rsidRPr="006C04CD"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Pr>
          <w:lang w:val="fr-FR"/>
        </w:rPr>
        <w:t>INF.34 (Allemagne)</w:t>
      </w:r>
    </w:p>
    <w:p w14:paraId="4A7C374B" w14:textId="77777777" w:rsidR="0012021D" w:rsidRPr="006C04CD" w:rsidRDefault="0012021D" w:rsidP="0012021D">
      <w:pPr>
        <w:pStyle w:val="SingleTxtG"/>
        <w:rPr>
          <w:lang w:val="fr-FR"/>
        </w:rPr>
      </w:pPr>
      <w:r w:rsidRPr="006C04CD">
        <w:rPr>
          <w:lang w:val="fr-FR"/>
        </w:rPr>
        <w:t>90.</w:t>
      </w:r>
      <w:r w:rsidRPr="006C04CD">
        <w:rPr>
          <w:lang w:val="fr-FR"/>
        </w:rPr>
        <w:tab/>
      </w:r>
      <w:r>
        <w:rPr>
          <w:lang w:val="fr-FR"/>
        </w:rPr>
        <w:t>Bien que les dangers et les conditions du transport des machines frigorifiques et des pompes à chaleur soient similaires, la plupart des experts qui ont pris la parole ont exprimé leur préférence pour un nouveau numéro ONU</w:t>
      </w:r>
      <w:r w:rsidRPr="00136E75">
        <w:rPr>
          <w:lang w:val="fr-FR"/>
        </w:rPr>
        <w:t xml:space="preserve"> </w:t>
      </w:r>
      <w:r>
        <w:rPr>
          <w:lang w:val="fr-FR"/>
        </w:rPr>
        <w:t>réservé aux pompes à chaleur, qui serait assorti d’une désignation officielle de transport et de dispositions spéciales. L’expert de l’Allemagne s’est porté volontaire pour soumettre à la session suivante un document sous une cote officielle tenant compte des observations reçues</w:t>
      </w:r>
      <w:r w:rsidRPr="006C04CD">
        <w:rPr>
          <w:lang w:val="fr-FR"/>
        </w:rPr>
        <w:t>.</w:t>
      </w:r>
    </w:p>
    <w:p w14:paraId="1A6222B9" w14:textId="77777777" w:rsidR="0012021D" w:rsidRPr="006C04CD" w:rsidRDefault="0012021D" w:rsidP="005A59DF">
      <w:pPr>
        <w:pStyle w:val="H23G"/>
        <w:rPr>
          <w:lang w:val="fr-FR"/>
        </w:rPr>
      </w:pPr>
      <w:r w:rsidRPr="006C04CD">
        <w:rPr>
          <w:lang w:val="fr-FR"/>
        </w:rPr>
        <w:tab/>
        <w:t>10.</w:t>
      </w:r>
      <w:r w:rsidRPr="006C04CD">
        <w:rPr>
          <w:lang w:val="fr-FR"/>
        </w:rPr>
        <w:tab/>
      </w:r>
      <w:r w:rsidRPr="00C234A9">
        <w:t>Amendement</w:t>
      </w:r>
      <w:r>
        <w:rPr>
          <w:lang w:val="fr-FR"/>
        </w:rPr>
        <w:t xml:space="preserve"> aux instructions d’emballage P902 et LP902</w:t>
      </w:r>
    </w:p>
    <w:p w14:paraId="41DACAF4" w14:textId="77777777" w:rsidR="0012021D" w:rsidRPr="0012021D" w:rsidRDefault="0012021D" w:rsidP="005A59DF">
      <w:pPr>
        <w:pStyle w:val="SingleTxtG"/>
        <w:keepNext/>
        <w:tabs>
          <w:tab w:val="clear" w:pos="2268"/>
          <w:tab w:val="clear" w:pos="2835"/>
        </w:tabs>
        <w:ind w:left="3402" w:hanging="2268"/>
        <w:jc w:val="left"/>
        <w:rPr>
          <w:lang w:val="en-US"/>
        </w:rPr>
      </w:pPr>
      <w:r w:rsidRPr="0012021D">
        <w:rPr>
          <w:i/>
          <w:iCs/>
          <w:lang w:val="en-US"/>
        </w:rPr>
        <w:t>Document(s) informel(s</w:t>
      </w:r>
      <w:proofErr w:type="gramStart"/>
      <w:r w:rsidRPr="0012021D">
        <w:rPr>
          <w:i/>
          <w:iCs/>
          <w:lang w:val="en-US"/>
        </w:rPr>
        <w:t>)</w:t>
      </w:r>
      <w:r w:rsidRPr="005A59DF">
        <w:rPr>
          <w:lang w:val="en-US"/>
        </w:rPr>
        <w:t xml:space="preserve"> :</w:t>
      </w:r>
      <w:proofErr w:type="gramEnd"/>
      <w:r w:rsidRPr="0012021D">
        <w:rPr>
          <w:i/>
          <w:iCs/>
          <w:lang w:val="en-US"/>
        </w:rPr>
        <w:tab/>
      </w:r>
      <w:r w:rsidRPr="0012021D">
        <w:rPr>
          <w:lang w:val="en-US"/>
        </w:rPr>
        <w:t>INF.40 (CLEPA)</w:t>
      </w:r>
    </w:p>
    <w:p w14:paraId="01A8D1E1" w14:textId="77777777" w:rsidR="0012021D" w:rsidRPr="006C04CD" w:rsidRDefault="0012021D" w:rsidP="0012021D">
      <w:pPr>
        <w:pStyle w:val="SingleTxtG"/>
        <w:keepNext/>
        <w:keepLines/>
        <w:rPr>
          <w:lang w:val="fr-FR"/>
        </w:rPr>
      </w:pPr>
      <w:r w:rsidRPr="006C04CD">
        <w:rPr>
          <w:lang w:val="fr-FR"/>
        </w:rPr>
        <w:t>91.</w:t>
      </w:r>
      <w:r w:rsidRPr="006C04CD">
        <w:rPr>
          <w:lang w:val="fr-FR"/>
        </w:rPr>
        <w:tab/>
      </w:r>
      <w:r>
        <w:rPr>
          <w:lang w:val="fr-FR"/>
        </w:rPr>
        <w:t>La plupart des experts qui se sont exprimés étaient d’avis qu’aucune précision n’était nécessaire, étant donné que les emballages du groupe d’emballage I ou II étaient également conformes aux caractéristiques du groupe d’emballage III. Il a néanmoins été reconnu qu’une explication plus générale pourrait être utile, par exemple sous la forme d’une interprétation générale</w:t>
      </w:r>
      <w:r w:rsidRPr="006C04CD">
        <w:rPr>
          <w:lang w:val="fr-FR"/>
        </w:rPr>
        <w:t>.</w:t>
      </w:r>
    </w:p>
    <w:p w14:paraId="4488530B" w14:textId="77777777" w:rsidR="0012021D" w:rsidRPr="006C04CD" w:rsidRDefault="0012021D" w:rsidP="005A59DF">
      <w:pPr>
        <w:pStyle w:val="H1G"/>
        <w:rPr>
          <w:lang w:val="fr-FR"/>
        </w:rPr>
      </w:pPr>
      <w:r w:rsidRPr="006C04CD">
        <w:rPr>
          <w:lang w:val="fr-FR"/>
        </w:rPr>
        <w:tab/>
        <w:t>B.</w:t>
      </w:r>
      <w:r w:rsidRPr="006C04CD">
        <w:rPr>
          <w:lang w:val="fr-FR"/>
        </w:rPr>
        <w:tab/>
      </w:r>
      <w:r>
        <w:rPr>
          <w:lang w:val="fr-FR"/>
        </w:rPr>
        <w:t>Autres questions</w:t>
      </w:r>
    </w:p>
    <w:p w14:paraId="3CE6B094" w14:textId="77777777" w:rsidR="0012021D" w:rsidRPr="006C04CD" w:rsidRDefault="0012021D" w:rsidP="000C044E">
      <w:pPr>
        <w:pStyle w:val="SingleTxtG"/>
        <w:tabs>
          <w:tab w:val="clear" w:pos="2268"/>
          <w:tab w:val="clear" w:pos="2835"/>
        </w:tabs>
        <w:ind w:left="3402" w:hanging="2268"/>
        <w:jc w:val="left"/>
        <w:rPr>
          <w:lang w:val="fr-FR"/>
        </w:rPr>
      </w:pPr>
      <w:r>
        <w:rPr>
          <w:i/>
          <w:iCs/>
          <w:lang w:val="fr-FR"/>
        </w:rPr>
        <w:t xml:space="preserve">Document(s) informel(s) </w:t>
      </w:r>
      <w:r w:rsidRPr="005A59DF">
        <w:rPr>
          <w:lang w:val="fr-FR"/>
        </w:rPr>
        <w:t>:</w:t>
      </w:r>
      <w:r>
        <w:rPr>
          <w:i/>
          <w:iCs/>
          <w:lang w:val="fr-FR"/>
        </w:rPr>
        <w:tab/>
      </w:r>
      <w:r>
        <w:rPr>
          <w:lang w:val="fr-FR"/>
        </w:rPr>
        <w:t>INF.55 (RPMASA)</w:t>
      </w:r>
    </w:p>
    <w:p w14:paraId="7910EC10" w14:textId="77777777" w:rsidR="0012021D" w:rsidRPr="006C04CD" w:rsidRDefault="0012021D" w:rsidP="0012021D">
      <w:pPr>
        <w:pStyle w:val="SingleTxtG"/>
        <w:rPr>
          <w:lang w:val="fr-FR"/>
        </w:rPr>
      </w:pPr>
      <w:r w:rsidRPr="006C04CD">
        <w:rPr>
          <w:lang w:val="fr-FR"/>
        </w:rPr>
        <w:t>92.</w:t>
      </w:r>
      <w:r w:rsidRPr="006C04CD">
        <w:rPr>
          <w:lang w:val="fr-FR"/>
        </w:rPr>
        <w:tab/>
      </w:r>
      <w:r>
        <w:rPr>
          <w:lang w:val="fr-FR"/>
        </w:rPr>
        <w:t>Le Sous-Comité a pris note du rapport de la RPMASA sur les activités de l’équipe spéciale des marchandises dangereuses dans la chaîne d’approvisionnement en Afrique du Sud, relatives à l’application du Règlement type, ainsi que sur ses activités de renforcement des capacités et de formation</w:t>
      </w:r>
      <w:r w:rsidRPr="006C04CD">
        <w:rPr>
          <w:lang w:val="fr-FR"/>
        </w:rPr>
        <w:t>.</w:t>
      </w:r>
    </w:p>
    <w:p w14:paraId="193D1AE6" w14:textId="77777777" w:rsidR="0012021D" w:rsidRPr="006C04CD" w:rsidRDefault="0012021D" w:rsidP="005A59DF">
      <w:pPr>
        <w:pStyle w:val="H1G"/>
        <w:rPr>
          <w:lang w:val="fr-FR"/>
        </w:rPr>
      </w:pPr>
      <w:r w:rsidRPr="006C04CD">
        <w:rPr>
          <w:lang w:val="fr-FR"/>
        </w:rPr>
        <w:tab/>
        <w:t>C.</w:t>
      </w:r>
      <w:r w:rsidRPr="006C04CD">
        <w:rPr>
          <w:lang w:val="fr-FR"/>
        </w:rPr>
        <w:tab/>
      </w:r>
      <w:r w:rsidRPr="005A59DF">
        <w:t>Hommages</w:t>
      </w:r>
    </w:p>
    <w:p w14:paraId="583DB169" w14:textId="77777777" w:rsidR="0012021D" w:rsidRPr="006C04CD" w:rsidRDefault="0012021D" w:rsidP="0012021D">
      <w:pPr>
        <w:pStyle w:val="SingleTxtG"/>
        <w:rPr>
          <w:lang w:val="fr-FR"/>
        </w:rPr>
      </w:pPr>
      <w:r w:rsidRPr="006C04CD">
        <w:rPr>
          <w:lang w:val="fr-FR"/>
        </w:rPr>
        <w:t>93.</w:t>
      </w:r>
      <w:r w:rsidRPr="006C04CD">
        <w:rPr>
          <w:lang w:val="fr-FR"/>
        </w:rPr>
        <w:tab/>
      </w:r>
      <w:r>
        <w:rPr>
          <w:lang w:val="fr-FR"/>
        </w:rPr>
        <w:t>Apprenant que M</w:t>
      </w:r>
      <w:r w:rsidRPr="006C04CD">
        <w:rPr>
          <w:vertAlign w:val="superscript"/>
          <w:lang w:val="fr-FR"/>
        </w:rPr>
        <w:t>me</w:t>
      </w:r>
      <w:r>
        <w:rPr>
          <w:lang w:val="fr-FR"/>
        </w:rPr>
        <w:t> Ruskin (États-Unis d’Amérique) prendrait</w:t>
      </w:r>
      <w:r w:rsidRPr="006C04CD">
        <w:rPr>
          <w:lang w:val="fr-FR"/>
        </w:rPr>
        <w:t xml:space="preserve"> </w:t>
      </w:r>
      <w:r>
        <w:rPr>
          <w:lang w:val="fr-FR"/>
        </w:rPr>
        <w:t>prochainement sa retraite et ne participerait plus à ses sessions, le Sous-Comité lui a exprimé sa gratitude pour ses excellentes contributions à ses travaux et lui a souhaité une longue et heureuse retraite</w:t>
      </w:r>
      <w:r w:rsidRPr="006C04CD">
        <w:rPr>
          <w:lang w:val="fr-FR"/>
        </w:rPr>
        <w:t>.</w:t>
      </w:r>
    </w:p>
    <w:p w14:paraId="51CBEA67" w14:textId="53EE5B81" w:rsidR="0012021D" w:rsidRPr="006C04CD" w:rsidRDefault="0012021D" w:rsidP="0012021D">
      <w:pPr>
        <w:pStyle w:val="SingleTxtG"/>
        <w:rPr>
          <w:lang w:val="fr-FR"/>
        </w:rPr>
      </w:pPr>
      <w:r w:rsidRPr="006C04CD">
        <w:rPr>
          <w:lang w:val="fr-FR"/>
        </w:rPr>
        <w:t>94.</w:t>
      </w:r>
      <w:r w:rsidRPr="006C04CD">
        <w:rPr>
          <w:lang w:val="fr-FR"/>
        </w:rPr>
        <w:tab/>
        <w:t>Le Sous-Comité a été informé que M.</w:t>
      </w:r>
      <w:r w:rsidR="005A59DF">
        <w:rPr>
          <w:lang w:val="fr-FR"/>
        </w:rPr>
        <w:t> </w:t>
      </w:r>
      <w:r w:rsidRPr="006C04CD">
        <w:rPr>
          <w:lang w:val="fr-FR"/>
        </w:rPr>
        <w:t>Brennan (IATA) prendrait sa retraite et ne participerait plus aux sessions. Le Président l</w:t>
      </w:r>
      <w:r>
        <w:rPr>
          <w:lang w:val="fr-FR"/>
        </w:rPr>
        <w:t>’</w:t>
      </w:r>
      <w:r w:rsidRPr="006C04CD">
        <w:rPr>
          <w:lang w:val="fr-FR"/>
        </w:rPr>
        <w:t>a remercié pour les contributions substantielles qu</w:t>
      </w:r>
      <w:r>
        <w:rPr>
          <w:lang w:val="fr-FR"/>
        </w:rPr>
        <w:t>’</w:t>
      </w:r>
      <w:r w:rsidRPr="006C04CD">
        <w:rPr>
          <w:lang w:val="fr-FR"/>
        </w:rPr>
        <w:t>il avait apportées aux activités du Sous-Comité pendant de nombreuses années. Le Sous</w:t>
      </w:r>
      <w:r w:rsidR="005A59DF">
        <w:rPr>
          <w:lang w:val="fr-FR"/>
        </w:rPr>
        <w:noBreakHyphen/>
      </w:r>
      <w:r w:rsidRPr="006C04CD">
        <w:rPr>
          <w:lang w:val="fr-FR"/>
        </w:rPr>
        <w:t>Comité a présenté à M.</w:t>
      </w:r>
      <w:r w:rsidR="005A59DF">
        <w:rPr>
          <w:lang w:val="fr-FR"/>
        </w:rPr>
        <w:t> </w:t>
      </w:r>
      <w:r w:rsidRPr="006C04CD">
        <w:rPr>
          <w:lang w:val="fr-FR"/>
        </w:rPr>
        <w:t>Brennan ses meilleurs vœux pour une longue et heureuse retraite.</w:t>
      </w:r>
    </w:p>
    <w:p w14:paraId="16EC426B" w14:textId="77777777" w:rsidR="0012021D" w:rsidRPr="008B6E49" w:rsidRDefault="0012021D" w:rsidP="005A59DF">
      <w:pPr>
        <w:pStyle w:val="HChG"/>
        <w:rPr>
          <w:lang w:val="fr-FR"/>
        </w:rPr>
      </w:pPr>
      <w:r w:rsidRPr="006C04CD">
        <w:rPr>
          <w:lang w:val="fr-FR"/>
        </w:rPr>
        <w:tab/>
      </w:r>
      <w:r w:rsidRPr="008B6E49">
        <w:rPr>
          <w:lang w:val="fr-FR"/>
        </w:rPr>
        <w:t>XX.</w:t>
      </w:r>
      <w:r w:rsidRPr="008B6E49">
        <w:rPr>
          <w:lang w:val="fr-FR"/>
        </w:rPr>
        <w:tab/>
      </w:r>
      <w:r w:rsidRPr="00C234A9">
        <w:t>Adoption</w:t>
      </w:r>
      <w:r w:rsidRPr="008B6E49">
        <w:rPr>
          <w:lang w:val="fr-FR"/>
        </w:rPr>
        <w:t xml:space="preserve"> du rapport (</w:t>
      </w:r>
      <w:r w:rsidRPr="005F1938">
        <w:rPr>
          <w:lang w:val="fr-FR"/>
        </w:rPr>
        <w:t>point 1</w:t>
      </w:r>
      <w:r>
        <w:rPr>
          <w:lang w:val="fr-FR"/>
        </w:rPr>
        <w:t>8</w:t>
      </w:r>
      <w:r w:rsidRPr="005F1938">
        <w:rPr>
          <w:lang w:val="fr-FR"/>
        </w:rPr>
        <w:t xml:space="preserve"> de l</w:t>
      </w:r>
      <w:r>
        <w:rPr>
          <w:lang w:val="fr-FR"/>
        </w:rPr>
        <w:t>’</w:t>
      </w:r>
      <w:r w:rsidRPr="005F1938">
        <w:rPr>
          <w:lang w:val="fr-FR"/>
        </w:rPr>
        <w:t>ordre du jour</w:t>
      </w:r>
      <w:r w:rsidRPr="008B6E49">
        <w:rPr>
          <w:lang w:val="fr-FR"/>
        </w:rPr>
        <w:t>)</w:t>
      </w:r>
    </w:p>
    <w:p w14:paraId="00BCC3EA" w14:textId="035968D6" w:rsidR="0012021D" w:rsidRDefault="0012021D" w:rsidP="000C044E">
      <w:pPr>
        <w:pStyle w:val="SingleTxtG"/>
        <w:rPr>
          <w:lang w:val="fr-FR"/>
        </w:rPr>
      </w:pPr>
      <w:r w:rsidRPr="006C04CD">
        <w:rPr>
          <w:lang w:val="fr-FR"/>
        </w:rPr>
        <w:t>95.</w:t>
      </w:r>
      <w:r w:rsidRPr="006C04CD">
        <w:rPr>
          <w:lang w:val="fr-FR"/>
        </w:rPr>
        <w:tab/>
      </w:r>
      <w:r>
        <w:rPr>
          <w:lang w:val="fr-FR"/>
        </w:rPr>
        <w:t>Conformément à l’usage, le Sous-Comité a adopté le rapport de sa soixante et unième session et ses annexes sur la base d’un projet établi par le secrétariat</w:t>
      </w:r>
      <w:r w:rsidRPr="006C04CD">
        <w:rPr>
          <w:lang w:val="fr-FR"/>
        </w:rPr>
        <w:t>.</w:t>
      </w:r>
    </w:p>
    <w:p w14:paraId="18178FD8" w14:textId="5AF60A7D" w:rsidR="000C044E" w:rsidRPr="000C044E" w:rsidRDefault="000C044E" w:rsidP="000C044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C044E" w:rsidRPr="000C044E" w:rsidSect="001202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A72A" w14:textId="77777777" w:rsidR="00771CB6" w:rsidRDefault="00771CB6" w:rsidP="00F95C08">
      <w:pPr>
        <w:spacing w:line="240" w:lineRule="auto"/>
      </w:pPr>
    </w:p>
  </w:endnote>
  <w:endnote w:type="continuationSeparator" w:id="0">
    <w:p w14:paraId="39F279E6" w14:textId="77777777" w:rsidR="00771CB6" w:rsidRPr="00AC3823" w:rsidRDefault="00771CB6" w:rsidP="00AC3823">
      <w:pPr>
        <w:pStyle w:val="Footer"/>
      </w:pPr>
    </w:p>
  </w:endnote>
  <w:endnote w:type="continuationNotice" w:id="1">
    <w:p w14:paraId="4CBA6ED6" w14:textId="77777777" w:rsidR="00771CB6" w:rsidRDefault="00771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2A7A" w14:textId="527A50CD" w:rsidR="0012021D" w:rsidRPr="0012021D" w:rsidRDefault="0012021D" w:rsidP="0012021D">
    <w:pPr>
      <w:pStyle w:val="Footer"/>
      <w:tabs>
        <w:tab w:val="right" w:pos="9638"/>
      </w:tabs>
    </w:pPr>
    <w:r w:rsidRPr="0012021D">
      <w:rPr>
        <w:b/>
        <w:sz w:val="18"/>
      </w:rPr>
      <w:fldChar w:fldCharType="begin"/>
    </w:r>
    <w:r w:rsidRPr="0012021D">
      <w:rPr>
        <w:b/>
        <w:sz w:val="18"/>
      </w:rPr>
      <w:instrText xml:space="preserve"> PAGE  \* MERGEFORMAT </w:instrText>
    </w:r>
    <w:r w:rsidRPr="0012021D">
      <w:rPr>
        <w:b/>
        <w:sz w:val="18"/>
      </w:rPr>
      <w:fldChar w:fldCharType="separate"/>
    </w:r>
    <w:r w:rsidRPr="0012021D">
      <w:rPr>
        <w:b/>
        <w:noProof/>
        <w:sz w:val="18"/>
      </w:rPr>
      <w:t>2</w:t>
    </w:r>
    <w:r w:rsidRPr="0012021D">
      <w:rPr>
        <w:b/>
        <w:sz w:val="18"/>
      </w:rPr>
      <w:fldChar w:fldCharType="end"/>
    </w:r>
    <w:r>
      <w:rPr>
        <w:b/>
        <w:sz w:val="18"/>
      </w:rPr>
      <w:tab/>
    </w:r>
    <w:r>
      <w:t>GE.22-26811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443E" w14:textId="16B6BA22" w:rsidR="0012021D" w:rsidRPr="0012021D" w:rsidRDefault="0012021D" w:rsidP="0012021D">
    <w:pPr>
      <w:pStyle w:val="Footer"/>
      <w:tabs>
        <w:tab w:val="right" w:pos="9638"/>
      </w:tabs>
      <w:rPr>
        <w:b/>
        <w:sz w:val="18"/>
      </w:rPr>
    </w:pPr>
    <w:r>
      <w:t>GE.22-26811</w:t>
    </w:r>
    <w:r>
      <w:tab/>
    </w:r>
    <w:r w:rsidRPr="0012021D">
      <w:rPr>
        <w:b/>
        <w:sz w:val="18"/>
      </w:rPr>
      <w:fldChar w:fldCharType="begin"/>
    </w:r>
    <w:r w:rsidRPr="0012021D">
      <w:rPr>
        <w:b/>
        <w:sz w:val="18"/>
      </w:rPr>
      <w:instrText xml:space="preserve"> PAGE  \* MERGEFORMAT </w:instrText>
    </w:r>
    <w:r w:rsidRPr="0012021D">
      <w:rPr>
        <w:b/>
        <w:sz w:val="18"/>
      </w:rPr>
      <w:fldChar w:fldCharType="separate"/>
    </w:r>
    <w:r w:rsidRPr="0012021D">
      <w:rPr>
        <w:b/>
        <w:noProof/>
        <w:sz w:val="18"/>
      </w:rPr>
      <w:t>3</w:t>
    </w:r>
    <w:r w:rsidRPr="00120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31E4" w14:textId="44DDB0D8" w:rsidR="0068456F" w:rsidRPr="0012021D" w:rsidRDefault="0012021D" w:rsidP="0012021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68FE9EF" wp14:editId="6624F6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26811</w:t>
    </w:r>
    <w:r w:rsidR="005A59DF">
      <w:rPr>
        <w:sz w:val="20"/>
      </w:rPr>
      <w:t xml:space="preserve">  </w:t>
    </w:r>
    <w:r>
      <w:rPr>
        <w:sz w:val="20"/>
      </w:rPr>
      <w:t>(</w:t>
    </w:r>
    <w:proofErr w:type="gramEnd"/>
    <w:r>
      <w:rPr>
        <w:sz w:val="20"/>
      </w:rPr>
      <w:t>F)</w:t>
    </w:r>
    <w:r>
      <w:rPr>
        <w:noProof/>
        <w:sz w:val="20"/>
      </w:rPr>
      <w:drawing>
        <wp:anchor distT="0" distB="0" distL="114300" distR="114300" simplePos="0" relativeHeight="251660288" behindDoc="0" locked="0" layoutInCell="1" allowOverlap="1" wp14:anchorId="50788684" wp14:editId="4D99E8D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DF">
      <w:rPr>
        <w:sz w:val="20"/>
      </w:rPr>
      <w:t xml:space="preserve">    </w:t>
    </w:r>
    <w:r>
      <w:rPr>
        <w:sz w:val="20"/>
      </w:rPr>
      <w:t>230323</w:t>
    </w:r>
    <w:r w:rsidR="005A59DF">
      <w:rPr>
        <w:sz w:val="20"/>
      </w:rPr>
      <w:t xml:space="preserve">    </w:t>
    </w:r>
    <w:r>
      <w:rPr>
        <w:sz w:val="20"/>
      </w:rPr>
      <w:t>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5195" w14:textId="77777777" w:rsidR="00771CB6" w:rsidRPr="00AC3823" w:rsidRDefault="00771CB6" w:rsidP="00AC3823">
      <w:pPr>
        <w:pStyle w:val="Footer"/>
        <w:tabs>
          <w:tab w:val="right" w:pos="2155"/>
        </w:tabs>
        <w:spacing w:after="80" w:line="240" w:lineRule="atLeast"/>
        <w:ind w:left="680"/>
        <w:rPr>
          <w:u w:val="single"/>
        </w:rPr>
      </w:pPr>
      <w:r>
        <w:rPr>
          <w:u w:val="single"/>
        </w:rPr>
        <w:tab/>
      </w:r>
    </w:p>
  </w:footnote>
  <w:footnote w:type="continuationSeparator" w:id="0">
    <w:p w14:paraId="61492084" w14:textId="77777777" w:rsidR="00771CB6" w:rsidRPr="00AC3823" w:rsidRDefault="00771CB6" w:rsidP="00AC3823">
      <w:pPr>
        <w:pStyle w:val="Footer"/>
        <w:tabs>
          <w:tab w:val="right" w:pos="2155"/>
        </w:tabs>
        <w:spacing w:after="80" w:line="240" w:lineRule="atLeast"/>
        <w:ind w:left="680"/>
        <w:rPr>
          <w:u w:val="single"/>
        </w:rPr>
      </w:pPr>
      <w:r>
        <w:rPr>
          <w:u w:val="single"/>
        </w:rPr>
        <w:tab/>
      </w:r>
    </w:p>
  </w:footnote>
  <w:footnote w:type="continuationNotice" w:id="1">
    <w:p w14:paraId="1034950C" w14:textId="77777777" w:rsidR="00771CB6" w:rsidRPr="00AC3823" w:rsidRDefault="00771CB6">
      <w:pPr>
        <w:spacing w:line="240" w:lineRule="auto"/>
        <w:rPr>
          <w:sz w:val="2"/>
          <w:szCs w:val="2"/>
        </w:rPr>
      </w:pPr>
    </w:p>
  </w:footnote>
  <w:footnote w:id="2">
    <w:p w14:paraId="05154933" w14:textId="4666121B" w:rsidR="00C37CF8" w:rsidRDefault="00C37CF8">
      <w:pPr>
        <w:pStyle w:val="FootnoteText"/>
      </w:pPr>
      <w:r>
        <w:tab/>
      </w:r>
      <w:r>
        <w:rPr>
          <w:rStyle w:val="FootnoteReference"/>
        </w:rPr>
        <w:footnoteRef/>
      </w:r>
      <w:r>
        <w:tab/>
      </w:r>
      <w:r w:rsidRPr="006A2B41">
        <w:rPr>
          <w:lang w:val="fr-FR"/>
        </w:rPr>
        <w:t>Pour des raisons pratiques, cette annexe est reproduite sous forme d</w:t>
      </w:r>
      <w:r>
        <w:rPr>
          <w:lang w:val="fr-FR"/>
        </w:rPr>
        <w:t>’</w:t>
      </w:r>
      <w:r w:rsidRPr="006A2B41">
        <w:rPr>
          <w:lang w:val="fr-FR"/>
        </w:rPr>
        <w:t>additif au présent document, sous</w:t>
      </w:r>
      <w:r>
        <w:rPr>
          <w:lang w:val="fr-FR"/>
        </w:rPr>
        <w:t xml:space="preserve"> </w:t>
      </w:r>
      <w:r w:rsidRPr="006A2B41">
        <w:rPr>
          <w:lang w:val="fr-FR"/>
        </w:rPr>
        <w:t>la cote ST/SG/AC.10/C.3/122/Add.1</w:t>
      </w:r>
      <w:r>
        <w:rPr>
          <w:lang w:val="fr-FR"/>
        </w:rPr>
        <w:t>.</w:t>
      </w:r>
    </w:p>
  </w:footnote>
  <w:footnote w:id="3">
    <w:p w14:paraId="28D30E83" w14:textId="77777777" w:rsidR="0012021D" w:rsidRPr="005F1938" w:rsidRDefault="0012021D" w:rsidP="0012021D">
      <w:pPr>
        <w:pStyle w:val="FootnoteText"/>
        <w:rPr>
          <w:lang w:val="fr-FR"/>
        </w:rPr>
      </w:pPr>
      <w:r w:rsidRPr="006A2B41">
        <w:rPr>
          <w:lang w:val="fr-FR"/>
        </w:rPr>
        <w:tab/>
      </w:r>
      <w:r>
        <w:rPr>
          <w:rStyle w:val="FootnoteReference"/>
          <w:lang w:val="fr-FR"/>
        </w:rPr>
        <w:footnoteRef/>
      </w:r>
      <w:r>
        <w:rPr>
          <w:lang w:val="fr-FR"/>
        </w:rPr>
        <w:tab/>
      </w:r>
      <w:r>
        <w:rPr>
          <w:lang w:val="fr-FR"/>
        </w:rPr>
        <w:tab/>
      </w:r>
      <w:hyperlink r:id="rId1" w:anchor="accordion_8" w:history="1">
        <w:r>
          <w:rPr>
            <w:rStyle w:val="Hyperlink"/>
            <w:lang w:val="fr-FR"/>
          </w:rPr>
          <w:t>https:</w:t>
        </w:r>
        <w:r w:rsidRPr="002E21EA">
          <w:rPr>
            <w:rStyle w:val="Hyperlink"/>
            <w:lang w:val="fr-FR"/>
          </w:rPr>
          <w:t>/unece.org/transport/dangerous-goods/ecosoc-bodies-dealing-chemicals-safety#accordion_8</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85AE" w14:textId="0886D186" w:rsidR="0012021D" w:rsidRPr="0012021D" w:rsidRDefault="00000000">
    <w:pPr>
      <w:pStyle w:val="Header"/>
    </w:pPr>
    <w:r>
      <w:fldChar w:fldCharType="begin"/>
    </w:r>
    <w:r>
      <w:instrText xml:space="preserve"> TITLE  \* MERGEFORMAT </w:instrText>
    </w:r>
    <w:r>
      <w:fldChar w:fldCharType="separate"/>
    </w:r>
    <w:r w:rsidR="00761BA1">
      <w:t>ST/SG/AC.10/C.3/122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600" w14:textId="7B264478" w:rsidR="0012021D" w:rsidRPr="0012021D" w:rsidRDefault="00000000" w:rsidP="0012021D">
    <w:pPr>
      <w:pStyle w:val="Header"/>
      <w:jc w:val="right"/>
    </w:pPr>
    <w:fldSimple w:instr=" TITLE  \* MERGEFORMAT ">
      <w:r w:rsidR="00761BA1">
        <w:t>ST/SG/AC.10/C.3/122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5742E"/>
    <w:multiLevelType w:val="hybridMultilevel"/>
    <w:tmpl w:val="7A4EA03A"/>
    <w:lvl w:ilvl="0" w:tplc="305A53A0">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5E3102"/>
    <w:multiLevelType w:val="hybridMultilevel"/>
    <w:tmpl w:val="AF803046"/>
    <w:lvl w:ilvl="0" w:tplc="F8BE55D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A4552C"/>
    <w:multiLevelType w:val="hybridMultilevel"/>
    <w:tmpl w:val="1338B02C"/>
    <w:lvl w:ilvl="0" w:tplc="644E9E58">
      <w:start w:val="1"/>
      <w:numFmt w:val="decimal"/>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0F70610D"/>
    <w:multiLevelType w:val="hybridMultilevel"/>
    <w:tmpl w:val="F2309BAC"/>
    <w:lvl w:ilvl="0" w:tplc="8D6E4394">
      <w:start w:val="3"/>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12894D34"/>
    <w:multiLevelType w:val="hybridMultilevel"/>
    <w:tmpl w:val="25DAA4B4"/>
    <w:lvl w:ilvl="0" w:tplc="3DF8BDBA">
      <w:start w:val="1"/>
      <w:numFmt w:val="upperLetter"/>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1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6D5F73"/>
    <w:multiLevelType w:val="hybridMultilevel"/>
    <w:tmpl w:val="E41A5446"/>
    <w:lvl w:ilvl="0" w:tplc="8F3453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D41B5"/>
    <w:multiLevelType w:val="hybridMultilevel"/>
    <w:tmpl w:val="CB5C2692"/>
    <w:lvl w:ilvl="0" w:tplc="B1103746">
      <w:start w:val="1"/>
      <w:numFmt w:val="upperLetter"/>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22" w15:restartNumberingAfterBreak="0">
    <w:nsid w:val="26A075C1"/>
    <w:multiLevelType w:val="hybridMultilevel"/>
    <w:tmpl w:val="1820CBF2"/>
    <w:lvl w:ilvl="0" w:tplc="E082874C">
      <w:start w:val="1"/>
      <w:numFmt w:val="decimal"/>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3"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4"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0DF1436"/>
    <w:multiLevelType w:val="hybridMultilevel"/>
    <w:tmpl w:val="2AECF958"/>
    <w:lvl w:ilvl="0" w:tplc="90CA3BD8">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312AEF"/>
    <w:multiLevelType w:val="hybridMultilevel"/>
    <w:tmpl w:val="5F56C9F0"/>
    <w:lvl w:ilvl="0" w:tplc="C1740E2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BF02E1D"/>
    <w:multiLevelType w:val="hybridMultilevel"/>
    <w:tmpl w:val="7DF49686"/>
    <w:lvl w:ilvl="0" w:tplc="4E86EB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423E0340"/>
    <w:multiLevelType w:val="hybridMultilevel"/>
    <w:tmpl w:val="FA74D8C8"/>
    <w:lvl w:ilvl="0" w:tplc="FCE46638">
      <w:start w:val="1"/>
      <w:numFmt w:val="upperLetter"/>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31" w15:restartNumberingAfterBreak="0">
    <w:nsid w:val="42992C37"/>
    <w:multiLevelType w:val="hybridMultilevel"/>
    <w:tmpl w:val="423089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3" w15:restartNumberingAfterBreak="0">
    <w:nsid w:val="46BC5003"/>
    <w:multiLevelType w:val="hybridMultilevel"/>
    <w:tmpl w:val="439AC32A"/>
    <w:lvl w:ilvl="0" w:tplc="DCBCD0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4" w15:restartNumberingAfterBreak="0">
    <w:nsid w:val="48411B09"/>
    <w:multiLevelType w:val="hybridMultilevel"/>
    <w:tmpl w:val="8DAECE30"/>
    <w:lvl w:ilvl="0" w:tplc="D82C902C">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5" w15:restartNumberingAfterBreak="0">
    <w:nsid w:val="4C2A2164"/>
    <w:multiLevelType w:val="hybridMultilevel"/>
    <w:tmpl w:val="1694A848"/>
    <w:lvl w:ilvl="0" w:tplc="57FE1A38">
      <w:start w:val="1"/>
      <w:numFmt w:val="decimal"/>
      <w:lvlText w:val="%1."/>
      <w:lvlJc w:val="left"/>
      <w:pPr>
        <w:ind w:left="2274" w:hanging="360"/>
      </w:pPr>
      <w:rPr>
        <w:rFonts w:hint="default"/>
      </w:rPr>
    </w:lvl>
    <w:lvl w:ilvl="1" w:tplc="08090019" w:tentative="1">
      <w:start w:val="1"/>
      <w:numFmt w:val="lowerLetter"/>
      <w:lvlText w:val="%2."/>
      <w:lvlJc w:val="left"/>
      <w:pPr>
        <w:ind w:left="2994" w:hanging="360"/>
      </w:pPr>
    </w:lvl>
    <w:lvl w:ilvl="2" w:tplc="0809001B" w:tentative="1">
      <w:start w:val="1"/>
      <w:numFmt w:val="lowerRoman"/>
      <w:lvlText w:val="%3."/>
      <w:lvlJc w:val="right"/>
      <w:pPr>
        <w:ind w:left="3714" w:hanging="180"/>
      </w:pPr>
    </w:lvl>
    <w:lvl w:ilvl="3" w:tplc="0809000F" w:tentative="1">
      <w:start w:val="1"/>
      <w:numFmt w:val="decimal"/>
      <w:lvlText w:val="%4."/>
      <w:lvlJc w:val="left"/>
      <w:pPr>
        <w:ind w:left="4434" w:hanging="360"/>
      </w:pPr>
    </w:lvl>
    <w:lvl w:ilvl="4" w:tplc="08090019" w:tentative="1">
      <w:start w:val="1"/>
      <w:numFmt w:val="lowerLetter"/>
      <w:lvlText w:val="%5."/>
      <w:lvlJc w:val="left"/>
      <w:pPr>
        <w:ind w:left="5154" w:hanging="360"/>
      </w:pPr>
    </w:lvl>
    <w:lvl w:ilvl="5" w:tplc="0809001B" w:tentative="1">
      <w:start w:val="1"/>
      <w:numFmt w:val="lowerRoman"/>
      <w:lvlText w:val="%6."/>
      <w:lvlJc w:val="right"/>
      <w:pPr>
        <w:ind w:left="5874" w:hanging="180"/>
      </w:pPr>
    </w:lvl>
    <w:lvl w:ilvl="6" w:tplc="0809000F" w:tentative="1">
      <w:start w:val="1"/>
      <w:numFmt w:val="decimal"/>
      <w:lvlText w:val="%7."/>
      <w:lvlJc w:val="left"/>
      <w:pPr>
        <w:ind w:left="6594" w:hanging="360"/>
      </w:pPr>
    </w:lvl>
    <w:lvl w:ilvl="7" w:tplc="08090019" w:tentative="1">
      <w:start w:val="1"/>
      <w:numFmt w:val="lowerLetter"/>
      <w:lvlText w:val="%8."/>
      <w:lvlJc w:val="left"/>
      <w:pPr>
        <w:ind w:left="7314" w:hanging="360"/>
      </w:pPr>
    </w:lvl>
    <w:lvl w:ilvl="8" w:tplc="0809001B" w:tentative="1">
      <w:start w:val="1"/>
      <w:numFmt w:val="lowerRoman"/>
      <w:lvlText w:val="%9."/>
      <w:lvlJc w:val="right"/>
      <w:pPr>
        <w:ind w:left="8034" w:hanging="180"/>
      </w:pPr>
    </w:lvl>
  </w:abstractNum>
  <w:abstractNum w:abstractNumId="36" w15:restartNumberingAfterBreak="0">
    <w:nsid w:val="539F4FBF"/>
    <w:multiLevelType w:val="hybridMultilevel"/>
    <w:tmpl w:val="ECDC5AF0"/>
    <w:lvl w:ilvl="0" w:tplc="0DFC0158">
      <w:start w:val="1"/>
      <w:numFmt w:val="upperLetter"/>
      <w:lvlText w:val="%1."/>
      <w:lvlJc w:val="left"/>
      <w:pPr>
        <w:ind w:left="1921" w:hanging="360"/>
      </w:pPr>
      <w:rPr>
        <w:rFonts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37"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F00789"/>
    <w:multiLevelType w:val="hybridMultilevel"/>
    <w:tmpl w:val="0B647698"/>
    <w:lvl w:ilvl="0" w:tplc="E27C5570">
      <w:start w:val="1"/>
      <w:numFmt w:val="decimal"/>
      <w:lvlText w:val="%1."/>
      <w:lvlJc w:val="left"/>
      <w:pPr>
        <w:ind w:left="2274" w:hanging="360"/>
      </w:pPr>
      <w:rPr>
        <w:rFonts w:hint="default"/>
      </w:rPr>
    </w:lvl>
    <w:lvl w:ilvl="1" w:tplc="08090019" w:tentative="1">
      <w:start w:val="1"/>
      <w:numFmt w:val="lowerLetter"/>
      <w:lvlText w:val="%2."/>
      <w:lvlJc w:val="left"/>
      <w:pPr>
        <w:ind w:left="2994" w:hanging="360"/>
      </w:pPr>
    </w:lvl>
    <w:lvl w:ilvl="2" w:tplc="0809001B" w:tentative="1">
      <w:start w:val="1"/>
      <w:numFmt w:val="lowerRoman"/>
      <w:lvlText w:val="%3."/>
      <w:lvlJc w:val="right"/>
      <w:pPr>
        <w:ind w:left="3714" w:hanging="180"/>
      </w:pPr>
    </w:lvl>
    <w:lvl w:ilvl="3" w:tplc="0809000F" w:tentative="1">
      <w:start w:val="1"/>
      <w:numFmt w:val="decimal"/>
      <w:lvlText w:val="%4."/>
      <w:lvlJc w:val="left"/>
      <w:pPr>
        <w:ind w:left="4434" w:hanging="360"/>
      </w:pPr>
    </w:lvl>
    <w:lvl w:ilvl="4" w:tplc="08090019" w:tentative="1">
      <w:start w:val="1"/>
      <w:numFmt w:val="lowerLetter"/>
      <w:lvlText w:val="%5."/>
      <w:lvlJc w:val="left"/>
      <w:pPr>
        <w:ind w:left="5154" w:hanging="360"/>
      </w:pPr>
    </w:lvl>
    <w:lvl w:ilvl="5" w:tplc="0809001B" w:tentative="1">
      <w:start w:val="1"/>
      <w:numFmt w:val="lowerRoman"/>
      <w:lvlText w:val="%6."/>
      <w:lvlJc w:val="right"/>
      <w:pPr>
        <w:ind w:left="5874" w:hanging="180"/>
      </w:pPr>
    </w:lvl>
    <w:lvl w:ilvl="6" w:tplc="0809000F" w:tentative="1">
      <w:start w:val="1"/>
      <w:numFmt w:val="decimal"/>
      <w:lvlText w:val="%7."/>
      <w:lvlJc w:val="left"/>
      <w:pPr>
        <w:ind w:left="6594" w:hanging="360"/>
      </w:pPr>
    </w:lvl>
    <w:lvl w:ilvl="7" w:tplc="08090019" w:tentative="1">
      <w:start w:val="1"/>
      <w:numFmt w:val="lowerLetter"/>
      <w:lvlText w:val="%8."/>
      <w:lvlJc w:val="left"/>
      <w:pPr>
        <w:ind w:left="7314" w:hanging="360"/>
      </w:pPr>
    </w:lvl>
    <w:lvl w:ilvl="8" w:tplc="0809001B" w:tentative="1">
      <w:start w:val="1"/>
      <w:numFmt w:val="lowerRoman"/>
      <w:lvlText w:val="%9."/>
      <w:lvlJc w:val="right"/>
      <w:pPr>
        <w:ind w:left="8034" w:hanging="180"/>
      </w:pPr>
    </w:lvl>
  </w:abstractNum>
  <w:abstractNum w:abstractNumId="41"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C8750FA"/>
    <w:multiLevelType w:val="hybridMultilevel"/>
    <w:tmpl w:val="0C5ED118"/>
    <w:lvl w:ilvl="0" w:tplc="4C92EC34">
      <w:start w:val="1"/>
      <w:numFmt w:val="upperLetter"/>
      <w:lvlText w:val="%1."/>
      <w:lvlJc w:val="left"/>
      <w:pPr>
        <w:ind w:left="1980" w:hanging="4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16cid:durableId="1581253856">
    <w:abstractNumId w:val="43"/>
  </w:num>
  <w:num w:numId="2" w16cid:durableId="588583819">
    <w:abstractNumId w:val="28"/>
  </w:num>
  <w:num w:numId="3" w16cid:durableId="1438021436">
    <w:abstractNumId w:val="14"/>
  </w:num>
  <w:num w:numId="4" w16cid:durableId="351879861">
    <w:abstractNumId w:val="8"/>
  </w:num>
  <w:num w:numId="5" w16cid:durableId="236939367">
    <w:abstractNumId w:val="3"/>
  </w:num>
  <w:num w:numId="6" w16cid:durableId="1821654432">
    <w:abstractNumId w:val="2"/>
  </w:num>
  <w:num w:numId="7" w16cid:durableId="1540783305">
    <w:abstractNumId w:val="1"/>
  </w:num>
  <w:num w:numId="8" w16cid:durableId="862205831">
    <w:abstractNumId w:val="0"/>
  </w:num>
  <w:num w:numId="9" w16cid:durableId="259534418">
    <w:abstractNumId w:val="9"/>
  </w:num>
  <w:num w:numId="10" w16cid:durableId="856431994">
    <w:abstractNumId w:val="7"/>
  </w:num>
  <w:num w:numId="11" w16cid:durableId="573586664">
    <w:abstractNumId w:val="6"/>
  </w:num>
  <w:num w:numId="12" w16cid:durableId="358626131">
    <w:abstractNumId w:val="5"/>
  </w:num>
  <w:num w:numId="13" w16cid:durableId="2001735624">
    <w:abstractNumId w:val="4"/>
  </w:num>
  <w:num w:numId="14" w16cid:durableId="738021955">
    <w:abstractNumId w:val="43"/>
  </w:num>
  <w:num w:numId="15" w16cid:durableId="1347099651">
    <w:abstractNumId w:val="28"/>
  </w:num>
  <w:num w:numId="16" w16cid:durableId="757557221">
    <w:abstractNumId w:val="14"/>
  </w:num>
  <w:num w:numId="17" w16cid:durableId="39400326">
    <w:abstractNumId w:val="26"/>
  </w:num>
  <w:num w:numId="18" w16cid:durableId="1788965974">
    <w:abstractNumId w:val="20"/>
  </w:num>
  <w:num w:numId="19" w16cid:durableId="1163205069">
    <w:abstractNumId w:val="10"/>
  </w:num>
  <w:num w:numId="20" w16cid:durableId="1986348147">
    <w:abstractNumId w:val="38"/>
  </w:num>
  <w:num w:numId="21" w16cid:durableId="1080642349">
    <w:abstractNumId w:val="39"/>
  </w:num>
  <w:num w:numId="22" w16cid:durableId="1082721254">
    <w:abstractNumId w:val="45"/>
  </w:num>
  <w:num w:numId="23" w16cid:durableId="1034422369">
    <w:abstractNumId w:val="18"/>
  </w:num>
  <w:num w:numId="24" w16cid:durableId="708606388">
    <w:abstractNumId w:val="12"/>
  </w:num>
  <w:num w:numId="25" w16cid:durableId="959263478">
    <w:abstractNumId w:val="42"/>
  </w:num>
  <w:num w:numId="26" w16cid:durableId="2788772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0697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47452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77168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1596473">
    <w:abstractNumId w:val="19"/>
  </w:num>
  <w:num w:numId="31" w16cid:durableId="1420710409">
    <w:abstractNumId w:val="13"/>
  </w:num>
  <w:num w:numId="32" w16cid:durableId="2031372244">
    <w:abstractNumId w:val="29"/>
  </w:num>
  <w:num w:numId="33" w16cid:durableId="1381324432">
    <w:abstractNumId w:val="27"/>
  </w:num>
  <w:num w:numId="34" w16cid:durableId="678310640">
    <w:abstractNumId w:val="24"/>
  </w:num>
  <w:num w:numId="35" w16cid:durableId="1455370677">
    <w:abstractNumId w:val="33"/>
  </w:num>
  <w:num w:numId="36" w16cid:durableId="730664347">
    <w:abstractNumId w:val="16"/>
  </w:num>
  <w:num w:numId="37" w16cid:durableId="894202111">
    <w:abstractNumId w:val="25"/>
  </w:num>
  <w:num w:numId="38" w16cid:durableId="1104153394">
    <w:abstractNumId w:val="15"/>
  </w:num>
  <w:num w:numId="39" w16cid:durableId="820123855">
    <w:abstractNumId w:val="22"/>
  </w:num>
  <w:num w:numId="40" w16cid:durableId="1920286481">
    <w:abstractNumId w:val="21"/>
  </w:num>
  <w:num w:numId="41" w16cid:durableId="1013072244">
    <w:abstractNumId w:val="34"/>
  </w:num>
  <w:num w:numId="42" w16cid:durableId="1184201300">
    <w:abstractNumId w:val="44"/>
  </w:num>
  <w:num w:numId="43" w16cid:durableId="761684645">
    <w:abstractNumId w:val="30"/>
  </w:num>
  <w:num w:numId="44" w16cid:durableId="351996218">
    <w:abstractNumId w:val="35"/>
  </w:num>
  <w:num w:numId="45" w16cid:durableId="672610472">
    <w:abstractNumId w:val="40"/>
  </w:num>
  <w:num w:numId="46" w16cid:durableId="1052727170">
    <w:abstractNumId w:val="11"/>
  </w:num>
  <w:num w:numId="47" w16cid:durableId="1397314392">
    <w:abstractNumId w:val="17"/>
  </w:num>
  <w:num w:numId="48" w16cid:durableId="246886298">
    <w:abstractNumId w:val="36"/>
  </w:num>
  <w:num w:numId="49" w16cid:durableId="1437483030">
    <w:abstractNumId w:val="31"/>
  </w:num>
  <w:num w:numId="50" w16cid:durableId="11381828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85"/>
    <w:rsid w:val="00017F94"/>
    <w:rsid w:val="00023842"/>
    <w:rsid w:val="000305D3"/>
    <w:rsid w:val="000334F9"/>
    <w:rsid w:val="00043714"/>
    <w:rsid w:val="00063051"/>
    <w:rsid w:val="0007796D"/>
    <w:rsid w:val="000B7790"/>
    <w:rsid w:val="000C044E"/>
    <w:rsid w:val="00111F2F"/>
    <w:rsid w:val="0012021D"/>
    <w:rsid w:val="00132EA9"/>
    <w:rsid w:val="0014365E"/>
    <w:rsid w:val="00165C38"/>
    <w:rsid w:val="00172E49"/>
    <w:rsid w:val="00176178"/>
    <w:rsid w:val="001F3D34"/>
    <w:rsid w:val="001F525A"/>
    <w:rsid w:val="00223272"/>
    <w:rsid w:val="00227C12"/>
    <w:rsid w:val="0024779E"/>
    <w:rsid w:val="00267960"/>
    <w:rsid w:val="00283190"/>
    <w:rsid w:val="002832AC"/>
    <w:rsid w:val="002D7C93"/>
    <w:rsid w:val="00390348"/>
    <w:rsid w:val="003F4E64"/>
    <w:rsid w:val="00441C3B"/>
    <w:rsid w:val="00446FE5"/>
    <w:rsid w:val="00452396"/>
    <w:rsid w:val="004C546D"/>
    <w:rsid w:val="004E468C"/>
    <w:rsid w:val="004E6D29"/>
    <w:rsid w:val="00521006"/>
    <w:rsid w:val="005505B7"/>
    <w:rsid w:val="00573BE5"/>
    <w:rsid w:val="00584DC4"/>
    <w:rsid w:val="00586ED3"/>
    <w:rsid w:val="00596AA9"/>
    <w:rsid w:val="005A59DF"/>
    <w:rsid w:val="0068456F"/>
    <w:rsid w:val="006E2AB1"/>
    <w:rsid w:val="006F3532"/>
    <w:rsid w:val="0071601D"/>
    <w:rsid w:val="00761BA1"/>
    <w:rsid w:val="00771CB6"/>
    <w:rsid w:val="007A62E6"/>
    <w:rsid w:val="0080684C"/>
    <w:rsid w:val="008123E0"/>
    <w:rsid w:val="00871C75"/>
    <w:rsid w:val="008776DC"/>
    <w:rsid w:val="008B40CD"/>
    <w:rsid w:val="009705C8"/>
    <w:rsid w:val="009C1CF4"/>
    <w:rsid w:val="00A25590"/>
    <w:rsid w:val="00A30353"/>
    <w:rsid w:val="00A71D3A"/>
    <w:rsid w:val="00A81281"/>
    <w:rsid w:val="00AC3823"/>
    <w:rsid w:val="00AE323C"/>
    <w:rsid w:val="00B00181"/>
    <w:rsid w:val="00B00B0D"/>
    <w:rsid w:val="00B765F7"/>
    <w:rsid w:val="00BA0CA9"/>
    <w:rsid w:val="00BB4B85"/>
    <w:rsid w:val="00C02897"/>
    <w:rsid w:val="00C37CF8"/>
    <w:rsid w:val="00CC5B54"/>
    <w:rsid w:val="00D3439C"/>
    <w:rsid w:val="00DB1831"/>
    <w:rsid w:val="00DD3BFD"/>
    <w:rsid w:val="00DF6678"/>
    <w:rsid w:val="00E80FF4"/>
    <w:rsid w:val="00EF13BE"/>
    <w:rsid w:val="00EF2E22"/>
    <w:rsid w:val="00F01738"/>
    <w:rsid w:val="00F37301"/>
    <w:rsid w:val="00F660DF"/>
    <w:rsid w:val="00F730C8"/>
    <w:rsid w:val="00F95C08"/>
    <w:rsid w:val="00FA59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1D82E"/>
  <w15:docId w15:val="{E22CD408-D2B8-4CE2-B890-6AB4A85A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styleId="111111">
    <w:name w:val="Outline List 2"/>
    <w:basedOn w:val="NoList"/>
    <w:semiHidden/>
    <w:rsid w:val="0012021D"/>
    <w:pPr>
      <w:numPr>
        <w:numId w:val="21"/>
      </w:numPr>
    </w:pPr>
  </w:style>
  <w:style w:type="numbering" w:styleId="1ai">
    <w:name w:val="Outline List 1"/>
    <w:basedOn w:val="NoList"/>
    <w:semiHidden/>
    <w:rsid w:val="0012021D"/>
    <w:pPr>
      <w:numPr>
        <w:numId w:val="22"/>
      </w:numPr>
    </w:pPr>
  </w:style>
  <w:style w:type="character" w:customStyle="1" w:styleId="SingleTxtGChar">
    <w:name w:val="_ Single Txt_G Char"/>
    <w:link w:val="SingleTxtG"/>
    <w:qFormat/>
    <w:rsid w:val="0012021D"/>
    <w:rPr>
      <w:rFonts w:ascii="Times New Roman" w:eastAsiaTheme="minorHAnsi" w:hAnsi="Times New Roman" w:cs="Times New Roman"/>
      <w:sz w:val="20"/>
      <w:szCs w:val="20"/>
      <w:lang w:eastAsia="en-US"/>
    </w:rPr>
  </w:style>
  <w:style w:type="character" w:customStyle="1" w:styleId="HChGChar">
    <w:name w:val="_ H _Ch_G Char"/>
    <w:link w:val="HChG"/>
    <w:qFormat/>
    <w:rsid w:val="0012021D"/>
    <w:rPr>
      <w:rFonts w:ascii="Times New Roman" w:eastAsiaTheme="minorHAnsi" w:hAnsi="Times New Roman" w:cs="Times New Roman"/>
      <w:b/>
      <w:sz w:val="28"/>
      <w:szCs w:val="20"/>
      <w:lang w:eastAsia="en-US"/>
    </w:rPr>
  </w:style>
  <w:style w:type="character" w:customStyle="1" w:styleId="H23GChar">
    <w:name w:val="_ H_2/3_G Char"/>
    <w:link w:val="H23G"/>
    <w:rsid w:val="0012021D"/>
    <w:rPr>
      <w:rFonts w:ascii="Times New Roman" w:eastAsiaTheme="minorHAnsi" w:hAnsi="Times New Roman" w:cs="Times New Roman"/>
      <w:b/>
      <w:sz w:val="20"/>
      <w:szCs w:val="20"/>
      <w:lang w:eastAsia="en-US"/>
    </w:rPr>
  </w:style>
  <w:style w:type="paragraph" w:styleId="ListParagraph">
    <w:name w:val="List Paragraph"/>
    <w:basedOn w:val="Normal"/>
    <w:uiPriority w:val="34"/>
    <w:qFormat/>
    <w:rsid w:val="0012021D"/>
    <w:pPr>
      <w:kinsoku/>
      <w:overflowPunct/>
      <w:autoSpaceDE/>
      <w:autoSpaceDN/>
      <w:adjustRightInd/>
      <w:snapToGrid/>
      <w:ind w:left="720"/>
      <w:contextualSpacing/>
    </w:pPr>
    <w:rPr>
      <w:rFonts w:eastAsia="Times New Roman"/>
      <w:lang w:val="en-GB"/>
    </w:rPr>
  </w:style>
  <w:style w:type="character" w:customStyle="1" w:styleId="SingleTxtGCar">
    <w:name w:val="_ Single Txt_G Car"/>
    <w:rsid w:val="0012021D"/>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unhideWhenUsed/>
    <w:rsid w:val="0012021D"/>
    <w:rPr>
      <w:sz w:val="16"/>
      <w:szCs w:val="16"/>
    </w:rPr>
  </w:style>
  <w:style w:type="paragraph" w:styleId="CommentText">
    <w:name w:val="annotation text"/>
    <w:basedOn w:val="Normal"/>
    <w:link w:val="CommentTextChar"/>
    <w:uiPriority w:val="99"/>
    <w:unhideWhenUsed/>
    <w:rsid w:val="0012021D"/>
    <w:pPr>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12021D"/>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021D"/>
    <w:rPr>
      <w:b/>
      <w:bCs/>
    </w:rPr>
  </w:style>
  <w:style w:type="character" w:customStyle="1" w:styleId="CommentSubjectChar">
    <w:name w:val="Comment Subject Char"/>
    <w:basedOn w:val="CommentTextChar"/>
    <w:link w:val="CommentSubject"/>
    <w:uiPriority w:val="99"/>
    <w:semiHidden/>
    <w:rsid w:val="0012021D"/>
    <w:rPr>
      <w:rFonts w:ascii="Times New Roman" w:eastAsia="SimSun" w:hAnsi="Times New Roman" w:cs="Times New Roman"/>
      <w:b/>
      <w:bCs/>
      <w:sz w:val="20"/>
      <w:szCs w:val="20"/>
      <w:lang w:val="en-GB"/>
    </w:rPr>
  </w:style>
  <w:style w:type="character" w:customStyle="1" w:styleId="H1GChar">
    <w:name w:val="_ H_1_G Char"/>
    <w:link w:val="H1G"/>
    <w:qFormat/>
    <w:rsid w:val="0012021D"/>
    <w:rPr>
      <w:rFonts w:ascii="Times New Roman" w:eastAsiaTheme="minorHAnsi" w:hAnsi="Times New Roman" w:cs="Times New Roman"/>
      <w:b/>
      <w:sz w:val="24"/>
      <w:szCs w:val="20"/>
      <w:lang w:eastAsia="en-US"/>
    </w:rPr>
  </w:style>
  <w:style w:type="paragraph" w:styleId="Revision">
    <w:name w:val="Revision"/>
    <w:hidden/>
    <w:uiPriority w:val="99"/>
    <w:semiHidden/>
    <w:rsid w:val="0012021D"/>
    <w:pPr>
      <w:spacing w:after="0" w:line="240" w:lineRule="auto"/>
    </w:pPr>
    <w:rPr>
      <w:rFonts w:ascii="Times New Roman" w:eastAsia="SimSun" w:hAnsi="Times New Roman" w:cs="Times New Roman"/>
      <w:sz w:val="20"/>
      <w:szCs w:val="20"/>
      <w:lang w:val="en-GB"/>
    </w:rPr>
  </w:style>
  <w:style w:type="paragraph" w:customStyle="1" w:styleId="Pnormal">
    <w:name w:val="P_normal"/>
    <w:basedOn w:val="Normal"/>
    <w:link w:val="PnormalChar"/>
    <w:qFormat/>
    <w:rsid w:val="0012021D"/>
    <w:pPr>
      <w:suppressAutoHyphens w:val="0"/>
      <w:kinsoku/>
      <w:overflowPunct/>
      <w:autoSpaceDE/>
      <w:autoSpaceDN/>
      <w:adjustRightInd/>
      <w:snapToGrid/>
      <w:spacing w:before="80" w:after="80" w:line="240" w:lineRule="auto"/>
      <w:jc w:val="both"/>
    </w:pPr>
    <w:rPr>
      <w:rFonts w:eastAsia="Times New Roman"/>
      <w:lang w:val="en-GB"/>
    </w:rPr>
  </w:style>
  <w:style w:type="character" w:customStyle="1" w:styleId="PnormalChar">
    <w:name w:val="P_normal Char"/>
    <w:basedOn w:val="DefaultParagraphFont"/>
    <w:link w:val="Pnormal"/>
    <w:rsid w:val="0012021D"/>
    <w:rPr>
      <w:rFonts w:ascii="Times New Roman" w:hAnsi="Times New Roman" w:cs="Times New Roman"/>
      <w:sz w:val="20"/>
      <w:szCs w:val="20"/>
      <w:lang w:val="en-GB" w:eastAsia="en-US"/>
    </w:rPr>
  </w:style>
  <w:style w:type="paragraph" w:customStyle="1" w:styleId="Pu4d2">
    <w:name w:val="P_u4_d2"/>
    <w:basedOn w:val="Pnormal"/>
    <w:link w:val="Pu4d2Char"/>
    <w:qFormat/>
    <w:rsid w:val="0012021D"/>
    <w:pPr>
      <w:spacing w:after="40"/>
    </w:pPr>
  </w:style>
  <w:style w:type="paragraph" w:customStyle="1" w:styleId="Pud2">
    <w:name w:val="P_ud2"/>
    <w:basedOn w:val="Pnormal"/>
    <w:link w:val="Pud2Char"/>
    <w:qFormat/>
    <w:rsid w:val="0012021D"/>
    <w:pPr>
      <w:spacing w:before="40" w:after="40"/>
    </w:pPr>
  </w:style>
  <w:style w:type="character" w:customStyle="1" w:styleId="Pu4d2Char">
    <w:name w:val="P_u4_d2 Char"/>
    <w:basedOn w:val="PnormalChar"/>
    <w:link w:val="Pu4d2"/>
    <w:rsid w:val="0012021D"/>
    <w:rPr>
      <w:rFonts w:ascii="Times New Roman" w:hAnsi="Times New Roman" w:cs="Times New Roman"/>
      <w:sz w:val="20"/>
      <w:szCs w:val="20"/>
      <w:lang w:val="en-GB" w:eastAsia="en-US"/>
    </w:rPr>
  </w:style>
  <w:style w:type="character" w:customStyle="1" w:styleId="Pud2Char">
    <w:name w:val="P_ud2 Char"/>
    <w:basedOn w:val="PnormalChar"/>
    <w:link w:val="Pud2"/>
    <w:rsid w:val="0012021D"/>
    <w:rPr>
      <w:rFonts w:ascii="Times New Roman" w:hAnsi="Times New Roman" w:cs="Times New Roman"/>
      <w:sz w:val="20"/>
      <w:szCs w:val="20"/>
      <w:lang w:val="en-GB" w:eastAsia="en-US"/>
    </w:rPr>
  </w:style>
  <w:style w:type="paragraph" w:customStyle="1" w:styleId="Ph08">
    <w:name w:val="P_h0.8"/>
    <w:basedOn w:val="Pnormal"/>
    <w:link w:val="Ph08Char"/>
    <w:qFormat/>
    <w:rsid w:val="0012021D"/>
    <w:pPr>
      <w:ind w:left="454" w:hanging="454"/>
    </w:pPr>
  </w:style>
  <w:style w:type="character" w:customStyle="1" w:styleId="Ph08Char">
    <w:name w:val="P_h0.8 Char"/>
    <w:basedOn w:val="PnormalChar"/>
    <w:link w:val="Ph08"/>
    <w:rsid w:val="0012021D"/>
    <w:rPr>
      <w:rFonts w:ascii="Times New Roman" w:hAnsi="Times New Roman" w:cs="Times New Roman"/>
      <w:sz w:val="20"/>
      <w:szCs w:val="20"/>
      <w:lang w:val="en-GB" w:eastAsia="en-US"/>
    </w:rPr>
  </w:style>
  <w:style w:type="paragraph" w:customStyle="1" w:styleId="Pb04h02ud2">
    <w:name w:val="P_b0.4_h0.2_ud2"/>
    <w:basedOn w:val="Pud2"/>
    <w:link w:val="Pb04h02ud2Char"/>
    <w:qFormat/>
    <w:rsid w:val="0012021D"/>
    <w:pPr>
      <w:ind w:left="340" w:hanging="113"/>
      <w:jc w:val="left"/>
    </w:pPr>
  </w:style>
  <w:style w:type="character" w:customStyle="1" w:styleId="Pb04h02ud2Char">
    <w:name w:val="P_b0.4_h0.2_ud2 Char"/>
    <w:basedOn w:val="DefaultParagraphFont"/>
    <w:link w:val="Pb04h02ud2"/>
    <w:rsid w:val="0012021D"/>
    <w:rPr>
      <w:rFonts w:ascii="Times New Roman" w:hAnsi="Times New Roman" w:cs="Times New Roman"/>
      <w:sz w:val="20"/>
      <w:szCs w:val="20"/>
      <w:lang w:val="en-GB" w:eastAsia="en-US"/>
    </w:rPr>
  </w:style>
  <w:style w:type="paragraph" w:customStyle="1" w:styleId="Pu2d4">
    <w:name w:val="P_u2_d4"/>
    <w:basedOn w:val="Pnormal"/>
    <w:link w:val="Pu2d4Char"/>
    <w:qFormat/>
    <w:rsid w:val="0012021D"/>
    <w:pPr>
      <w:spacing w:before="40"/>
    </w:pPr>
  </w:style>
  <w:style w:type="character" w:customStyle="1" w:styleId="Pu2d4Char">
    <w:name w:val="P_u2_d4 Char"/>
    <w:basedOn w:val="PnormalChar"/>
    <w:link w:val="Pu2d4"/>
    <w:rsid w:val="0012021D"/>
    <w:rPr>
      <w:rFonts w:ascii="Times New Roman" w:hAnsi="Times New Roman" w:cs="Times New Roman"/>
      <w:sz w:val="20"/>
      <w:szCs w:val="20"/>
      <w:lang w:val="en-GB" w:eastAsia="en-US"/>
    </w:rPr>
  </w:style>
  <w:style w:type="paragraph" w:customStyle="1" w:styleId="Pb08h08">
    <w:name w:val="P_b0.8h0.8"/>
    <w:basedOn w:val="Normal"/>
    <w:link w:val="Pb08h08Char"/>
    <w:qFormat/>
    <w:rsid w:val="0012021D"/>
    <w:pPr>
      <w:suppressAutoHyphens w:val="0"/>
      <w:kinsoku/>
      <w:overflowPunct/>
      <w:autoSpaceDE/>
      <w:autoSpaceDN/>
      <w:adjustRightInd/>
      <w:snapToGrid/>
      <w:spacing w:before="80" w:after="80" w:line="240" w:lineRule="auto"/>
      <w:ind w:left="908" w:hanging="454"/>
      <w:jc w:val="both"/>
    </w:pPr>
    <w:rPr>
      <w:rFonts w:eastAsia="Times New Roman"/>
      <w:lang w:val="en-GB"/>
    </w:rPr>
  </w:style>
  <w:style w:type="character" w:customStyle="1" w:styleId="Pb08h08Char">
    <w:name w:val="P_b0.8h0.8 Char"/>
    <w:basedOn w:val="DefaultParagraphFont"/>
    <w:link w:val="Pb08h08"/>
    <w:rsid w:val="0012021D"/>
    <w:rPr>
      <w:rFonts w:ascii="Times New Roman" w:hAnsi="Times New Roman" w:cs="Times New Roman"/>
      <w:sz w:val="20"/>
      <w:szCs w:val="20"/>
      <w:lang w:val="en-GB" w:eastAsia="en-US"/>
    </w:rPr>
  </w:style>
  <w:style w:type="paragraph" w:customStyle="1" w:styleId="Pb16h08">
    <w:name w:val="P_b1.6_h0.8"/>
    <w:basedOn w:val="Normal"/>
    <w:link w:val="Pb16h08Char"/>
    <w:qFormat/>
    <w:rsid w:val="0012021D"/>
    <w:pPr>
      <w:suppressAutoHyphens w:val="0"/>
      <w:kinsoku/>
      <w:overflowPunct/>
      <w:autoSpaceDE/>
      <w:autoSpaceDN/>
      <w:adjustRightInd/>
      <w:snapToGrid/>
      <w:spacing w:before="80" w:after="80" w:line="240" w:lineRule="auto"/>
      <w:ind w:left="1361" w:hanging="454"/>
      <w:jc w:val="both"/>
    </w:pPr>
    <w:rPr>
      <w:rFonts w:eastAsia="Times New Roman"/>
      <w:lang w:val="en-GB"/>
    </w:rPr>
  </w:style>
  <w:style w:type="character" w:customStyle="1" w:styleId="Pb16h08Char">
    <w:name w:val="P_b1.6_h0.8 Char"/>
    <w:basedOn w:val="DefaultParagraphFont"/>
    <w:link w:val="Pb16h08"/>
    <w:rsid w:val="0012021D"/>
    <w:rPr>
      <w:rFonts w:ascii="Times New Roman" w:hAnsi="Times New Roman" w:cs="Times New Roman"/>
      <w:sz w:val="20"/>
      <w:szCs w:val="20"/>
      <w:lang w:val="en-GB" w:eastAsia="en-US"/>
    </w:rPr>
  </w:style>
  <w:style w:type="paragraph" w:customStyle="1" w:styleId="Default">
    <w:name w:val="Default"/>
    <w:rsid w:val="0012021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12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angerous-goods/ecosoc-bodies-dealing-chemical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9088</Words>
  <Characters>51806</Characters>
  <Application>Microsoft Office Word</Application>
  <DocSecurity>0</DocSecurity>
  <Lines>431</Lines>
  <Paragraphs>121</Paragraphs>
  <ScaleCrop>false</ScaleCrop>
  <HeadingPairs>
    <vt:vector size="2" baseType="variant">
      <vt:variant>
        <vt:lpstr>Titre</vt:lpstr>
      </vt:variant>
      <vt:variant>
        <vt:i4>1</vt:i4>
      </vt:variant>
    </vt:vector>
  </HeadingPairs>
  <TitlesOfParts>
    <vt:vector size="1" baseType="lpstr">
      <vt:lpstr>ST/SG/AC.10/C.3/122</vt:lpstr>
    </vt:vector>
  </TitlesOfParts>
  <Company>DCM</Company>
  <LinksUpToDate>false</LinksUpToDate>
  <CharactersWithSpaces>60773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ST/SG/AC.10/C.3/122</dc:title>
  <dc:subject/>
  <dc:creator>Christine CHAUTAGNAT</dc:creator>
  <cp:keywords/>
  <cp:lastModifiedBy>Laurence Berthet</cp:lastModifiedBy>
  <cp:revision>3</cp:revision>
  <cp:lastPrinted>2023-03-23T13:19:00Z</cp:lastPrinted>
  <dcterms:created xsi:type="dcterms:W3CDTF">2023-03-23T13:19:00Z</dcterms:created>
  <dcterms:modified xsi:type="dcterms:W3CDTF">2023-03-23T13:19:00Z</dcterms:modified>
</cp:coreProperties>
</file>