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E69" w14:textId="77777777" w:rsidR="00477F7C" w:rsidRDefault="00477F7C" w:rsidP="0082103C">
      <w:pPr>
        <w:spacing w:before="120"/>
        <w:rPr>
          <w:rFonts w:asciiTheme="majorBidi" w:hAnsiTheme="majorBidi" w:cstheme="majorBidi"/>
          <w:b/>
        </w:rPr>
      </w:pPr>
    </w:p>
    <w:p w14:paraId="76E6EF02" w14:textId="77777777" w:rsidR="00477F7C" w:rsidRDefault="00477F7C" w:rsidP="0082103C">
      <w:pPr>
        <w:spacing w:before="120"/>
        <w:rPr>
          <w:rFonts w:asciiTheme="majorBidi" w:hAnsiTheme="majorBidi" w:cstheme="majorBidi"/>
          <w:b/>
        </w:rPr>
      </w:pPr>
    </w:p>
    <w:p w14:paraId="2B381787" w14:textId="68CF40D8" w:rsidR="002E5C78" w:rsidRPr="005973A3" w:rsidRDefault="002C0C47" w:rsidP="00327199">
      <w:pPr>
        <w:pStyle w:val="HChG"/>
      </w:pPr>
      <w:r w:rsidRPr="0072183C">
        <w:tab/>
      </w:r>
      <w:r w:rsidRPr="0072183C">
        <w:tab/>
      </w:r>
      <w:r w:rsidR="000848AF">
        <w:t xml:space="preserve">German Statement to </w:t>
      </w:r>
      <w:r w:rsidR="000848AF" w:rsidRPr="000848AF">
        <w:t>Guidance on Heavy Duty Vehicles Event Data Recorder Performance Elements Appropriate for Adoption in 1958 and 1998 Agreements Resolutions or Regulations</w:t>
      </w:r>
      <w:r w:rsidR="000848AF">
        <w:t xml:space="preserve"> and to the P</w:t>
      </w:r>
      <w:r w:rsidR="000848AF" w:rsidRPr="000848AF">
        <w:t>roposal for a New UN Regulation Concerning the Approval of Event Data Recorders for Heavy-Duty Vehicles</w:t>
      </w:r>
    </w:p>
    <w:p w14:paraId="645C434B" w14:textId="2F7979C2" w:rsidR="000848AF" w:rsidRDefault="000848AF" w:rsidP="000848AF">
      <w:pPr>
        <w:pStyle w:val="SingleTxtG"/>
      </w:pPr>
      <w:r>
        <w:t xml:space="preserve">Germany would like to thank the IWG Chairs and the group for the concentrated and productive work on the EDR-HDV. We are aware that a lot of effort has been put into the current document. </w:t>
      </w:r>
    </w:p>
    <w:p w14:paraId="428E88AF" w14:textId="77777777" w:rsidR="000848AF" w:rsidRDefault="000848AF" w:rsidP="000848AF">
      <w:pPr>
        <w:pStyle w:val="SingleTxtG"/>
      </w:pPr>
      <w:r>
        <w:t>Some issues have been more controversial than others and thus we feel the need to comment on one of the controversial ones. We would like to share our view based upon data from the Federal Statistical Office in Germany.</w:t>
      </w:r>
    </w:p>
    <w:p w14:paraId="711E85C0" w14:textId="77777777" w:rsidR="000848AF" w:rsidRDefault="000848AF" w:rsidP="000848AF">
      <w:pPr>
        <w:pStyle w:val="SingleTxtG"/>
      </w:pPr>
      <w:r>
        <w:t>Due to the size and mass of goods road transport vehicles, the consequences of HDV accidents are usually quite severe for parties involved in the accident. Especially for more vulnerable road users. Currently, the risk of being killed in a HDV accident is almost four times higher for other parties involved in the accident (including passengers) than for the occupants of an HDV.</w:t>
      </w:r>
    </w:p>
    <w:p w14:paraId="3AFE1155" w14:textId="77777777" w:rsidR="000848AF" w:rsidRDefault="000848AF" w:rsidP="000848AF">
      <w:pPr>
        <w:pStyle w:val="SingleTxtG"/>
      </w:pPr>
      <w:r>
        <w:t>Of the 24,730 drivers of goods road transport vehicles involved in personal injury accidents, 47.5% were involved in accidents in built-up areas (and thus predominantly at speeds below 50km/h), 27.1% in accidents on rural roads (outside built-up areas excluding motorways) and 25.4% in accidents on motorways.</w:t>
      </w:r>
    </w:p>
    <w:p w14:paraId="3FEBCA03" w14:textId="77777777" w:rsidR="000848AF" w:rsidRDefault="000848AF" w:rsidP="000848AF">
      <w:pPr>
        <w:pStyle w:val="SingleTxtG"/>
      </w:pPr>
      <w:r>
        <w:t>Only 6% of all HDVs accidents are solo accidents. Overall, 18% of accidents are errors during "turning, reversing, entering and starting" - and thus predominantly at speeds &lt;20km/h. Overall, it can be said that a significant proportion of accidents involving HDVs occur in the speed range below 50 km/h.</w:t>
      </w:r>
    </w:p>
    <w:p w14:paraId="53B1B0A7" w14:textId="77777777" w:rsidR="000848AF" w:rsidRDefault="000848AF" w:rsidP="000848AF">
      <w:pPr>
        <w:pStyle w:val="SingleTxtG"/>
      </w:pPr>
      <w:r>
        <w:t xml:space="preserve">Looking at those accidents involving personal injury, at 32%, the proportion of accidents involving VRUs (pedestrian, cyclists, motorcyclist) is significantly high. Small lorries, i.e. vehicles up to 7.5t, are particularly often the cause of traffic accidents. In addition, the consequences of accidents are often much more severe for the opponents of HDVs than in other accident constellations. </w:t>
      </w:r>
    </w:p>
    <w:p w14:paraId="62D2CF28" w14:textId="77777777" w:rsidR="000848AF" w:rsidRDefault="000848AF" w:rsidP="000848AF">
      <w:pPr>
        <w:pStyle w:val="SingleTxtG"/>
      </w:pPr>
      <w:r>
        <w:t>In consequence, we believe that an improvement in road safety can only be achieved if road accidents involving VRUs are better understood and appropriate countermeasures are derived.</w:t>
      </w:r>
    </w:p>
    <w:p w14:paraId="4C621F3A" w14:textId="77777777" w:rsidR="000848AF" w:rsidRDefault="000848AF" w:rsidP="000848AF">
      <w:pPr>
        <w:pStyle w:val="SingleTxtG"/>
      </w:pPr>
      <w:r>
        <w:t>The current design of the EDR-HDV virtually precludes low speed accidents from being recorded. Also due to the lack of suitable triggers, accidents/collisions with VRUs will hardly be on record. In consequence about one third of all relevant traffic accidents will categorically not be recorded.</w:t>
      </w:r>
    </w:p>
    <w:p w14:paraId="6B54CAE9" w14:textId="77777777" w:rsidR="000848AF" w:rsidRDefault="000848AF" w:rsidP="000848AF">
      <w:pPr>
        <w:pStyle w:val="SingleTxtG"/>
      </w:pPr>
      <w:r>
        <w:t>Suitable triggers have been developed in the IWG. (e.g. "last-stop triggers"), but were not accepted by all contracting parties. This also applied to compromise proposals.</w:t>
      </w:r>
    </w:p>
    <w:p w14:paraId="2EF93A7E" w14:textId="12768BAA" w:rsidR="000848AF" w:rsidRDefault="000848AF" w:rsidP="000848AF">
      <w:pPr>
        <w:pStyle w:val="SingleTxtG"/>
      </w:pPr>
      <w:r>
        <w:t>The decisive technical argument for rejection has been an increased false positive rate or a lack of experience and market penetration of the necessary systems. We consider the</w:t>
      </w:r>
      <w:r w:rsidR="00421BD7">
        <w:t>s</w:t>
      </w:r>
      <w:r>
        <w:t>e are not effective arguments with regard to the purpose and functioning of the EDR. If certain systems are not available on the vehicle side, then the corresponding data need not be stored. Recorded but irrelevant data will also be overwritten. And transitional periods can simplify the introduction.</w:t>
      </w:r>
    </w:p>
    <w:p w14:paraId="2A45B257" w14:textId="77777777" w:rsidR="000848AF" w:rsidRDefault="000848AF" w:rsidP="000848AF">
      <w:pPr>
        <w:pStyle w:val="SingleTxtG"/>
      </w:pPr>
      <w:r>
        <w:lastRenderedPageBreak/>
        <w:t>Necessary knowledge and experience on traffic accidents involving heavy duty vehicles can only be gathered if corresponding data is available.</w:t>
      </w:r>
    </w:p>
    <w:p w14:paraId="4ED780C8" w14:textId="77777777" w:rsidR="000848AF" w:rsidRDefault="000848AF" w:rsidP="000848AF">
      <w:pPr>
        <w:pStyle w:val="SingleTxtG"/>
      </w:pPr>
      <w:r>
        <w:t>One of the tasks of the IWG EDR/DSSAD is currently to develop a guidance document on the EDR-HDV that will be approved by the 58 and the 98 agreement contracting parties. A derived UN-Regulation has to follow this guidance document in terms of content, with the exception of editorial or process-derived changes compared to the establishment of a GTR.</w:t>
      </w:r>
    </w:p>
    <w:p w14:paraId="3C7455F1" w14:textId="77777777" w:rsidR="000848AF" w:rsidRDefault="000848AF" w:rsidP="000848AF">
      <w:pPr>
        <w:pStyle w:val="SingleTxtG"/>
      </w:pPr>
      <w:r>
        <w:t>To fulfil the purpose of an EDR, this guidance document should be further developed. We propose that this be a collection document for globally agreed EDR triggers and data elements, as well as those discussed and considered to be purposeful, at least in some regions of the world - a list to choose from. Suitable content can be extracted in subsequent steps for the creation of technical regulations. The inclusion of additional triggers also does not in principle contradict the idea of harmonisation. On the contrary, a disbalance occurs when a wide variety of data storage forms are used locally. Currently, this seems to have the consequence that certain contents are not available in the EDR. Such an EDR is not sufficient for us to increase road safety.</w:t>
      </w:r>
    </w:p>
    <w:p w14:paraId="5611DDDC" w14:textId="77777777" w:rsidR="000848AF" w:rsidRDefault="000848AF" w:rsidP="000848AF">
      <w:pPr>
        <w:pStyle w:val="SingleTxtG"/>
      </w:pPr>
      <w:r>
        <w:t>The data from an EDR-HDV will form the basis for future traffic safety research. Especially for the protection of VRUs. Here, we still see a clear need for optimization.</w:t>
      </w:r>
    </w:p>
    <w:p w14:paraId="06791C90" w14:textId="77777777" w:rsidR="000848AF" w:rsidRDefault="000848AF" w:rsidP="000848AF">
      <w:pPr>
        <w:pStyle w:val="SingleTxtG"/>
      </w:pPr>
    </w:p>
    <w:p w14:paraId="3D9EEF9D" w14:textId="3DD9789D" w:rsidR="00DA42EC" w:rsidRDefault="00093C25" w:rsidP="00093C25">
      <w:pPr>
        <w:spacing w:before="240"/>
        <w:jc w:val="center"/>
        <w:rPr>
          <w:sz w:val="24"/>
          <w:szCs w:val="24"/>
          <w:u w:val="single"/>
        </w:rPr>
      </w:pPr>
      <w:r w:rsidRPr="005973A3">
        <w:rPr>
          <w:sz w:val="24"/>
          <w:szCs w:val="24"/>
          <w:u w:val="single"/>
        </w:rPr>
        <w:tab/>
      </w:r>
      <w:r w:rsidRPr="005973A3">
        <w:rPr>
          <w:sz w:val="24"/>
          <w:szCs w:val="24"/>
          <w:u w:val="single"/>
        </w:rPr>
        <w:tab/>
      </w:r>
      <w:r w:rsidRPr="005973A3">
        <w:rPr>
          <w:sz w:val="24"/>
          <w:szCs w:val="24"/>
          <w:u w:val="single"/>
        </w:rPr>
        <w:tab/>
      </w:r>
    </w:p>
    <w:p w14:paraId="1175F42C" w14:textId="75250557" w:rsidR="00AA0B2E" w:rsidRDefault="00AA0B2E" w:rsidP="00093C25">
      <w:pPr>
        <w:spacing w:before="240"/>
        <w:jc w:val="center"/>
        <w:rPr>
          <w:sz w:val="24"/>
          <w:szCs w:val="24"/>
          <w:u w:val="single"/>
        </w:rPr>
      </w:pPr>
    </w:p>
    <w:sectPr w:rsidR="00AA0B2E" w:rsidSect="002312DA">
      <w:headerReference w:type="default" r:id="rId11"/>
      <w:footerReference w:type="even" r:id="rId12"/>
      <w:footerReference w:type="default" r:id="rId13"/>
      <w:headerReference w:type="first" r:id="rId14"/>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F53D" w14:textId="77777777" w:rsidR="00311838" w:rsidRDefault="00311838" w:rsidP="00203C11">
      <w:pPr>
        <w:spacing w:line="240" w:lineRule="auto"/>
      </w:pPr>
      <w:r>
        <w:separator/>
      </w:r>
    </w:p>
  </w:endnote>
  <w:endnote w:type="continuationSeparator" w:id="0">
    <w:p w14:paraId="1E46A57D" w14:textId="77777777" w:rsidR="00311838" w:rsidRDefault="00311838" w:rsidP="00203C11">
      <w:pPr>
        <w:spacing w:line="240" w:lineRule="auto"/>
      </w:pPr>
      <w:r>
        <w:continuationSeparator/>
      </w:r>
    </w:p>
  </w:endnote>
  <w:endnote w:type="continuationNotice" w:id="1">
    <w:p w14:paraId="2B0D986B" w14:textId="77777777" w:rsidR="00311838" w:rsidRDefault="003118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23E218F4"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50B94">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46098D95"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50B94">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C825" w14:textId="77777777" w:rsidR="00311838" w:rsidRPr="00E378AC" w:rsidRDefault="00311838" w:rsidP="00E378AC">
      <w:pPr>
        <w:tabs>
          <w:tab w:val="right" w:pos="2155"/>
        </w:tabs>
        <w:spacing w:after="80"/>
        <w:ind w:left="680"/>
        <w:rPr>
          <w:u w:val="single"/>
        </w:rPr>
      </w:pPr>
      <w:r>
        <w:rPr>
          <w:u w:val="single"/>
        </w:rPr>
        <w:tab/>
      </w:r>
    </w:p>
  </w:footnote>
  <w:footnote w:type="continuationSeparator" w:id="0">
    <w:p w14:paraId="4BA87F4E" w14:textId="77777777" w:rsidR="00311838" w:rsidRDefault="00311838">
      <w:r>
        <w:continuationSeparator/>
      </w:r>
    </w:p>
  </w:footnote>
  <w:footnote w:type="continuationNotice" w:id="1">
    <w:p w14:paraId="23BF5D96" w14:textId="77777777" w:rsidR="00311838" w:rsidRDefault="003118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01CED05E" w:rsidR="00606343" w:rsidRPr="00477F7C" w:rsidRDefault="00606343" w:rsidP="009523F1">
    <w:pPr>
      <w:pStyle w:val="Header"/>
      <w:jc w:val="right"/>
      <w:rPr>
        <w:strik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DB6FF9" w:rsidRPr="007B2734" w14:paraId="15EACDE5" w14:textId="77777777" w:rsidTr="009019DC">
      <w:tc>
        <w:tcPr>
          <w:tcW w:w="5529" w:type="dxa"/>
          <w:hideMark/>
        </w:tcPr>
        <w:p w14:paraId="72CB5D6D" w14:textId="2B8DCF60" w:rsidR="00DB6FF9" w:rsidRDefault="00554FB8" w:rsidP="00DB6FF9">
          <w:pPr>
            <w:tabs>
              <w:tab w:val="center" w:pos="4320"/>
              <w:tab w:val="right" w:pos="8640"/>
            </w:tabs>
            <w:spacing w:line="240" w:lineRule="auto"/>
            <w:rPr>
              <w:rFonts w:eastAsia="Times New Roman"/>
            </w:rPr>
          </w:pPr>
          <w:r w:rsidRPr="00554FB8">
            <w:rPr>
              <w:rFonts w:eastAsia="Times New Roman"/>
            </w:rPr>
            <w:t xml:space="preserve">Submitted by the expert from </w:t>
          </w:r>
          <w:r w:rsidR="002C40EA">
            <w:rPr>
              <w:rFonts w:eastAsia="Times New Roman"/>
            </w:rPr>
            <w:t>Germany</w:t>
          </w:r>
          <w:r>
            <w:rPr>
              <w:rFonts w:eastAsia="Times New Roman"/>
            </w:rPr>
            <w:t xml:space="preserve"> </w:t>
          </w:r>
        </w:p>
      </w:tc>
      <w:tc>
        <w:tcPr>
          <w:tcW w:w="4394" w:type="dxa"/>
          <w:hideMark/>
        </w:tcPr>
        <w:p w14:paraId="7ECC155B" w14:textId="5FC4298A" w:rsidR="00DB6FF9" w:rsidRDefault="00DB6FF9" w:rsidP="00DB6FF9">
          <w:pPr>
            <w:spacing w:line="240" w:lineRule="auto"/>
            <w:ind w:left="497"/>
            <w:jc w:val="right"/>
            <w:rPr>
              <w:rFonts w:eastAsia="Times New Roman"/>
            </w:rPr>
          </w:pPr>
          <w:r>
            <w:rPr>
              <w:rFonts w:eastAsia="Times New Roman"/>
            </w:rPr>
            <w:t>Informal document No. GRSG-12</w:t>
          </w:r>
          <w:r w:rsidR="00327199">
            <w:rPr>
              <w:rFonts w:eastAsia="Times New Roman"/>
            </w:rPr>
            <w:t>5</w:t>
          </w:r>
          <w:r>
            <w:rPr>
              <w:rFonts w:eastAsia="Times New Roman"/>
            </w:rPr>
            <w:t>-</w:t>
          </w:r>
          <w:r w:rsidR="00A02DB6">
            <w:rPr>
              <w:rFonts w:eastAsia="Times New Roman"/>
            </w:rPr>
            <w:t>26</w:t>
          </w:r>
        </w:p>
        <w:p w14:paraId="765C4083" w14:textId="741A083D" w:rsidR="00DB6FF9" w:rsidRDefault="00DB6FF9" w:rsidP="00DB6FF9">
          <w:pPr>
            <w:spacing w:line="240" w:lineRule="auto"/>
            <w:ind w:left="497"/>
            <w:jc w:val="right"/>
            <w:rPr>
              <w:rFonts w:eastAsia="Times New Roman"/>
            </w:rPr>
          </w:pPr>
          <w:r>
            <w:rPr>
              <w:rFonts w:eastAsia="Times New Roman"/>
            </w:rPr>
            <w:t>(12</w:t>
          </w:r>
          <w:r w:rsidR="00327199">
            <w:rPr>
              <w:rFonts w:eastAsia="Times New Roman"/>
            </w:rPr>
            <w:t>5</w:t>
          </w:r>
          <w:r>
            <w:rPr>
              <w:rFonts w:eastAsia="Times New Roman"/>
            </w:rPr>
            <w:t xml:space="preserve"> GRSG, </w:t>
          </w:r>
          <w:r w:rsidR="00327199">
            <w:rPr>
              <w:rFonts w:eastAsia="Times New Roman"/>
            </w:rPr>
            <w:t>27-31 March</w:t>
          </w:r>
          <w:r>
            <w:rPr>
              <w:rFonts w:eastAsia="Times New Roman"/>
            </w:rPr>
            <w:t xml:space="preserve"> 202</w:t>
          </w:r>
          <w:r w:rsidR="00327199">
            <w:rPr>
              <w:rFonts w:eastAsia="Times New Roman"/>
            </w:rPr>
            <w:t>3</w:t>
          </w:r>
        </w:p>
        <w:p w14:paraId="4C23D68D" w14:textId="7CD35165" w:rsidR="00DB6FF9" w:rsidRDefault="00DB6FF9" w:rsidP="00DB6FF9">
          <w:pPr>
            <w:spacing w:line="240" w:lineRule="auto"/>
            <w:ind w:left="497"/>
            <w:jc w:val="right"/>
            <w:rPr>
              <w:rFonts w:eastAsia="Times New Roman"/>
            </w:rPr>
          </w:pPr>
          <w:r>
            <w:rPr>
              <w:rFonts w:eastAsia="Times New Roman"/>
            </w:rPr>
            <w:t xml:space="preserve">Agenda item </w:t>
          </w:r>
          <w:r w:rsidR="00327199">
            <w:rPr>
              <w:rFonts w:eastAsia="Times New Roman"/>
            </w:rPr>
            <w:t>10</w:t>
          </w:r>
          <w:r w:rsidR="000848AF">
            <w:rPr>
              <w:rFonts w:eastAsia="Times New Roman"/>
            </w:rPr>
            <w:t xml:space="preserve"> (a) and </w:t>
          </w:r>
          <w:r w:rsidR="00EC2884">
            <w:rPr>
              <w:rFonts w:eastAsia="Times New Roman"/>
            </w:rPr>
            <w:t>(</w:t>
          </w:r>
          <w:r w:rsidR="002C40EA">
            <w:rPr>
              <w:rFonts w:eastAsia="Times New Roman"/>
            </w:rPr>
            <w:t>c</w:t>
          </w:r>
          <w:r w:rsidR="00EC2884">
            <w:rPr>
              <w:rFonts w:eastAsia="Times New Roman"/>
            </w:rPr>
            <w:t>)</w:t>
          </w:r>
          <w:r w:rsidR="004334D2">
            <w:rPr>
              <w:rFonts w:eastAsia="Times New Roman"/>
            </w:rPr>
            <w:t>)</w:t>
          </w:r>
          <w:r>
            <w:rPr>
              <w:rFonts w:eastAsia="Times New Roman"/>
            </w:rPr>
            <w:t>.</w:t>
          </w:r>
        </w:p>
      </w:tc>
    </w:tr>
  </w:tbl>
  <w:p w14:paraId="37DB4AA5" w14:textId="77777777" w:rsidR="00DB6FF9" w:rsidRDefault="00DB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93083"/>
    <w:multiLevelType w:val="hybridMultilevel"/>
    <w:tmpl w:val="F4CA9A90"/>
    <w:lvl w:ilvl="0" w:tplc="05EA3F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7"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3"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4"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5"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6" w15:restartNumberingAfterBreak="0">
    <w:nsid w:val="5C6F63D0"/>
    <w:multiLevelType w:val="hybridMultilevel"/>
    <w:tmpl w:val="C1DA7BA8"/>
    <w:lvl w:ilvl="0" w:tplc="040C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82A56A6"/>
    <w:multiLevelType w:val="hybridMultilevel"/>
    <w:tmpl w:val="E1C6ED54"/>
    <w:lvl w:ilvl="0" w:tplc="93BAB686">
      <w:start w:val="1"/>
      <w:numFmt w:val="lowerLetter"/>
      <w:lvlText w:val="(%1)"/>
      <w:lvlJc w:val="left"/>
      <w:pPr>
        <w:ind w:left="2833" w:hanging="564"/>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29"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30"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16cid:durableId="920872375">
    <w:abstractNumId w:val="9"/>
  </w:num>
  <w:num w:numId="2" w16cid:durableId="538669026">
    <w:abstractNumId w:val="7"/>
  </w:num>
  <w:num w:numId="3" w16cid:durableId="30424763">
    <w:abstractNumId w:val="6"/>
  </w:num>
  <w:num w:numId="4" w16cid:durableId="745494937">
    <w:abstractNumId w:val="5"/>
  </w:num>
  <w:num w:numId="5" w16cid:durableId="1652829103">
    <w:abstractNumId w:val="4"/>
  </w:num>
  <w:num w:numId="6" w16cid:durableId="52774085">
    <w:abstractNumId w:val="8"/>
  </w:num>
  <w:num w:numId="7" w16cid:durableId="1310330629">
    <w:abstractNumId w:val="3"/>
  </w:num>
  <w:num w:numId="8" w16cid:durableId="1031957283">
    <w:abstractNumId w:val="2"/>
  </w:num>
  <w:num w:numId="9" w16cid:durableId="946892334">
    <w:abstractNumId w:val="1"/>
  </w:num>
  <w:num w:numId="10" w16cid:durableId="381173851">
    <w:abstractNumId w:val="0"/>
  </w:num>
  <w:num w:numId="11" w16cid:durableId="1899316472">
    <w:abstractNumId w:val="9"/>
  </w:num>
  <w:num w:numId="12" w16cid:durableId="1537158606">
    <w:abstractNumId w:val="7"/>
  </w:num>
  <w:num w:numId="13" w16cid:durableId="610934853">
    <w:abstractNumId w:val="6"/>
  </w:num>
  <w:num w:numId="14" w16cid:durableId="981495935">
    <w:abstractNumId w:val="5"/>
  </w:num>
  <w:num w:numId="15" w16cid:durableId="2100444790">
    <w:abstractNumId w:val="4"/>
  </w:num>
  <w:num w:numId="16" w16cid:durableId="1956129544">
    <w:abstractNumId w:val="8"/>
  </w:num>
  <w:num w:numId="17" w16cid:durableId="460419113">
    <w:abstractNumId w:val="3"/>
  </w:num>
  <w:num w:numId="18" w16cid:durableId="242377049">
    <w:abstractNumId w:val="2"/>
  </w:num>
  <w:num w:numId="19" w16cid:durableId="2058238027">
    <w:abstractNumId w:val="1"/>
  </w:num>
  <w:num w:numId="20" w16cid:durableId="1819805718">
    <w:abstractNumId w:val="0"/>
  </w:num>
  <w:num w:numId="21" w16cid:durableId="351229167">
    <w:abstractNumId w:val="13"/>
  </w:num>
  <w:num w:numId="22" w16cid:durableId="1096098517">
    <w:abstractNumId w:val="33"/>
  </w:num>
  <w:num w:numId="23" w16cid:durableId="1544948766">
    <w:abstractNumId w:val="21"/>
  </w:num>
  <w:num w:numId="24" w16cid:durableId="1434592877">
    <w:abstractNumId w:val="32"/>
  </w:num>
  <w:num w:numId="25" w16cid:durableId="1749694382">
    <w:abstractNumId w:val="31"/>
  </w:num>
  <w:num w:numId="26" w16cid:durableId="956372634">
    <w:abstractNumId w:val="17"/>
  </w:num>
  <w:num w:numId="27" w16cid:durableId="151676050">
    <w:abstractNumId w:val="27"/>
  </w:num>
  <w:num w:numId="28" w16cid:durableId="454564907">
    <w:abstractNumId w:val="19"/>
  </w:num>
  <w:num w:numId="29" w16cid:durableId="1047216784">
    <w:abstractNumId w:val="23"/>
  </w:num>
  <w:num w:numId="30" w16cid:durableId="1604725729">
    <w:abstractNumId w:val="18"/>
  </w:num>
  <w:num w:numId="31" w16cid:durableId="383650041">
    <w:abstractNumId w:val="24"/>
  </w:num>
  <w:num w:numId="32" w16cid:durableId="1984581311">
    <w:abstractNumId w:val="10"/>
  </w:num>
  <w:num w:numId="33" w16cid:durableId="767505064">
    <w:abstractNumId w:val="16"/>
  </w:num>
  <w:num w:numId="34" w16cid:durableId="585963235">
    <w:abstractNumId w:val="25"/>
  </w:num>
  <w:num w:numId="35" w16cid:durableId="994603284">
    <w:abstractNumId w:val="29"/>
  </w:num>
  <w:num w:numId="36" w16cid:durableId="2069914910">
    <w:abstractNumId w:val="14"/>
  </w:num>
  <w:num w:numId="37" w16cid:durableId="1675297854">
    <w:abstractNumId w:val="30"/>
  </w:num>
  <w:num w:numId="38" w16cid:durableId="1111435415">
    <w:abstractNumId w:val="22"/>
  </w:num>
  <w:num w:numId="39" w16cid:durableId="2130853448">
    <w:abstractNumId w:val="11"/>
  </w:num>
  <w:num w:numId="40" w16cid:durableId="1582836393">
    <w:abstractNumId w:val="15"/>
  </w:num>
  <w:num w:numId="41" w16cid:durableId="669407883">
    <w:abstractNumId w:val="20"/>
  </w:num>
  <w:num w:numId="42" w16cid:durableId="1176965441">
    <w:abstractNumId w:val="28"/>
  </w:num>
  <w:num w:numId="43" w16cid:durableId="1798796224">
    <w:abstractNumId w:val="26"/>
  </w:num>
  <w:num w:numId="44" w16cid:durableId="15906921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1B94"/>
    <w:rsid w:val="0000476F"/>
    <w:rsid w:val="000107D8"/>
    <w:rsid w:val="00025CF8"/>
    <w:rsid w:val="000313AB"/>
    <w:rsid w:val="000350BE"/>
    <w:rsid w:val="00044292"/>
    <w:rsid w:val="00050805"/>
    <w:rsid w:val="000509DD"/>
    <w:rsid w:val="00053B4D"/>
    <w:rsid w:val="00055FA8"/>
    <w:rsid w:val="00056FD9"/>
    <w:rsid w:val="0005715A"/>
    <w:rsid w:val="00066E26"/>
    <w:rsid w:val="00071608"/>
    <w:rsid w:val="0007628C"/>
    <w:rsid w:val="000848AF"/>
    <w:rsid w:val="0008620F"/>
    <w:rsid w:val="00093C25"/>
    <w:rsid w:val="000977DF"/>
    <w:rsid w:val="000A219B"/>
    <w:rsid w:val="000B7E36"/>
    <w:rsid w:val="000C356D"/>
    <w:rsid w:val="000C721D"/>
    <w:rsid w:val="000C75E6"/>
    <w:rsid w:val="000D367D"/>
    <w:rsid w:val="000D5239"/>
    <w:rsid w:val="000D7399"/>
    <w:rsid w:val="000E12D3"/>
    <w:rsid w:val="000E252E"/>
    <w:rsid w:val="000F390A"/>
    <w:rsid w:val="00101BEF"/>
    <w:rsid w:val="00104600"/>
    <w:rsid w:val="0011327F"/>
    <w:rsid w:val="00115362"/>
    <w:rsid w:val="00120BF2"/>
    <w:rsid w:val="001309F4"/>
    <w:rsid w:val="001508CE"/>
    <w:rsid w:val="00151208"/>
    <w:rsid w:val="00156754"/>
    <w:rsid w:val="00161F22"/>
    <w:rsid w:val="00162DC9"/>
    <w:rsid w:val="00163E92"/>
    <w:rsid w:val="0016717E"/>
    <w:rsid w:val="001702B5"/>
    <w:rsid w:val="001708E2"/>
    <w:rsid w:val="0017097E"/>
    <w:rsid w:val="00170E8B"/>
    <w:rsid w:val="00174CAC"/>
    <w:rsid w:val="001776B8"/>
    <w:rsid w:val="00186822"/>
    <w:rsid w:val="00190BEE"/>
    <w:rsid w:val="00192C4B"/>
    <w:rsid w:val="00197A14"/>
    <w:rsid w:val="00197E0D"/>
    <w:rsid w:val="001A3756"/>
    <w:rsid w:val="001B5B00"/>
    <w:rsid w:val="001C03BD"/>
    <w:rsid w:val="001C1580"/>
    <w:rsid w:val="001C3ACD"/>
    <w:rsid w:val="001C3BB8"/>
    <w:rsid w:val="001D0DAC"/>
    <w:rsid w:val="001D6C5C"/>
    <w:rsid w:val="001E50C1"/>
    <w:rsid w:val="001E6F5C"/>
    <w:rsid w:val="001F067D"/>
    <w:rsid w:val="001F1DCE"/>
    <w:rsid w:val="001F27DC"/>
    <w:rsid w:val="001F3F6A"/>
    <w:rsid w:val="001F6463"/>
    <w:rsid w:val="002002E8"/>
    <w:rsid w:val="00203BAB"/>
    <w:rsid w:val="00203C11"/>
    <w:rsid w:val="00213FC5"/>
    <w:rsid w:val="00214421"/>
    <w:rsid w:val="00216BF2"/>
    <w:rsid w:val="00222D9F"/>
    <w:rsid w:val="00223E27"/>
    <w:rsid w:val="002312DA"/>
    <w:rsid w:val="002333B8"/>
    <w:rsid w:val="002355C0"/>
    <w:rsid w:val="00242021"/>
    <w:rsid w:val="002474FC"/>
    <w:rsid w:val="00253068"/>
    <w:rsid w:val="00254D5C"/>
    <w:rsid w:val="00255851"/>
    <w:rsid w:val="00255A96"/>
    <w:rsid w:val="0026241E"/>
    <w:rsid w:val="00265779"/>
    <w:rsid w:val="00265F33"/>
    <w:rsid w:val="0027542D"/>
    <w:rsid w:val="00277E64"/>
    <w:rsid w:val="00284571"/>
    <w:rsid w:val="002879CA"/>
    <w:rsid w:val="002B3BEA"/>
    <w:rsid w:val="002B4811"/>
    <w:rsid w:val="002B623F"/>
    <w:rsid w:val="002C0C47"/>
    <w:rsid w:val="002C40EA"/>
    <w:rsid w:val="002C527D"/>
    <w:rsid w:val="002C6AE3"/>
    <w:rsid w:val="002C6F37"/>
    <w:rsid w:val="002D24E5"/>
    <w:rsid w:val="002E1A58"/>
    <w:rsid w:val="002E3A07"/>
    <w:rsid w:val="002E5C78"/>
    <w:rsid w:val="002E6B62"/>
    <w:rsid w:val="002F14AA"/>
    <w:rsid w:val="00302B09"/>
    <w:rsid w:val="0031013E"/>
    <w:rsid w:val="00311838"/>
    <w:rsid w:val="00323083"/>
    <w:rsid w:val="00326F61"/>
    <w:rsid w:val="00327199"/>
    <w:rsid w:val="003303C9"/>
    <w:rsid w:val="00333AFC"/>
    <w:rsid w:val="00340A6E"/>
    <w:rsid w:val="00343F08"/>
    <w:rsid w:val="0034700A"/>
    <w:rsid w:val="00351879"/>
    <w:rsid w:val="00362A08"/>
    <w:rsid w:val="00363633"/>
    <w:rsid w:val="00363C7A"/>
    <w:rsid w:val="0036548C"/>
    <w:rsid w:val="003668EB"/>
    <w:rsid w:val="0038232D"/>
    <w:rsid w:val="003828E4"/>
    <w:rsid w:val="00386259"/>
    <w:rsid w:val="00390014"/>
    <w:rsid w:val="0039598B"/>
    <w:rsid w:val="00395AF4"/>
    <w:rsid w:val="00395E28"/>
    <w:rsid w:val="00397754"/>
    <w:rsid w:val="003A4A40"/>
    <w:rsid w:val="003C36F4"/>
    <w:rsid w:val="003C567E"/>
    <w:rsid w:val="003C5CB5"/>
    <w:rsid w:val="003C7D56"/>
    <w:rsid w:val="003D4CFE"/>
    <w:rsid w:val="003E46C0"/>
    <w:rsid w:val="003E65AD"/>
    <w:rsid w:val="003F6A1F"/>
    <w:rsid w:val="003F74FE"/>
    <w:rsid w:val="0040340A"/>
    <w:rsid w:val="00407F56"/>
    <w:rsid w:val="00411DA6"/>
    <w:rsid w:val="0041465B"/>
    <w:rsid w:val="00416C08"/>
    <w:rsid w:val="00421BD7"/>
    <w:rsid w:val="00430781"/>
    <w:rsid w:val="00432AB5"/>
    <w:rsid w:val="004334D2"/>
    <w:rsid w:val="004356BD"/>
    <w:rsid w:val="00436A7E"/>
    <w:rsid w:val="00443D8B"/>
    <w:rsid w:val="00454729"/>
    <w:rsid w:val="00461D8F"/>
    <w:rsid w:val="004715C9"/>
    <w:rsid w:val="00477F7C"/>
    <w:rsid w:val="004866EB"/>
    <w:rsid w:val="004A29E9"/>
    <w:rsid w:val="004B1181"/>
    <w:rsid w:val="004B4C14"/>
    <w:rsid w:val="004C01D3"/>
    <w:rsid w:val="004C7EC4"/>
    <w:rsid w:val="004D0240"/>
    <w:rsid w:val="004D0435"/>
    <w:rsid w:val="004D133E"/>
    <w:rsid w:val="004D3868"/>
    <w:rsid w:val="004D3A5F"/>
    <w:rsid w:val="004D4317"/>
    <w:rsid w:val="004D560F"/>
    <w:rsid w:val="004D5823"/>
    <w:rsid w:val="004D5A4F"/>
    <w:rsid w:val="004E1C7E"/>
    <w:rsid w:val="004E39C6"/>
    <w:rsid w:val="004E652D"/>
    <w:rsid w:val="004F2445"/>
    <w:rsid w:val="00502847"/>
    <w:rsid w:val="00504ACC"/>
    <w:rsid w:val="005055BF"/>
    <w:rsid w:val="00505C75"/>
    <w:rsid w:val="005065E2"/>
    <w:rsid w:val="00507731"/>
    <w:rsid w:val="00511ED0"/>
    <w:rsid w:val="00516F85"/>
    <w:rsid w:val="005350D6"/>
    <w:rsid w:val="00540D96"/>
    <w:rsid w:val="00541169"/>
    <w:rsid w:val="00541748"/>
    <w:rsid w:val="00547077"/>
    <w:rsid w:val="00550B71"/>
    <w:rsid w:val="00554FB8"/>
    <w:rsid w:val="00567D32"/>
    <w:rsid w:val="0057039A"/>
    <w:rsid w:val="0057157D"/>
    <w:rsid w:val="005750C8"/>
    <w:rsid w:val="005762BC"/>
    <w:rsid w:val="00577F18"/>
    <w:rsid w:val="00592DED"/>
    <w:rsid w:val="0059330F"/>
    <w:rsid w:val="005973A3"/>
    <w:rsid w:val="005A393A"/>
    <w:rsid w:val="005A39FD"/>
    <w:rsid w:val="005B07E6"/>
    <w:rsid w:val="005B3593"/>
    <w:rsid w:val="005B3E3F"/>
    <w:rsid w:val="005B6C32"/>
    <w:rsid w:val="005C55E1"/>
    <w:rsid w:val="005D0420"/>
    <w:rsid w:val="005D0473"/>
    <w:rsid w:val="005D37CC"/>
    <w:rsid w:val="005D3C17"/>
    <w:rsid w:val="005D69EF"/>
    <w:rsid w:val="005F358D"/>
    <w:rsid w:val="005F3F70"/>
    <w:rsid w:val="005F4511"/>
    <w:rsid w:val="005F4DCB"/>
    <w:rsid w:val="006007D4"/>
    <w:rsid w:val="00602464"/>
    <w:rsid w:val="0060374F"/>
    <w:rsid w:val="00603B01"/>
    <w:rsid w:val="0060598C"/>
    <w:rsid w:val="00605F2E"/>
    <w:rsid w:val="00606343"/>
    <w:rsid w:val="00610341"/>
    <w:rsid w:val="0061314C"/>
    <w:rsid w:val="00616A64"/>
    <w:rsid w:val="0062604B"/>
    <w:rsid w:val="00627026"/>
    <w:rsid w:val="006321A9"/>
    <w:rsid w:val="00634B98"/>
    <w:rsid w:val="0064474D"/>
    <w:rsid w:val="0065651D"/>
    <w:rsid w:val="0068126D"/>
    <w:rsid w:val="006836B4"/>
    <w:rsid w:val="00686461"/>
    <w:rsid w:val="006A17B1"/>
    <w:rsid w:val="006A2B1F"/>
    <w:rsid w:val="006A37B9"/>
    <w:rsid w:val="006B40F3"/>
    <w:rsid w:val="006B5828"/>
    <w:rsid w:val="006C15FC"/>
    <w:rsid w:val="006C2F16"/>
    <w:rsid w:val="006D1252"/>
    <w:rsid w:val="006D3A81"/>
    <w:rsid w:val="006F13D9"/>
    <w:rsid w:val="006F2B2E"/>
    <w:rsid w:val="006F4C48"/>
    <w:rsid w:val="006F525D"/>
    <w:rsid w:val="006F6664"/>
    <w:rsid w:val="007021CC"/>
    <w:rsid w:val="00705242"/>
    <w:rsid w:val="007100F5"/>
    <w:rsid w:val="00717951"/>
    <w:rsid w:val="00717F9C"/>
    <w:rsid w:val="0072183C"/>
    <w:rsid w:val="007227F1"/>
    <w:rsid w:val="00723DD4"/>
    <w:rsid w:val="00741F61"/>
    <w:rsid w:val="0074607C"/>
    <w:rsid w:val="00750B94"/>
    <w:rsid w:val="00750D10"/>
    <w:rsid w:val="00750E06"/>
    <w:rsid w:val="007544F3"/>
    <w:rsid w:val="007747D1"/>
    <w:rsid w:val="00781FDD"/>
    <w:rsid w:val="0078308E"/>
    <w:rsid w:val="00785AC2"/>
    <w:rsid w:val="00797729"/>
    <w:rsid w:val="007A0900"/>
    <w:rsid w:val="007B4AD8"/>
    <w:rsid w:val="007B7B4A"/>
    <w:rsid w:val="007C2E38"/>
    <w:rsid w:val="007C5525"/>
    <w:rsid w:val="007C5EE4"/>
    <w:rsid w:val="007D1613"/>
    <w:rsid w:val="007D1EE3"/>
    <w:rsid w:val="007D3A93"/>
    <w:rsid w:val="007D4306"/>
    <w:rsid w:val="007D43EB"/>
    <w:rsid w:val="007D4B49"/>
    <w:rsid w:val="007D725D"/>
    <w:rsid w:val="007E05EA"/>
    <w:rsid w:val="007E6B7A"/>
    <w:rsid w:val="007F5CA4"/>
    <w:rsid w:val="007F68D2"/>
    <w:rsid w:val="008030EF"/>
    <w:rsid w:val="008058D9"/>
    <w:rsid w:val="00806DEA"/>
    <w:rsid w:val="00810A73"/>
    <w:rsid w:val="0081293A"/>
    <w:rsid w:val="00813236"/>
    <w:rsid w:val="0081366C"/>
    <w:rsid w:val="008162AE"/>
    <w:rsid w:val="0082103C"/>
    <w:rsid w:val="00827009"/>
    <w:rsid w:val="00831DAA"/>
    <w:rsid w:val="00840DF3"/>
    <w:rsid w:val="008424B3"/>
    <w:rsid w:val="0084718D"/>
    <w:rsid w:val="00851340"/>
    <w:rsid w:val="00852485"/>
    <w:rsid w:val="0085291D"/>
    <w:rsid w:val="00852CAE"/>
    <w:rsid w:val="00862068"/>
    <w:rsid w:val="00864117"/>
    <w:rsid w:val="008647A4"/>
    <w:rsid w:val="008664FB"/>
    <w:rsid w:val="00873DD3"/>
    <w:rsid w:val="00874127"/>
    <w:rsid w:val="00875329"/>
    <w:rsid w:val="00875CD1"/>
    <w:rsid w:val="00882765"/>
    <w:rsid w:val="00890C66"/>
    <w:rsid w:val="00891C12"/>
    <w:rsid w:val="00895B0C"/>
    <w:rsid w:val="0089676E"/>
    <w:rsid w:val="008A0611"/>
    <w:rsid w:val="008A4549"/>
    <w:rsid w:val="008B5987"/>
    <w:rsid w:val="008D28DC"/>
    <w:rsid w:val="008D35D2"/>
    <w:rsid w:val="008D4490"/>
    <w:rsid w:val="008D5A13"/>
    <w:rsid w:val="008E158E"/>
    <w:rsid w:val="008F083A"/>
    <w:rsid w:val="008F1276"/>
    <w:rsid w:val="008F3F56"/>
    <w:rsid w:val="00913619"/>
    <w:rsid w:val="00913BE1"/>
    <w:rsid w:val="00915571"/>
    <w:rsid w:val="00923BFE"/>
    <w:rsid w:val="0092617C"/>
    <w:rsid w:val="009265B6"/>
    <w:rsid w:val="00926B71"/>
    <w:rsid w:val="00933439"/>
    <w:rsid w:val="00940BF8"/>
    <w:rsid w:val="00941811"/>
    <w:rsid w:val="00942EB3"/>
    <w:rsid w:val="00944ACD"/>
    <w:rsid w:val="009523F1"/>
    <w:rsid w:val="00955848"/>
    <w:rsid w:val="009578D0"/>
    <w:rsid w:val="0097132E"/>
    <w:rsid w:val="00973A7E"/>
    <w:rsid w:val="00977511"/>
    <w:rsid w:val="009808A5"/>
    <w:rsid w:val="009A2543"/>
    <w:rsid w:val="009A4E96"/>
    <w:rsid w:val="009A6DCE"/>
    <w:rsid w:val="009B0B1C"/>
    <w:rsid w:val="009B1D25"/>
    <w:rsid w:val="009B279C"/>
    <w:rsid w:val="009B402E"/>
    <w:rsid w:val="009B4427"/>
    <w:rsid w:val="009B55B4"/>
    <w:rsid w:val="009B561E"/>
    <w:rsid w:val="009B6B25"/>
    <w:rsid w:val="009C2EAF"/>
    <w:rsid w:val="009C403A"/>
    <w:rsid w:val="009C5365"/>
    <w:rsid w:val="009C681F"/>
    <w:rsid w:val="009C74AF"/>
    <w:rsid w:val="009D0DA6"/>
    <w:rsid w:val="009E1190"/>
    <w:rsid w:val="009E646F"/>
    <w:rsid w:val="009E6A52"/>
    <w:rsid w:val="00A02DB6"/>
    <w:rsid w:val="00A04921"/>
    <w:rsid w:val="00A0523F"/>
    <w:rsid w:val="00A06F32"/>
    <w:rsid w:val="00A11034"/>
    <w:rsid w:val="00A1240F"/>
    <w:rsid w:val="00A13274"/>
    <w:rsid w:val="00A21BD6"/>
    <w:rsid w:val="00A2214E"/>
    <w:rsid w:val="00A240E8"/>
    <w:rsid w:val="00A30A47"/>
    <w:rsid w:val="00A31792"/>
    <w:rsid w:val="00A332BC"/>
    <w:rsid w:val="00A333A6"/>
    <w:rsid w:val="00A35240"/>
    <w:rsid w:val="00A40BF6"/>
    <w:rsid w:val="00A51B4C"/>
    <w:rsid w:val="00A540DB"/>
    <w:rsid w:val="00A5509C"/>
    <w:rsid w:val="00A7506B"/>
    <w:rsid w:val="00A82472"/>
    <w:rsid w:val="00A83E8D"/>
    <w:rsid w:val="00A968BD"/>
    <w:rsid w:val="00A97E47"/>
    <w:rsid w:val="00AA0B2E"/>
    <w:rsid w:val="00AA28F4"/>
    <w:rsid w:val="00AA6F27"/>
    <w:rsid w:val="00AA7959"/>
    <w:rsid w:val="00AB142A"/>
    <w:rsid w:val="00AC4428"/>
    <w:rsid w:val="00AD5209"/>
    <w:rsid w:val="00AD58C9"/>
    <w:rsid w:val="00AD7A91"/>
    <w:rsid w:val="00AE23A3"/>
    <w:rsid w:val="00AE439A"/>
    <w:rsid w:val="00AE6268"/>
    <w:rsid w:val="00AE6E78"/>
    <w:rsid w:val="00AF2C09"/>
    <w:rsid w:val="00AF54A0"/>
    <w:rsid w:val="00AF702D"/>
    <w:rsid w:val="00B00785"/>
    <w:rsid w:val="00B05AC8"/>
    <w:rsid w:val="00B10910"/>
    <w:rsid w:val="00B14772"/>
    <w:rsid w:val="00B22616"/>
    <w:rsid w:val="00B2720D"/>
    <w:rsid w:val="00B41ABE"/>
    <w:rsid w:val="00B477C3"/>
    <w:rsid w:val="00B47A63"/>
    <w:rsid w:val="00B54562"/>
    <w:rsid w:val="00B5691B"/>
    <w:rsid w:val="00B641B7"/>
    <w:rsid w:val="00B73C4E"/>
    <w:rsid w:val="00B82ED8"/>
    <w:rsid w:val="00B87A1D"/>
    <w:rsid w:val="00B9350C"/>
    <w:rsid w:val="00BA2AF9"/>
    <w:rsid w:val="00BA4071"/>
    <w:rsid w:val="00BA51DC"/>
    <w:rsid w:val="00BA5A6C"/>
    <w:rsid w:val="00BB3292"/>
    <w:rsid w:val="00BE257A"/>
    <w:rsid w:val="00BE40B1"/>
    <w:rsid w:val="00BE7A0C"/>
    <w:rsid w:val="00BF094B"/>
    <w:rsid w:val="00BF3520"/>
    <w:rsid w:val="00BF4FC4"/>
    <w:rsid w:val="00C0054A"/>
    <w:rsid w:val="00C026FB"/>
    <w:rsid w:val="00C04036"/>
    <w:rsid w:val="00C05EAD"/>
    <w:rsid w:val="00C06B5B"/>
    <w:rsid w:val="00C155CC"/>
    <w:rsid w:val="00C1580A"/>
    <w:rsid w:val="00C174CE"/>
    <w:rsid w:val="00C2516A"/>
    <w:rsid w:val="00C3082F"/>
    <w:rsid w:val="00C32DAD"/>
    <w:rsid w:val="00C3560A"/>
    <w:rsid w:val="00C41001"/>
    <w:rsid w:val="00C45436"/>
    <w:rsid w:val="00C539CE"/>
    <w:rsid w:val="00C57497"/>
    <w:rsid w:val="00C57DBD"/>
    <w:rsid w:val="00C61D52"/>
    <w:rsid w:val="00C72C55"/>
    <w:rsid w:val="00C74127"/>
    <w:rsid w:val="00C756B1"/>
    <w:rsid w:val="00C75BB4"/>
    <w:rsid w:val="00C765C1"/>
    <w:rsid w:val="00C77684"/>
    <w:rsid w:val="00C9028E"/>
    <w:rsid w:val="00C909FE"/>
    <w:rsid w:val="00C92457"/>
    <w:rsid w:val="00C93206"/>
    <w:rsid w:val="00C97203"/>
    <w:rsid w:val="00CA2168"/>
    <w:rsid w:val="00CA2779"/>
    <w:rsid w:val="00CA51E8"/>
    <w:rsid w:val="00CB3AC3"/>
    <w:rsid w:val="00CC1CE8"/>
    <w:rsid w:val="00CC6E4A"/>
    <w:rsid w:val="00CD1564"/>
    <w:rsid w:val="00CD29FA"/>
    <w:rsid w:val="00CD5859"/>
    <w:rsid w:val="00CF1449"/>
    <w:rsid w:val="00CF3016"/>
    <w:rsid w:val="00CF5AE2"/>
    <w:rsid w:val="00D01EAC"/>
    <w:rsid w:val="00D06F91"/>
    <w:rsid w:val="00D104D9"/>
    <w:rsid w:val="00D25ADF"/>
    <w:rsid w:val="00D26521"/>
    <w:rsid w:val="00D33AF6"/>
    <w:rsid w:val="00D429BE"/>
    <w:rsid w:val="00D55DBE"/>
    <w:rsid w:val="00D60A57"/>
    <w:rsid w:val="00D71217"/>
    <w:rsid w:val="00D7196E"/>
    <w:rsid w:val="00D747B3"/>
    <w:rsid w:val="00D7493A"/>
    <w:rsid w:val="00D82442"/>
    <w:rsid w:val="00D84DB0"/>
    <w:rsid w:val="00D87149"/>
    <w:rsid w:val="00D87F6B"/>
    <w:rsid w:val="00D9262A"/>
    <w:rsid w:val="00D93D8E"/>
    <w:rsid w:val="00D96DA8"/>
    <w:rsid w:val="00D97F19"/>
    <w:rsid w:val="00DA0B89"/>
    <w:rsid w:val="00DA42EC"/>
    <w:rsid w:val="00DB6FF9"/>
    <w:rsid w:val="00DB7045"/>
    <w:rsid w:val="00DB7AD1"/>
    <w:rsid w:val="00DB7DA0"/>
    <w:rsid w:val="00DC0D2A"/>
    <w:rsid w:val="00DC3EA1"/>
    <w:rsid w:val="00DC6A9F"/>
    <w:rsid w:val="00DD62BA"/>
    <w:rsid w:val="00DE2F50"/>
    <w:rsid w:val="00DF0E34"/>
    <w:rsid w:val="00DF5B41"/>
    <w:rsid w:val="00E00D92"/>
    <w:rsid w:val="00E01D68"/>
    <w:rsid w:val="00E12118"/>
    <w:rsid w:val="00E16F6A"/>
    <w:rsid w:val="00E20B39"/>
    <w:rsid w:val="00E25EA4"/>
    <w:rsid w:val="00E3089E"/>
    <w:rsid w:val="00E378AC"/>
    <w:rsid w:val="00E37B92"/>
    <w:rsid w:val="00E43A91"/>
    <w:rsid w:val="00E45FCE"/>
    <w:rsid w:val="00E61D73"/>
    <w:rsid w:val="00E63B7E"/>
    <w:rsid w:val="00E70DDA"/>
    <w:rsid w:val="00E71A27"/>
    <w:rsid w:val="00E807AB"/>
    <w:rsid w:val="00E8137B"/>
    <w:rsid w:val="00E866A5"/>
    <w:rsid w:val="00E87D2A"/>
    <w:rsid w:val="00E967C3"/>
    <w:rsid w:val="00E97B60"/>
    <w:rsid w:val="00EB2713"/>
    <w:rsid w:val="00EC2884"/>
    <w:rsid w:val="00EC6C24"/>
    <w:rsid w:val="00ED2A2A"/>
    <w:rsid w:val="00EE1470"/>
    <w:rsid w:val="00EE1CA3"/>
    <w:rsid w:val="00EE28BC"/>
    <w:rsid w:val="00EE415B"/>
    <w:rsid w:val="00EE57D4"/>
    <w:rsid w:val="00EF0E0D"/>
    <w:rsid w:val="00EF3BC6"/>
    <w:rsid w:val="00EF48EF"/>
    <w:rsid w:val="00F00C55"/>
    <w:rsid w:val="00F034FF"/>
    <w:rsid w:val="00F03DAB"/>
    <w:rsid w:val="00F102C5"/>
    <w:rsid w:val="00F118AA"/>
    <w:rsid w:val="00F15B64"/>
    <w:rsid w:val="00F15C8E"/>
    <w:rsid w:val="00F2434C"/>
    <w:rsid w:val="00F25052"/>
    <w:rsid w:val="00F254D5"/>
    <w:rsid w:val="00F26835"/>
    <w:rsid w:val="00F26FEC"/>
    <w:rsid w:val="00F41422"/>
    <w:rsid w:val="00F44D0B"/>
    <w:rsid w:val="00F46647"/>
    <w:rsid w:val="00F545D1"/>
    <w:rsid w:val="00F607C0"/>
    <w:rsid w:val="00F65F87"/>
    <w:rsid w:val="00F675A7"/>
    <w:rsid w:val="00F740FA"/>
    <w:rsid w:val="00F7502A"/>
    <w:rsid w:val="00F75616"/>
    <w:rsid w:val="00F77AD7"/>
    <w:rsid w:val="00F8597C"/>
    <w:rsid w:val="00F877FE"/>
    <w:rsid w:val="00F941A8"/>
    <w:rsid w:val="00F943EE"/>
    <w:rsid w:val="00FA07FE"/>
    <w:rsid w:val="00FB174B"/>
    <w:rsid w:val="00FB3167"/>
    <w:rsid w:val="00FB5C78"/>
    <w:rsid w:val="00FB6628"/>
    <w:rsid w:val="00FB6924"/>
    <w:rsid w:val="00FB7AEC"/>
    <w:rsid w:val="00FC5A7E"/>
    <w:rsid w:val="00FC653E"/>
    <w:rsid w:val="00FF6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E Fußnotentext Char,footnote text Char,Fußnotentext Ursprung Char,Footnote Text Char Char Char Char Char,Footnote Text1 Char,Footnote Text Char Char Char Char1,Fußnotentext Char1 Char,Fußn Char"/>
    <w:link w:val="FootnoteText"/>
    <w:qForma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476921648">
      <w:bodyDiv w:val="1"/>
      <w:marLeft w:val="0"/>
      <w:marRight w:val="0"/>
      <w:marTop w:val="0"/>
      <w:marBottom w:val="0"/>
      <w:divBdr>
        <w:top w:val="none" w:sz="0" w:space="0" w:color="auto"/>
        <w:left w:val="none" w:sz="0" w:space="0" w:color="auto"/>
        <w:bottom w:val="none" w:sz="0" w:space="0" w:color="auto"/>
        <w:right w:val="none" w:sz="0" w:space="0" w:color="auto"/>
      </w:divBdr>
    </w:div>
    <w:div w:id="522717813">
      <w:bodyDiv w:val="1"/>
      <w:marLeft w:val="0"/>
      <w:marRight w:val="0"/>
      <w:marTop w:val="0"/>
      <w:marBottom w:val="0"/>
      <w:divBdr>
        <w:top w:val="none" w:sz="0" w:space="0" w:color="auto"/>
        <w:left w:val="none" w:sz="0" w:space="0" w:color="auto"/>
        <w:bottom w:val="none" w:sz="0" w:space="0" w:color="auto"/>
        <w:right w:val="none" w:sz="0" w:space="0" w:color="auto"/>
      </w:divBdr>
    </w:div>
    <w:div w:id="869925583">
      <w:bodyDiv w:val="1"/>
      <w:marLeft w:val="0"/>
      <w:marRight w:val="0"/>
      <w:marTop w:val="0"/>
      <w:marBottom w:val="0"/>
      <w:divBdr>
        <w:top w:val="none" w:sz="0" w:space="0" w:color="auto"/>
        <w:left w:val="none" w:sz="0" w:space="0" w:color="auto"/>
        <w:bottom w:val="none" w:sz="0" w:space="0" w:color="auto"/>
        <w:right w:val="none" w:sz="0" w:space="0" w:color="auto"/>
      </w:divBdr>
    </w:div>
    <w:div w:id="1245644445">
      <w:bodyDiv w:val="1"/>
      <w:marLeft w:val="0"/>
      <w:marRight w:val="0"/>
      <w:marTop w:val="0"/>
      <w:marBottom w:val="0"/>
      <w:divBdr>
        <w:top w:val="none" w:sz="0" w:space="0" w:color="auto"/>
        <w:left w:val="none" w:sz="0" w:space="0" w:color="auto"/>
        <w:bottom w:val="none" w:sz="0" w:space="0" w:color="auto"/>
        <w:right w:val="none" w:sz="0" w:space="0" w:color="auto"/>
      </w:divBdr>
      <w:divsChild>
        <w:div w:id="1420903717">
          <w:marLeft w:val="1080"/>
          <w:marRight w:val="0"/>
          <w:marTop w:val="100"/>
          <w:marBottom w:val="0"/>
          <w:divBdr>
            <w:top w:val="none" w:sz="0" w:space="0" w:color="auto"/>
            <w:left w:val="none" w:sz="0" w:space="0" w:color="auto"/>
            <w:bottom w:val="none" w:sz="0" w:space="0" w:color="auto"/>
            <w:right w:val="none" w:sz="0" w:space="0" w:color="auto"/>
          </w:divBdr>
        </w:div>
      </w:divsChild>
    </w:div>
    <w:div w:id="1416318666">
      <w:bodyDiv w:val="1"/>
      <w:marLeft w:val="0"/>
      <w:marRight w:val="0"/>
      <w:marTop w:val="0"/>
      <w:marBottom w:val="0"/>
      <w:divBdr>
        <w:top w:val="none" w:sz="0" w:space="0" w:color="auto"/>
        <w:left w:val="none" w:sz="0" w:space="0" w:color="auto"/>
        <w:bottom w:val="none" w:sz="0" w:space="0" w:color="auto"/>
        <w:right w:val="none" w:sz="0" w:space="0" w:color="auto"/>
      </w:divBdr>
    </w:div>
    <w:div w:id="1487628570">
      <w:bodyDiv w:val="1"/>
      <w:marLeft w:val="0"/>
      <w:marRight w:val="0"/>
      <w:marTop w:val="0"/>
      <w:marBottom w:val="0"/>
      <w:divBdr>
        <w:top w:val="none" w:sz="0" w:space="0" w:color="auto"/>
        <w:left w:val="none" w:sz="0" w:space="0" w:color="auto"/>
        <w:bottom w:val="none" w:sz="0" w:space="0" w:color="auto"/>
        <w:right w:val="none" w:sz="0" w:space="0" w:color="auto"/>
      </w:divBdr>
    </w:div>
    <w:div w:id="1498765603">
      <w:bodyDiv w:val="1"/>
      <w:marLeft w:val="0"/>
      <w:marRight w:val="0"/>
      <w:marTop w:val="0"/>
      <w:marBottom w:val="0"/>
      <w:divBdr>
        <w:top w:val="none" w:sz="0" w:space="0" w:color="auto"/>
        <w:left w:val="none" w:sz="0" w:space="0" w:color="auto"/>
        <w:bottom w:val="none" w:sz="0" w:space="0" w:color="auto"/>
        <w:right w:val="none" w:sz="0" w:space="0" w:color="auto"/>
      </w:divBdr>
    </w:div>
    <w:div w:id="1582829900">
      <w:bodyDiv w:val="1"/>
      <w:marLeft w:val="0"/>
      <w:marRight w:val="0"/>
      <w:marTop w:val="0"/>
      <w:marBottom w:val="0"/>
      <w:divBdr>
        <w:top w:val="none" w:sz="0" w:space="0" w:color="auto"/>
        <w:left w:val="none" w:sz="0" w:space="0" w:color="auto"/>
        <w:bottom w:val="none" w:sz="0" w:space="0" w:color="auto"/>
        <w:right w:val="none" w:sz="0" w:space="0" w:color="auto"/>
      </w:divBdr>
    </w:div>
    <w:div w:id="1692875548">
      <w:bodyDiv w:val="1"/>
      <w:marLeft w:val="0"/>
      <w:marRight w:val="0"/>
      <w:marTop w:val="0"/>
      <w:marBottom w:val="0"/>
      <w:divBdr>
        <w:top w:val="none" w:sz="0" w:space="0" w:color="auto"/>
        <w:left w:val="none" w:sz="0" w:space="0" w:color="auto"/>
        <w:bottom w:val="none" w:sz="0" w:space="0" w:color="auto"/>
        <w:right w:val="none" w:sz="0" w:space="0" w:color="auto"/>
      </w:divBdr>
    </w:div>
    <w:div w:id="1735816678">
      <w:bodyDiv w:val="1"/>
      <w:marLeft w:val="0"/>
      <w:marRight w:val="0"/>
      <w:marTop w:val="0"/>
      <w:marBottom w:val="0"/>
      <w:divBdr>
        <w:top w:val="none" w:sz="0" w:space="0" w:color="auto"/>
        <w:left w:val="none" w:sz="0" w:space="0" w:color="auto"/>
        <w:bottom w:val="none" w:sz="0" w:space="0" w:color="auto"/>
        <w:right w:val="none" w:sz="0" w:space="0" w:color="auto"/>
      </w:divBdr>
    </w:div>
    <w:div w:id="1880049190">
      <w:bodyDiv w:val="1"/>
      <w:marLeft w:val="0"/>
      <w:marRight w:val="0"/>
      <w:marTop w:val="0"/>
      <w:marBottom w:val="0"/>
      <w:divBdr>
        <w:top w:val="none" w:sz="0" w:space="0" w:color="auto"/>
        <w:left w:val="none" w:sz="0" w:space="0" w:color="auto"/>
        <w:bottom w:val="none" w:sz="0" w:space="0" w:color="auto"/>
        <w:right w:val="none" w:sz="0" w:space="0" w:color="auto"/>
      </w:divBdr>
    </w:div>
    <w:div w:id="1948538061">
      <w:bodyDiv w:val="1"/>
      <w:marLeft w:val="0"/>
      <w:marRight w:val="0"/>
      <w:marTop w:val="0"/>
      <w:marBottom w:val="0"/>
      <w:divBdr>
        <w:top w:val="none" w:sz="0" w:space="0" w:color="auto"/>
        <w:left w:val="none" w:sz="0" w:space="0" w:color="auto"/>
        <w:bottom w:val="none" w:sz="0" w:space="0" w:color="auto"/>
        <w:right w:val="none" w:sz="0" w:space="0" w:color="auto"/>
      </w:divBdr>
    </w:div>
    <w:div w:id="2033724746">
      <w:bodyDiv w:val="1"/>
      <w:marLeft w:val="0"/>
      <w:marRight w:val="0"/>
      <w:marTop w:val="0"/>
      <w:marBottom w:val="0"/>
      <w:divBdr>
        <w:top w:val="none" w:sz="0" w:space="0" w:color="auto"/>
        <w:left w:val="none" w:sz="0" w:space="0" w:color="auto"/>
        <w:bottom w:val="none" w:sz="0" w:space="0" w:color="auto"/>
        <w:right w:val="none" w:sz="0" w:space="0" w:color="auto"/>
      </w:divBdr>
    </w:div>
    <w:div w:id="21208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F5680-0756-40FB-941E-9959678130DF}">
  <ds:schemaRefs>
    <ds:schemaRef ds:uri="http://schemas.openxmlformats.org/officeDocument/2006/bibliography"/>
  </ds:schemaRefs>
</ds:datastoreItem>
</file>

<file path=customXml/itemProps2.xml><?xml version="1.0" encoding="utf-8"?>
<ds:datastoreItem xmlns:ds="http://schemas.openxmlformats.org/officeDocument/2006/customXml" ds:itemID="{183A1AFA-DE36-4085-8E2E-7A37BBEA8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FE845-EBBE-47EC-B2D2-F090260E9226}">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purl.org/dc/elements/1.1/"/>
    <ds:schemaRef ds:uri="4b4a1c0d-4a69-4996-a84a-fc699b9f49de"/>
    <ds:schemaRef ds:uri="985ec44e-1bab-4c0b-9df0-6ba128686fc9"/>
    <ds:schemaRef ds:uri="acccb6d4-dbe5-46d2-b4d3-5733603d8cc6"/>
    <ds:schemaRef ds:uri="http://schemas.microsoft.com/office/2006/metadata/properties"/>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3917</Characters>
  <Application>Microsoft Office Word</Application>
  <DocSecurity>4</DocSecurity>
  <Lines>91</Lines>
  <Paragraphs>43</Paragraphs>
  <ScaleCrop>false</ScaleCrop>
  <HeadingPairs>
    <vt:vector size="10" baseType="variant">
      <vt:variant>
        <vt:lpstr>Titel</vt:lpstr>
      </vt:variant>
      <vt:variant>
        <vt:i4>1</vt:i4>
      </vt: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5" baseType="lpstr">
      <vt:lpstr>ECE/TRANS/WP.29/GRSG/2022/12</vt:lpstr>
      <vt:lpstr>ECE/TRANS/WP.29/GRSG/2022/12</vt:lpstr>
      <vt:lpstr>ECE/TRANS/WP.29/GRSG/2021/11</vt:lpstr>
      <vt:lpstr>ECE/TRANS/WP.29/GRSG/2021/11</vt:lpstr>
      <vt:lpstr>ECE/TRANS/WP.29/GRSG/2019/34</vt:lpstr>
    </vt:vector>
  </TitlesOfParts>
  <Company>MIT</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2200379</dc:subject>
  <dc:creator>MIT</dc:creator>
  <cp:keywords/>
  <dc:description/>
  <cp:lastModifiedBy>EG</cp:lastModifiedBy>
  <cp:revision>2</cp:revision>
  <cp:lastPrinted>2019-07-19T11:29:00Z</cp:lastPrinted>
  <dcterms:created xsi:type="dcterms:W3CDTF">2023-03-24T13:31:00Z</dcterms:created>
  <dcterms:modified xsi:type="dcterms:W3CDTF">2023-03-24T13:31:00Z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SIP_Label_7fea2623-af8f-4fb8-b1cf-b63cc8e496aa_Enabled">
    <vt:lpwstr>true</vt:lpwstr>
  </property>
  <property fmtid="{D5CDD505-2E9C-101B-9397-08002B2CF9AE}" pid="12" name="MSIP_Label_7fea2623-af8f-4fb8-b1cf-b63cc8e496aa_SetDate">
    <vt:lpwstr>2023-03-09T11:17:54Z</vt:lpwstr>
  </property>
  <property fmtid="{D5CDD505-2E9C-101B-9397-08002B2CF9AE}" pid="13" name="MSIP_Label_7fea2623-af8f-4fb8-b1cf-b63cc8e496aa_Method">
    <vt:lpwstr>Standard</vt:lpwstr>
  </property>
  <property fmtid="{D5CDD505-2E9C-101B-9397-08002B2CF9AE}" pid="14" name="MSIP_Label_7fea2623-af8f-4fb8-b1cf-b63cc8e496aa_Name">
    <vt:lpwstr>Internal</vt:lpwstr>
  </property>
  <property fmtid="{D5CDD505-2E9C-101B-9397-08002B2CF9AE}" pid="15" name="MSIP_Label_7fea2623-af8f-4fb8-b1cf-b63cc8e496aa_SiteId">
    <vt:lpwstr>81fa766e-a349-4867-8bf4-ab35e250a08f</vt:lpwstr>
  </property>
  <property fmtid="{D5CDD505-2E9C-101B-9397-08002B2CF9AE}" pid="16" name="MSIP_Label_7fea2623-af8f-4fb8-b1cf-b63cc8e496aa_ActionId">
    <vt:lpwstr>38cc4183-bba9-40ab-a3e7-696a6f8193e5</vt:lpwstr>
  </property>
  <property fmtid="{D5CDD505-2E9C-101B-9397-08002B2CF9AE}" pid="17" name="MSIP_Label_7fea2623-af8f-4fb8-b1cf-b63cc8e496aa_ContentBits">
    <vt:lpwstr>0</vt:lpwstr>
  </property>
</Properties>
</file>