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CA0CDEB" w14:textId="77777777" w:rsidTr="00C97039">
        <w:trPr>
          <w:trHeight w:hRule="exact" w:val="851"/>
        </w:trPr>
        <w:tc>
          <w:tcPr>
            <w:tcW w:w="1276" w:type="dxa"/>
            <w:tcBorders>
              <w:bottom w:val="single" w:sz="4" w:space="0" w:color="auto"/>
            </w:tcBorders>
          </w:tcPr>
          <w:p w14:paraId="5C8DEF95" w14:textId="77777777" w:rsidR="00F35BAF" w:rsidRPr="00DB58B5" w:rsidRDefault="00F35BAF" w:rsidP="007F059C"/>
        </w:tc>
        <w:tc>
          <w:tcPr>
            <w:tcW w:w="2268" w:type="dxa"/>
            <w:tcBorders>
              <w:bottom w:val="single" w:sz="4" w:space="0" w:color="auto"/>
            </w:tcBorders>
            <w:vAlign w:val="bottom"/>
          </w:tcPr>
          <w:p w14:paraId="4C2D180C"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90053EE" w14:textId="39E5D1A6" w:rsidR="00F35BAF" w:rsidRPr="00DB58B5" w:rsidRDefault="007F059C" w:rsidP="007F059C">
            <w:pPr>
              <w:jc w:val="right"/>
            </w:pPr>
            <w:r w:rsidRPr="007F059C">
              <w:rPr>
                <w:sz w:val="40"/>
              </w:rPr>
              <w:t>ECE</w:t>
            </w:r>
            <w:r>
              <w:t>/TRANS/WP.15/2023/4</w:t>
            </w:r>
          </w:p>
        </w:tc>
      </w:tr>
      <w:tr w:rsidR="00F35BAF" w:rsidRPr="00DB58B5" w14:paraId="661D203D" w14:textId="77777777" w:rsidTr="00C97039">
        <w:trPr>
          <w:trHeight w:hRule="exact" w:val="2835"/>
        </w:trPr>
        <w:tc>
          <w:tcPr>
            <w:tcW w:w="1276" w:type="dxa"/>
            <w:tcBorders>
              <w:top w:val="single" w:sz="4" w:space="0" w:color="auto"/>
              <w:bottom w:val="single" w:sz="12" w:space="0" w:color="auto"/>
            </w:tcBorders>
          </w:tcPr>
          <w:p w14:paraId="60087EF8" w14:textId="77777777" w:rsidR="00F35BAF" w:rsidRPr="00DB58B5" w:rsidRDefault="00F35BAF" w:rsidP="00C97039">
            <w:pPr>
              <w:spacing w:before="120"/>
              <w:jc w:val="center"/>
            </w:pPr>
            <w:r>
              <w:rPr>
                <w:noProof/>
                <w:lang w:eastAsia="fr-CH"/>
              </w:rPr>
              <w:drawing>
                <wp:inline distT="0" distB="0" distL="0" distR="0" wp14:anchorId="231ADB5F" wp14:editId="585E9AB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0FBDEB0"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DBAEE9A" w14:textId="77777777" w:rsidR="00F35BAF" w:rsidRDefault="007F059C" w:rsidP="00C97039">
            <w:pPr>
              <w:spacing w:before="240"/>
            </w:pPr>
            <w:proofErr w:type="spellStart"/>
            <w:r>
              <w:t>Distr</w:t>
            </w:r>
            <w:proofErr w:type="spellEnd"/>
            <w:r>
              <w:t xml:space="preserve">. </w:t>
            </w:r>
            <w:proofErr w:type="gramStart"/>
            <w:r>
              <w:t>générale</w:t>
            </w:r>
            <w:proofErr w:type="gramEnd"/>
          </w:p>
          <w:p w14:paraId="29D62438" w14:textId="77777777" w:rsidR="007F059C" w:rsidRDefault="007F059C" w:rsidP="007F059C">
            <w:pPr>
              <w:spacing w:line="240" w:lineRule="exact"/>
            </w:pPr>
            <w:r>
              <w:t>21 février 2023</w:t>
            </w:r>
          </w:p>
          <w:p w14:paraId="01AE6516" w14:textId="77777777" w:rsidR="007F059C" w:rsidRDefault="007F059C" w:rsidP="007F059C">
            <w:pPr>
              <w:spacing w:line="240" w:lineRule="exact"/>
            </w:pPr>
            <w:r>
              <w:t>Français</w:t>
            </w:r>
          </w:p>
          <w:p w14:paraId="199AE3AD" w14:textId="3B94B0CC" w:rsidR="007F059C" w:rsidRPr="00DB58B5" w:rsidRDefault="007F059C" w:rsidP="007F059C">
            <w:pPr>
              <w:spacing w:line="240" w:lineRule="exact"/>
            </w:pPr>
            <w:r>
              <w:t>Original : anglais</w:t>
            </w:r>
          </w:p>
        </w:tc>
      </w:tr>
    </w:tbl>
    <w:p w14:paraId="066AAD70" w14:textId="77777777" w:rsidR="007F20FA" w:rsidRPr="000312C0" w:rsidRDefault="007F20FA" w:rsidP="007F20FA">
      <w:pPr>
        <w:spacing w:before="120"/>
        <w:rPr>
          <w:b/>
          <w:sz w:val="28"/>
          <w:szCs w:val="28"/>
        </w:rPr>
      </w:pPr>
      <w:r w:rsidRPr="000312C0">
        <w:rPr>
          <w:b/>
          <w:sz w:val="28"/>
          <w:szCs w:val="28"/>
        </w:rPr>
        <w:t>Commission économique pour l’Europe</w:t>
      </w:r>
    </w:p>
    <w:p w14:paraId="458C5D08" w14:textId="77777777" w:rsidR="007F20FA" w:rsidRDefault="007F20FA" w:rsidP="007F20FA">
      <w:pPr>
        <w:spacing w:before="120"/>
        <w:rPr>
          <w:sz w:val="28"/>
          <w:szCs w:val="28"/>
        </w:rPr>
      </w:pPr>
      <w:r w:rsidRPr="00685843">
        <w:rPr>
          <w:sz w:val="28"/>
          <w:szCs w:val="28"/>
        </w:rPr>
        <w:t>Comité des transports intérieurs</w:t>
      </w:r>
    </w:p>
    <w:p w14:paraId="6B31F5DF" w14:textId="7308392D" w:rsidR="00EE5A50" w:rsidRPr="00116BC7" w:rsidRDefault="00EE5A50" w:rsidP="00EE5A50">
      <w:pPr>
        <w:spacing w:before="120" w:line="240" w:lineRule="auto"/>
        <w:rPr>
          <w:b/>
          <w:sz w:val="24"/>
          <w:szCs w:val="24"/>
        </w:rPr>
      </w:pPr>
      <w:r w:rsidRPr="00116BC7">
        <w:rPr>
          <w:b/>
          <w:bCs/>
          <w:sz w:val="24"/>
          <w:szCs w:val="24"/>
          <w:lang w:val="fr-FR"/>
        </w:rPr>
        <w:t xml:space="preserve">Groupe de travail des transports </w:t>
      </w:r>
      <w:r w:rsidR="00217B20" w:rsidRPr="00116BC7">
        <w:rPr>
          <w:b/>
          <w:bCs/>
          <w:sz w:val="24"/>
          <w:szCs w:val="24"/>
          <w:lang w:val="fr-FR"/>
        </w:rPr>
        <w:br/>
      </w:r>
      <w:proofErr w:type="gramStart"/>
      <w:r w:rsidRPr="00116BC7">
        <w:rPr>
          <w:b/>
          <w:bCs/>
          <w:sz w:val="24"/>
          <w:szCs w:val="24"/>
          <w:lang w:val="fr-FR"/>
        </w:rPr>
        <w:t>de</w:t>
      </w:r>
      <w:proofErr w:type="gramEnd"/>
      <w:r w:rsidRPr="00116BC7">
        <w:rPr>
          <w:b/>
          <w:bCs/>
          <w:sz w:val="24"/>
          <w:szCs w:val="24"/>
          <w:lang w:val="fr-FR"/>
        </w:rPr>
        <w:t xml:space="preserve"> marchandises dangereuses</w:t>
      </w:r>
    </w:p>
    <w:p w14:paraId="76B25236" w14:textId="77777777" w:rsidR="00EE5A50" w:rsidRPr="00B45033" w:rsidRDefault="00EE5A50" w:rsidP="00EE5A50">
      <w:pPr>
        <w:spacing w:before="120" w:line="240" w:lineRule="auto"/>
        <w:rPr>
          <w:rFonts w:eastAsia="SimSun"/>
          <w:b/>
        </w:rPr>
      </w:pPr>
      <w:r>
        <w:rPr>
          <w:b/>
          <w:bCs/>
          <w:lang w:val="fr-FR"/>
        </w:rPr>
        <w:t>113</w:t>
      </w:r>
      <w:r w:rsidRPr="00B45033">
        <w:rPr>
          <w:b/>
          <w:bCs/>
          <w:vertAlign w:val="superscript"/>
          <w:lang w:val="fr-FR"/>
        </w:rPr>
        <w:t>e</w:t>
      </w:r>
      <w:r>
        <w:rPr>
          <w:b/>
          <w:bCs/>
          <w:lang w:val="fr-FR"/>
        </w:rPr>
        <w:t xml:space="preserve"> session</w:t>
      </w:r>
      <w:r>
        <w:rPr>
          <w:lang w:val="fr-FR"/>
        </w:rPr>
        <w:t xml:space="preserve"> </w:t>
      </w:r>
    </w:p>
    <w:p w14:paraId="3208D888" w14:textId="77777777" w:rsidR="00EE5A50" w:rsidRPr="00B45033" w:rsidRDefault="00EE5A50" w:rsidP="00EE5A50">
      <w:pPr>
        <w:spacing w:line="240" w:lineRule="auto"/>
        <w:rPr>
          <w:rFonts w:eastAsia="SimSun"/>
        </w:rPr>
      </w:pPr>
      <w:r>
        <w:rPr>
          <w:lang w:val="fr-FR"/>
        </w:rPr>
        <w:t>Genève, 15-19 mai 2023</w:t>
      </w:r>
    </w:p>
    <w:p w14:paraId="18679713" w14:textId="77777777" w:rsidR="00EE5A50" w:rsidRPr="00B45033" w:rsidRDefault="00EE5A50" w:rsidP="00EE5A50">
      <w:pPr>
        <w:spacing w:line="240" w:lineRule="auto"/>
      </w:pPr>
      <w:r>
        <w:rPr>
          <w:lang w:val="fr-FR"/>
        </w:rPr>
        <w:t>Point 5 a) de l’ordre du jour provisoire</w:t>
      </w:r>
    </w:p>
    <w:p w14:paraId="591B7A2F" w14:textId="333F4E05" w:rsidR="00EE5A50" w:rsidRPr="00B45033" w:rsidRDefault="00EE5A50" w:rsidP="00EE5A50">
      <w:pPr>
        <w:spacing w:line="240" w:lineRule="auto"/>
        <w:rPr>
          <w:b/>
          <w:bCs/>
          <w:szCs w:val="24"/>
        </w:rPr>
      </w:pPr>
      <w:r>
        <w:rPr>
          <w:b/>
          <w:bCs/>
          <w:lang w:val="fr-FR"/>
        </w:rPr>
        <w:t>Propositions d’amendement aux annexes A et B de l’ADR</w:t>
      </w:r>
      <w:r w:rsidR="00116BC7">
        <w:rPr>
          <w:b/>
          <w:bCs/>
          <w:lang w:val="fr-FR"/>
        </w:rPr>
        <w:t> </w:t>
      </w:r>
      <w:r>
        <w:rPr>
          <w:b/>
          <w:bCs/>
          <w:lang w:val="fr-FR"/>
        </w:rPr>
        <w:t xml:space="preserve">: </w:t>
      </w:r>
      <w:r>
        <w:rPr>
          <w:b/>
          <w:bCs/>
          <w:lang w:val="fr-FR"/>
        </w:rPr>
        <w:br/>
        <w:t>construction et agrément des véhicules</w:t>
      </w:r>
    </w:p>
    <w:p w14:paraId="0E2B4574" w14:textId="1DFFFE40" w:rsidR="00EE5A50" w:rsidRPr="00B45033" w:rsidRDefault="00EE5A50" w:rsidP="00EE5A50">
      <w:pPr>
        <w:pStyle w:val="HChG"/>
      </w:pPr>
      <w:r>
        <w:rPr>
          <w:lang w:val="fr-FR"/>
        </w:rPr>
        <w:tab/>
      </w:r>
      <w:r>
        <w:rPr>
          <w:lang w:val="fr-FR"/>
        </w:rPr>
        <w:tab/>
        <w:t xml:space="preserve">Sous-section 9.2.2.8 </w:t>
      </w:r>
      <w:r w:rsidR="00116BC7">
        <w:rPr>
          <w:lang w:val="fr-FR"/>
        </w:rPr>
        <w:t>−</w:t>
      </w:r>
      <w:r>
        <w:rPr>
          <w:lang w:val="fr-FR"/>
        </w:rPr>
        <w:t xml:space="preserve"> Coupe-circuit de batterie</w:t>
      </w:r>
    </w:p>
    <w:p w14:paraId="2D142798" w14:textId="3DED5606" w:rsidR="00EE5A50" w:rsidRDefault="00EE5A50" w:rsidP="00EE5A50">
      <w:pPr>
        <w:pStyle w:val="H1G"/>
        <w:rPr>
          <w:b w:val="0"/>
          <w:bCs/>
          <w:sz w:val="20"/>
        </w:rPr>
      </w:pPr>
      <w:r>
        <w:rPr>
          <w:lang w:val="fr-FR"/>
        </w:rPr>
        <w:tab/>
      </w:r>
      <w:r>
        <w:rPr>
          <w:lang w:val="fr-FR"/>
        </w:rPr>
        <w:tab/>
        <w:t xml:space="preserve">Communication du Gouvernement néerlandais au nom </w:t>
      </w:r>
      <w:r>
        <w:rPr>
          <w:lang w:val="fr-FR"/>
        </w:rPr>
        <w:br/>
        <w:t>du groupe de travail informel des véhicules électriques</w:t>
      </w:r>
      <w:r w:rsidRPr="00EE5A50">
        <w:rPr>
          <w:rStyle w:val="FootnoteReference"/>
          <w:b w:val="0"/>
          <w:bCs/>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2C7BFF" w14:paraId="1A554EAB" w14:textId="77777777" w:rsidTr="002C7BFF">
        <w:trPr>
          <w:jc w:val="center"/>
        </w:trPr>
        <w:tc>
          <w:tcPr>
            <w:tcW w:w="9628" w:type="dxa"/>
            <w:shd w:val="clear" w:color="auto" w:fill="auto"/>
          </w:tcPr>
          <w:p w14:paraId="611C6B82" w14:textId="77777777" w:rsidR="002C7BFF" w:rsidRDefault="002C7BFF">
            <w:pPr>
              <w:spacing w:before="240" w:after="120"/>
              <w:ind w:left="255"/>
              <w:rPr>
                <w:i/>
                <w:sz w:val="24"/>
              </w:rPr>
            </w:pPr>
            <w:r>
              <w:rPr>
                <w:i/>
                <w:sz w:val="24"/>
              </w:rPr>
              <w:t>Résumé</w:t>
            </w:r>
          </w:p>
        </w:tc>
      </w:tr>
      <w:tr w:rsidR="002C7BFF" w14:paraId="6D7D95AE" w14:textId="77777777" w:rsidTr="002C7BFF">
        <w:trPr>
          <w:jc w:val="center"/>
        </w:trPr>
        <w:tc>
          <w:tcPr>
            <w:tcW w:w="9628" w:type="dxa"/>
            <w:shd w:val="clear" w:color="auto" w:fill="auto"/>
          </w:tcPr>
          <w:p w14:paraId="7AE2E524" w14:textId="274EC469" w:rsidR="002C7BFF" w:rsidRPr="002C7BFF" w:rsidRDefault="002C7BFF" w:rsidP="00266C9F">
            <w:pPr>
              <w:pStyle w:val="SingleTxtG"/>
              <w:ind w:left="3402" w:hanging="2268"/>
              <w:rPr>
                <w:b/>
                <w:bCs/>
              </w:rPr>
            </w:pPr>
            <w:r w:rsidRPr="002C7BFF">
              <w:rPr>
                <w:b/>
                <w:bCs/>
              </w:rPr>
              <w:t>Résumé analytique :</w:t>
            </w:r>
            <w:r w:rsidRPr="002C7BFF">
              <w:rPr>
                <w:b/>
                <w:bCs/>
              </w:rPr>
              <w:tab/>
            </w:r>
            <w:r>
              <w:rPr>
                <w:lang w:val="fr-FR"/>
              </w:rPr>
              <w:t>Les dispositions applicables aux véhicules électriques doivent être distinctes de celles qui s’appliquent aux véhicules équipés de moteurs à combustion interne pour ce qui est de la mise hors tension des systèmes électriques. C’est pourquoi il est proposé de modifier le 9.2.2.8.</w:t>
            </w:r>
          </w:p>
        </w:tc>
      </w:tr>
      <w:tr w:rsidR="002C7BFF" w14:paraId="1AEA443A" w14:textId="77777777" w:rsidTr="002C7BFF">
        <w:trPr>
          <w:jc w:val="center"/>
        </w:trPr>
        <w:tc>
          <w:tcPr>
            <w:tcW w:w="9628" w:type="dxa"/>
            <w:shd w:val="clear" w:color="auto" w:fill="auto"/>
          </w:tcPr>
          <w:p w14:paraId="05E41AF1" w14:textId="26925E15" w:rsidR="002C7BFF" w:rsidRDefault="002C7BFF" w:rsidP="00266C9F">
            <w:pPr>
              <w:pStyle w:val="SingleTxtG"/>
              <w:ind w:left="3402" w:hanging="2268"/>
            </w:pPr>
            <w:r w:rsidRPr="002C7BFF">
              <w:rPr>
                <w:b/>
                <w:bCs/>
              </w:rPr>
              <w:t>Mesures à prendre :</w:t>
            </w:r>
            <w:r>
              <w:tab/>
            </w:r>
            <w:r>
              <w:rPr>
                <w:lang w:val="fr-FR"/>
              </w:rPr>
              <w:t>Modifier le 9.2.2.8 de l’ADR.</w:t>
            </w:r>
          </w:p>
        </w:tc>
      </w:tr>
      <w:tr w:rsidR="002C7BFF" w14:paraId="037ED269" w14:textId="77777777" w:rsidTr="002C7BFF">
        <w:trPr>
          <w:jc w:val="center"/>
        </w:trPr>
        <w:tc>
          <w:tcPr>
            <w:tcW w:w="9628" w:type="dxa"/>
            <w:shd w:val="clear" w:color="auto" w:fill="auto"/>
          </w:tcPr>
          <w:p w14:paraId="55B7B3F0" w14:textId="032A1E48" w:rsidR="002C7BFF" w:rsidRPr="002C7BFF" w:rsidRDefault="002C7BFF" w:rsidP="00266C9F">
            <w:pPr>
              <w:pStyle w:val="SingleTxtG"/>
              <w:ind w:left="3402" w:hanging="2268"/>
              <w:rPr>
                <w:b/>
                <w:bCs/>
              </w:rPr>
            </w:pPr>
            <w:r w:rsidRPr="002C7BFF">
              <w:rPr>
                <w:b/>
                <w:bCs/>
              </w:rPr>
              <w:t>Documents connexes :</w:t>
            </w:r>
            <w:r>
              <w:rPr>
                <w:b/>
                <w:bCs/>
              </w:rPr>
              <w:tab/>
            </w:r>
            <w:r w:rsidRPr="00AD0B7F">
              <w:rPr>
                <w:spacing w:val="-2"/>
                <w:lang w:val="fr-FR"/>
              </w:rPr>
              <w:t>Document informel INF.16 (109</w:t>
            </w:r>
            <w:r w:rsidRPr="00AD0B7F">
              <w:rPr>
                <w:spacing w:val="-2"/>
                <w:vertAlign w:val="superscript"/>
                <w:lang w:val="fr-FR"/>
              </w:rPr>
              <w:t>e</w:t>
            </w:r>
            <w:r w:rsidRPr="00AD0B7F">
              <w:rPr>
                <w:spacing w:val="-2"/>
                <w:lang w:val="fr-FR"/>
              </w:rPr>
              <w:t xml:space="preserve"> session), documents informels INF.14 et INF.20 (110</w:t>
            </w:r>
            <w:r w:rsidRPr="00AD0B7F">
              <w:rPr>
                <w:spacing w:val="-2"/>
                <w:vertAlign w:val="superscript"/>
                <w:lang w:val="fr-FR"/>
              </w:rPr>
              <w:t>e</w:t>
            </w:r>
            <w:r w:rsidRPr="00AD0B7F">
              <w:rPr>
                <w:spacing w:val="-2"/>
                <w:lang w:val="fr-FR"/>
              </w:rPr>
              <w:t xml:space="preserve"> session), document ECE/TRANS/</w:t>
            </w:r>
            <w:r w:rsidR="00AD0B7F" w:rsidRPr="00AD0B7F">
              <w:rPr>
                <w:spacing w:val="-2"/>
                <w:lang w:val="fr-FR"/>
              </w:rPr>
              <w:t xml:space="preserve"> </w:t>
            </w:r>
            <w:r w:rsidRPr="00AD0B7F">
              <w:rPr>
                <w:spacing w:val="-2"/>
                <w:lang w:val="fr-FR"/>
              </w:rPr>
              <w:t>WP.15/2022/5, documents informels INF.12, INF.14, INF.18 et INF.23 (111</w:t>
            </w:r>
            <w:r w:rsidRPr="00AD0B7F">
              <w:rPr>
                <w:spacing w:val="-2"/>
                <w:vertAlign w:val="superscript"/>
                <w:lang w:val="fr-FR"/>
              </w:rPr>
              <w:t>e</w:t>
            </w:r>
            <w:r w:rsidR="00AD0B7F" w:rsidRPr="00AD0B7F">
              <w:rPr>
                <w:spacing w:val="-2"/>
                <w:vertAlign w:val="superscript"/>
                <w:lang w:val="fr-FR"/>
              </w:rPr>
              <w:t> </w:t>
            </w:r>
            <w:r w:rsidRPr="00AD0B7F">
              <w:rPr>
                <w:spacing w:val="-2"/>
                <w:lang w:val="fr-FR"/>
              </w:rPr>
              <w:t>session) et document informel INF.6 (112</w:t>
            </w:r>
            <w:r w:rsidRPr="00AD0B7F">
              <w:rPr>
                <w:spacing w:val="-2"/>
                <w:vertAlign w:val="superscript"/>
                <w:lang w:val="fr-FR"/>
              </w:rPr>
              <w:t>e</w:t>
            </w:r>
            <w:r w:rsidR="00AD0B7F" w:rsidRPr="00AD0B7F">
              <w:rPr>
                <w:spacing w:val="-2"/>
                <w:lang w:val="fr-FR"/>
              </w:rPr>
              <w:t> </w:t>
            </w:r>
            <w:r w:rsidRPr="00AD0B7F">
              <w:rPr>
                <w:spacing w:val="-2"/>
                <w:lang w:val="fr-FR"/>
              </w:rPr>
              <w:t>session).</w:t>
            </w:r>
          </w:p>
        </w:tc>
      </w:tr>
      <w:tr w:rsidR="002C7BFF" w14:paraId="3B814F92" w14:textId="77777777" w:rsidTr="002C7BFF">
        <w:trPr>
          <w:jc w:val="center"/>
        </w:trPr>
        <w:tc>
          <w:tcPr>
            <w:tcW w:w="9628" w:type="dxa"/>
            <w:shd w:val="clear" w:color="auto" w:fill="auto"/>
          </w:tcPr>
          <w:p w14:paraId="335ABFEA" w14:textId="77777777" w:rsidR="002C7BFF" w:rsidRDefault="002C7BFF"/>
        </w:tc>
      </w:tr>
    </w:tbl>
    <w:p w14:paraId="6BCDE50E" w14:textId="77777777" w:rsidR="00266C9F" w:rsidRDefault="00266C9F">
      <w:pPr>
        <w:suppressAutoHyphens w:val="0"/>
        <w:kinsoku/>
        <w:overflowPunct/>
        <w:autoSpaceDE/>
        <w:autoSpaceDN/>
        <w:adjustRightInd/>
        <w:snapToGrid/>
        <w:spacing w:after="200" w:line="276" w:lineRule="auto"/>
      </w:pPr>
      <w:r>
        <w:br w:type="page"/>
      </w:r>
    </w:p>
    <w:p w14:paraId="3D7FE250" w14:textId="77777777" w:rsidR="00EE5A50" w:rsidRPr="00B45033" w:rsidRDefault="00EE5A50" w:rsidP="00266C9F">
      <w:pPr>
        <w:pStyle w:val="HChG"/>
        <w:ind w:left="0" w:firstLine="0"/>
      </w:pPr>
      <w:r>
        <w:rPr>
          <w:lang w:val="fr-FR"/>
        </w:rPr>
        <w:lastRenderedPageBreak/>
        <w:tab/>
      </w:r>
      <w:r>
        <w:rPr>
          <w:lang w:val="fr-FR"/>
        </w:rPr>
        <w:tab/>
        <w:t>Introduction</w:t>
      </w:r>
    </w:p>
    <w:p w14:paraId="6E19FA91" w14:textId="77777777" w:rsidR="00EE5A50" w:rsidRPr="00B45033" w:rsidRDefault="00EE5A50" w:rsidP="00266C9F">
      <w:pPr>
        <w:pStyle w:val="SingleTxtG"/>
      </w:pPr>
      <w:r>
        <w:rPr>
          <w:lang w:val="fr-FR"/>
        </w:rPr>
        <w:t>1.</w:t>
      </w:r>
      <w:r>
        <w:rPr>
          <w:lang w:val="fr-FR"/>
        </w:rPr>
        <w:tab/>
        <w:t>Des débats sur la sécurité des véhicules électriques à batterie de la catégorie FL sont en cours, principalement en ce qui concerne le système rechargeable de stockage de l’énergie électrique (SRSEE) et la sécurité dans les zones où l’atmosphère est susceptible d’être explosive. L’examen du deuxième thème a abouti à l’élaboration du texte ci-après, dont les auteurs estiment qu’il est prêt à être adopté. On trouvera dans la section consacrée à la justification des explications sur le contexte et l’historique des modifications proposées.</w:t>
      </w:r>
    </w:p>
    <w:p w14:paraId="75AE6EE7" w14:textId="77777777" w:rsidR="00EE5A50" w:rsidRPr="00B45033" w:rsidRDefault="00EE5A50" w:rsidP="00266C9F">
      <w:pPr>
        <w:pStyle w:val="HChG"/>
      </w:pPr>
      <w:r>
        <w:rPr>
          <w:lang w:val="fr-FR"/>
        </w:rPr>
        <w:tab/>
      </w:r>
      <w:r>
        <w:rPr>
          <w:lang w:val="fr-FR"/>
        </w:rPr>
        <w:tab/>
        <w:t>Proposition</w:t>
      </w:r>
    </w:p>
    <w:p w14:paraId="3FE19937" w14:textId="77777777" w:rsidR="00EE5A50" w:rsidRPr="00B45033" w:rsidRDefault="00EE5A50" w:rsidP="00266C9F">
      <w:pPr>
        <w:pStyle w:val="SingleTxtG"/>
        <w:keepNext/>
        <w:rPr>
          <w:b/>
          <w:bCs/>
        </w:rPr>
      </w:pPr>
      <w:r>
        <w:rPr>
          <w:lang w:val="fr-FR"/>
        </w:rPr>
        <w:t>2.</w:t>
      </w:r>
      <w:r>
        <w:rPr>
          <w:lang w:val="fr-FR"/>
        </w:rPr>
        <w:tab/>
        <w:t>Sous-section 9.2.2.8, lire</w:t>
      </w:r>
      <w:r w:rsidRPr="00A56057">
        <w:t> </w:t>
      </w:r>
      <w:r>
        <w:rPr>
          <w:lang w:val="fr-FR"/>
        </w:rPr>
        <w:t>:</w:t>
      </w:r>
    </w:p>
    <w:p w14:paraId="4CBFB237" w14:textId="77777777" w:rsidR="00EE5A50" w:rsidRPr="00B45033" w:rsidRDefault="00EE5A50" w:rsidP="00CE5642">
      <w:pPr>
        <w:pStyle w:val="SingleTxtG"/>
        <w:keepNext/>
        <w:ind w:left="2835" w:hanging="1134"/>
        <w:jc w:val="left"/>
        <w:rPr>
          <w:b/>
          <w:bCs/>
          <w:i/>
          <w:iCs/>
        </w:rPr>
      </w:pPr>
      <w:r>
        <w:rPr>
          <w:lang w:val="fr-FR"/>
        </w:rPr>
        <w:t>« </w:t>
      </w:r>
      <w:r>
        <w:rPr>
          <w:b/>
          <w:bCs/>
          <w:lang w:val="fr-FR"/>
        </w:rPr>
        <w:t>9.2.2.8</w:t>
      </w:r>
      <w:r>
        <w:rPr>
          <w:lang w:val="fr-FR"/>
        </w:rPr>
        <w:tab/>
      </w:r>
      <w:r>
        <w:rPr>
          <w:b/>
          <w:bCs/>
          <w:i/>
          <w:iCs/>
          <w:lang w:val="fr-FR"/>
        </w:rPr>
        <w:t>Mise hors tension des circuits électriques</w:t>
      </w:r>
    </w:p>
    <w:p w14:paraId="7124BCA6" w14:textId="2B8447D0" w:rsidR="00EE5A50" w:rsidRPr="00B45033" w:rsidRDefault="00EE5A50" w:rsidP="00CE5642">
      <w:pPr>
        <w:pStyle w:val="SingleTxtG"/>
        <w:ind w:left="2835"/>
        <w:rPr>
          <w:i/>
          <w:iCs/>
        </w:rPr>
      </w:pPr>
      <w:r w:rsidRPr="00AA1529">
        <w:rPr>
          <w:b/>
          <w:bCs/>
          <w:i/>
          <w:iCs/>
          <w:lang w:val="fr-FR"/>
        </w:rPr>
        <w:t>N</w:t>
      </w:r>
      <w:r w:rsidR="00CE5642">
        <w:rPr>
          <w:b/>
          <w:bCs/>
          <w:i/>
          <w:iCs/>
          <w:lang w:val="fr-FR"/>
        </w:rPr>
        <w:t>ota</w:t>
      </w:r>
      <w:r w:rsidR="00CE5642" w:rsidRPr="00CE5642">
        <w:rPr>
          <w:i/>
          <w:iCs/>
          <w:lang w:val="fr-FR"/>
        </w:rPr>
        <w:t> </w:t>
      </w:r>
      <w:r>
        <w:rPr>
          <w:i/>
          <w:iCs/>
          <w:lang w:val="fr-FR"/>
        </w:rPr>
        <w:t>: Le dispositif ne doit être utilisé que lorsque le véhicule est à l’arrêt.</w:t>
      </w:r>
    </w:p>
    <w:p w14:paraId="29660FE3" w14:textId="77777777" w:rsidR="00EE5A50" w:rsidRDefault="00EE5A50" w:rsidP="00CE5642">
      <w:pPr>
        <w:pStyle w:val="SingleTxtG"/>
        <w:ind w:left="2835" w:hanging="1134"/>
        <w:rPr>
          <w:lang w:val="fr-FR"/>
        </w:rPr>
      </w:pPr>
      <w:r>
        <w:rPr>
          <w:lang w:val="fr-FR"/>
        </w:rPr>
        <w:t>9.2.2.8.1</w:t>
      </w:r>
      <w:r>
        <w:rPr>
          <w:lang w:val="fr-FR"/>
        </w:rPr>
        <w:tab/>
        <w:t>Les dispositifs permettant la mise hors tension des circuits électriques pour tous les niveaux de tension doivent être montés aussi près que possible des sources d’énergie. Si le dispositif ne déconnecte qu’un câble provenant de la source d’énergie, il doit déconnecter le câble d’alimentation.</w:t>
      </w:r>
    </w:p>
    <w:p w14:paraId="4B7C3A60" w14:textId="77777777" w:rsidR="00EE5A50" w:rsidRPr="00B45033" w:rsidRDefault="00EE5A50" w:rsidP="00CE5642">
      <w:pPr>
        <w:pStyle w:val="SingleTxtG"/>
        <w:ind w:left="2835" w:hanging="1134"/>
      </w:pPr>
      <w:r>
        <w:rPr>
          <w:lang w:val="fr-FR"/>
        </w:rPr>
        <w:t>9.2.2.8.2</w:t>
      </w:r>
      <w:r>
        <w:rPr>
          <w:lang w:val="fr-FR"/>
        </w:rPr>
        <w:tab/>
        <w:t>Un dispositif de commande pour la mise hors tension doit être installé dans la cabine de conduite. Il doit être facilement accessible au conducteur et signalé distinctement. Il doit être équipé soit d’un couvercle de protection, soit d’une commande à mouvement complexe, soit de tout autre dispositif évitant son déclenchement involontaire. Des dispositifs de commande additionnels peuvent être installés à condition d’être signalés distinctement et protégés contre le déclenchement involontaire. Si les dispositifs de commande sont actionnés électriquement, leurs circuits sont soumis aux prescriptions du 9.2.2.9.</w:t>
      </w:r>
    </w:p>
    <w:p w14:paraId="77D85694" w14:textId="77777777" w:rsidR="00EE5A50" w:rsidRPr="00B45033" w:rsidRDefault="00EE5A50" w:rsidP="00CE5642">
      <w:pPr>
        <w:pStyle w:val="SingleTxtG"/>
        <w:ind w:left="2835" w:hanging="1134"/>
      </w:pPr>
      <w:r>
        <w:rPr>
          <w:lang w:val="fr-FR"/>
        </w:rPr>
        <w:t>9.2.2.8.3</w:t>
      </w:r>
      <w:r>
        <w:rPr>
          <w:lang w:val="fr-FR"/>
        </w:rPr>
        <w:tab/>
        <w:t>La mise hors tension doit être effective dans les 30 secondes qui suivent l’actionnement du dispositif de commande.</w:t>
      </w:r>
    </w:p>
    <w:p w14:paraId="417E6693" w14:textId="77777777" w:rsidR="00EE5A50" w:rsidRPr="00B45033" w:rsidRDefault="00EE5A50" w:rsidP="00CE5642">
      <w:pPr>
        <w:pStyle w:val="SingleTxtG"/>
        <w:ind w:left="2835" w:hanging="1134"/>
      </w:pPr>
      <w:r>
        <w:rPr>
          <w:lang w:val="fr-FR"/>
        </w:rPr>
        <w:t>9.2.2.8.4</w:t>
      </w:r>
      <w:r>
        <w:rPr>
          <w:lang w:val="fr-FR"/>
        </w:rPr>
        <w:tab/>
        <w:t>Le dispositif doit être installé de manière à garantir un degré de protection IP 65 conformément à la norme CEI 60529.</w:t>
      </w:r>
    </w:p>
    <w:p w14:paraId="2931E427" w14:textId="77777777" w:rsidR="00EE5A50" w:rsidRPr="00B45033" w:rsidRDefault="00EE5A50" w:rsidP="00CE5642">
      <w:pPr>
        <w:pStyle w:val="SingleTxtG"/>
        <w:ind w:left="2835" w:hanging="1134"/>
      </w:pPr>
      <w:r>
        <w:rPr>
          <w:lang w:val="fr-FR"/>
        </w:rPr>
        <w:t>9.2.2.8.5</w:t>
      </w:r>
      <w:r>
        <w:rPr>
          <w:lang w:val="fr-FR"/>
        </w:rPr>
        <w:tab/>
      </w:r>
      <w:r>
        <w:rPr>
          <w:i/>
          <w:iCs/>
          <w:lang w:val="fr-FR"/>
        </w:rPr>
        <w:t>Connexions électriques sur le dispositif</w:t>
      </w:r>
    </w:p>
    <w:p w14:paraId="7A0A8255" w14:textId="7E74E1FE" w:rsidR="00EE5A50" w:rsidRPr="00B45033" w:rsidRDefault="00EE5A50" w:rsidP="00CE5642">
      <w:pPr>
        <w:pStyle w:val="SingleTxtG"/>
        <w:ind w:left="2835"/>
      </w:pPr>
      <w:r>
        <w:rPr>
          <w:lang w:val="fr-FR"/>
        </w:rPr>
        <w:t>Les systèmes dont la tension est supérieure à 25</w:t>
      </w:r>
      <w:r w:rsidR="00217B20">
        <w:rPr>
          <w:lang w:val="fr-FR"/>
        </w:rPr>
        <w:t> </w:t>
      </w:r>
      <w:r>
        <w:rPr>
          <w:lang w:val="fr-FR"/>
        </w:rPr>
        <w:t xml:space="preserve">V CA ou 60 V CC et les systèmes visés par le Règlement ONU </w:t>
      </w:r>
      <w:r w:rsidR="00BD05D9">
        <w:rPr>
          <w:rFonts w:eastAsia="MS Mincho"/>
          <w:lang w:val="fr-FR"/>
        </w:rPr>
        <w:t>No </w:t>
      </w:r>
      <w:r>
        <w:rPr>
          <w:lang w:val="fr-FR"/>
        </w:rPr>
        <w:t>100 doivent satisfaire aux prescriptions dudit Règlement.</w:t>
      </w:r>
    </w:p>
    <w:p w14:paraId="0036F2BD" w14:textId="3012AB26" w:rsidR="00EE5A50" w:rsidRPr="00B45033" w:rsidRDefault="00EE5A50" w:rsidP="00CE5642">
      <w:pPr>
        <w:pStyle w:val="SingleTxtG"/>
        <w:ind w:left="2835"/>
      </w:pPr>
      <w:r>
        <w:rPr>
          <w:lang w:val="fr-FR"/>
        </w:rPr>
        <w:t>Les systèmes dont la tension ne dépasse pas 25</w:t>
      </w:r>
      <w:r w:rsidR="006037AD">
        <w:rPr>
          <w:lang w:val="fr-FR"/>
        </w:rPr>
        <w:t> </w:t>
      </w:r>
      <w:r>
        <w:rPr>
          <w:lang w:val="fr-FR"/>
        </w:rPr>
        <w:t>V CA ou 60 V</w:t>
      </w:r>
      <w:r w:rsidR="00217B20">
        <w:rPr>
          <w:lang w:val="fr-FR"/>
        </w:rPr>
        <w:t> </w:t>
      </w:r>
      <w:r>
        <w:rPr>
          <w:lang w:val="fr-FR"/>
        </w:rPr>
        <w:t>CC doivent avoir un degré de protection IP 54 conformément à la norme CEI</w:t>
      </w:r>
      <w:r w:rsidR="006037AD">
        <w:rPr>
          <w:lang w:val="fr-FR"/>
        </w:rPr>
        <w:t> </w:t>
      </w:r>
      <w:r>
        <w:rPr>
          <w:lang w:val="fr-FR"/>
        </w:rPr>
        <w:t>60529. Cela n’est toutefois pas exigé si les connexions sont à l’intérieur d’un coffre, qui peut être celui de la batterie. Il suffit alors de protéger ces connexions contre les courts-circuits, au moyen d’un couvercle en caoutchouc par exemple. ».</w:t>
      </w:r>
    </w:p>
    <w:p w14:paraId="570AF9E0" w14:textId="77777777" w:rsidR="00EE5A50" w:rsidRPr="00B45033" w:rsidRDefault="00EE5A50" w:rsidP="00BD05D9">
      <w:pPr>
        <w:pStyle w:val="HChG"/>
      </w:pPr>
      <w:r>
        <w:rPr>
          <w:lang w:val="fr-FR"/>
        </w:rPr>
        <w:tab/>
      </w:r>
      <w:r>
        <w:rPr>
          <w:lang w:val="fr-FR"/>
        </w:rPr>
        <w:tab/>
        <w:t>Justification</w:t>
      </w:r>
    </w:p>
    <w:p w14:paraId="5B20EF93" w14:textId="646AE702" w:rsidR="00EE5A50" w:rsidRPr="00B45033" w:rsidRDefault="00EE5A50" w:rsidP="00266C9F">
      <w:pPr>
        <w:pStyle w:val="SingleTxtG"/>
      </w:pPr>
      <w:r>
        <w:rPr>
          <w:lang w:val="fr-FR"/>
        </w:rPr>
        <w:t>3.</w:t>
      </w:r>
      <w:r>
        <w:rPr>
          <w:lang w:val="fr-FR"/>
        </w:rPr>
        <w:tab/>
        <w:t>La mise hors tension d’un circuit électrique prend un certain temps, car il faut que toute l’énergie soit bien libérée des composants. Cela devrait être possible après 30</w:t>
      </w:r>
      <w:r w:rsidR="00BD05D9">
        <w:rPr>
          <w:lang w:val="fr-FR"/>
        </w:rPr>
        <w:t> </w:t>
      </w:r>
      <w:r>
        <w:rPr>
          <w:lang w:val="fr-FR"/>
        </w:rPr>
        <w:t>secondes, mais certainement pas dans les 10 secondes actuellement prévues au 9.2.2.8.3 de l’édition 2023 de l’ADR.</w:t>
      </w:r>
    </w:p>
    <w:p w14:paraId="1993C388" w14:textId="77777777" w:rsidR="00EE5A50" w:rsidRPr="00B45033" w:rsidRDefault="00EE5A50" w:rsidP="00BD05D9">
      <w:pPr>
        <w:pStyle w:val="SingleTxtG"/>
        <w:keepLines/>
      </w:pPr>
      <w:r>
        <w:rPr>
          <w:lang w:val="fr-FR"/>
        </w:rPr>
        <w:lastRenderedPageBreak/>
        <w:t>4.</w:t>
      </w:r>
      <w:r>
        <w:rPr>
          <w:lang w:val="fr-FR"/>
        </w:rPr>
        <w:tab/>
        <w:t>Les dispositions de la sous-section 9.2.2.8 visent à assurer la sécurité dans une zone où l’atmosphère peut être explosive. Une telle situation se produit notamment lors du remplissage ou de la vidange de la citerne (de chargement) d’un véhicule transportant des substances inflammables. Si elles se répandent, ces substances peuvent créer une atmosphère explosive susceptible de s’enflammer au contact d’une surface chaude ou d’étincelles, par exemple en présence de conducteurs ou de composants électriques.</w:t>
      </w:r>
    </w:p>
    <w:p w14:paraId="54C0E5D0" w14:textId="2CF3B0DE" w:rsidR="00EE5A50" w:rsidRPr="00B45033" w:rsidRDefault="00EE5A50" w:rsidP="00266C9F">
      <w:pPr>
        <w:pStyle w:val="SingleTxtG"/>
      </w:pPr>
      <w:r>
        <w:rPr>
          <w:lang w:val="fr-FR"/>
        </w:rPr>
        <w:t>5.</w:t>
      </w:r>
      <w:r>
        <w:rPr>
          <w:lang w:val="fr-FR"/>
        </w:rPr>
        <w:tab/>
        <w:t>La mise hors tension du système électrique doit se faire de manière contrôlée comme décrit ci-dessus pour assurer la sécurité dans une atmosphère explosive. On estime que 30</w:t>
      </w:r>
      <w:r w:rsidR="00EE16BF">
        <w:rPr>
          <w:lang w:val="fr-FR"/>
        </w:rPr>
        <w:t> </w:t>
      </w:r>
      <w:r>
        <w:rPr>
          <w:lang w:val="fr-FR"/>
        </w:rPr>
        <w:t>secondes constituent un laps de temps approprié car le conducteur doit arrêter le véhicule au point de remplissage, mettre en marche le dispositif de commande et sortir du véhicule pour commencer les opérations de raccordement nécessaires au remplissage ou à la vidange. Cela prend au moins 30 secondes, pendant lesquelles le système est mis hors tension. Par la suite, il faudra peut-être prévoir plus de temps pour interrompre le fonctionnement des piles à combustible à hydrogène.</w:t>
      </w:r>
    </w:p>
    <w:p w14:paraId="073D3941" w14:textId="3E38E0DA" w:rsidR="00EE5A50" w:rsidRPr="00B45033" w:rsidRDefault="00EE5A50" w:rsidP="00266C9F">
      <w:pPr>
        <w:pStyle w:val="SingleTxtG"/>
      </w:pPr>
      <w:r>
        <w:rPr>
          <w:lang w:val="fr-FR"/>
        </w:rPr>
        <w:t>6.</w:t>
      </w:r>
      <w:r>
        <w:rPr>
          <w:lang w:val="fr-FR"/>
        </w:rPr>
        <w:tab/>
        <w:t>Dans les rapports précédents du groupe de travail informel, il était proposé d’élaborer deux sections distinctes selon que le coupe-circuit principal fonctionne à hausse ou à basse tension. Cependant, en tout cas à ce stade de leur développement, les véhicules électriques sont équipés à la fois de systèmes à haute tension et de systèmes à basse tension</w:t>
      </w:r>
      <w:r w:rsidR="000F58A5">
        <w:rPr>
          <w:lang w:val="fr-FR"/>
        </w:rPr>
        <w:t xml:space="preserve"> </w:t>
      </w:r>
      <w:r>
        <w:rPr>
          <w:lang w:val="fr-FR"/>
        </w:rPr>
        <w:t>et</w:t>
      </w:r>
      <w:r w:rsidR="000F58A5">
        <w:rPr>
          <w:lang w:val="fr-FR"/>
        </w:rPr>
        <w:t xml:space="preserve">, </w:t>
      </w:r>
      <w:r>
        <w:rPr>
          <w:lang w:val="fr-FR"/>
        </w:rPr>
        <w:t xml:space="preserve">dans certains cas, c’est le système à basse tension qui contrôle le système (d’entraînement) à haute tension. C’est pourquoi il a été jugé préférable de s’en tenir à une section unique. </w:t>
      </w:r>
    </w:p>
    <w:p w14:paraId="26CE5523" w14:textId="539A7CEC" w:rsidR="00F9573C" w:rsidRDefault="00EE5A50" w:rsidP="00266C9F">
      <w:pPr>
        <w:pStyle w:val="SingleTxtG"/>
        <w:rPr>
          <w:lang w:val="fr-FR"/>
        </w:rPr>
      </w:pPr>
      <w:r>
        <w:rPr>
          <w:lang w:val="fr-FR"/>
        </w:rPr>
        <w:t>7.</w:t>
      </w:r>
      <w:r>
        <w:rPr>
          <w:lang w:val="fr-FR"/>
        </w:rPr>
        <w:tab/>
        <w:t>On s’est efforcé d’utiliser des termes neutres pour décrire le processus. Ainsi, le terme « interrupteur » est remplacé par « dispositif », ce qui sous-entend qu’il peut s’agir de tout système produisant l’effet requis. Étant donné</w:t>
      </w:r>
      <w:r w:rsidRPr="00B3771D">
        <w:rPr>
          <w:lang w:val="fr-FR"/>
        </w:rPr>
        <w:t xml:space="preserve"> que plus d</w:t>
      </w:r>
      <w:r>
        <w:rPr>
          <w:lang w:val="fr-FR"/>
        </w:rPr>
        <w:t>’</w:t>
      </w:r>
      <w:r w:rsidRPr="00B3771D">
        <w:rPr>
          <w:lang w:val="fr-FR"/>
        </w:rPr>
        <w:t>une source d</w:t>
      </w:r>
      <w:r>
        <w:rPr>
          <w:lang w:val="fr-FR"/>
        </w:rPr>
        <w:t>’</w:t>
      </w:r>
      <w:r w:rsidRPr="00B3771D">
        <w:rPr>
          <w:lang w:val="fr-FR"/>
        </w:rPr>
        <w:t>énergie peut être utilisée (batteries à haute tension et à basse tension)</w:t>
      </w:r>
      <w:r>
        <w:rPr>
          <w:lang w:val="fr-FR"/>
        </w:rPr>
        <w:t xml:space="preserve">, les piles à hydrogène et les panneaux solaires installés sur les camions sont également visés. La même formulation s’applique </w:t>
      </w:r>
      <w:r w:rsidRPr="00E6142B">
        <w:rPr>
          <w:lang w:val="fr-FR"/>
        </w:rPr>
        <w:t xml:space="preserve">dans la mesure du possible </w:t>
      </w:r>
      <w:r>
        <w:rPr>
          <w:lang w:val="fr-FR"/>
        </w:rPr>
        <w:t>à tous les systèmes, sauf lorsqu’il est nécessaire d’établir une distinction entre haute et basse tension</w:t>
      </w:r>
      <w:r w:rsidR="002B4157">
        <w:rPr>
          <w:lang w:val="fr-FR"/>
        </w:rPr>
        <w:t>s</w:t>
      </w:r>
      <w:r>
        <w:rPr>
          <w:lang w:val="fr-FR"/>
        </w:rPr>
        <w:t xml:space="preserve"> en fonction des dangers qu’elles présentent.</w:t>
      </w:r>
    </w:p>
    <w:p w14:paraId="3E287CDA" w14:textId="6E499EDE" w:rsidR="004B7D83" w:rsidRPr="004B7D83" w:rsidRDefault="004B7D83" w:rsidP="004B7D83">
      <w:pPr>
        <w:pStyle w:val="SingleTxtG"/>
        <w:spacing w:before="240" w:after="0"/>
        <w:jc w:val="center"/>
        <w:rPr>
          <w:u w:val="single"/>
        </w:rPr>
      </w:pPr>
      <w:r>
        <w:rPr>
          <w:u w:val="single"/>
        </w:rPr>
        <w:tab/>
      </w:r>
      <w:r>
        <w:rPr>
          <w:u w:val="single"/>
        </w:rPr>
        <w:tab/>
      </w:r>
      <w:r>
        <w:rPr>
          <w:u w:val="single"/>
        </w:rPr>
        <w:tab/>
      </w:r>
      <w:r>
        <w:rPr>
          <w:u w:val="single"/>
        </w:rPr>
        <w:tab/>
      </w:r>
    </w:p>
    <w:sectPr w:rsidR="004B7D83" w:rsidRPr="004B7D83" w:rsidSect="007F059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898B5" w14:textId="77777777" w:rsidR="004311C8" w:rsidRDefault="004311C8" w:rsidP="00F95C08">
      <w:pPr>
        <w:spacing w:line="240" w:lineRule="auto"/>
      </w:pPr>
    </w:p>
  </w:endnote>
  <w:endnote w:type="continuationSeparator" w:id="0">
    <w:p w14:paraId="4AF5161D" w14:textId="77777777" w:rsidR="004311C8" w:rsidRPr="00AC3823" w:rsidRDefault="004311C8" w:rsidP="00AC3823">
      <w:pPr>
        <w:pStyle w:val="Footer"/>
      </w:pPr>
    </w:p>
  </w:endnote>
  <w:endnote w:type="continuationNotice" w:id="1">
    <w:p w14:paraId="32C62C4F" w14:textId="77777777" w:rsidR="004311C8" w:rsidRDefault="004311C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836D" w14:textId="45DEEB71" w:rsidR="007F059C" w:rsidRPr="007F059C" w:rsidRDefault="007F059C" w:rsidP="007F059C">
    <w:pPr>
      <w:pStyle w:val="Footer"/>
      <w:tabs>
        <w:tab w:val="right" w:pos="9638"/>
      </w:tabs>
    </w:pPr>
    <w:r w:rsidRPr="007F059C">
      <w:rPr>
        <w:b/>
        <w:sz w:val="18"/>
      </w:rPr>
      <w:fldChar w:fldCharType="begin"/>
    </w:r>
    <w:r w:rsidRPr="007F059C">
      <w:rPr>
        <w:b/>
        <w:sz w:val="18"/>
      </w:rPr>
      <w:instrText xml:space="preserve"> PAGE  \* MERGEFORMAT </w:instrText>
    </w:r>
    <w:r w:rsidRPr="007F059C">
      <w:rPr>
        <w:b/>
        <w:sz w:val="18"/>
      </w:rPr>
      <w:fldChar w:fldCharType="separate"/>
    </w:r>
    <w:r w:rsidRPr="007F059C">
      <w:rPr>
        <w:b/>
        <w:noProof/>
        <w:sz w:val="18"/>
      </w:rPr>
      <w:t>2</w:t>
    </w:r>
    <w:r w:rsidRPr="007F059C">
      <w:rPr>
        <w:b/>
        <w:sz w:val="18"/>
      </w:rPr>
      <w:fldChar w:fldCharType="end"/>
    </w:r>
    <w:r>
      <w:rPr>
        <w:b/>
        <w:sz w:val="18"/>
      </w:rPr>
      <w:tab/>
    </w:r>
    <w:r>
      <w:t>GE.23-03080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88EC0" w14:textId="28BE2A83" w:rsidR="007F059C" w:rsidRPr="007F059C" w:rsidRDefault="007F059C" w:rsidP="007F059C">
    <w:pPr>
      <w:pStyle w:val="Footer"/>
      <w:tabs>
        <w:tab w:val="right" w:pos="9638"/>
      </w:tabs>
      <w:rPr>
        <w:b/>
        <w:sz w:val="18"/>
      </w:rPr>
    </w:pPr>
    <w:r>
      <w:t>GE.23-03080</w:t>
    </w:r>
    <w:r>
      <w:tab/>
    </w:r>
    <w:r w:rsidRPr="007F059C">
      <w:rPr>
        <w:b/>
        <w:sz w:val="18"/>
      </w:rPr>
      <w:fldChar w:fldCharType="begin"/>
    </w:r>
    <w:r w:rsidRPr="007F059C">
      <w:rPr>
        <w:b/>
        <w:sz w:val="18"/>
      </w:rPr>
      <w:instrText xml:space="preserve"> PAGE  \* MERGEFORMAT </w:instrText>
    </w:r>
    <w:r w:rsidRPr="007F059C">
      <w:rPr>
        <w:b/>
        <w:sz w:val="18"/>
      </w:rPr>
      <w:fldChar w:fldCharType="separate"/>
    </w:r>
    <w:r w:rsidRPr="007F059C">
      <w:rPr>
        <w:b/>
        <w:noProof/>
        <w:sz w:val="18"/>
      </w:rPr>
      <w:t>3</w:t>
    </w:r>
    <w:r w:rsidRPr="007F059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C6150" w14:textId="5F010DB7" w:rsidR="007F20FA" w:rsidRPr="007F059C" w:rsidRDefault="007F059C" w:rsidP="007F059C">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456B85A" wp14:editId="3EA9C7C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w:t>
    </w:r>
    <w:proofErr w:type="gramStart"/>
    <w:r>
      <w:rPr>
        <w:sz w:val="20"/>
      </w:rPr>
      <w:t>03080  (</w:t>
    </w:r>
    <w:proofErr w:type="gramEnd"/>
    <w:r>
      <w:rPr>
        <w:sz w:val="20"/>
      </w:rPr>
      <w:t>F)</w:t>
    </w:r>
    <w:r>
      <w:rPr>
        <w:noProof/>
        <w:sz w:val="20"/>
      </w:rPr>
      <w:drawing>
        <wp:anchor distT="0" distB="0" distL="114300" distR="114300" simplePos="0" relativeHeight="251660288" behindDoc="0" locked="0" layoutInCell="1" allowOverlap="1" wp14:anchorId="3603F204" wp14:editId="3F598A87">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210323    210323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211BB" w14:textId="77777777" w:rsidR="004311C8" w:rsidRPr="00AC3823" w:rsidRDefault="004311C8" w:rsidP="00AC3823">
      <w:pPr>
        <w:pStyle w:val="Footer"/>
        <w:tabs>
          <w:tab w:val="right" w:pos="2155"/>
        </w:tabs>
        <w:spacing w:after="80" w:line="240" w:lineRule="atLeast"/>
        <w:ind w:left="680"/>
        <w:rPr>
          <w:u w:val="single"/>
        </w:rPr>
      </w:pPr>
      <w:r>
        <w:rPr>
          <w:u w:val="single"/>
        </w:rPr>
        <w:tab/>
      </w:r>
    </w:p>
  </w:footnote>
  <w:footnote w:type="continuationSeparator" w:id="0">
    <w:p w14:paraId="2E0E4991" w14:textId="77777777" w:rsidR="004311C8" w:rsidRPr="00AC3823" w:rsidRDefault="004311C8" w:rsidP="00AC3823">
      <w:pPr>
        <w:pStyle w:val="Footer"/>
        <w:tabs>
          <w:tab w:val="right" w:pos="2155"/>
        </w:tabs>
        <w:spacing w:after="80" w:line="240" w:lineRule="atLeast"/>
        <w:ind w:left="680"/>
        <w:rPr>
          <w:u w:val="single"/>
        </w:rPr>
      </w:pPr>
      <w:r>
        <w:rPr>
          <w:u w:val="single"/>
        </w:rPr>
        <w:tab/>
      </w:r>
    </w:p>
  </w:footnote>
  <w:footnote w:type="continuationNotice" w:id="1">
    <w:p w14:paraId="42DC049C" w14:textId="77777777" w:rsidR="004311C8" w:rsidRPr="00AC3823" w:rsidRDefault="004311C8">
      <w:pPr>
        <w:spacing w:line="240" w:lineRule="auto"/>
        <w:rPr>
          <w:sz w:val="2"/>
          <w:szCs w:val="2"/>
        </w:rPr>
      </w:pPr>
    </w:p>
  </w:footnote>
  <w:footnote w:id="2">
    <w:p w14:paraId="36709588" w14:textId="789E1ADD" w:rsidR="00EE5A50" w:rsidRPr="00EE5A50" w:rsidRDefault="00EE5A50">
      <w:pPr>
        <w:pStyle w:val="FootnoteText"/>
      </w:pPr>
      <w:r>
        <w:rPr>
          <w:rStyle w:val="FootnoteReference"/>
        </w:rPr>
        <w:tab/>
      </w:r>
      <w:r w:rsidRPr="00EE5A50">
        <w:rPr>
          <w:rStyle w:val="FootnoteReference"/>
          <w:sz w:val="20"/>
          <w:vertAlign w:val="baseline"/>
        </w:rPr>
        <w:t>*</w:t>
      </w:r>
      <w:r>
        <w:rPr>
          <w:rStyle w:val="FootnoteReference"/>
          <w:sz w:val="20"/>
          <w:vertAlign w:val="baseline"/>
        </w:rPr>
        <w:tab/>
      </w:r>
      <w:r>
        <w:rPr>
          <w:lang w:val="fr-FR"/>
        </w:rPr>
        <w:t>A/77/6 (Sect. 20), tableau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288F" w14:textId="755CB1A6" w:rsidR="007F059C" w:rsidRPr="007F059C" w:rsidRDefault="00F60184">
    <w:pPr>
      <w:pStyle w:val="Header"/>
    </w:pPr>
    <w:r>
      <w:fldChar w:fldCharType="begin"/>
    </w:r>
    <w:r>
      <w:instrText xml:space="preserve"> TITLE  \* MERGEFORMAT </w:instrText>
    </w:r>
    <w:r>
      <w:fldChar w:fldCharType="separate"/>
    </w:r>
    <w:r>
      <w:t>ECE/TRANS/WP.15/2023/4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F9FD8" w14:textId="3B1DBFF8" w:rsidR="007F059C" w:rsidRPr="007F059C" w:rsidRDefault="00F60184" w:rsidP="007F059C">
    <w:pPr>
      <w:pStyle w:val="Header"/>
      <w:jc w:val="right"/>
    </w:pPr>
    <w:r>
      <w:fldChar w:fldCharType="begin"/>
    </w:r>
    <w:r>
      <w:instrText xml:space="preserve"> TITLE  \* MERGEFORMAT </w:instrText>
    </w:r>
    <w:r>
      <w:fldChar w:fldCharType="separate"/>
    </w:r>
    <w:r>
      <w:t>ECE/TRANS/WP.15/2023/4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540122114">
    <w:abstractNumId w:val="12"/>
  </w:num>
  <w:num w:numId="2" w16cid:durableId="943611754">
    <w:abstractNumId w:val="11"/>
  </w:num>
  <w:num w:numId="3" w16cid:durableId="19746522">
    <w:abstractNumId w:val="10"/>
  </w:num>
  <w:num w:numId="4" w16cid:durableId="767893038">
    <w:abstractNumId w:val="8"/>
  </w:num>
  <w:num w:numId="5" w16cid:durableId="1642080828">
    <w:abstractNumId w:val="3"/>
  </w:num>
  <w:num w:numId="6" w16cid:durableId="64961353">
    <w:abstractNumId w:val="2"/>
  </w:num>
  <w:num w:numId="7" w16cid:durableId="1882091692">
    <w:abstractNumId w:val="1"/>
  </w:num>
  <w:num w:numId="8" w16cid:durableId="927621023">
    <w:abstractNumId w:val="0"/>
  </w:num>
  <w:num w:numId="9" w16cid:durableId="1525631738">
    <w:abstractNumId w:val="9"/>
  </w:num>
  <w:num w:numId="10" w16cid:durableId="1555965670">
    <w:abstractNumId w:val="7"/>
  </w:num>
  <w:num w:numId="11" w16cid:durableId="1251507840">
    <w:abstractNumId w:val="6"/>
  </w:num>
  <w:num w:numId="12" w16cid:durableId="46413796">
    <w:abstractNumId w:val="5"/>
  </w:num>
  <w:num w:numId="13" w16cid:durableId="1966345338">
    <w:abstractNumId w:val="4"/>
  </w:num>
  <w:num w:numId="14" w16cid:durableId="944507865">
    <w:abstractNumId w:val="12"/>
  </w:num>
  <w:num w:numId="15" w16cid:durableId="1083524389">
    <w:abstractNumId w:val="11"/>
  </w:num>
  <w:num w:numId="16" w16cid:durableId="7241387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1C8"/>
    <w:rsid w:val="00017F94"/>
    <w:rsid w:val="00023842"/>
    <w:rsid w:val="000334F9"/>
    <w:rsid w:val="00045FEB"/>
    <w:rsid w:val="0007796D"/>
    <w:rsid w:val="000B7790"/>
    <w:rsid w:val="000F58A5"/>
    <w:rsid w:val="00111F2F"/>
    <w:rsid w:val="00116BC7"/>
    <w:rsid w:val="0014365E"/>
    <w:rsid w:val="00143C66"/>
    <w:rsid w:val="0016122B"/>
    <w:rsid w:val="00176178"/>
    <w:rsid w:val="001F525A"/>
    <w:rsid w:val="00201148"/>
    <w:rsid w:val="00217B20"/>
    <w:rsid w:val="00223272"/>
    <w:rsid w:val="0024779E"/>
    <w:rsid w:val="00257168"/>
    <w:rsid w:val="00266C9F"/>
    <w:rsid w:val="002744B8"/>
    <w:rsid w:val="002832AC"/>
    <w:rsid w:val="002B4157"/>
    <w:rsid w:val="002C7BFF"/>
    <w:rsid w:val="002D7C93"/>
    <w:rsid w:val="00305801"/>
    <w:rsid w:val="003916DE"/>
    <w:rsid w:val="00421996"/>
    <w:rsid w:val="004311C8"/>
    <w:rsid w:val="00441C3B"/>
    <w:rsid w:val="00446FE5"/>
    <w:rsid w:val="00452396"/>
    <w:rsid w:val="00477EB2"/>
    <w:rsid w:val="004837D8"/>
    <w:rsid w:val="004B7D83"/>
    <w:rsid w:val="004E2EED"/>
    <w:rsid w:val="004E468C"/>
    <w:rsid w:val="005505B7"/>
    <w:rsid w:val="00573BE5"/>
    <w:rsid w:val="00586ED3"/>
    <w:rsid w:val="00596AA9"/>
    <w:rsid w:val="006037AD"/>
    <w:rsid w:val="00683E4C"/>
    <w:rsid w:val="0071601D"/>
    <w:rsid w:val="007A62E6"/>
    <w:rsid w:val="007F059C"/>
    <w:rsid w:val="007F20FA"/>
    <w:rsid w:val="0080684C"/>
    <w:rsid w:val="00871C75"/>
    <w:rsid w:val="008776DC"/>
    <w:rsid w:val="008D5EF9"/>
    <w:rsid w:val="009446C0"/>
    <w:rsid w:val="009705C8"/>
    <w:rsid w:val="009C1CF4"/>
    <w:rsid w:val="009F6B74"/>
    <w:rsid w:val="00A3029F"/>
    <w:rsid w:val="00A30353"/>
    <w:rsid w:val="00AC3823"/>
    <w:rsid w:val="00AD0B7F"/>
    <w:rsid w:val="00AE323C"/>
    <w:rsid w:val="00AF0CB5"/>
    <w:rsid w:val="00B00181"/>
    <w:rsid w:val="00B00B0D"/>
    <w:rsid w:val="00B45F2E"/>
    <w:rsid w:val="00B765F7"/>
    <w:rsid w:val="00B77993"/>
    <w:rsid w:val="00BA0CA9"/>
    <w:rsid w:val="00BD05D9"/>
    <w:rsid w:val="00C02897"/>
    <w:rsid w:val="00C97039"/>
    <w:rsid w:val="00CE5642"/>
    <w:rsid w:val="00D3439C"/>
    <w:rsid w:val="00D7622E"/>
    <w:rsid w:val="00DB1831"/>
    <w:rsid w:val="00DD3BFD"/>
    <w:rsid w:val="00DF6678"/>
    <w:rsid w:val="00E0299A"/>
    <w:rsid w:val="00E85C74"/>
    <w:rsid w:val="00EA6547"/>
    <w:rsid w:val="00ED7237"/>
    <w:rsid w:val="00EE16BF"/>
    <w:rsid w:val="00EE5A50"/>
    <w:rsid w:val="00EF2E22"/>
    <w:rsid w:val="00F35BAF"/>
    <w:rsid w:val="00F60184"/>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10719"/>
  <w15:docId w15:val="{654F0591-5746-451F-AA02-CE0E310A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EE5A50"/>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958</Words>
  <Characters>5464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ECE/TRANS/WP.15/2023/4</vt:lpstr>
    </vt:vector>
  </TitlesOfParts>
  <Company>DCM</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ECE/TRANS/WP.15/2023/4</dc:title>
  <dc:subject/>
  <dc:creator>Nathalie VITTOZ</dc:creator>
  <cp:keywords/>
  <cp:lastModifiedBy>Laurence Berthet</cp:lastModifiedBy>
  <cp:revision>3</cp:revision>
  <cp:lastPrinted>2023-03-21T17:08:00Z</cp:lastPrinted>
  <dcterms:created xsi:type="dcterms:W3CDTF">2023-03-21T17:07:00Z</dcterms:created>
  <dcterms:modified xsi:type="dcterms:W3CDTF">2023-03-21T17:08:00Z</dcterms:modified>
</cp:coreProperties>
</file>