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959E2" w:rsidRPr="000959E2" w14:paraId="61732B1F" w14:textId="77777777" w:rsidTr="00C97039">
        <w:trPr>
          <w:trHeight w:hRule="exact" w:val="851"/>
        </w:trPr>
        <w:tc>
          <w:tcPr>
            <w:tcW w:w="1276" w:type="dxa"/>
            <w:tcBorders>
              <w:bottom w:val="single" w:sz="4" w:space="0" w:color="auto"/>
            </w:tcBorders>
          </w:tcPr>
          <w:p w14:paraId="30AB1663" w14:textId="77777777" w:rsidR="00F35BAF" w:rsidRPr="000959E2" w:rsidRDefault="00F35BAF" w:rsidP="00DD52CC"/>
        </w:tc>
        <w:tc>
          <w:tcPr>
            <w:tcW w:w="2268" w:type="dxa"/>
            <w:tcBorders>
              <w:bottom w:val="single" w:sz="4" w:space="0" w:color="auto"/>
            </w:tcBorders>
            <w:vAlign w:val="bottom"/>
          </w:tcPr>
          <w:p w14:paraId="2E869DB2" w14:textId="77777777" w:rsidR="00F35BAF" w:rsidRPr="000959E2" w:rsidRDefault="00F35BAF" w:rsidP="00C97039">
            <w:pPr>
              <w:spacing w:after="80" w:line="300" w:lineRule="exact"/>
              <w:rPr>
                <w:sz w:val="28"/>
              </w:rPr>
            </w:pPr>
            <w:r w:rsidRPr="000959E2">
              <w:rPr>
                <w:sz w:val="28"/>
              </w:rPr>
              <w:t>Nations Unies</w:t>
            </w:r>
          </w:p>
        </w:tc>
        <w:tc>
          <w:tcPr>
            <w:tcW w:w="6095" w:type="dxa"/>
            <w:gridSpan w:val="2"/>
            <w:tcBorders>
              <w:bottom w:val="single" w:sz="4" w:space="0" w:color="auto"/>
            </w:tcBorders>
            <w:vAlign w:val="bottom"/>
          </w:tcPr>
          <w:p w14:paraId="7D5C854F" w14:textId="5D6956DF" w:rsidR="00F35BAF" w:rsidRPr="000959E2" w:rsidRDefault="00DD52CC" w:rsidP="00DD52CC">
            <w:pPr>
              <w:jc w:val="right"/>
            </w:pPr>
            <w:r w:rsidRPr="000959E2">
              <w:rPr>
                <w:sz w:val="40"/>
              </w:rPr>
              <w:t>ECE</w:t>
            </w:r>
            <w:r w:rsidRPr="000959E2">
              <w:t>/TRANS/WP.15/2023/1</w:t>
            </w:r>
          </w:p>
        </w:tc>
      </w:tr>
      <w:tr w:rsidR="000959E2" w:rsidRPr="000959E2" w14:paraId="4062A08F" w14:textId="77777777" w:rsidTr="00C97039">
        <w:trPr>
          <w:trHeight w:hRule="exact" w:val="2835"/>
        </w:trPr>
        <w:tc>
          <w:tcPr>
            <w:tcW w:w="1276" w:type="dxa"/>
            <w:tcBorders>
              <w:top w:val="single" w:sz="4" w:space="0" w:color="auto"/>
              <w:bottom w:val="single" w:sz="12" w:space="0" w:color="auto"/>
            </w:tcBorders>
          </w:tcPr>
          <w:p w14:paraId="1A4A352E" w14:textId="77777777" w:rsidR="00F35BAF" w:rsidRPr="000959E2" w:rsidRDefault="00F35BAF" w:rsidP="00C97039">
            <w:pPr>
              <w:spacing w:before="120"/>
              <w:jc w:val="center"/>
            </w:pPr>
            <w:r w:rsidRPr="000959E2">
              <w:rPr>
                <w:noProof/>
                <w:lang w:eastAsia="fr-CH"/>
              </w:rPr>
              <w:drawing>
                <wp:inline distT="0" distB="0" distL="0" distR="0" wp14:anchorId="672AB7DA" wp14:editId="6CDC1C8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E6F549" w14:textId="77777777" w:rsidR="00F35BAF" w:rsidRPr="000959E2" w:rsidRDefault="00F35BAF" w:rsidP="00C97039">
            <w:pPr>
              <w:spacing w:before="120" w:line="420" w:lineRule="exact"/>
              <w:rPr>
                <w:b/>
                <w:sz w:val="40"/>
                <w:szCs w:val="40"/>
              </w:rPr>
            </w:pPr>
            <w:r w:rsidRPr="000959E2">
              <w:rPr>
                <w:b/>
                <w:sz w:val="40"/>
                <w:szCs w:val="40"/>
              </w:rPr>
              <w:t>Conseil économique et social</w:t>
            </w:r>
          </w:p>
        </w:tc>
        <w:tc>
          <w:tcPr>
            <w:tcW w:w="2835" w:type="dxa"/>
            <w:tcBorders>
              <w:top w:val="single" w:sz="4" w:space="0" w:color="auto"/>
              <w:bottom w:val="single" w:sz="12" w:space="0" w:color="auto"/>
            </w:tcBorders>
          </w:tcPr>
          <w:p w14:paraId="52C9A062" w14:textId="77777777" w:rsidR="00F35BAF" w:rsidRPr="000959E2" w:rsidRDefault="00DD52CC" w:rsidP="00C97039">
            <w:pPr>
              <w:spacing w:before="240"/>
            </w:pPr>
            <w:proofErr w:type="spellStart"/>
            <w:r w:rsidRPr="000959E2">
              <w:t>Distr</w:t>
            </w:r>
            <w:proofErr w:type="spellEnd"/>
            <w:r w:rsidRPr="000959E2">
              <w:t xml:space="preserve">. </w:t>
            </w:r>
            <w:proofErr w:type="gramStart"/>
            <w:r w:rsidRPr="000959E2">
              <w:t>générale</w:t>
            </w:r>
            <w:proofErr w:type="gramEnd"/>
          </w:p>
          <w:p w14:paraId="6D1F8CE1" w14:textId="77777777" w:rsidR="00DD52CC" w:rsidRPr="000959E2" w:rsidRDefault="00DD52CC" w:rsidP="00DD52CC">
            <w:pPr>
              <w:spacing w:line="240" w:lineRule="exact"/>
            </w:pPr>
            <w:r w:rsidRPr="000959E2">
              <w:t>16 février 2023</w:t>
            </w:r>
          </w:p>
          <w:p w14:paraId="09732B45" w14:textId="77777777" w:rsidR="00DD52CC" w:rsidRPr="000959E2" w:rsidRDefault="00DD52CC" w:rsidP="00DD52CC">
            <w:pPr>
              <w:spacing w:line="240" w:lineRule="exact"/>
            </w:pPr>
            <w:r w:rsidRPr="000959E2">
              <w:t>Français</w:t>
            </w:r>
          </w:p>
          <w:p w14:paraId="565CC79C" w14:textId="64C92F6F" w:rsidR="00DD52CC" w:rsidRPr="000959E2" w:rsidRDefault="00DD52CC" w:rsidP="00DD52CC">
            <w:pPr>
              <w:spacing w:line="240" w:lineRule="exact"/>
            </w:pPr>
            <w:r w:rsidRPr="000959E2">
              <w:t>Original : anglais</w:t>
            </w:r>
          </w:p>
        </w:tc>
      </w:tr>
    </w:tbl>
    <w:p w14:paraId="22B67594" w14:textId="77777777" w:rsidR="007F20FA" w:rsidRPr="000959E2" w:rsidRDefault="007F20FA" w:rsidP="007F20FA">
      <w:pPr>
        <w:spacing w:before="120"/>
        <w:rPr>
          <w:b/>
          <w:sz w:val="28"/>
          <w:szCs w:val="28"/>
        </w:rPr>
      </w:pPr>
      <w:r w:rsidRPr="000959E2">
        <w:rPr>
          <w:b/>
          <w:sz w:val="28"/>
          <w:szCs w:val="28"/>
        </w:rPr>
        <w:t>Commission économique pour l’Europe</w:t>
      </w:r>
    </w:p>
    <w:p w14:paraId="4CC96A42" w14:textId="77777777" w:rsidR="007F20FA" w:rsidRPr="000959E2" w:rsidRDefault="007F20FA" w:rsidP="007F20FA">
      <w:pPr>
        <w:spacing w:before="120"/>
        <w:rPr>
          <w:sz w:val="28"/>
          <w:szCs w:val="28"/>
        </w:rPr>
      </w:pPr>
      <w:r w:rsidRPr="000959E2">
        <w:rPr>
          <w:sz w:val="28"/>
          <w:szCs w:val="28"/>
        </w:rPr>
        <w:t>Comité des transports intérieurs</w:t>
      </w:r>
    </w:p>
    <w:p w14:paraId="4B347C63" w14:textId="54C0C495" w:rsidR="00DD52CC" w:rsidRPr="000959E2" w:rsidRDefault="00DD52CC" w:rsidP="00DD52CC">
      <w:pPr>
        <w:spacing w:before="120"/>
        <w:rPr>
          <w:b/>
          <w:sz w:val="24"/>
          <w:szCs w:val="24"/>
          <w:lang w:val="fr-FR"/>
        </w:rPr>
      </w:pPr>
      <w:r w:rsidRPr="000959E2">
        <w:rPr>
          <w:b/>
          <w:bCs/>
          <w:sz w:val="24"/>
          <w:szCs w:val="24"/>
          <w:lang w:val="fr-FR"/>
        </w:rPr>
        <w:t xml:space="preserve">Groupe de travail des transports </w:t>
      </w:r>
      <w:r w:rsidR="00CF4FAA" w:rsidRPr="000959E2">
        <w:rPr>
          <w:b/>
          <w:bCs/>
          <w:sz w:val="24"/>
          <w:szCs w:val="24"/>
          <w:lang w:val="fr-FR"/>
        </w:rPr>
        <w:br/>
      </w:r>
      <w:r w:rsidRPr="000959E2">
        <w:rPr>
          <w:b/>
          <w:bCs/>
          <w:sz w:val="24"/>
          <w:szCs w:val="24"/>
          <w:lang w:val="fr-FR"/>
        </w:rPr>
        <w:t>de marchandises dangereuses</w:t>
      </w:r>
    </w:p>
    <w:p w14:paraId="3794BC7B" w14:textId="77777777" w:rsidR="00DD52CC" w:rsidRPr="000959E2" w:rsidRDefault="00DD52CC" w:rsidP="00DD52CC">
      <w:pPr>
        <w:spacing w:before="120"/>
        <w:rPr>
          <w:rFonts w:eastAsia="SimSun"/>
          <w:b/>
          <w:lang w:val="fr-FR"/>
        </w:rPr>
      </w:pPr>
      <w:r w:rsidRPr="000959E2">
        <w:rPr>
          <w:b/>
          <w:bCs/>
          <w:lang w:val="fr-FR"/>
        </w:rPr>
        <w:t>113</w:t>
      </w:r>
      <w:r w:rsidRPr="000959E2">
        <w:rPr>
          <w:b/>
          <w:bCs/>
          <w:vertAlign w:val="superscript"/>
          <w:lang w:val="fr-FR"/>
        </w:rPr>
        <w:t>e</w:t>
      </w:r>
      <w:r w:rsidRPr="000959E2">
        <w:rPr>
          <w:b/>
          <w:bCs/>
          <w:lang w:val="fr-FR"/>
        </w:rPr>
        <w:t xml:space="preserve"> session</w:t>
      </w:r>
      <w:r w:rsidRPr="000959E2">
        <w:rPr>
          <w:lang w:val="fr-FR"/>
        </w:rPr>
        <w:t xml:space="preserve"> </w:t>
      </w:r>
    </w:p>
    <w:p w14:paraId="600F7E58" w14:textId="77777777" w:rsidR="00DD52CC" w:rsidRPr="000959E2" w:rsidRDefault="00DD52CC" w:rsidP="00DD52CC">
      <w:pPr>
        <w:rPr>
          <w:lang w:val="fr-FR"/>
        </w:rPr>
      </w:pPr>
      <w:r w:rsidRPr="000959E2">
        <w:rPr>
          <w:lang w:val="fr-FR"/>
        </w:rPr>
        <w:t xml:space="preserve">Genève, 15-19 mai 2023 </w:t>
      </w:r>
    </w:p>
    <w:p w14:paraId="4D6ED0A2" w14:textId="77777777" w:rsidR="00DD52CC" w:rsidRPr="000959E2" w:rsidRDefault="00DD52CC" w:rsidP="00DD52CC">
      <w:pPr>
        <w:rPr>
          <w:lang w:val="fr-FR"/>
        </w:rPr>
      </w:pPr>
      <w:r w:rsidRPr="000959E2">
        <w:rPr>
          <w:lang w:val="fr-FR"/>
        </w:rPr>
        <w:t>Point 5 a) de l’ordre du jour provisoire</w:t>
      </w:r>
    </w:p>
    <w:p w14:paraId="2F46A873" w14:textId="7053D0C2" w:rsidR="00DD52CC" w:rsidRPr="000959E2" w:rsidRDefault="00DD52CC" w:rsidP="00DD52CC">
      <w:pPr>
        <w:rPr>
          <w:b/>
          <w:bCs/>
          <w:szCs w:val="24"/>
          <w:lang w:val="fr-FR"/>
        </w:rPr>
      </w:pPr>
      <w:r w:rsidRPr="000959E2">
        <w:rPr>
          <w:b/>
          <w:bCs/>
          <w:lang w:val="fr-FR"/>
        </w:rPr>
        <w:t>Propositions d’amendements aux annexes A et B de l’ADR</w:t>
      </w:r>
      <w:r w:rsidR="00CF4FAA" w:rsidRPr="000959E2">
        <w:rPr>
          <w:b/>
          <w:bCs/>
          <w:lang w:val="fr-FR"/>
        </w:rPr>
        <w:t> </w:t>
      </w:r>
      <w:r w:rsidRPr="000959E2">
        <w:rPr>
          <w:b/>
          <w:bCs/>
          <w:lang w:val="fr-FR"/>
        </w:rPr>
        <w:t xml:space="preserve">: </w:t>
      </w:r>
      <w:r w:rsidRPr="000959E2">
        <w:rPr>
          <w:b/>
          <w:bCs/>
          <w:lang w:val="fr-FR"/>
        </w:rPr>
        <w:br/>
      </w:r>
      <w:r w:rsidR="00CF4FAA" w:rsidRPr="000959E2">
        <w:rPr>
          <w:b/>
          <w:bCs/>
          <w:lang w:val="fr-FR"/>
        </w:rPr>
        <w:t>c</w:t>
      </w:r>
      <w:r w:rsidRPr="000959E2">
        <w:rPr>
          <w:b/>
          <w:bCs/>
          <w:lang w:val="fr-FR"/>
        </w:rPr>
        <w:t>onstruction et agrément des véhicules</w:t>
      </w:r>
    </w:p>
    <w:p w14:paraId="44B91633" w14:textId="77777777" w:rsidR="00DD52CC" w:rsidRPr="000959E2" w:rsidRDefault="00DD52CC" w:rsidP="00CF4FAA">
      <w:pPr>
        <w:pStyle w:val="HChG"/>
        <w:rPr>
          <w:lang w:val="fr-FR"/>
        </w:rPr>
      </w:pPr>
      <w:r w:rsidRPr="000959E2">
        <w:rPr>
          <w:lang w:val="fr-FR"/>
        </w:rPr>
        <w:tab/>
      </w:r>
      <w:r w:rsidRPr="000959E2">
        <w:rPr>
          <w:lang w:val="fr-FR"/>
        </w:rPr>
        <w:tab/>
        <w:t>Section 9.7.6 sur la protection arrière des véhicules</w:t>
      </w:r>
    </w:p>
    <w:p w14:paraId="0B9574E1" w14:textId="3C35A51C" w:rsidR="00DD52CC" w:rsidRPr="000959E2" w:rsidRDefault="00DD52CC" w:rsidP="00CF4FAA">
      <w:pPr>
        <w:pStyle w:val="H1G"/>
        <w:rPr>
          <w:b w:val="0"/>
          <w:bCs/>
          <w:sz w:val="20"/>
        </w:rPr>
      </w:pPr>
      <w:r w:rsidRPr="000959E2">
        <w:rPr>
          <w:lang w:val="fr-FR"/>
        </w:rPr>
        <w:tab/>
      </w:r>
      <w:r w:rsidRPr="000959E2">
        <w:rPr>
          <w:lang w:val="fr-FR"/>
        </w:rPr>
        <w:tab/>
        <w:t xml:space="preserve">Communication du Gouvernement du </w:t>
      </w:r>
      <w:r w:rsidR="00CF4FAA" w:rsidRPr="000959E2">
        <w:rPr>
          <w:lang w:val="fr-FR"/>
        </w:rPr>
        <w:t>Royaume-Uni</w:t>
      </w:r>
      <w:r w:rsidR="00CF4FAA" w:rsidRPr="000959E2">
        <w:rPr>
          <w:rStyle w:val="FootnoteReference"/>
          <w:b w:val="0"/>
          <w:bCs/>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0959E2" w:rsidRPr="000959E2" w14:paraId="2FC36080" w14:textId="77777777" w:rsidTr="00CF4FAA">
        <w:trPr>
          <w:jc w:val="center"/>
        </w:trPr>
        <w:tc>
          <w:tcPr>
            <w:tcW w:w="9628" w:type="dxa"/>
            <w:shd w:val="clear" w:color="auto" w:fill="auto"/>
          </w:tcPr>
          <w:p w14:paraId="22B25DC0" w14:textId="77777777" w:rsidR="00CF4FAA" w:rsidRPr="000959E2" w:rsidRDefault="00CF4FAA">
            <w:pPr>
              <w:spacing w:before="240" w:after="120"/>
              <w:ind w:left="255"/>
              <w:rPr>
                <w:i/>
                <w:sz w:val="24"/>
              </w:rPr>
            </w:pPr>
            <w:r w:rsidRPr="000959E2">
              <w:rPr>
                <w:i/>
                <w:sz w:val="24"/>
              </w:rPr>
              <w:t>Résumé</w:t>
            </w:r>
          </w:p>
        </w:tc>
      </w:tr>
      <w:tr w:rsidR="000959E2" w:rsidRPr="000959E2" w14:paraId="61E4A9EB" w14:textId="77777777" w:rsidTr="00CF4FAA">
        <w:trPr>
          <w:jc w:val="center"/>
        </w:trPr>
        <w:tc>
          <w:tcPr>
            <w:tcW w:w="9628" w:type="dxa"/>
            <w:shd w:val="clear" w:color="auto" w:fill="auto"/>
          </w:tcPr>
          <w:p w14:paraId="1662A871" w14:textId="07545D3C" w:rsidR="00CF4FAA" w:rsidRPr="000959E2" w:rsidRDefault="00CF4FAA" w:rsidP="00CF4FAA">
            <w:pPr>
              <w:pStyle w:val="SingleTxtG"/>
              <w:ind w:left="3402" w:hanging="2268"/>
            </w:pPr>
            <w:r w:rsidRPr="000959E2">
              <w:rPr>
                <w:b/>
                <w:bCs/>
                <w:lang w:val="fr-FR"/>
              </w:rPr>
              <w:t>Résumé analytique :</w:t>
            </w:r>
            <w:r w:rsidRPr="000959E2">
              <w:rPr>
                <w:b/>
                <w:bCs/>
                <w:lang w:val="fr-FR"/>
              </w:rPr>
              <w:tab/>
            </w:r>
            <w:r w:rsidRPr="000959E2">
              <w:rPr>
                <w:lang w:val="fr-FR"/>
              </w:rPr>
              <w:t>Propositions visant à clarifier les prescriptions du 9.7.6 de l’ADR concernant la distance d’au moins 100 mm requise entre la paroi arrière de la citerne et la partie arrière du pare-chocs, afin d’en garantir une interprétation uniforme.</w:t>
            </w:r>
          </w:p>
        </w:tc>
      </w:tr>
      <w:tr w:rsidR="000959E2" w:rsidRPr="000959E2" w14:paraId="679A4B05" w14:textId="77777777" w:rsidTr="00CF4FAA">
        <w:trPr>
          <w:jc w:val="center"/>
        </w:trPr>
        <w:tc>
          <w:tcPr>
            <w:tcW w:w="9628" w:type="dxa"/>
            <w:shd w:val="clear" w:color="auto" w:fill="auto"/>
          </w:tcPr>
          <w:p w14:paraId="1C579921" w14:textId="480CDE38" w:rsidR="00CF4FAA" w:rsidRPr="000959E2" w:rsidRDefault="00036FF0" w:rsidP="00036FF0">
            <w:pPr>
              <w:pStyle w:val="SingleTxtG"/>
              <w:ind w:left="3402" w:hanging="2268"/>
            </w:pPr>
            <w:r w:rsidRPr="000959E2">
              <w:rPr>
                <w:b/>
                <w:bCs/>
                <w:lang w:val="fr-FR"/>
              </w:rPr>
              <w:t>Mesure à prendre :</w:t>
            </w:r>
            <w:r w:rsidRPr="000959E2">
              <w:rPr>
                <w:b/>
                <w:bCs/>
                <w:lang w:val="fr-FR"/>
              </w:rPr>
              <w:tab/>
            </w:r>
            <w:r w:rsidRPr="000959E2">
              <w:rPr>
                <w:lang w:val="fr-FR"/>
              </w:rPr>
              <w:t>Modifier le 9.7.6 de l’ADR.</w:t>
            </w:r>
          </w:p>
        </w:tc>
      </w:tr>
      <w:tr w:rsidR="000959E2" w:rsidRPr="000959E2" w14:paraId="106D7A3E" w14:textId="77777777" w:rsidTr="00CF4FAA">
        <w:trPr>
          <w:jc w:val="center"/>
        </w:trPr>
        <w:tc>
          <w:tcPr>
            <w:tcW w:w="9628" w:type="dxa"/>
            <w:shd w:val="clear" w:color="auto" w:fill="auto"/>
          </w:tcPr>
          <w:p w14:paraId="55BE6C85" w14:textId="77777777" w:rsidR="00036FF0" w:rsidRPr="000959E2" w:rsidRDefault="00036FF0" w:rsidP="00BB14C0">
            <w:pPr>
              <w:pStyle w:val="SingleTxtG"/>
              <w:spacing w:after="0"/>
              <w:ind w:left="3402" w:hanging="2268"/>
              <w:rPr>
                <w:lang w:val="fr-FR"/>
              </w:rPr>
            </w:pPr>
            <w:r w:rsidRPr="000959E2">
              <w:rPr>
                <w:b/>
                <w:bCs/>
                <w:lang w:val="fr-FR"/>
              </w:rPr>
              <w:t>Documents connexes :</w:t>
            </w:r>
            <w:r w:rsidRPr="000959E2">
              <w:rPr>
                <w:b/>
                <w:bCs/>
                <w:lang w:val="fr-FR"/>
              </w:rPr>
              <w:tab/>
            </w:r>
            <w:r w:rsidRPr="000959E2">
              <w:rPr>
                <w:lang w:val="fr-FR"/>
              </w:rPr>
              <w:t>ECE/TRANS/WP.15/2020/5 et document informel INF.16 de la 108</w:t>
            </w:r>
            <w:r w:rsidRPr="000959E2">
              <w:rPr>
                <w:vertAlign w:val="superscript"/>
                <w:lang w:val="fr-FR"/>
              </w:rPr>
              <w:t>e</w:t>
            </w:r>
            <w:r w:rsidRPr="000959E2">
              <w:rPr>
                <w:lang w:val="fr-FR"/>
              </w:rPr>
              <w:t xml:space="preserve"> session</w:t>
            </w:r>
          </w:p>
          <w:p w14:paraId="425E612B" w14:textId="77777777" w:rsidR="00036FF0" w:rsidRPr="000959E2" w:rsidRDefault="00036FF0" w:rsidP="00BB14C0">
            <w:pPr>
              <w:pStyle w:val="SingleTxtG"/>
              <w:spacing w:after="0"/>
              <w:ind w:left="3402"/>
              <w:rPr>
                <w:lang w:val="fr-FR"/>
              </w:rPr>
            </w:pPr>
            <w:r w:rsidRPr="000959E2">
              <w:rPr>
                <w:lang w:val="fr-FR"/>
              </w:rPr>
              <w:t>ECE/TRANS/WP.15/2021/7 et document informel INF.5 de la 109</w:t>
            </w:r>
            <w:r w:rsidRPr="000959E2">
              <w:rPr>
                <w:vertAlign w:val="superscript"/>
                <w:lang w:val="fr-FR"/>
              </w:rPr>
              <w:t>e</w:t>
            </w:r>
            <w:r w:rsidRPr="000959E2">
              <w:rPr>
                <w:lang w:val="fr-FR"/>
              </w:rPr>
              <w:t xml:space="preserve"> session </w:t>
            </w:r>
          </w:p>
          <w:p w14:paraId="29423F37" w14:textId="54ECB902" w:rsidR="00036FF0" w:rsidRPr="000959E2" w:rsidRDefault="00036FF0" w:rsidP="00BB14C0">
            <w:pPr>
              <w:pStyle w:val="SingleTxtG"/>
              <w:spacing w:after="0"/>
              <w:ind w:left="3402"/>
              <w:rPr>
                <w:lang w:val="fr-FR"/>
              </w:rPr>
            </w:pPr>
            <w:r w:rsidRPr="000959E2">
              <w:rPr>
                <w:lang w:val="fr-FR"/>
              </w:rPr>
              <w:t>ECE</w:t>
            </w:r>
            <w:r w:rsidR="009D1AAC">
              <w:rPr>
                <w:lang w:val="fr-FR"/>
              </w:rPr>
              <w:t>/</w:t>
            </w:r>
            <w:r w:rsidRPr="000959E2">
              <w:rPr>
                <w:lang w:val="fr-FR"/>
              </w:rPr>
              <w:t>TRANS/WP.15/253, paragraphes 19 à 22</w:t>
            </w:r>
          </w:p>
          <w:p w14:paraId="7559C87E" w14:textId="242BFF76" w:rsidR="00CF4FAA" w:rsidRPr="000959E2" w:rsidRDefault="00036FF0" w:rsidP="00036FF0">
            <w:pPr>
              <w:pStyle w:val="SingleTxtG"/>
              <w:ind w:left="3402"/>
              <w:rPr>
                <w:lang w:val="en-US"/>
              </w:rPr>
            </w:pPr>
            <w:r w:rsidRPr="000959E2">
              <w:rPr>
                <w:lang w:val="en-US"/>
              </w:rPr>
              <w:t>ECE/TRANS/WP.15/AC.1/158/Add.1 (point 9</w:t>
            </w:r>
            <w:r w:rsidR="00BB14C0" w:rsidRPr="000959E2">
              <w:rPr>
                <w:lang w:val="en-US"/>
              </w:rPr>
              <w:t>)</w:t>
            </w:r>
          </w:p>
        </w:tc>
      </w:tr>
      <w:tr w:rsidR="000959E2" w:rsidRPr="000959E2" w14:paraId="787976FE" w14:textId="77777777" w:rsidTr="00CF4FAA">
        <w:trPr>
          <w:jc w:val="center"/>
        </w:trPr>
        <w:tc>
          <w:tcPr>
            <w:tcW w:w="9628" w:type="dxa"/>
            <w:shd w:val="clear" w:color="auto" w:fill="auto"/>
          </w:tcPr>
          <w:p w14:paraId="52F768BA" w14:textId="77777777" w:rsidR="00CF4FAA" w:rsidRPr="000959E2" w:rsidRDefault="00CF4FAA">
            <w:pPr>
              <w:rPr>
                <w:lang w:val="en-US"/>
              </w:rPr>
            </w:pPr>
          </w:p>
        </w:tc>
      </w:tr>
    </w:tbl>
    <w:p w14:paraId="710BFB23" w14:textId="73AE50FE" w:rsidR="00CF4FAA" w:rsidRPr="000959E2" w:rsidRDefault="00CF4FAA" w:rsidP="00CF4FAA">
      <w:pPr>
        <w:rPr>
          <w:lang w:val="en-US"/>
        </w:rPr>
      </w:pPr>
    </w:p>
    <w:p w14:paraId="06D16FB4" w14:textId="77777777" w:rsidR="00DD52CC" w:rsidRPr="000959E2" w:rsidRDefault="00DD52CC" w:rsidP="00DD52CC">
      <w:pPr>
        <w:rPr>
          <w:b/>
          <w:sz w:val="28"/>
          <w:lang w:val="en-US"/>
        </w:rPr>
      </w:pPr>
      <w:r w:rsidRPr="000959E2">
        <w:rPr>
          <w:b/>
          <w:sz w:val="28"/>
          <w:lang w:val="en-US"/>
        </w:rPr>
        <w:br w:type="page"/>
      </w:r>
    </w:p>
    <w:p w14:paraId="2BB70902" w14:textId="77777777" w:rsidR="00DD52CC" w:rsidRPr="000959E2" w:rsidRDefault="00DD52CC" w:rsidP="008F3167">
      <w:pPr>
        <w:pStyle w:val="HChG"/>
        <w:rPr>
          <w:lang w:val="fr-FR"/>
        </w:rPr>
      </w:pPr>
      <w:r w:rsidRPr="000959E2">
        <w:rPr>
          <w:lang w:val="en-US"/>
        </w:rPr>
        <w:lastRenderedPageBreak/>
        <w:tab/>
      </w:r>
      <w:r w:rsidRPr="000959E2">
        <w:rPr>
          <w:lang w:val="en-US"/>
        </w:rPr>
        <w:tab/>
      </w:r>
      <w:r w:rsidRPr="000959E2">
        <w:rPr>
          <w:lang w:val="fr-FR"/>
        </w:rPr>
        <w:t xml:space="preserve">Contexte </w:t>
      </w:r>
    </w:p>
    <w:p w14:paraId="27E1698B" w14:textId="77777777" w:rsidR="00DD52CC" w:rsidRPr="000959E2" w:rsidRDefault="00DD52CC" w:rsidP="008F3167">
      <w:pPr>
        <w:pStyle w:val="SingleTxtG"/>
        <w:rPr>
          <w:lang w:val="fr-FR"/>
        </w:rPr>
      </w:pPr>
      <w:r w:rsidRPr="000959E2">
        <w:rPr>
          <w:lang w:val="fr-FR"/>
        </w:rPr>
        <w:t>1.</w:t>
      </w:r>
      <w:r w:rsidRPr="000959E2">
        <w:rPr>
          <w:lang w:val="fr-FR"/>
        </w:rPr>
        <w:tab/>
        <w:t>Les propositions soumises aux 108</w:t>
      </w:r>
      <w:r w:rsidRPr="000959E2">
        <w:rPr>
          <w:vertAlign w:val="superscript"/>
          <w:lang w:val="fr-FR"/>
        </w:rPr>
        <w:t>e</w:t>
      </w:r>
      <w:r w:rsidRPr="000959E2">
        <w:rPr>
          <w:lang w:val="fr-FR"/>
        </w:rPr>
        <w:t xml:space="preserve"> et 109</w:t>
      </w:r>
      <w:r w:rsidRPr="000959E2">
        <w:rPr>
          <w:vertAlign w:val="superscript"/>
          <w:lang w:val="fr-FR"/>
        </w:rPr>
        <w:t>e</w:t>
      </w:r>
      <w:r w:rsidRPr="000959E2">
        <w:rPr>
          <w:lang w:val="fr-FR"/>
        </w:rPr>
        <w:t xml:space="preserve"> sessions visaient à préciser les points de référence utilisés pour mesurer la distance requise entre la paroi arrière de la citerne et la partie arrière du pare-chocs, telle qu’elle est prescrite au 9.7.6 de l’ADR. </w:t>
      </w:r>
    </w:p>
    <w:p w14:paraId="0D9ACED8" w14:textId="1D47AA35" w:rsidR="00DD52CC" w:rsidRPr="000959E2" w:rsidRDefault="00DD52CC" w:rsidP="008F3167">
      <w:pPr>
        <w:pStyle w:val="SingleTxtG"/>
        <w:rPr>
          <w:lang w:val="fr-FR"/>
        </w:rPr>
      </w:pPr>
      <w:r w:rsidRPr="000959E2">
        <w:rPr>
          <w:lang w:val="fr-FR"/>
        </w:rPr>
        <w:t>2.</w:t>
      </w:r>
      <w:r w:rsidRPr="000959E2">
        <w:rPr>
          <w:lang w:val="fr-FR"/>
        </w:rPr>
        <w:tab/>
        <w:t>Les points clés abordés au cours des débats sont consignés dans le rapport de la 109</w:t>
      </w:r>
      <w:r w:rsidRPr="000959E2">
        <w:rPr>
          <w:vertAlign w:val="superscript"/>
          <w:lang w:val="fr-FR"/>
        </w:rPr>
        <w:t>e</w:t>
      </w:r>
      <w:r w:rsidRPr="000959E2">
        <w:rPr>
          <w:lang w:val="fr-FR"/>
        </w:rPr>
        <w:t> session (ECE/TRANS/WP.15/253), dont les paragraphes pertinents sont reproduits ci</w:t>
      </w:r>
      <w:r w:rsidR="00487878">
        <w:rPr>
          <w:lang w:val="fr-FR"/>
        </w:rPr>
        <w:noBreakHyphen/>
      </w:r>
      <w:r w:rsidRPr="000959E2">
        <w:rPr>
          <w:lang w:val="fr-FR"/>
        </w:rPr>
        <w:t>dessous à titre de référence</w:t>
      </w:r>
      <w:r w:rsidR="008F3167" w:rsidRPr="000959E2">
        <w:rPr>
          <w:lang w:val="fr-FR"/>
        </w:rPr>
        <w:t> :</w:t>
      </w:r>
    </w:p>
    <w:p w14:paraId="06FDE3AD" w14:textId="61597710" w:rsidR="00DD52CC" w:rsidRPr="000959E2" w:rsidRDefault="00DD52CC" w:rsidP="00487878">
      <w:pPr>
        <w:pStyle w:val="SingleTxtG"/>
        <w:tabs>
          <w:tab w:val="left" w:pos="3686"/>
        </w:tabs>
        <w:ind w:left="1701"/>
        <w:rPr>
          <w:lang w:val="fr-FR"/>
        </w:rPr>
      </w:pPr>
      <w:r w:rsidRPr="000959E2">
        <w:rPr>
          <w:lang w:val="fr-FR"/>
        </w:rPr>
        <w:t>« </w:t>
      </w:r>
      <w:r w:rsidRPr="00487878">
        <w:rPr>
          <w:i/>
          <w:iCs/>
          <w:lang w:val="fr-FR"/>
        </w:rPr>
        <w:t>Document</w:t>
      </w:r>
      <w:r w:rsidRPr="000959E2">
        <w:rPr>
          <w:lang w:val="fr-FR"/>
        </w:rPr>
        <w:t xml:space="preserve"> : </w:t>
      </w:r>
      <w:r w:rsidR="00487878">
        <w:rPr>
          <w:lang w:val="fr-FR"/>
        </w:rPr>
        <w:tab/>
      </w:r>
      <w:r w:rsidRPr="000959E2">
        <w:rPr>
          <w:lang w:val="fr-FR"/>
        </w:rPr>
        <w:t xml:space="preserve">ECE/TRANS/WP.15/2021/7 (France) </w:t>
      </w:r>
    </w:p>
    <w:p w14:paraId="551427F5" w14:textId="4039896A" w:rsidR="00DD52CC" w:rsidRPr="000959E2" w:rsidRDefault="00DD52CC" w:rsidP="00487878">
      <w:pPr>
        <w:pStyle w:val="SingleTxtG"/>
        <w:tabs>
          <w:tab w:val="left" w:pos="3686"/>
        </w:tabs>
        <w:ind w:left="1701"/>
        <w:rPr>
          <w:lang w:val="fr-FR"/>
        </w:rPr>
      </w:pPr>
      <w:r w:rsidRPr="00487878">
        <w:rPr>
          <w:i/>
          <w:iCs/>
          <w:lang w:val="fr-FR"/>
        </w:rPr>
        <w:t>Document informel</w:t>
      </w:r>
      <w:r w:rsidRPr="000959E2">
        <w:rPr>
          <w:lang w:val="fr-FR"/>
        </w:rPr>
        <w:t xml:space="preserve"> : </w:t>
      </w:r>
      <w:r w:rsidR="00487878">
        <w:rPr>
          <w:lang w:val="fr-FR"/>
        </w:rPr>
        <w:tab/>
      </w:r>
      <w:r w:rsidRPr="000959E2">
        <w:rPr>
          <w:lang w:val="fr-FR"/>
        </w:rPr>
        <w:t xml:space="preserve">INF.5 (Pays-Bas) </w:t>
      </w:r>
    </w:p>
    <w:p w14:paraId="014DC01E" w14:textId="37FEE8EC" w:rsidR="00DD52CC" w:rsidRPr="000959E2" w:rsidRDefault="00DD52CC" w:rsidP="008F3167">
      <w:pPr>
        <w:pStyle w:val="SingleTxtG"/>
        <w:ind w:left="1701"/>
        <w:rPr>
          <w:lang w:val="fr-FR"/>
        </w:rPr>
      </w:pPr>
      <w:r w:rsidRPr="000959E2">
        <w:rPr>
          <w:lang w:val="fr-FR"/>
        </w:rPr>
        <w:t>19.</w:t>
      </w:r>
      <w:r w:rsidRPr="000959E2">
        <w:rPr>
          <w:lang w:val="fr-FR"/>
        </w:rPr>
        <w:tab/>
        <w:t xml:space="preserve">La proposition figurant dans le document ECE/TRANS/WP.15/2021/7 visait à garantir une interprétation uniforme quant à la façon de mesurer l’espace libre de 100 mm requis entre la paroi arrière de la citerne et le pare-chocs arrière. </w:t>
      </w:r>
    </w:p>
    <w:p w14:paraId="1ECFF7C5" w14:textId="493A7C34" w:rsidR="00DD52CC" w:rsidRPr="000959E2" w:rsidRDefault="00DD52CC" w:rsidP="008F3167">
      <w:pPr>
        <w:pStyle w:val="SingleTxtG"/>
        <w:ind w:left="1701"/>
        <w:rPr>
          <w:lang w:val="fr-FR"/>
        </w:rPr>
      </w:pPr>
      <w:r w:rsidRPr="000959E2">
        <w:rPr>
          <w:lang w:val="fr-FR"/>
        </w:rPr>
        <w:t>20.</w:t>
      </w:r>
      <w:r w:rsidRPr="000959E2">
        <w:rPr>
          <w:lang w:val="fr-FR"/>
        </w:rPr>
        <w:tab/>
        <w:t>La majorité des délégations qui se sont prononcées étaient en faveur de la proposition. Il y a eu quelques propositions de modification de la figure. Il a également été proposé d’étendre la mesure transitoire envisagée aux véhicules-citernes immatriculés avant le 1</w:t>
      </w:r>
      <w:r w:rsidRPr="000959E2">
        <w:rPr>
          <w:vertAlign w:val="superscript"/>
          <w:lang w:val="fr-FR"/>
        </w:rPr>
        <w:t>er</w:t>
      </w:r>
      <w:r w:rsidRPr="000959E2">
        <w:rPr>
          <w:lang w:val="fr-FR"/>
        </w:rPr>
        <w:t xml:space="preserve"> janvier 2025 afin de laisser un délai d’adaptation suffisant aux constructeurs des pays qui avaient une interprétation différente. </w:t>
      </w:r>
    </w:p>
    <w:p w14:paraId="2B61153D" w14:textId="63BBA1E4" w:rsidR="00DD52CC" w:rsidRPr="000959E2" w:rsidRDefault="00DD52CC" w:rsidP="008F3167">
      <w:pPr>
        <w:pStyle w:val="SingleTxtG"/>
        <w:ind w:left="1701"/>
        <w:rPr>
          <w:lang w:val="fr-FR"/>
        </w:rPr>
      </w:pPr>
      <w:r w:rsidRPr="000959E2">
        <w:rPr>
          <w:lang w:val="fr-FR"/>
        </w:rPr>
        <w:t>21.</w:t>
      </w:r>
      <w:r w:rsidRPr="000959E2">
        <w:rPr>
          <w:lang w:val="fr-FR"/>
        </w:rPr>
        <w:tab/>
        <w:t xml:space="preserve">La représentante de la France présentera une proposition révisée à la prochaine session. </w:t>
      </w:r>
    </w:p>
    <w:p w14:paraId="46788DE1" w14:textId="08D33D7B" w:rsidR="00DD52CC" w:rsidRPr="000959E2" w:rsidRDefault="00DD52CC" w:rsidP="008F3167">
      <w:pPr>
        <w:pStyle w:val="SingleTxtG"/>
        <w:ind w:left="1701"/>
        <w:rPr>
          <w:lang w:val="fr-FR"/>
        </w:rPr>
      </w:pPr>
      <w:r w:rsidRPr="000959E2">
        <w:rPr>
          <w:lang w:val="fr-FR"/>
        </w:rPr>
        <w:t>22.</w:t>
      </w:r>
      <w:r w:rsidRPr="000959E2">
        <w:rPr>
          <w:lang w:val="fr-FR"/>
        </w:rPr>
        <w:tab/>
        <w:t>Le Groupe de travail a accueilli avec intérêt les commentaires des Pays-Bas et est convenu qu’il pourrait être nécessaire de définir des prescriptions spécifiques en fonction des différents types de constructions de citernes et des équipements et protections supplémentaires dans le cadre de travaux futurs. »</w:t>
      </w:r>
      <w:r w:rsidR="00FD6B3E">
        <w:rPr>
          <w:lang w:val="fr-FR"/>
        </w:rPr>
        <w:t>.</w:t>
      </w:r>
    </w:p>
    <w:p w14:paraId="19E7C23A" w14:textId="77777777" w:rsidR="00DD52CC" w:rsidRPr="000959E2" w:rsidRDefault="00DD52CC" w:rsidP="000959E2">
      <w:pPr>
        <w:pStyle w:val="SingleTxtG"/>
        <w:rPr>
          <w:lang w:val="fr-FR"/>
        </w:rPr>
      </w:pPr>
      <w:r w:rsidRPr="000959E2">
        <w:rPr>
          <w:lang w:val="fr-FR"/>
        </w:rPr>
        <w:t>3.</w:t>
      </w:r>
      <w:r w:rsidRPr="000959E2">
        <w:rPr>
          <w:lang w:val="fr-FR"/>
        </w:rPr>
        <w:tab/>
        <w:t>Estimant qu’il convenait de clarifier le texte du 9.7.6 de l’ADR afin de lever toute ambiguïté, le Royaume-Uni soumet le présent document, dans lequel il est proposé de réviser les amendements présentés aux 108</w:t>
      </w:r>
      <w:r w:rsidRPr="000959E2">
        <w:rPr>
          <w:vertAlign w:val="superscript"/>
          <w:lang w:val="fr-FR"/>
        </w:rPr>
        <w:t>e</w:t>
      </w:r>
      <w:r w:rsidRPr="000959E2">
        <w:rPr>
          <w:lang w:val="fr-FR"/>
        </w:rPr>
        <w:t xml:space="preserve"> et 109</w:t>
      </w:r>
      <w:r w:rsidRPr="000959E2">
        <w:rPr>
          <w:vertAlign w:val="superscript"/>
          <w:lang w:val="fr-FR"/>
        </w:rPr>
        <w:t>e</w:t>
      </w:r>
      <w:r w:rsidRPr="000959E2">
        <w:rPr>
          <w:lang w:val="fr-FR"/>
        </w:rPr>
        <w:t xml:space="preserve"> sessions du Groupe de travail afin de tenir compte des questions soulevées au cours des débats à ces sessions.  </w:t>
      </w:r>
    </w:p>
    <w:p w14:paraId="6B12DFD1" w14:textId="77777777" w:rsidR="00DD52CC" w:rsidRPr="000959E2" w:rsidRDefault="00DD52CC" w:rsidP="000959E2">
      <w:pPr>
        <w:pStyle w:val="HChG"/>
        <w:rPr>
          <w:lang w:val="fr-FR"/>
        </w:rPr>
      </w:pPr>
      <w:r w:rsidRPr="000959E2">
        <w:rPr>
          <w:lang w:val="fr-FR"/>
        </w:rPr>
        <w:tab/>
      </w:r>
      <w:r w:rsidRPr="000959E2">
        <w:rPr>
          <w:lang w:val="fr-FR"/>
        </w:rPr>
        <w:tab/>
        <w:t xml:space="preserve">Examen </w:t>
      </w:r>
    </w:p>
    <w:p w14:paraId="4E215055" w14:textId="77777777" w:rsidR="00DD52CC" w:rsidRPr="000959E2" w:rsidRDefault="00DD52CC" w:rsidP="000959E2">
      <w:pPr>
        <w:pStyle w:val="SingleTxtG"/>
        <w:rPr>
          <w:lang w:val="fr-FR"/>
        </w:rPr>
      </w:pPr>
      <w:r w:rsidRPr="000959E2">
        <w:rPr>
          <w:lang w:val="fr-FR"/>
        </w:rPr>
        <w:t>4.</w:t>
      </w:r>
      <w:r w:rsidRPr="000959E2">
        <w:rPr>
          <w:lang w:val="fr-FR"/>
        </w:rPr>
        <w:tab/>
        <w:t xml:space="preserve">Il est utile, afin de protéger la citerne, de maintenir un espace libre de 100 mm entre le point de la paroi de la citerne qui est le plus en arrière et la face du pare-chocs qui est la plus en avant, comme représenté à la figure ci-dessous. En cas de choc, même dans les cas les plus graves, par exemple si le camion-citerne est percuté par l’arrière par un autre poids lourd, cet espace libre contribue à ce que la citerne soit protégée. </w:t>
      </w:r>
      <w:bookmarkStart w:id="0" w:name="_Hlk118384580"/>
    </w:p>
    <w:bookmarkEnd w:id="0"/>
    <w:p w14:paraId="6F13AD02" w14:textId="1B3978A9" w:rsidR="00DD52CC" w:rsidRPr="000959E2" w:rsidRDefault="00DD52CC" w:rsidP="000959E2">
      <w:pPr>
        <w:pStyle w:val="SingleTxtG"/>
        <w:rPr>
          <w:lang w:val="fr-FR"/>
        </w:rPr>
      </w:pPr>
      <w:r w:rsidRPr="000959E2">
        <w:rPr>
          <w:lang w:val="fr-FR"/>
        </w:rPr>
        <w:t>5.</w:t>
      </w:r>
      <w:r w:rsidRPr="000959E2">
        <w:rPr>
          <w:lang w:val="fr-FR"/>
        </w:rPr>
        <w:tab/>
        <w:t>Étant donné que, pour le moment,</w:t>
      </w:r>
      <w:r w:rsidR="00727989">
        <w:rPr>
          <w:lang w:val="fr-FR"/>
        </w:rPr>
        <w:t xml:space="preserve"> </w:t>
      </w:r>
      <w:r w:rsidRPr="000959E2">
        <w:rPr>
          <w:lang w:val="fr-FR"/>
        </w:rPr>
        <w:t xml:space="preserve">le volume maximal de produit pouvant être transporté n’est pas limité en fonction de la longueur maximale autorisée du véhicule, les propositions ci-après ne devraient pas entrer en conflit avec des limites de longueur qui imposeraient de réduire la charge utile des véhicules. </w:t>
      </w:r>
    </w:p>
    <w:p w14:paraId="60E127A7" w14:textId="77777777" w:rsidR="00DD52CC" w:rsidRPr="000959E2" w:rsidRDefault="00DD52CC" w:rsidP="000959E2">
      <w:pPr>
        <w:pStyle w:val="SingleTxtG"/>
        <w:rPr>
          <w:lang w:val="fr-FR"/>
        </w:rPr>
      </w:pPr>
      <w:r w:rsidRPr="000959E2">
        <w:rPr>
          <w:lang w:val="fr-FR"/>
        </w:rPr>
        <w:t>6.</w:t>
      </w:r>
      <w:r w:rsidRPr="000959E2">
        <w:rPr>
          <w:lang w:val="fr-FR"/>
        </w:rPr>
        <w:tab/>
        <w:t xml:space="preserve">Dans les amendements proposés, le terme « citerne » est employé dans la description des points de référence, car il englobe le réservoir et tout équipement de service éventuel. S’agissant des citernes à double paroi, une note a été ajoutée pour indiquer l’interprétation donnée par le Groupe de travail des citernes de la Réunion commune à sa session de l’automne 2020, à savoir que, pour ce type de citerne, la distance devait être mesurée à partir de la paroi extérieure de la citerne. </w:t>
      </w:r>
    </w:p>
    <w:p w14:paraId="38BB0A4F" w14:textId="73621E87" w:rsidR="00DD52CC" w:rsidRPr="000959E2" w:rsidRDefault="00DD52CC" w:rsidP="000959E2">
      <w:pPr>
        <w:pStyle w:val="SingleTxtG"/>
        <w:rPr>
          <w:lang w:val="fr-FR"/>
        </w:rPr>
      </w:pPr>
      <w:r w:rsidRPr="000959E2">
        <w:rPr>
          <w:lang w:val="fr-FR"/>
        </w:rPr>
        <w:t>7.</w:t>
      </w:r>
      <w:r w:rsidRPr="000959E2">
        <w:rPr>
          <w:lang w:val="fr-FR"/>
        </w:rPr>
        <w:tab/>
        <w:t xml:space="preserve">Pour les véhicules à réservoir basculant se déchargeant à l’arrière, il est admis que l’espace libre de 100 mm ne peut pas être respecté dans tous les cas. Pour que la citerne et les équipements arrière soient aussi bien protégés que si le pare-chocs était correctement positionné, des prescriptions relatives à un moyen de protection compatible avec ces types de véhicules ont été ajoutées dans les propositions. </w:t>
      </w:r>
    </w:p>
    <w:p w14:paraId="7A874DF7" w14:textId="77777777" w:rsidR="00DD52CC" w:rsidRPr="000959E2" w:rsidRDefault="00DD52CC" w:rsidP="000959E2">
      <w:pPr>
        <w:pStyle w:val="SingleTxtG"/>
        <w:rPr>
          <w:lang w:val="fr-FR"/>
        </w:rPr>
      </w:pPr>
      <w:r w:rsidRPr="000959E2">
        <w:rPr>
          <w:lang w:val="fr-FR"/>
        </w:rPr>
        <w:lastRenderedPageBreak/>
        <w:t>8.</w:t>
      </w:r>
      <w:r w:rsidRPr="000959E2">
        <w:rPr>
          <w:lang w:val="fr-FR"/>
        </w:rPr>
        <w:tab/>
        <w:t xml:space="preserve">On a émis l’idée que, de plus en plus de poids lourds étant équipés de systèmes actifs de freinage d’urgence, l’espace libre visant à atténuer les effets d’une collision par l’arrière perdrait progressivement de son utilité. Toutefois, selon les prescriptions techniques minimales énoncées dans les règlements à cet égard, ces systèmes sont censés ralentir le véhicule, mais pas permettre l’arrêt complet avant la collision. On peut donc s’attendre à ce qu’il se produise encore des chocs par l’arrière. </w:t>
      </w:r>
    </w:p>
    <w:p w14:paraId="33C6F1B2" w14:textId="77777777" w:rsidR="00DD52CC" w:rsidRPr="000959E2" w:rsidRDefault="00DD52CC" w:rsidP="000B61D8">
      <w:pPr>
        <w:pStyle w:val="H1G"/>
        <w:rPr>
          <w:lang w:val="fr-FR"/>
        </w:rPr>
      </w:pPr>
      <w:r w:rsidRPr="000959E2">
        <w:rPr>
          <w:lang w:val="fr-FR"/>
        </w:rPr>
        <w:tab/>
      </w:r>
      <w:r w:rsidRPr="000959E2">
        <w:rPr>
          <w:lang w:val="fr-FR"/>
        </w:rPr>
        <w:tab/>
        <w:t>Proposition 1</w:t>
      </w:r>
    </w:p>
    <w:p w14:paraId="723301F8" w14:textId="0BA43960" w:rsidR="00DD52CC" w:rsidRPr="000959E2" w:rsidRDefault="00DD52CC" w:rsidP="00DD52CC">
      <w:pPr>
        <w:spacing w:after="120"/>
        <w:ind w:left="1134" w:right="1134"/>
        <w:jc w:val="both"/>
        <w:rPr>
          <w:lang w:val="fr-FR"/>
        </w:rPr>
      </w:pPr>
      <w:r w:rsidRPr="000959E2">
        <w:rPr>
          <w:lang w:val="fr-FR"/>
        </w:rPr>
        <w:t>9.</w:t>
      </w:r>
      <w:r w:rsidRPr="000959E2">
        <w:rPr>
          <w:lang w:val="fr-FR"/>
        </w:rPr>
        <w:tab/>
        <w:t>Au 9.7.6 de l’ADR, modifier le texte sous le titre pour lire comme suit (caractères biffés pour les suppressions et gras pour les ajouts) :</w:t>
      </w:r>
    </w:p>
    <w:p w14:paraId="29DF6BCD" w14:textId="5A1172C6" w:rsidR="00DD52CC" w:rsidRPr="000959E2" w:rsidRDefault="00DD52CC" w:rsidP="00072384">
      <w:pPr>
        <w:pStyle w:val="SingleTxtG"/>
        <w:ind w:left="1701"/>
        <w:rPr>
          <w:lang w:val="fr-FR"/>
        </w:rPr>
      </w:pPr>
      <w:r w:rsidRPr="000959E2">
        <w:rPr>
          <w:lang w:val="fr-FR"/>
        </w:rPr>
        <w:t>« L’arrière du véhicule doit être muni, sur toute la largeur de la citerne, d’un pare</w:t>
      </w:r>
      <w:r w:rsidR="0089473D">
        <w:rPr>
          <w:lang w:val="fr-FR"/>
        </w:rPr>
        <w:noBreakHyphen/>
      </w:r>
      <w:r w:rsidRPr="000959E2">
        <w:rPr>
          <w:lang w:val="fr-FR"/>
        </w:rPr>
        <w:t xml:space="preserve">chocs suffisamment résistant aux impacts arrière. </w:t>
      </w:r>
      <w:r w:rsidRPr="000959E2">
        <w:rPr>
          <w:strike/>
          <w:lang w:val="fr-FR"/>
        </w:rPr>
        <w:t xml:space="preserve">Entre la paroi arrière de la citerne et la partie arrière du pare-chocs, </w:t>
      </w:r>
      <w:r w:rsidRPr="000959E2">
        <w:rPr>
          <w:lang w:val="fr-FR"/>
        </w:rPr>
        <w:t xml:space="preserve">Il doit y avoir </w:t>
      </w:r>
      <w:r w:rsidRPr="000959E2">
        <w:rPr>
          <w:strike/>
          <w:lang w:val="fr-FR"/>
        </w:rPr>
        <w:t xml:space="preserve">une </w:t>
      </w:r>
      <w:proofErr w:type="spellStart"/>
      <w:r w:rsidRPr="000959E2">
        <w:rPr>
          <w:strike/>
          <w:lang w:val="fr-FR"/>
        </w:rPr>
        <w:t>distance</w:t>
      </w:r>
      <w:r w:rsidRPr="000959E2">
        <w:rPr>
          <w:b/>
          <w:bCs/>
          <w:lang w:val="fr-FR"/>
        </w:rPr>
        <w:t>un</w:t>
      </w:r>
      <w:proofErr w:type="spellEnd"/>
      <w:r w:rsidRPr="000959E2">
        <w:rPr>
          <w:b/>
          <w:bCs/>
          <w:lang w:val="fr-FR"/>
        </w:rPr>
        <w:t xml:space="preserve"> espace libre </w:t>
      </w:r>
      <w:r w:rsidRPr="000959E2">
        <w:rPr>
          <w:lang w:val="fr-FR"/>
        </w:rPr>
        <w:t xml:space="preserve">d’au moins 100 mm </w:t>
      </w:r>
      <w:r w:rsidRPr="000959E2">
        <w:rPr>
          <w:strike/>
          <w:lang w:val="fr-FR"/>
        </w:rPr>
        <w:t>(cette distance étant mesurée par rapport au point de la paroi de la citerne qui est le plus en arrière ou aux accessoires proéminents en contact avec la matière transportée)</w:t>
      </w:r>
      <w:r w:rsidRPr="000959E2">
        <w:rPr>
          <w:lang w:val="fr-FR"/>
        </w:rPr>
        <w:t xml:space="preserve"> </w:t>
      </w:r>
      <w:r w:rsidRPr="000959E2">
        <w:rPr>
          <w:b/>
          <w:bCs/>
          <w:lang w:val="fr-FR"/>
        </w:rPr>
        <w:t>entre l’arrière de la citerne (ou de ses équipements proéminents en contact avec la matière transportée) et la face du pare-chocs la plus en avant en regard de la paroi arrière de la citerne</w:t>
      </w:r>
      <w:r w:rsidRPr="000959E2">
        <w:rPr>
          <w:lang w:val="fr-FR"/>
        </w:rPr>
        <w:t xml:space="preserve">. </w:t>
      </w:r>
      <w:r w:rsidRPr="000959E2">
        <w:rPr>
          <w:b/>
          <w:bCs/>
          <w:lang w:val="fr-FR"/>
        </w:rPr>
        <w:t>Cet espace libre est mesuré comme spécifié à la figure 9.7.6</w:t>
      </w:r>
      <w:r w:rsidRPr="000959E2">
        <w:rPr>
          <w:lang w:val="fr-FR"/>
        </w:rPr>
        <w:t xml:space="preserve">. </w:t>
      </w:r>
    </w:p>
    <w:p w14:paraId="7B374FBE" w14:textId="791177D4" w:rsidR="00DD52CC" w:rsidRDefault="00DD52CC" w:rsidP="00072384">
      <w:pPr>
        <w:pStyle w:val="Heading1"/>
        <w:tabs>
          <w:tab w:val="left" w:pos="3969"/>
        </w:tabs>
        <w:spacing w:after="120"/>
        <w:ind w:left="1701"/>
        <w:rPr>
          <w:b/>
          <w:bCs/>
          <w:lang w:val="fr-FR"/>
        </w:rPr>
      </w:pPr>
      <w:r w:rsidRPr="00617ECC">
        <w:rPr>
          <w:b/>
          <w:bCs/>
          <w:lang w:val="fr-FR"/>
        </w:rPr>
        <w:t>Figure 9.7.6</w:t>
      </w:r>
    </w:p>
    <w:p w14:paraId="13FB15AD" w14:textId="44D88DA7" w:rsidR="00DD52CC" w:rsidRPr="00B72B9A" w:rsidRDefault="00B72B9A" w:rsidP="00B72B9A">
      <w:pPr>
        <w:pStyle w:val="SingleTxtG"/>
        <w:ind w:left="1701"/>
        <w:rPr>
          <w:lang w:val="fr-FR"/>
        </w:rPr>
      </w:pPr>
      <w:r>
        <w:rPr>
          <w:noProof/>
        </w:rPr>
        <w:drawing>
          <wp:inline distT="0" distB="0" distL="0" distR="0" wp14:anchorId="329720F1" wp14:editId="56088E1D">
            <wp:extent cx="2880000" cy="2232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80000" cy="2232000"/>
                    </a:xfrm>
                    <a:prstGeom prst="rect">
                      <a:avLst/>
                    </a:prstGeom>
                  </pic:spPr>
                </pic:pic>
              </a:graphicData>
            </a:graphic>
          </wp:inline>
        </w:drawing>
      </w:r>
    </w:p>
    <w:p w14:paraId="227B45D2" w14:textId="0E5FC4DE" w:rsidR="00DD52CC" w:rsidRPr="000959E2" w:rsidRDefault="00DD52CC" w:rsidP="00072384">
      <w:pPr>
        <w:pStyle w:val="SingleTxtG"/>
        <w:ind w:left="1701"/>
        <w:rPr>
          <w:lang w:val="fr-FR"/>
        </w:rPr>
      </w:pPr>
      <w:r w:rsidRPr="000959E2">
        <w:rPr>
          <w:lang w:val="fr-FR"/>
        </w:rPr>
        <w:t xml:space="preserve">Les véhicules </w:t>
      </w:r>
      <w:r w:rsidRPr="000959E2">
        <w:rPr>
          <w:b/>
          <w:bCs/>
          <w:lang w:val="fr-FR"/>
        </w:rPr>
        <w:t xml:space="preserve">à citerne basculante </w:t>
      </w:r>
      <w:r w:rsidRPr="000959E2">
        <w:rPr>
          <w:strike/>
          <w:lang w:val="fr-FR"/>
        </w:rPr>
        <w:t>à réservoirs basculants pour le transport de matières pulvérulentes ou granulaires et des citernes à déchets opérant sous vide à réservoir basculant,</w:t>
      </w:r>
      <w:r w:rsidRPr="000959E2">
        <w:rPr>
          <w:lang w:val="fr-FR"/>
        </w:rPr>
        <w:t xml:space="preserve"> se déchargeant à l’arrière </w:t>
      </w:r>
      <w:r w:rsidRPr="000959E2">
        <w:rPr>
          <w:b/>
          <w:bCs/>
          <w:lang w:val="fr-FR"/>
        </w:rPr>
        <w:t>pour lesquels cet espace libre de 100</w:t>
      </w:r>
      <w:r w:rsidR="0089473D">
        <w:rPr>
          <w:b/>
          <w:bCs/>
          <w:lang w:val="fr-FR"/>
        </w:rPr>
        <w:t> </w:t>
      </w:r>
      <w:r w:rsidRPr="000959E2">
        <w:rPr>
          <w:b/>
          <w:bCs/>
          <w:lang w:val="fr-FR"/>
        </w:rPr>
        <w:t xml:space="preserve">mm ne peut pas être respecté </w:t>
      </w:r>
      <w:r w:rsidRPr="000959E2">
        <w:rPr>
          <w:strike/>
          <w:lang w:val="fr-FR"/>
        </w:rPr>
        <w:t>n’ont pas à être munis d’un pare-chocs si les équipements arrières des réservoirs comportent un moyen</w:t>
      </w:r>
      <w:r w:rsidRPr="000959E2">
        <w:rPr>
          <w:lang w:val="fr-FR"/>
        </w:rPr>
        <w:t xml:space="preserve"> </w:t>
      </w:r>
      <w:r w:rsidRPr="000959E2">
        <w:rPr>
          <w:b/>
          <w:bCs/>
          <w:lang w:val="fr-FR"/>
        </w:rPr>
        <w:t xml:space="preserve">doivent comporter un dispositif </w:t>
      </w:r>
      <w:r w:rsidRPr="000959E2">
        <w:rPr>
          <w:lang w:val="fr-FR"/>
        </w:rPr>
        <w:t xml:space="preserve">de protection qui protège </w:t>
      </w:r>
      <w:r w:rsidRPr="000959E2">
        <w:rPr>
          <w:strike/>
          <w:lang w:val="fr-FR"/>
        </w:rPr>
        <w:t>les réservoirs</w:t>
      </w:r>
      <w:r w:rsidRPr="000959E2">
        <w:rPr>
          <w:lang w:val="fr-FR"/>
        </w:rPr>
        <w:t xml:space="preserve"> </w:t>
      </w:r>
      <w:r w:rsidRPr="000959E2">
        <w:rPr>
          <w:b/>
          <w:bCs/>
          <w:lang w:val="fr-FR"/>
        </w:rPr>
        <w:t xml:space="preserve">la citerne et les équipements arrière </w:t>
      </w:r>
      <w:r w:rsidRPr="000959E2">
        <w:rPr>
          <w:lang w:val="fr-FR"/>
        </w:rPr>
        <w:t xml:space="preserve">de la même façon qu’un pare-chocs. </w:t>
      </w:r>
      <w:r w:rsidRPr="000959E2">
        <w:rPr>
          <w:b/>
          <w:bCs/>
          <w:lang w:val="fr-FR"/>
        </w:rPr>
        <w:t>Cette protection doit avoir un module d’inertie d’au moins 20 cm</w:t>
      </w:r>
      <w:r w:rsidRPr="000959E2">
        <w:rPr>
          <w:b/>
          <w:bCs/>
          <w:vertAlign w:val="superscript"/>
          <w:lang w:val="fr-FR"/>
        </w:rPr>
        <w:t>3</w:t>
      </w:r>
      <w:r w:rsidRPr="000959E2">
        <w:rPr>
          <w:b/>
          <w:bCs/>
          <w:lang w:val="fr-FR"/>
        </w:rPr>
        <w:t xml:space="preserve"> et il doit y avoir un espace libre d’au moins 100</w:t>
      </w:r>
      <w:r w:rsidR="0089473D">
        <w:rPr>
          <w:b/>
          <w:bCs/>
          <w:lang w:val="fr-FR"/>
        </w:rPr>
        <w:t> </w:t>
      </w:r>
      <w:r w:rsidRPr="000959E2">
        <w:rPr>
          <w:b/>
          <w:bCs/>
          <w:lang w:val="fr-FR"/>
        </w:rPr>
        <w:t>mm entre l’arrière de la citerne et la face de cette protection supplémentaire qui est la plus en avant dans le sens de la marche.</w:t>
      </w:r>
      <w:r w:rsidRPr="000959E2">
        <w:rPr>
          <w:lang w:val="fr-FR"/>
        </w:rPr>
        <w:t xml:space="preserve"> </w:t>
      </w:r>
    </w:p>
    <w:p w14:paraId="3CABFD6E" w14:textId="5CB255CA" w:rsidR="00617ECC" w:rsidRDefault="00DD52CC" w:rsidP="00072384">
      <w:pPr>
        <w:pStyle w:val="SingleTxtG"/>
        <w:ind w:left="1701"/>
        <w:rPr>
          <w:i/>
          <w:iCs/>
          <w:lang w:val="fr-FR"/>
        </w:rPr>
      </w:pPr>
      <w:r w:rsidRPr="000959E2">
        <w:rPr>
          <w:b/>
          <w:bCs/>
          <w:i/>
          <w:iCs/>
          <w:lang w:val="fr-FR"/>
        </w:rPr>
        <w:t>N</w:t>
      </w:r>
      <w:r w:rsidR="00617ECC">
        <w:rPr>
          <w:b/>
          <w:bCs/>
          <w:i/>
          <w:iCs/>
          <w:lang w:val="fr-FR"/>
        </w:rPr>
        <w:t>ota</w:t>
      </w:r>
      <w:r w:rsidRPr="000959E2">
        <w:rPr>
          <w:b/>
          <w:bCs/>
          <w:i/>
          <w:iCs/>
          <w:lang w:val="fr-FR"/>
        </w:rPr>
        <w:t> 1</w:t>
      </w:r>
      <w:r w:rsidR="00617ECC">
        <w:rPr>
          <w:i/>
          <w:iCs/>
          <w:lang w:val="fr-FR"/>
        </w:rPr>
        <w:t> </w:t>
      </w:r>
      <w:r w:rsidRPr="000959E2">
        <w:rPr>
          <w:i/>
          <w:iCs/>
          <w:lang w:val="fr-FR"/>
        </w:rPr>
        <w:t>: Cette disposition ne s’applique pas aux véhicules utilisés pour le transport de marchandises dangereuses dans des conteneurs-citernes, citernes mobiles ou CGEM.</w:t>
      </w:r>
    </w:p>
    <w:p w14:paraId="498175B1" w14:textId="13232B68" w:rsidR="00617ECC" w:rsidRDefault="00617ECC" w:rsidP="00072384">
      <w:pPr>
        <w:pStyle w:val="SingleTxtG"/>
        <w:ind w:left="1701"/>
        <w:rPr>
          <w:i/>
          <w:iCs/>
          <w:lang w:val="fr-FR"/>
        </w:rPr>
      </w:pPr>
      <w:r>
        <w:rPr>
          <w:b/>
          <w:bCs/>
          <w:i/>
          <w:iCs/>
          <w:lang w:val="fr-FR"/>
        </w:rPr>
        <w:t xml:space="preserve">Nota </w:t>
      </w:r>
      <w:r w:rsidR="00DD52CC" w:rsidRPr="000959E2">
        <w:rPr>
          <w:b/>
          <w:bCs/>
          <w:i/>
          <w:iCs/>
          <w:lang w:val="fr-FR"/>
        </w:rPr>
        <w:t>2</w:t>
      </w:r>
      <w:r>
        <w:rPr>
          <w:i/>
          <w:iCs/>
          <w:lang w:val="fr-FR"/>
        </w:rPr>
        <w:t> </w:t>
      </w:r>
      <w:r w:rsidR="00DD52CC" w:rsidRPr="000959E2">
        <w:rPr>
          <w:i/>
          <w:iCs/>
          <w:lang w:val="fr-FR"/>
        </w:rPr>
        <w:t>: Pour la protection des citernes contre l’endommagement dû à un choc latéral ou à un renversement, se reporter aux 6.8.2.1.20 et 6.8.2.1.21 et, pour les citernes mobiles, aux</w:t>
      </w:r>
      <w:r w:rsidR="000E26AC">
        <w:rPr>
          <w:i/>
          <w:iCs/>
          <w:lang w:val="fr-FR"/>
        </w:rPr>
        <w:t xml:space="preserve"> </w:t>
      </w:r>
      <w:r w:rsidR="00DD52CC" w:rsidRPr="000959E2">
        <w:rPr>
          <w:i/>
          <w:iCs/>
          <w:lang w:val="fr-FR"/>
        </w:rPr>
        <w:t>6.7.2.4.3 et 6.7.2.4.5.</w:t>
      </w:r>
    </w:p>
    <w:p w14:paraId="4EEA2676" w14:textId="3C327F42" w:rsidR="00DD52CC" w:rsidRPr="00617ECC" w:rsidRDefault="00617ECC" w:rsidP="00072384">
      <w:pPr>
        <w:pStyle w:val="SingleTxtG"/>
        <w:ind w:left="1701"/>
        <w:rPr>
          <w:i/>
          <w:iCs/>
          <w:lang w:val="fr-FR"/>
        </w:rPr>
      </w:pPr>
      <w:r>
        <w:rPr>
          <w:b/>
          <w:bCs/>
          <w:i/>
          <w:iCs/>
          <w:lang w:val="fr-FR"/>
        </w:rPr>
        <w:t xml:space="preserve">Nota </w:t>
      </w:r>
      <w:r w:rsidR="00DD52CC" w:rsidRPr="000959E2">
        <w:rPr>
          <w:b/>
          <w:bCs/>
          <w:i/>
          <w:iCs/>
          <w:lang w:val="fr-FR"/>
        </w:rPr>
        <w:t>3 : Dans le cas des citernes à double paroi, on entend par l’arrière de la citerne l’arrière</w:t>
      </w:r>
      <w:r w:rsidR="000E26AC">
        <w:rPr>
          <w:b/>
          <w:bCs/>
          <w:lang w:val="fr-FR"/>
        </w:rPr>
        <w:t xml:space="preserve"> </w:t>
      </w:r>
      <w:r w:rsidR="00DD52CC" w:rsidRPr="000959E2">
        <w:rPr>
          <w:b/>
          <w:bCs/>
          <w:i/>
          <w:iCs/>
          <w:lang w:val="fr-FR"/>
        </w:rPr>
        <w:t>de la paroi extérieure de la citerne.</w:t>
      </w:r>
      <w:r w:rsidR="00DD52CC" w:rsidRPr="000959E2">
        <w:rPr>
          <w:lang w:val="fr-FR"/>
        </w:rPr>
        <w:t> ».</w:t>
      </w:r>
      <w:bookmarkStart w:id="1" w:name="_Hlk118446542"/>
    </w:p>
    <w:p w14:paraId="07D26279" w14:textId="77777777" w:rsidR="00DD52CC" w:rsidRPr="000959E2" w:rsidRDefault="00DD52CC" w:rsidP="00072384">
      <w:pPr>
        <w:pStyle w:val="H1G"/>
        <w:rPr>
          <w:i/>
          <w:iCs/>
          <w:lang w:val="fr-FR"/>
        </w:rPr>
      </w:pPr>
      <w:r w:rsidRPr="000959E2">
        <w:rPr>
          <w:lang w:val="fr-FR"/>
        </w:rPr>
        <w:lastRenderedPageBreak/>
        <w:tab/>
      </w:r>
      <w:r w:rsidRPr="000959E2">
        <w:rPr>
          <w:lang w:val="fr-FR"/>
        </w:rPr>
        <w:tab/>
        <w:t>Proposition 2</w:t>
      </w:r>
    </w:p>
    <w:p w14:paraId="2D187B20" w14:textId="77777777" w:rsidR="00DD52CC" w:rsidRPr="000959E2" w:rsidRDefault="00DD52CC" w:rsidP="00072384">
      <w:pPr>
        <w:keepNext/>
        <w:spacing w:after="120"/>
        <w:ind w:left="1134" w:right="1134"/>
        <w:jc w:val="both"/>
        <w:rPr>
          <w:lang w:val="fr-FR"/>
        </w:rPr>
      </w:pPr>
      <w:r w:rsidRPr="000959E2">
        <w:rPr>
          <w:lang w:val="fr-FR"/>
        </w:rPr>
        <w:t>10.</w:t>
      </w:r>
      <w:r w:rsidRPr="000959E2">
        <w:rPr>
          <w:lang w:val="fr-FR"/>
        </w:rPr>
        <w:tab/>
        <w:t>Ajouter la mesure transitoire ci-après au 1.6.5 :</w:t>
      </w:r>
    </w:p>
    <w:p w14:paraId="1F3832D3" w14:textId="76D7F835" w:rsidR="00DD52CC" w:rsidRPr="000959E2" w:rsidRDefault="00DD52CC" w:rsidP="00072384">
      <w:pPr>
        <w:spacing w:after="120"/>
        <w:ind w:left="1701" w:right="1134"/>
        <w:jc w:val="both"/>
        <w:rPr>
          <w:lang w:val="fr-FR"/>
        </w:rPr>
      </w:pPr>
      <w:r w:rsidRPr="000959E2">
        <w:rPr>
          <w:lang w:val="fr-FR"/>
        </w:rPr>
        <w:t>« Les véhicules immatriculés pour la première fois (ou mis en service, si l’immatriculation n’est pas obligatoire) avant le 1</w:t>
      </w:r>
      <w:r w:rsidRPr="000959E2">
        <w:rPr>
          <w:vertAlign w:val="superscript"/>
          <w:lang w:val="fr-FR"/>
        </w:rPr>
        <w:t>er</w:t>
      </w:r>
      <w:r w:rsidRPr="000959E2">
        <w:rPr>
          <w:lang w:val="fr-FR"/>
        </w:rPr>
        <w:t> juillet</w:t>
      </w:r>
      <w:r w:rsidR="00BE7CC3">
        <w:rPr>
          <w:lang w:val="fr-FR"/>
        </w:rPr>
        <w:t xml:space="preserve"> </w:t>
      </w:r>
      <w:r w:rsidRPr="000959E2">
        <w:rPr>
          <w:lang w:val="fr-FR"/>
        </w:rPr>
        <w:t>2025 qui ne sont pas conformes aux prescriptions du 9.7.6 relatives à la protection arrière applicables à compter du 1</w:t>
      </w:r>
      <w:r w:rsidRPr="000959E2">
        <w:rPr>
          <w:vertAlign w:val="superscript"/>
          <w:lang w:val="fr-FR"/>
        </w:rPr>
        <w:t>er</w:t>
      </w:r>
      <w:r w:rsidRPr="000959E2">
        <w:rPr>
          <w:lang w:val="fr-FR"/>
        </w:rPr>
        <w:t> janvier</w:t>
      </w:r>
      <w:r w:rsidR="00BE7CC3">
        <w:rPr>
          <w:lang w:val="fr-FR"/>
        </w:rPr>
        <w:t xml:space="preserve"> </w:t>
      </w:r>
      <w:r w:rsidRPr="000959E2">
        <w:rPr>
          <w:lang w:val="fr-FR"/>
        </w:rPr>
        <w:t>2025 peuvent encore être utilisés. ».</w:t>
      </w:r>
    </w:p>
    <w:p w14:paraId="5DB40066" w14:textId="73F15498" w:rsidR="00DD52CC" w:rsidRPr="000959E2" w:rsidRDefault="00DD52CC" w:rsidP="000B61D8">
      <w:pPr>
        <w:pStyle w:val="HChG"/>
        <w:rPr>
          <w:lang w:val="fr-FR"/>
        </w:rPr>
      </w:pPr>
      <w:r w:rsidRPr="000959E2">
        <w:rPr>
          <w:lang w:val="fr-FR"/>
        </w:rPr>
        <w:tab/>
      </w:r>
      <w:r w:rsidRPr="000959E2">
        <w:rPr>
          <w:lang w:val="fr-FR"/>
        </w:rPr>
        <w:tab/>
        <w:t>Justification</w:t>
      </w:r>
      <w:bookmarkEnd w:id="1"/>
      <w:r w:rsidRPr="000959E2">
        <w:rPr>
          <w:noProof/>
        </w:rPr>
        <mc:AlternateContent>
          <mc:Choice Requires="wps">
            <w:drawing>
              <wp:anchor distT="45720" distB="45720" distL="114300" distR="114300" simplePos="0" relativeHeight="251659264" behindDoc="0" locked="0" layoutInCell="1" allowOverlap="1" wp14:anchorId="5361F284" wp14:editId="6FA189B1">
                <wp:simplePos x="0" y="0"/>
                <wp:positionH relativeFrom="column">
                  <wp:posOffset>2738064</wp:posOffset>
                </wp:positionH>
                <wp:positionV relativeFrom="page">
                  <wp:posOffset>9912935</wp:posOffset>
                </wp:positionV>
                <wp:extent cx="1425575" cy="252730"/>
                <wp:effectExtent l="0" t="0" r="2222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52730"/>
                        </a:xfrm>
                        <a:prstGeom prst="rect">
                          <a:avLst/>
                        </a:prstGeom>
                        <a:solidFill>
                          <a:srgbClr val="FFFFFF"/>
                        </a:solidFill>
                        <a:ln w="9525">
                          <a:solidFill>
                            <a:schemeClr val="bg1"/>
                          </a:solidFill>
                          <a:miter lim="800000"/>
                          <a:headEnd/>
                          <a:tailEnd/>
                        </a:ln>
                      </wps:spPr>
                      <wps:txbx>
                        <w:txbxContent>
                          <w:p w14:paraId="333998AA" w14:textId="77777777" w:rsidR="00DD52CC" w:rsidRDefault="00DD52CC" w:rsidP="00DD52CC">
                            <w:r>
                              <w:rPr>
                                <w:lang w:val="fr-FR"/>
                              </w:rPr>
                              <w:t>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61F284" id="_x0000_t202" coordsize="21600,21600" o:spt="202" path="m,l,21600r21600,l21600,xe">
                <v:stroke joinstyle="miter"/>
                <v:path gradientshapeok="t" o:connecttype="rect"/>
              </v:shapetype>
              <v:shape id="Text Box 2" o:spid="_x0000_s1026" type="#_x0000_t202" style="position:absolute;left:0;text-align:left;margin-left:215.6pt;margin-top:780.55pt;width:112.25pt;height:1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" strokecolor="white [3212]">
                <v:textbox style="mso-fit-shape-to-text:t">
                  <w:txbxContent>
                    <w:p w14:paraId="333998AA" w14:textId="77777777" w:rsidR="00DD52CC" w:rsidRDefault="00DD52CC" w:rsidP="00DD52CC">
                      <w:r>
                        <w:rPr>
                          <w:lang w:val="fr-FR"/>
                        </w:rPr>
                        <w:t>_______________</w:t>
                      </w:r>
                    </w:p>
                  </w:txbxContent>
                </v:textbox>
                <w10:wrap type="square" anchory="page"/>
              </v:shape>
            </w:pict>
          </mc:Fallback>
        </mc:AlternateContent>
      </w:r>
    </w:p>
    <w:p w14:paraId="30244D97" w14:textId="51EC891D" w:rsidR="00F9573C" w:rsidRPr="000959E2" w:rsidRDefault="00DD52CC" w:rsidP="00DE211D">
      <w:pPr>
        <w:pStyle w:val="SingleTxtG"/>
        <w:rPr>
          <w:lang w:val="fr-FR"/>
        </w:rPr>
      </w:pPr>
      <w:r w:rsidRPr="000959E2">
        <w:rPr>
          <w:lang w:val="fr-FR"/>
        </w:rPr>
        <w:t>11.</w:t>
      </w:r>
      <w:r w:rsidRPr="000959E2">
        <w:rPr>
          <w:lang w:val="fr-FR"/>
        </w:rPr>
        <w:tab/>
        <w:t>Ces modifications garantiront une interprétation uniforme de l’espace libre de 100 mm requis entre la paroi arrière de la citerne et le pare-chocs arrière. S’il est jugé nécessaire de clarifier cette disposition, il est probable qu’elle ait été mal interprétée ; c’est pourquoi il est proposé d’ajouter une mesure transitoire pour que les véhicules existants puissent continuer d’être utilisés.</w:t>
      </w:r>
    </w:p>
    <w:p w14:paraId="7A54F306" w14:textId="11D8A998" w:rsidR="00DD52CC" w:rsidRPr="000959E2" w:rsidRDefault="00DD52CC" w:rsidP="00DD52CC">
      <w:pPr>
        <w:pStyle w:val="SingleTxtG"/>
        <w:spacing w:before="240" w:after="0"/>
        <w:jc w:val="center"/>
        <w:rPr>
          <w:u w:val="single"/>
        </w:rPr>
      </w:pPr>
      <w:r w:rsidRPr="000959E2">
        <w:rPr>
          <w:u w:val="single"/>
        </w:rPr>
        <w:tab/>
      </w:r>
      <w:r w:rsidRPr="000959E2">
        <w:rPr>
          <w:u w:val="single"/>
        </w:rPr>
        <w:tab/>
      </w:r>
      <w:r w:rsidRPr="000959E2">
        <w:rPr>
          <w:u w:val="single"/>
        </w:rPr>
        <w:tab/>
      </w:r>
      <w:r w:rsidRPr="000959E2">
        <w:rPr>
          <w:u w:val="single"/>
        </w:rPr>
        <w:tab/>
      </w:r>
    </w:p>
    <w:sectPr w:rsidR="00DD52CC" w:rsidRPr="000959E2" w:rsidSect="00DD52C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029BE" w14:textId="77777777" w:rsidR="000C0AAF" w:rsidRDefault="000C0AAF" w:rsidP="00F95C08">
      <w:pPr>
        <w:spacing w:line="240" w:lineRule="auto"/>
      </w:pPr>
    </w:p>
  </w:endnote>
  <w:endnote w:type="continuationSeparator" w:id="0">
    <w:p w14:paraId="518AE7BD" w14:textId="77777777" w:rsidR="000C0AAF" w:rsidRPr="00AC3823" w:rsidRDefault="000C0AAF" w:rsidP="00AC3823">
      <w:pPr>
        <w:pStyle w:val="Footer"/>
      </w:pPr>
    </w:p>
  </w:endnote>
  <w:endnote w:type="continuationNotice" w:id="1">
    <w:p w14:paraId="03F4BB9F" w14:textId="77777777" w:rsidR="000C0AAF" w:rsidRDefault="000C0A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47A9" w14:textId="29373A57" w:rsidR="00DD52CC" w:rsidRPr="00DD52CC" w:rsidRDefault="00DD52CC" w:rsidP="00DD52CC">
    <w:pPr>
      <w:pStyle w:val="Footer"/>
      <w:tabs>
        <w:tab w:val="right" w:pos="9638"/>
      </w:tabs>
    </w:pPr>
    <w:r w:rsidRPr="00DD52CC">
      <w:rPr>
        <w:b/>
        <w:sz w:val="18"/>
      </w:rPr>
      <w:fldChar w:fldCharType="begin"/>
    </w:r>
    <w:r w:rsidRPr="00DD52CC">
      <w:rPr>
        <w:b/>
        <w:sz w:val="18"/>
      </w:rPr>
      <w:instrText xml:space="preserve"> PAGE  \* MERGEFORMAT </w:instrText>
    </w:r>
    <w:r w:rsidRPr="00DD52CC">
      <w:rPr>
        <w:b/>
        <w:sz w:val="18"/>
      </w:rPr>
      <w:fldChar w:fldCharType="separate"/>
    </w:r>
    <w:r w:rsidRPr="00DD52CC">
      <w:rPr>
        <w:b/>
        <w:noProof/>
        <w:sz w:val="18"/>
      </w:rPr>
      <w:t>2</w:t>
    </w:r>
    <w:r w:rsidRPr="00DD52CC">
      <w:rPr>
        <w:b/>
        <w:sz w:val="18"/>
      </w:rPr>
      <w:fldChar w:fldCharType="end"/>
    </w:r>
    <w:r>
      <w:rPr>
        <w:b/>
        <w:sz w:val="18"/>
      </w:rPr>
      <w:tab/>
    </w:r>
    <w:r>
      <w:t>GE.23-02666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C2E2" w14:textId="38E3C593" w:rsidR="00DD52CC" w:rsidRPr="00DD52CC" w:rsidRDefault="00DD52CC" w:rsidP="00DD52CC">
    <w:pPr>
      <w:pStyle w:val="Footer"/>
      <w:tabs>
        <w:tab w:val="right" w:pos="9638"/>
      </w:tabs>
      <w:rPr>
        <w:b/>
        <w:sz w:val="18"/>
      </w:rPr>
    </w:pPr>
    <w:r>
      <w:t>GE.23-02666</w:t>
    </w:r>
    <w:r>
      <w:tab/>
    </w:r>
    <w:r w:rsidRPr="00DD52CC">
      <w:rPr>
        <w:b/>
        <w:sz w:val="18"/>
      </w:rPr>
      <w:fldChar w:fldCharType="begin"/>
    </w:r>
    <w:r w:rsidRPr="00DD52CC">
      <w:rPr>
        <w:b/>
        <w:sz w:val="18"/>
      </w:rPr>
      <w:instrText xml:space="preserve"> PAGE  \* MERGEFORMAT </w:instrText>
    </w:r>
    <w:r w:rsidRPr="00DD52CC">
      <w:rPr>
        <w:b/>
        <w:sz w:val="18"/>
      </w:rPr>
      <w:fldChar w:fldCharType="separate"/>
    </w:r>
    <w:r w:rsidRPr="00DD52CC">
      <w:rPr>
        <w:b/>
        <w:noProof/>
        <w:sz w:val="18"/>
      </w:rPr>
      <w:t>3</w:t>
    </w:r>
    <w:r w:rsidRPr="00DD52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2294" w14:textId="7FC6EED1" w:rsidR="007F20FA" w:rsidRPr="00DD52CC" w:rsidRDefault="00DD52CC" w:rsidP="00DD52CC">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2F5796F" wp14:editId="78BF7C6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w:t>
    </w:r>
    <w:proofErr w:type="gramStart"/>
    <w:r>
      <w:rPr>
        <w:sz w:val="20"/>
      </w:rPr>
      <w:t>02666  (</w:t>
    </w:r>
    <w:proofErr w:type="gramEnd"/>
    <w:r>
      <w:rPr>
        <w:sz w:val="20"/>
      </w:rPr>
      <w:t>F)</w:t>
    </w:r>
    <w:r>
      <w:rPr>
        <w:noProof/>
        <w:sz w:val="20"/>
      </w:rPr>
      <w:drawing>
        <wp:anchor distT="0" distB="0" distL="114300" distR="114300" simplePos="0" relativeHeight="251660288" behindDoc="0" locked="0" layoutInCell="1" allowOverlap="1" wp14:anchorId="2BF857EE" wp14:editId="6B6947E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230323    230323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E79CC" w14:textId="77777777" w:rsidR="000C0AAF" w:rsidRPr="00AC3823" w:rsidRDefault="000C0AAF" w:rsidP="00AC3823">
      <w:pPr>
        <w:pStyle w:val="Footer"/>
        <w:tabs>
          <w:tab w:val="right" w:pos="2155"/>
        </w:tabs>
        <w:spacing w:after="80" w:line="240" w:lineRule="atLeast"/>
        <w:ind w:left="680"/>
        <w:rPr>
          <w:u w:val="single"/>
        </w:rPr>
      </w:pPr>
      <w:r>
        <w:rPr>
          <w:u w:val="single"/>
        </w:rPr>
        <w:tab/>
      </w:r>
    </w:p>
  </w:footnote>
  <w:footnote w:type="continuationSeparator" w:id="0">
    <w:p w14:paraId="2F381092" w14:textId="77777777" w:rsidR="000C0AAF" w:rsidRPr="00AC3823" w:rsidRDefault="000C0AAF" w:rsidP="00AC3823">
      <w:pPr>
        <w:pStyle w:val="Footer"/>
        <w:tabs>
          <w:tab w:val="right" w:pos="2155"/>
        </w:tabs>
        <w:spacing w:after="80" w:line="240" w:lineRule="atLeast"/>
        <w:ind w:left="680"/>
        <w:rPr>
          <w:u w:val="single"/>
        </w:rPr>
      </w:pPr>
      <w:r>
        <w:rPr>
          <w:u w:val="single"/>
        </w:rPr>
        <w:tab/>
      </w:r>
    </w:p>
  </w:footnote>
  <w:footnote w:type="continuationNotice" w:id="1">
    <w:p w14:paraId="02908A32" w14:textId="77777777" w:rsidR="000C0AAF" w:rsidRPr="00AC3823" w:rsidRDefault="000C0AAF">
      <w:pPr>
        <w:spacing w:line="240" w:lineRule="auto"/>
        <w:rPr>
          <w:sz w:val="2"/>
          <w:szCs w:val="2"/>
        </w:rPr>
      </w:pPr>
    </w:p>
  </w:footnote>
  <w:footnote w:id="2">
    <w:p w14:paraId="4C4094F0" w14:textId="1C1F0E7D" w:rsidR="00CF4FAA" w:rsidRPr="00CF4FAA" w:rsidRDefault="00CF4FAA">
      <w:pPr>
        <w:pStyle w:val="FootnoteText"/>
      </w:pPr>
      <w:r>
        <w:rPr>
          <w:rStyle w:val="FootnoteReference"/>
        </w:rPr>
        <w:tab/>
      </w:r>
      <w:r w:rsidRPr="00CF4FAA">
        <w:rPr>
          <w:rStyle w:val="FootnoteReference"/>
          <w:sz w:val="20"/>
          <w:vertAlign w:val="baseline"/>
        </w:rPr>
        <w:t>*</w:t>
      </w:r>
      <w:r>
        <w:rPr>
          <w:rStyle w:val="FootnoteReference"/>
          <w:sz w:val="20"/>
          <w:vertAlign w:val="baseline"/>
        </w:rPr>
        <w:tab/>
      </w:r>
      <w:r>
        <w:rPr>
          <w:lang w:val="fr-FR"/>
        </w:rPr>
        <w:t>A/77/6 (Sect. 20), tableau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4383" w14:textId="17E3D563" w:rsidR="00DD52CC" w:rsidRPr="00DD52CC" w:rsidRDefault="001E0D27">
    <w:pPr>
      <w:pStyle w:val="Header"/>
    </w:pPr>
    <w:r>
      <w:fldChar w:fldCharType="begin"/>
    </w:r>
    <w:r>
      <w:instrText xml:space="preserve"> TITLE  \* MERGEFORMAT </w:instrText>
    </w:r>
    <w:r>
      <w:fldChar w:fldCharType="separate"/>
    </w:r>
    <w:r>
      <w:t>ECE/TRANS/WP.15/2023/1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3C06" w14:textId="6D9A4B92" w:rsidR="00DD52CC" w:rsidRPr="00DD52CC" w:rsidRDefault="001E0D27" w:rsidP="00DD52CC">
    <w:pPr>
      <w:pStyle w:val="Header"/>
      <w:jc w:val="right"/>
    </w:pPr>
    <w:r>
      <w:fldChar w:fldCharType="begin"/>
    </w:r>
    <w:r>
      <w:instrText xml:space="preserve"> TITLE  \* MERGEFORMAT </w:instrText>
    </w:r>
    <w:r>
      <w:fldChar w:fldCharType="separate"/>
    </w:r>
    <w:r>
      <w:t>ECE/TRANS/WP.15/2023/1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237088147">
    <w:abstractNumId w:val="12"/>
  </w:num>
  <w:num w:numId="2" w16cid:durableId="623390217">
    <w:abstractNumId w:val="11"/>
  </w:num>
  <w:num w:numId="3" w16cid:durableId="1860700525">
    <w:abstractNumId w:val="10"/>
  </w:num>
  <w:num w:numId="4" w16cid:durableId="307443249">
    <w:abstractNumId w:val="8"/>
  </w:num>
  <w:num w:numId="5" w16cid:durableId="1950089870">
    <w:abstractNumId w:val="3"/>
  </w:num>
  <w:num w:numId="6" w16cid:durableId="1586766571">
    <w:abstractNumId w:val="2"/>
  </w:num>
  <w:num w:numId="7" w16cid:durableId="1890414395">
    <w:abstractNumId w:val="1"/>
  </w:num>
  <w:num w:numId="8" w16cid:durableId="773749340">
    <w:abstractNumId w:val="0"/>
  </w:num>
  <w:num w:numId="9" w16cid:durableId="1021053526">
    <w:abstractNumId w:val="9"/>
  </w:num>
  <w:num w:numId="10" w16cid:durableId="314920792">
    <w:abstractNumId w:val="7"/>
  </w:num>
  <w:num w:numId="11" w16cid:durableId="696002883">
    <w:abstractNumId w:val="6"/>
  </w:num>
  <w:num w:numId="12" w16cid:durableId="1177622453">
    <w:abstractNumId w:val="5"/>
  </w:num>
  <w:num w:numId="13" w16cid:durableId="264118150">
    <w:abstractNumId w:val="4"/>
  </w:num>
  <w:num w:numId="14" w16cid:durableId="612133572">
    <w:abstractNumId w:val="12"/>
  </w:num>
  <w:num w:numId="15" w16cid:durableId="306856633">
    <w:abstractNumId w:val="11"/>
  </w:num>
  <w:num w:numId="16" w16cid:durableId="6277817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AF"/>
    <w:rsid w:val="00017F94"/>
    <w:rsid w:val="00023842"/>
    <w:rsid w:val="000334F9"/>
    <w:rsid w:val="00036FF0"/>
    <w:rsid w:val="00045FEB"/>
    <w:rsid w:val="00072384"/>
    <w:rsid w:val="0007796D"/>
    <w:rsid w:val="000959E2"/>
    <w:rsid w:val="000B61D8"/>
    <w:rsid w:val="000B7790"/>
    <w:rsid w:val="000C0AAF"/>
    <w:rsid w:val="000E26AC"/>
    <w:rsid w:val="00111F2F"/>
    <w:rsid w:val="0014365E"/>
    <w:rsid w:val="00143C66"/>
    <w:rsid w:val="00176178"/>
    <w:rsid w:val="001E0D27"/>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87878"/>
    <w:rsid w:val="004E2EED"/>
    <w:rsid w:val="004E468C"/>
    <w:rsid w:val="005505B7"/>
    <w:rsid w:val="00573BE5"/>
    <w:rsid w:val="00586ED3"/>
    <w:rsid w:val="00596AA9"/>
    <w:rsid w:val="00617ECC"/>
    <w:rsid w:val="00634C7E"/>
    <w:rsid w:val="0071601D"/>
    <w:rsid w:val="00727989"/>
    <w:rsid w:val="007A62E6"/>
    <w:rsid w:val="007F20FA"/>
    <w:rsid w:val="007F6BC3"/>
    <w:rsid w:val="0080684C"/>
    <w:rsid w:val="00871C75"/>
    <w:rsid w:val="008776DC"/>
    <w:rsid w:val="0089473D"/>
    <w:rsid w:val="008D5EF9"/>
    <w:rsid w:val="008F3167"/>
    <w:rsid w:val="009446C0"/>
    <w:rsid w:val="009569EA"/>
    <w:rsid w:val="009705C8"/>
    <w:rsid w:val="009C1CF4"/>
    <w:rsid w:val="009D1AAC"/>
    <w:rsid w:val="009F6B74"/>
    <w:rsid w:val="00A3029F"/>
    <w:rsid w:val="00A30353"/>
    <w:rsid w:val="00A961E8"/>
    <w:rsid w:val="00AC3823"/>
    <w:rsid w:val="00AE323C"/>
    <w:rsid w:val="00AF0CB5"/>
    <w:rsid w:val="00B00181"/>
    <w:rsid w:val="00B00B0D"/>
    <w:rsid w:val="00B26111"/>
    <w:rsid w:val="00B45F2E"/>
    <w:rsid w:val="00B72B9A"/>
    <w:rsid w:val="00B765F7"/>
    <w:rsid w:val="00B77993"/>
    <w:rsid w:val="00BA0CA9"/>
    <w:rsid w:val="00BB14C0"/>
    <w:rsid w:val="00BE7CC3"/>
    <w:rsid w:val="00C02897"/>
    <w:rsid w:val="00C97039"/>
    <w:rsid w:val="00CF4FAA"/>
    <w:rsid w:val="00D3439C"/>
    <w:rsid w:val="00D7622E"/>
    <w:rsid w:val="00DB1831"/>
    <w:rsid w:val="00DD3BFD"/>
    <w:rsid w:val="00DD52CC"/>
    <w:rsid w:val="00DE211D"/>
    <w:rsid w:val="00DF059E"/>
    <w:rsid w:val="00DF6678"/>
    <w:rsid w:val="00E0299A"/>
    <w:rsid w:val="00E85C74"/>
    <w:rsid w:val="00EA6547"/>
    <w:rsid w:val="00ED7237"/>
    <w:rsid w:val="00EF2E22"/>
    <w:rsid w:val="00F35BAF"/>
    <w:rsid w:val="00F660DF"/>
    <w:rsid w:val="00F94664"/>
    <w:rsid w:val="00F9573C"/>
    <w:rsid w:val="00F95C08"/>
    <w:rsid w:val="00FD6B3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11D30"/>
  <w15:docId w15:val="{68D53C00-4D86-4A5D-AAB1-C51FF487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CF4FA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0DF62AB-3D08-4EF2-BC82-7BCC85F5E4AF}"/>
</file>

<file path=customXml/itemProps2.xml><?xml version="1.0" encoding="utf-8"?>
<ds:datastoreItem xmlns:ds="http://schemas.openxmlformats.org/officeDocument/2006/customXml" ds:itemID="{319E558A-FB3B-44AF-8687-1FCE8A961AE5}"/>
</file>

<file path=customXml/itemProps3.xml><?xml version="1.0" encoding="utf-8"?>
<ds:datastoreItem xmlns:ds="http://schemas.openxmlformats.org/officeDocument/2006/customXml" ds:itemID="{210FD47E-1915-4EE2-A6BB-24DFEF8CCF61}"/>
</file>

<file path=docProps/app.xml><?xml version="1.0" encoding="utf-8"?>
<Properties xmlns="http://schemas.openxmlformats.org/officeDocument/2006/extended-properties" xmlns:vt="http://schemas.openxmlformats.org/officeDocument/2006/docPropsVTypes">
  <Template>Normal.dotm</Template>
  <TotalTime>1</TotalTime>
  <Pages>4</Pages>
  <Words>1224</Words>
  <Characters>6978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ECE/TRANS/WP.15/2023/1</vt:lpstr>
    </vt:vector>
  </TitlesOfParts>
  <Company>DCM</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ECE/TRANS/WP.15/2023/1</dc:title>
  <dc:subject/>
  <dc:creator>Nathalie VITTOZ</dc:creator>
  <cp:keywords/>
  <cp:lastModifiedBy>Laurence Berthet</cp:lastModifiedBy>
  <cp:revision>3</cp:revision>
  <cp:lastPrinted>2023-03-23T13:30:00Z</cp:lastPrinted>
  <dcterms:created xsi:type="dcterms:W3CDTF">2023-03-23T13:30:00Z</dcterms:created>
  <dcterms:modified xsi:type="dcterms:W3CDTF">2023-03-23T13:30:00Z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