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1F02F9" w14:textId="77777777" w:rsidTr="00C97039">
        <w:trPr>
          <w:trHeight w:hRule="exact" w:val="851"/>
        </w:trPr>
        <w:tc>
          <w:tcPr>
            <w:tcW w:w="1276" w:type="dxa"/>
            <w:tcBorders>
              <w:bottom w:val="single" w:sz="4" w:space="0" w:color="auto"/>
            </w:tcBorders>
          </w:tcPr>
          <w:p w14:paraId="15633EE8" w14:textId="77777777" w:rsidR="00F35BAF" w:rsidRPr="00DB58B5" w:rsidRDefault="00F35BAF" w:rsidP="00C95FB9"/>
        </w:tc>
        <w:tc>
          <w:tcPr>
            <w:tcW w:w="2268" w:type="dxa"/>
            <w:tcBorders>
              <w:bottom w:val="single" w:sz="4" w:space="0" w:color="auto"/>
            </w:tcBorders>
            <w:vAlign w:val="bottom"/>
          </w:tcPr>
          <w:p w14:paraId="1B7110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8F8CF2" w14:textId="287ABE1C" w:rsidR="00F35BAF" w:rsidRPr="00DB58B5" w:rsidRDefault="00C95FB9" w:rsidP="00C95FB9">
            <w:pPr>
              <w:jc w:val="right"/>
            </w:pPr>
            <w:r w:rsidRPr="00C95FB9">
              <w:rPr>
                <w:sz w:val="40"/>
              </w:rPr>
              <w:t>ECE</w:t>
            </w:r>
            <w:r>
              <w:t>/TRANS/WP.15/AC.1/2023/19</w:t>
            </w:r>
          </w:p>
        </w:tc>
      </w:tr>
      <w:tr w:rsidR="00F35BAF" w:rsidRPr="00DB58B5" w14:paraId="4D0256A6" w14:textId="77777777" w:rsidTr="00C97039">
        <w:trPr>
          <w:trHeight w:hRule="exact" w:val="2835"/>
        </w:trPr>
        <w:tc>
          <w:tcPr>
            <w:tcW w:w="1276" w:type="dxa"/>
            <w:tcBorders>
              <w:top w:val="single" w:sz="4" w:space="0" w:color="auto"/>
              <w:bottom w:val="single" w:sz="12" w:space="0" w:color="auto"/>
            </w:tcBorders>
          </w:tcPr>
          <w:p w14:paraId="19C1C2E1" w14:textId="77777777" w:rsidR="00F35BAF" w:rsidRPr="00DB58B5" w:rsidRDefault="00F35BAF" w:rsidP="00C97039">
            <w:pPr>
              <w:spacing w:before="120"/>
              <w:jc w:val="center"/>
            </w:pPr>
            <w:r>
              <w:rPr>
                <w:noProof/>
                <w:lang w:eastAsia="fr-CH"/>
              </w:rPr>
              <w:drawing>
                <wp:inline distT="0" distB="0" distL="0" distR="0" wp14:anchorId="58FC1803" wp14:editId="5A31FE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5E02F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B16B22" w14:textId="77777777" w:rsidR="00F35BAF" w:rsidRDefault="00C95FB9" w:rsidP="00C97039">
            <w:pPr>
              <w:spacing w:before="240"/>
            </w:pPr>
            <w:r>
              <w:t xml:space="preserve">Distr. </w:t>
            </w:r>
            <w:proofErr w:type="gramStart"/>
            <w:r>
              <w:t>générale</w:t>
            </w:r>
            <w:proofErr w:type="gramEnd"/>
          </w:p>
          <w:p w14:paraId="5084BBAC" w14:textId="31C20A3C" w:rsidR="00C95FB9" w:rsidRDefault="00C95FB9" w:rsidP="00C95FB9">
            <w:pPr>
              <w:spacing w:line="240" w:lineRule="exact"/>
            </w:pPr>
            <w:r>
              <w:t>29 décembre 2022</w:t>
            </w:r>
          </w:p>
          <w:p w14:paraId="66A46D4F" w14:textId="08E9986D" w:rsidR="00C95FB9" w:rsidRPr="00DB58B5" w:rsidRDefault="00C95FB9" w:rsidP="00C95FB9">
            <w:pPr>
              <w:spacing w:line="240" w:lineRule="exact"/>
            </w:pPr>
            <w:r>
              <w:t>Français</w:t>
            </w:r>
            <w:r>
              <w:br/>
              <w:t>Original</w:t>
            </w:r>
            <w:r w:rsidR="00A223BA">
              <w:t> :</w:t>
            </w:r>
            <w:r>
              <w:t xml:space="preserve"> anglais</w:t>
            </w:r>
          </w:p>
        </w:tc>
      </w:tr>
    </w:tbl>
    <w:p w14:paraId="6DC30E2C" w14:textId="77777777" w:rsidR="007F20FA" w:rsidRPr="000312C0" w:rsidRDefault="007F20FA" w:rsidP="007F20FA">
      <w:pPr>
        <w:spacing w:before="120"/>
        <w:rPr>
          <w:b/>
          <w:sz w:val="28"/>
          <w:szCs w:val="28"/>
        </w:rPr>
      </w:pPr>
      <w:r w:rsidRPr="000312C0">
        <w:rPr>
          <w:b/>
          <w:sz w:val="28"/>
          <w:szCs w:val="28"/>
        </w:rPr>
        <w:t>Commission économique pour l’Europe</w:t>
      </w:r>
    </w:p>
    <w:p w14:paraId="6F038F17" w14:textId="77777777" w:rsidR="007F20FA" w:rsidRDefault="007F20FA" w:rsidP="007F20FA">
      <w:pPr>
        <w:spacing w:before="120"/>
        <w:rPr>
          <w:sz w:val="28"/>
          <w:szCs w:val="28"/>
        </w:rPr>
      </w:pPr>
      <w:r w:rsidRPr="00685843">
        <w:rPr>
          <w:sz w:val="28"/>
          <w:szCs w:val="28"/>
        </w:rPr>
        <w:t>Comité des transports intérieurs</w:t>
      </w:r>
    </w:p>
    <w:p w14:paraId="185F4D88" w14:textId="77777777" w:rsidR="00A223BA" w:rsidRPr="00A223BA" w:rsidRDefault="00A223BA" w:rsidP="00A223BA">
      <w:pPr>
        <w:spacing w:before="120"/>
        <w:rPr>
          <w:b/>
          <w:sz w:val="24"/>
          <w:szCs w:val="24"/>
          <w:lang w:val="fr-FR"/>
        </w:rPr>
      </w:pPr>
      <w:r w:rsidRPr="00A223BA">
        <w:rPr>
          <w:b/>
          <w:bCs/>
          <w:sz w:val="24"/>
          <w:szCs w:val="24"/>
          <w:lang w:val="fr-FR"/>
        </w:rPr>
        <w:t>Groupe de travail des transports de marchandises dangereuses</w:t>
      </w:r>
    </w:p>
    <w:p w14:paraId="1B2E2809" w14:textId="3AE31CF2" w:rsidR="00A223BA" w:rsidRPr="00B4358F" w:rsidRDefault="00A223BA" w:rsidP="00A223BA">
      <w:pPr>
        <w:spacing w:before="120"/>
        <w:rPr>
          <w:b/>
          <w:lang w:val="fr-FR"/>
        </w:rPr>
      </w:pPr>
      <w:r w:rsidRPr="00B4358F">
        <w:rPr>
          <w:b/>
          <w:bCs/>
          <w:lang w:val="fr-FR"/>
        </w:rPr>
        <w:t>Réunion commune de la Commission d’experts du RID et</w:t>
      </w:r>
      <w:r w:rsidR="008D0571">
        <w:rPr>
          <w:b/>
          <w:bCs/>
          <w:lang w:val="fr-FR"/>
        </w:rPr>
        <w:t xml:space="preserve"> </w:t>
      </w:r>
      <w:r w:rsidRPr="00B4358F">
        <w:rPr>
          <w:b/>
          <w:bCs/>
          <w:lang w:val="fr-FR"/>
        </w:rPr>
        <w:t xml:space="preserve">du </w:t>
      </w:r>
      <w:r w:rsidR="008D0571">
        <w:rPr>
          <w:b/>
          <w:bCs/>
          <w:lang w:val="fr-FR"/>
        </w:rPr>
        <w:br/>
      </w:r>
      <w:r w:rsidRPr="00B4358F">
        <w:rPr>
          <w:b/>
          <w:bCs/>
          <w:lang w:val="fr-FR"/>
        </w:rPr>
        <w:t>Groupe de travail des transports de marchandises dangereuses</w:t>
      </w:r>
    </w:p>
    <w:p w14:paraId="54C29BA3" w14:textId="77777777" w:rsidR="00A223BA" w:rsidRPr="00B4358F" w:rsidRDefault="00A223BA" w:rsidP="00A223BA">
      <w:pPr>
        <w:rPr>
          <w:lang w:val="fr-FR"/>
        </w:rPr>
      </w:pPr>
      <w:r w:rsidRPr="00B4358F">
        <w:rPr>
          <w:lang w:val="fr-FR"/>
        </w:rPr>
        <w:t>Berne, 20-24 mars 2023</w:t>
      </w:r>
    </w:p>
    <w:p w14:paraId="48D9A929" w14:textId="77777777" w:rsidR="00A223BA" w:rsidRPr="00B4358F" w:rsidRDefault="00A223BA" w:rsidP="00A223BA">
      <w:pPr>
        <w:rPr>
          <w:lang w:val="fr-FR"/>
        </w:rPr>
      </w:pPr>
      <w:r w:rsidRPr="00B4358F">
        <w:rPr>
          <w:lang w:val="fr-FR"/>
        </w:rPr>
        <w:t>Point 5 b) de l’ordre du jour provisoire</w:t>
      </w:r>
    </w:p>
    <w:p w14:paraId="613B67C7" w14:textId="3D84D378" w:rsidR="00A223BA" w:rsidRPr="00B4358F" w:rsidRDefault="00A223BA" w:rsidP="00A223BA">
      <w:pPr>
        <w:rPr>
          <w:b/>
          <w:bCs/>
          <w:lang w:val="fr-FR"/>
        </w:rPr>
      </w:pPr>
      <w:r w:rsidRPr="00B4358F">
        <w:rPr>
          <w:b/>
          <w:bCs/>
          <w:lang w:val="fr-FR"/>
        </w:rPr>
        <w:t>Propositions d’amendements au RID, à l’ADR et à l’ADN</w:t>
      </w:r>
      <w:r>
        <w:rPr>
          <w:b/>
          <w:bCs/>
          <w:lang w:val="fr-FR"/>
        </w:rPr>
        <w:t> :</w:t>
      </w:r>
      <w:r w:rsidRPr="00B4358F">
        <w:rPr>
          <w:b/>
          <w:bCs/>
          <w:lang w:val="fr-FR"/>
        </w:rPr>
        <w:t xml:space="preserve"> </w:t>
      </w:r>
      <w:r w:rsidR="008D0571">
        <w:rPr>
          <w:b/>
          <w:bCs/>
          <w:lang w:val="fr-FR"/>
        </w:rPr>
        <w:br/>
      </w:r>
      <w:r w:rsidRPr="00B4358F">
        <w:rPr>
          <w:b/>
          <w:bCs/>
          <w:lang w:val="fr-FR"/>
        </w:rPr>
        <w:t>nouvelles propositions</w:t>
      </w:r>
    </w:p>
    <w:p w14:paraId="3F092DFC" w14:textId="77777777" w:rsidR="00A223BA" w:rsidRPr="00B4358F" w:rsidRDefault="00A223BA" w:rsidP="00A223BA">
      <w:pPr>
        <w:pStyle w:val="HChG"/>
        <w:rPr>
          <w:lang w:val="fr-FR"/>
        </w:rPr>
      </w:pPr>
      <w:r w:rsidRPr="00B4358F">
        <w:rPr>
          <w:lang w:val="fr-FR"/>
        </w:rPr>
        <w:tab/>
      </w:r>
      <w:r w:rsidRPr="00B4358F">
        <w:rPr>
          <w:lang w:val="fr-FR"/>
        </w:rPr>
        <w:tab/>
        <w:t>Compatibilité chimique des emballages en matières plastiques contenant des déchets liquides</w:t>
      </w:r>
    </w:p>
    <w:p w14:paraId="5E35FD94" w14:textId="0418EF0F" w:rsidR="00A223BA" w:rsidRPr="00A223BA" w:rsidRDefault="00A223BA" w:rsidP="00A223BA">
      <w:pPr>
        <w:pStyle w:val="H1G"/>
      </w:pPr>
      <w:r w:rsidRPr="00B4358F">
        <w:rPr>
          <w:lang w:val="fr-FR"/>
        </w:rPr>
        <w:tab/>
      </w:r>
      <w:r w:rsidRPr="00B4358F">
        <w:rPr>
          <w:lang w:val="fr-FR"/>
        </w:rPr>
        <w:tab/>
        <w:t>Communication de la Fédération européenne des activités de</w:t>
      </w:r>
      <w:r w:rsidR="008D0571">
        <w:rPr>
          <w:lang w:val="fr-FR"/>
        </w:rPr>
        <w:t> </w:t>
      </w:r>
      <w:r w:rsidRPr="00B4358F">
        <w:rPr>
          <w:lang w:val="fr-FR"/>
        </w:rPr>
        <w:t>l</w:t>
      </w:r>
      <w:r w:rsidR="008D0571">
        <w:rPr>
          <w:lang w:val="fr-FR"/>
        </w:rPr>
        <w:t>a </w:t>
      </w:r>
      <w:r w:rsidRPr="00B4358F">
        <w:rPr>
          <w:lang w:val="fr-FR"/>
        </w:rPr>
        <w:t>dépollution et de l’environnement (FEAD)</w:t>
      </w:r>
      <w:r w:rsidRPr="00A223BA">
        <w:rPr>
          <w:rStyle w:val="FootnoteReference"/>
          <w:b w:val="0"/>
          <w:bCs/>
          <w:sz w:val="20"/>
          <w:vertAlign w:val="baseline"/>
        </w:rPr>
        <w:footnoteReference w:customMarkFollows="1" w:id="2"/>
        <w:t>*</w:t>
      </w:r>
      <w:r w:rsidRPr="00A223BA">
        <w:rPr>
          <w:rStyle w:val="FootnoteReference"/>
          <w:b w:val="0"/>
          <w:bCs/>
          <w:sz w:val="20"/>
        </w:rPr>
        <w:t>,</w:t>
      </w:r>
      <w:r w:rsidRPr="00A223BA">
        <w:rPr>
          <w:bCs/>
          <w:sz w:val="20"/>
          <w:vertAlign w:val="superscript"/>
        </w:rPr>
        <w:t xml:space="preserve"> </w:t>
      </w:r>
      <w:r w:rsidRPr="00A223BA">
        <w:rPr>
          <w:rStyle w:val="FootnoteReference"/>
          <w:b w:val="0"/>
          <w:bCs/>
          <w:sz w:val="20"/>
          <w:vertAlign w:val="baseline"/>
        </w:rPr>
        <w:footnoteReference w:customMarkFollows="1" w:id="3"/>
        <w:t>**</w:t>
      </w:r>
    </w:p>
    <w:tbl>
      <w:tblPr>
        <w:tblStyle w:val="TableGrid"/>
        <w:tblW w:w="9629" w:type="dxa"/>
        <w:jc w:val="center"/>
        <w:tblBorders>
          <w:insideH w:val="none" w:sz="0" w:space="0" w:color="auto"/>
        </w:tblBorders>
        <w:tblLayout w:type="fixed"/>
        <w:tblLook w:val="05E0" w:firstRow="1" w:lastRow="1" w:firstColumn="1" w:lastColumn="1" w:noHBand="0" w:noVBand="1"/>
      </w:tblPr>
      <w:tblGrid>
        <w:gridCol w:w="9629"/>
      </w:tblGrid>
      <w:tr w:rsidR="00A223BA" w:rsidRPr="00B4358F" w14:paraId="425ECD1C" w14:textId="77777777" w:rsidTr="00A223BA">
        <w:trPr>
          <w:jc w:val="center"/>
        </w:trPr>
        <w:tc>
          <w:tcPr>
            <w:tcW w:w="9629" w:type="dxa"/>
            <w:shd w:val="clear" w:color="auto" w:fill="auto"/>
          </w:tcPr>
          <w:p w14:paraId="584DF938" w14:textId="77777777" w:rsidR="00A223BA" w:rsidRPr="00B4358F" w:rsidRDefault="00A223BA" w:rsidP="008937A8">
            <w:pPr>
              <w:spacing w:before="240" w:after="120"/>
              <w:ind w:left="255"/>
              <w:rPr>
                <w:i/>
                <w:lang w:val="fr-FR"/>
              </w:rPr>
            </w:pPr>
            <w:r w:rsidRPr="00A223BA">
              <w:rPr>
                <w:i/>
                <w:sz w:val="24"/>
              </w:rPr>
              <w:t>Résumé</w:t>
            </w:r>
          </w:p>
        </w:tc>
      </w:tr>
      <w:tr w:rsidR="00A223BA" w:rsidRPr="00B4358F" w14:paraId="76E4D9AC" w14:textId="77777777" w:rsidTr="00A223BA">
        <w:trPr>
          <w:jc w:val="center"/>
        </w:trPr>
        <w:tc>
          <w:tcPr>
            <w:tcW w:w="9629" w:type="dxa"/>
            <w:shd w:val="clear" w:color="auto" w:fill="auto"/>
          </w:tcPr>
          <w:p w14:paraId="49EF7700" w14:textId="2F709020" w:rsidR="00A223BA" w:rsidRPr="00B4358F" w:rsidRDefault="00A223BA" w:rsidP="008937A8">
            <w:pPr>
              <w:pStyle w:val="Hoofdtekst"/>
              <w:tabs>
                <w:tab w:val="left" w:pos="1139"/>
                <w:tab w:val="left" w:pos="3407"/>
              </w:tabs>
              <w:spacing w:before="60"/>
              <w:ind w:left="3408" w:right="714" w:hanging="2268"/>
              <w:jc w:val="both"/>
              <w:rPr>
                <w:rFonts w:ascii="Times New Roman" w:hAnsi="Times New Roman" w:cs="Times New Roman"/>
                <w:color w:val="auto"/>
                <w:lang w:val="fr-FR"/>
              </w:rPr>
            </w:pPr>
            <w:r w:rsidRPr="00B4358F">
              <w:rPr>
                <w:rFonts w:ascii="Times New Roman" w:hAnsi="Times New Roman" w:cs="Times New Roman"/>
                <w:b/>
                <w:bCs/>
                <w:lang w:val="fr-FR"/>
              </w:rPr>
              <w:t>Résumé analytique</w:t>
            </w:r>
            <w:r>
              <w:rPr>
                <w:rFonts w:ascii="Times New Roman" w:hAnsi="Times New Roman" w:cs="Times New Roman"/>
                <w:b/>
                <w:bCs/>
                <w:lang w:val="fr-FR"/>
              </w:rPr>
              <w:t> :</w:t>
            </w:r>
            <w:r w:rsidRPr="00B4358F">
              <w:rPr>
                <w:rFonts w:ascii="Times New Roman" w:hAnsi="Times New Roman" w:cs="Times New Roman"/>
                <w:lang w:val="fr-FR"/>
              </w:rPr>
              <w:tab/>
              <w:t>Le présent document porte sur la nécessité d’introduire des règles pour les emballages plastiques contenant des déchets liquides lorsque la composition exacte de ces déchets n’est pas connue.</w:t>
            </w:r>
          </w:p>
          <w:p w14:paraId="02B50DF3" w14:textId="7494D43A" w:rsidR="00A223BA" w:rsidRPr="00B4358F" w:rsidRDefault="00A223BA" w:rsidP="008937A8">
            <w:pPr>
              <w:pStyle w:val="SingleTxtG"/>
              <w:rPr>
                <w:lang w:val="fr-FR"/>
              </w:rPr>
            </w:pPr>
            <w:r w:rsidRPr="00B4358F">
              <w:rPr>
                <w:b/>
                <w:bCs/>
                <w:lang w:val="fr-FR"/>
              </w:rPr>
              <w:t>Mesures à prendre</w:t>
            </w:r>
            <w:r>
              <w:rPr>
                <w:b/>
                <w:bCs/>
                <w:lang w:val="fr-FR"/>
              </w:rPr>
              <w:t> :</w:t>
            </w:r>
            <w:r w:rsidRPr="00B4358F">
              <w:rPr>
                <w:lang w:val="fr-FR"/>
              </w:rPr>
              <w:tab/>
              <w:t>Ajouter un nouveau paragraphe sous le 4.1.1.21.7.</w:t>
            </w:r>
          </w:p>
        </w:tc>
      </w:tr>
      <w:tr w:rsidR="00A223BA" w:rsidRPr="00B4358F" w14:paraId="6DC6E025" w14:textId="77777777" w:rsidTr="00A223BA">
        <w:trPr>
          <w:jc w:val="center"/>
        </w:trPr>
        <w:tc>
          <w:tcPr>
            <w:tcW w:w="9629" w:type="dxa"/>
            <w:shd w:val="clear" w:color="auto" w:fill="auto"/>
          </w:tcPr>
          <w:p w14:paraId="447F96BE" w14:textId="77777777" w:rsidR="00A223BA" w:rsidRPr="00B4358F" w:rsidRDefault="00A223BA" w:rsidP="008937A8">
            <w:pPr>
              <w:rPr>
                <w:lang w:val="fr-FR"/>
              </w:rPr>
            </w:pPr>
          </w:p>
        </w:tc>
      </w:tr>
    </w:tbl>
    <w:p w14:paraId="0191E594" w14:textId="77777777" w:rsidR="00A223BA" w:rsidRPr="00B4358F" w:rsidRDefault="00A223BA" w:rsidP="00A223BA">
      <w:pPr>
        <w:pStyle w:val="HChG"/>
        <w:rPr>
          <w:lang w:val="fr-FR"/>
        </w:rPr>
      </w:pPr>
      <w:r w:rsidRPr="00B4358F">
        <w:rPr>
          <w:lang w:val="fr-FR"/>
        </w:rPr>
        <w:tab/>
      </w:r>
      <w:r w:rsidRPr="00B4358F">
        <w:rPr>
          <w:lang w:val="fr-FR"/>
        </w:rPr>
        <w:tab/>
        <w:t>Introduction</w:t>
      </w:r>
    </w:p>
    <w:p w14:paraId="5521153D" w14:textId="77777777" w:rsidR="00A223BA" w:rsidRPr="00B4358F" w:rsidRDefault="00A223BA" w:rsidP="00A223BA">
      <w:pPr>
        <w:pStyle w:val="SingleTxtG"/>
        <w:rPr>
          <w:lang w:val="fr-FR"/>
        </w:rPr>
      </w:pPr>
      <w:r w:rsidRPr="00B4358F">
        <w:rPr>
          <w:lang w:val="fr-FR"/>
        </w:rPr>
        <w:t>1.</w:t>
      </w:r>
      <w:r w:rsidRPr="00B4358F">
        <w:rPr>
          <w:lang w:val="fr-FR"/>
        </w:rPr>
        <w:tab/>
        <w:t>Comme le dispose le 4.1.1.21.1, pour les emballages définis au 6.1.5.2.6, en polyéthylène, et pour les grands récipients pour vrac (GRV) en polyéthylène définis au 6.5.6.3.5, on peut vérifier la compatibilité chimique avec les matières de remplissage, en assimilant celles-ci aux liquides de référence selon les modalités décrites aux 4.1.1.21.3 à 4.1.1.21.5 et en employant la liste figurant au tableau 4.1.1.21.6, étant entendu que les modèles types particuliers sont éprouvés avec ces liquides de référence conformément au 6.1.5 ou au 6.5.6, qu’il est tenu compte du 6.1.6 et que les conditions énoncées au 4.1.1.21.2 sont remplies.</w:t>
      </w:r>
    </w:p>
    <w:p w14:paraId="7138A105" w14:textId="77777777" w:rsidR="00A223BA" w:rsidRPr="00B4358F" w:rsidRDefault="00A223BA" w:rsidP="00A223BA">
      <w:pPr>
        <w:pStyle w:val="SingleTxtG"/>
        <w:rPr>
          <w:lang w:val="fr-FR"/>
        </w:rPr>
      </w:pPr>
      <w:r w:rsidRPr="00B4358F">
        <w:rPr>
          <w:lang w:val="fr-FR"/>
        </w:rPr>
        <w:t>2.</w:t>
      </w:r>
      <w:r w:rsidRPr="00B4358F">
        <w:rPr>
          <w:lang w:val="fr-FR"/>
        </w:rPr>
        <w:tab/>
        <w:t xml:space="preserve">Lorsqu’une assimilation conformément à cette sous-section n’est pas possible, il convient de vérifier la compatibilité chimique par des épreuves sur le modèle type </w:t>
      </w:r>
      <w:r w:rsidRPr="00B4358F">
        <w:rPr>
          <w:lang w:val="fr-FR"/>
        </w:rPr>
        <w:lastRenderedPageBreak/>
        <w:t>conformément au 6.1.5.2.5 ou par des essais en laboratoire conformément au 6.1.5.2.7 pour les emballages, et au 6.5.6.3.3 ou au 6.5.6.3.6 pour les GRV, respectivement.</w:t>
      </w:r>
    </w:p>
    <w:p w14:paraId="24863CA5" w14:textId="225CB10C" w:rsidR="00A223BA" w:rsidRPr="00B4358F" w:rsidRDefault="00A223BA" w:rsidP="00A223BA">
      <w:pPr>
        <w:pStyle w:val="SingleTxtG"/>
        <w:rPr>
          <w:lang w:val="fr-FR"/>
        </w:rPr>
      </w:pPr>
      <w:r w:rsidRPr="00B4358F">
        <w:rPr>
          <w:lang w:val="fr-FR"/>
        </w:rPr>
        <w:t>3.</w:t>
      </w:r>
      <w:r w:rsidRPr="00B4358F">
        <w:rPr>
          <w:lang w:val="fr-FR"/>
        </w:rPr>
        <w:tab/>
        <w:t>La règle pour les rubriques collectives (fig</w:t>
      </w:r>
      <w:r w:rsidR="008D0571">
        <w:rPr>
          <w:lang w:val="fr-FR"/>
        </w:rPr>
        <w:t>. </w:t>
      </w:r>
      <w:r w:rsidRPr="00B4358F">
        <w:rPr>
          <w:lang w:val="fr-FR"/>
        </w:rPr>
        <w:t xml:space="preserve">4.1.1.21.2) exige que la composition exacte des marchandises dangereuses soit connue. Dans la plupart des cas, cette règle aboutit à une déclaration du type </w:t>
      </w:r>
      <w:r>
        <w:rPr>
          <w:lang w:val="fr-FR"/>
        </w:rPr>
        <w:t>« </w:t>
      </w:r>
      <w:r w:rsidRPr="00B4358F">
        <w:rPr>
          <w:lang w:val="fr-FR"/>
        </w:rPr>
        <w:t>autres épreuves nécessaires</w:t>
      </w:r>
      <w:r>
        <w:rPr>
          <w:lang w:val="fr-FR"/>
        </w:rPr>
        <w:t> »</w:t>
      </w:r>
      <w:r w:rsidRPr="00B4358F">
        <w:rPr>
          <w:lang w:val="fr-FR"/>
        </w:rPr>
        <w:t xml:space="preserve"> car de nombreux composés chimiques ne sont pas assimilés à un liquide de référence. La question se pose en particulier pour les déchets, car leur composition peut ne pas être exactement connue et peut varier d’un jour à l’autre en fonction du processus de production correspondant (par exemple, les déchets liquides générés par les analyses de laboratoire, les solvants usés générés par les processus mécaniques ou les activités de nettoyage, etc.).</w:t>
      </w:r>
    </w:p>
    <w:p w14:paraId="4CD15B49" w14:textId="663BE241" w:rsidR="00A223BA" w:rsidRPr="00B4358F" w:rsidRDefault="00A223BA" w:rsidP="00A223BA">
      <w:pPr>
        <w:pStyle w:val="SingleTxtG"/>
        <w:rPr>
          <w:lang w:val="fr-FR"/>
        </w:rPr>
      </w:pPr>
      <w:r w:rsidRPr="00B4358F">
        <w:rPr>
          <w:lang w:val="fr-FR"/>
        </w:rPr>
        <w:t>4.</w:t>
      </w:r>
      <w:r w:rsidRPr="00B4358F">
        <w:rPr>
          <w:lang w:val="fr-FR"/>
        </w:rPr>
        <w:tab/>
        <w:t xml:space="preserve">Par </w:t>
      </w:r>
      <w:r>
        <w:rPr>
          <w:lang w:val="fr-FR"/>
        </w:rPr>
        <w:t>« </w:t>
      </w:r>
      <w:r w:rsidRPr="00B4358F">
        <w:rPr>
          <w:lang w:val="fr-FR"/>
        </w:rPr>
        <w:t>autres épreuves</w:t>
      </w:r>
      <w:r>
        <w:rPr>
          <w:lang w:val="fr-FR"/>
        </w:rPr>
        <w:t> »</w:t>
      </w:r>
      <w:r w:rsidRPr="00B4358F">
        <w:rPr>
          <w:lang w:val="fr-FR"/>
        </w:rPr>
        <w:t>, on entend, par exemple, le fait que les marchandises dangereuses doivent être stockées à température ambiante pendant six mois ou que des échantillons d’épreuves soient stockés pendant trois semaines dans certaines conditions. D’un point de vue pratique, cette procédure ne peut pas être appliquée à chaque lot de déchets et ne permet pas non plus une gestion efficace des déchets.</w:t>
      </w:r>
    </w:p>
    <w:p w14:paraId="16A7D517" w14:textId="77777777" w:rsidR="00A223BA" w:rsidRPr="00B4358F" w:rsidRDefault="00A223BA" w:rsidP="00A223BA">
      <w:pPr>
        <w:pStyle w:val="SingleTxtG"/>
        <w:rPr>
          <w:lang w:val="fr-FR"/>
        </w:rPr>
      </w:pPr>
      <w:r w:rsidRPr="00B4358F">
        <w:rPr>
          <w:lang w:val="fr-FR"/>
        </w:rPr>
        <w:t>5.</w:t>
      </w:r>
      <w:r w:rsidRPr="00B4358F">
        <w:rPr>
          <w:lang w:val="fr-FR"/>
        </w:rPr>
        <w:tab/>
        <w:t>Pour garantir le niveau de sécurité le plus élevé possible, les auteurs du présent document proposent que la compatibilité chimique du matériau d’emballage avec les six liquides de référence soit vérifiée et que l’emballage lui-même satisfasse au niveau d’épreuve du groupe d’emballage I.</w:t>
      </w:r>
    </w:p>
    <w:p w14:paraId="3FA69777" w14:textId="77777777" w:rsidR="00A223BA" w:rsidRPr="00B4358F" w:rsidRDefault="00A223BA" w:rsidP="00A223BA">
      <w:pPr>
        <w:pStyle w:val="HChG"/>
        <w:rPr>
          <w:lang w:val="fr-FR"/>
        </w:rPr>
      </w:pPr>
      <w:r w:rsidRPr="00B4358F">
        <w:rPr>
          <w:lang w:val="fr-FR"/>
        </w:rPr>
        <w:tab/>
      </w:r>
      <w:r w:rsidRPr="00B4358F">
        <w:rPr>
          <w:lang w:val="fr-FR"/>
        </w:rPr>
        <w:tab/>
        <w:t>Proposition</w:t>
      </w:r>
    </w:p>
    <w:p w14:paraId="750D8E56" w14:textId="667BC230" w:rsidR="00A223BA" w:rsidRPr="00B4358F" w:rsidRDefault="00A223BA" w:rsidP="003B0019">
      <w:pPr>
        <w:pStyle w:val="SingleTxtG"/>
        <w:keepNext/>
        <w:rPr>
          <w:lang w:val="fr-FR"/>
        </w:rPr>
      </w:pPr>
      <w:r w:rsidRPr="00B4358F">
        <w:rPr>
          <w:lang w:val="fr-FR"/>
        </w:rPr>
        <w:t>6.</w:t>
      </w:r>
      <w:r w:rsidRPr="00B4358F">
        <w:rPr>
          <w:lang w:val="fr-FR"/>
        </w:rPr>
        <w:tab/>
        <w:t xml:space="preserve">Comme </w:t>
      </w:r>
      <w:proofErr w:type="gramStart"/>
      <w:r w:rsidRPr="00B4358F">
        <w:rPr>
          <w:lang w:val="fr-FR"/>
        </w:rPr>
        <w:t>suite aux</w:t>
      </w:r>
      <w:proofErr w:type="gramEnd"/>
      <w:r w:rsidRPr="00B4358F">
        <w:rPr>
          <w:lang w:val="fr-FR"/>
        </w:rPr>
        <w:t xml:space="preserve"> discussions qui ont eu lieu au sein du groupe de travail informel du transport des déchets dangereux pendant la réunion tenue les 15 et 16</w:t>
      </w:r>
      <w:r>
        <w:rPr>
          <w:lang w:val="fr-FR"/>
        </w:rPr>
        <w:t> </w:t>
      </w:r>
      <w:r w:rsidRPr="00B4358F">
        <w:rPr>
          <w:lang w:val="fr-FR"/>
        </w:rPr>
        <w:t>juin 2022 à La Haye (et en ligne), la FEAD propose</w:t>
      </w:r>
      <w:r>
        <w:rPr>
          <w:lang w:val="fr-FR"/>
        </w:rPr>
        <w:t> :</w:t>
      </w:r>
    </w:p>
    <w:p w14:paraId="241A7ED7" w14:textId="5260A444" w:rsidR="00A223BA" w:rsidRPr="00B4358F" w:rsidRDefault="00A223BA" w:rsidP="003B0019">
      <w:pPr>
        <w:pStyle w:val="SingleTxtG"/>
        <w:keepNext/>
        <w:ind w:firstLine="567"/>
        <w:rPr>
          <w:lang w:val="fr-FR"/>
        </w:rPr>
      </w:pPr>
      <w:r w:rsidRPr="00B4358F">
        <w:rPr>
          <w:lang w:val="fr-FR"/>
        </w:rPr>
        <w:t>D’ajouter, au 4.1.1.21.7, le paragraphe suivant</w:t>
      </w:r>
      <w:r>
        <w:rPr>
          <w:lang w:val="fr-FR"/>
        </w:rPr>
        <w:t> :</w:t>
      </w:r>
    </w:p>
    <w:p w14:paraId="2780D2DA" w14:textId="39DC7963" w:rsidR="00A223BA" w:rsidRPr="00B4358F" w:rsidRDefault="00A223BA" w:rsidP="00A223BA">
      <w:pPr>
        <w:pStyle w:val="SingleTxtG"/>
        <w:ind w:left="1701"/>
        <w:rPr>
          <w:lang w:val="fr-FR"/>
        </w:rPr>
      </w:pPr>
      <w:r>
        <w:rPr>
          <w:lang w:val="fr-FR"/>
        </w:rPr>
        <w:t>« </w:t>
      </w:r>
      <w:r w:rsidRPr="008D0571">
        <w:rPr>
          <w:b/>
          <w:bCs/>
          <w:lang w:val="fr-FR"/>
        </w:rPr>
        <w:t>Les déchets liquides visés au 2.1.3.5.5 ne doivent être placés dans des emballages en plastique qu’à condition que le matériau d’emballage subisse avec succès les épreuves pertinentes avec les six liquides de référence décrits au 6.1.6.1. Les emballages doivent satisfaire au niveau d’épreuve du groupe d’emballage I.</w:t>
      </w:r>
      <w:r>
        <w:rPr>
          <w:lang w:val="fr-FR"/>
        </w:rPr>
        <w:t> ».</w:t>
      </w:r>
    </w:p>
    <w:p w14:paraId="1425B962" w14:textId="77777777" w:rsidR="00A223BA" w:rsidRPr="00B4358F" w:rsidRDefault="00A223BA" w:rsidP="00A223BA">
      <w:pPr>
        <w:pStyle w:val="HChG"/>
        <w:rPr>
          <w:lang w:val="fr-FR"/>
        </w:rPr>
      </w:pPr>
      <w:r w:rsidRPr="00B4358F">
        <w:rPr>
          <w:lang w:val="fr-FR"/>
        </w:rPr>
        <w:tab/>
      </w:r>
      <w:r w:rsidRPr="00B4358F">
        <w:rPr>
          <w:lang w:val="fr-FR"/>
        </w:rPr>
        <w:tab/>
        <w:t>Justification</w:t>
      </w:r>
    </w:p>
    <w:p w14:paraId="0645A352" w14:textId="77777777" w:rsidR="00A223BA" w:rsidRPr="00B4358F" w:rsidRDefault="00A223BA" w:rsidP="00A223BA">
      <w:pPr>
        <w:pStyle w:val="SingleTxtG"/>
        <w:rPr>
          <w:lang w:val="fr-FR"/>
        </w:rPr>
      </w:pPr>
      <w:r w:rsidRPr="00B4358F">
        <w:rPr>
          <w:lang w:val="fr-FR"/>
        </w:rPr>
        <w:t>7.</w:t>
      </w:r>
      <w:r w:rsidRPr="00B4358F">
        <w:rPr>
          <w:lang w:val="fr-FR"/>
        </w:rPr>
        <w:tab/>
        <w:t>La présente proposition clarifie la situation en ce qui concerne la gestion des déchets et n’augmente pas le niveau de risque actuel.</w:t>
      </w:r>
    </w:p>
    <w:p w14:paraId="3A352379" w14:textId="6B6F4465" w:rsidR="00F9573C" w:rsidRPr="00A223BA" w:rsidRDefault="00A223BA" w:rsidP="00A223BA">
      <w:pPr>
        <w:pStyle w:val="SingleTxtG"/>
        <w:spacing w:before="240" w:after="0"/>
        <w:jc w:val="center"/>
        <w:rPr>
          <w:u w:val="single"/>
        </w:rPr>
      </w:pPr>
      <w:r>
        <w:rPr>
          <w:u w:val="single"/>
        </w:rPr>
        <w:tab/>
      </w:r>
      <w:r>
        <w:rPr>
          <w:u w:val="single"/>
        </w:rPr>
        <w:tab/>
      </w:r>
      <w:r>
        <w:rPr>
          <w:u w:val="single"/>
        </w:rPr>
        <w:tab/>
      </w:r>
      <w:r>
        <w:rPr>
          <w:u w:val="single"/>
        </w:rPr>
        <w:tab/>
      </w:r>
    </w:p>
    <w:sectPr w:rsidR="00F9573C" w:rsidRPr="00A223BA" w:rsidSect="00C95F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46B5" w14:textId="77777777" w:rsidR="00024661" w:rsidRDefault="00024661" w:rsidP="00F95C08">
      <w:pPr>
        <w:spacing w:line="240" w:lineRule="auto"/>
      </w:pPr>
    </w:p>
  </w:endnote>
  <w:endnote w:type="continuationSeparator" w:id="0">
    <w:p w14:paraId="3BF66FC6" w14:textId="77777777" w:rsidR="00024661" w:rsidRPr="00AC3823" w:rsidRDefault="00024661" w:rsidP="00AC3823">
      <w:pPr>
        <w:pStyle w:val="Footer"/>
      </w:pPr>
    </w:p>
  </w:endnote>
  <w:endnote w:type="continuationNotice" w:id="1">
    <w:p w14:paraId="1D0D4349" w14:textId="77777777" w:rsidR="00024661" w:rsidRDefault="000246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79C" w14:textId="63BE58F0" w:rsidR="00C95FB9" w:rsidRPr="00C95FB9" w:rsidRDefault="00C95FB9" w:rsidP="00C95FB9">
    <w:pPr>
      <w:pStyle w:val="Footer"/>
      <w:tabs>
        <w:tab w:val="right" w:pos="9638"/>
      </w:tabs>
    </w:pPr>
    <w:r w:rsidRPr="00C95FB9">
      <w:rPr>
        <w:b/>
        <w:sz w:val="18"/>
      </w:rPr>
      <w:fldChar w:fldCharType="begin"/>
    </w:r>
    <w:r w:rsidRPr="00C95FB9">
      <w:rPr>
        <w:b/>
        <w:sz w:val="18"/>
      </w:rPr>
      <w:instrText xml:space="preserve"> PAGE  \* MERGEFORMAT </w:instrText>
    </w:r>
    <w:r w:rsidRPr="00C95FB9">
      <w:rPr>
        <w:b/>
        <w:sz w:val="18"/>
      </w:rPr>
      <w:fldChar w:fldCharType="separate"/>
    </w:r>
    <w:r w:rsidRPr="00C95FB9">
      <w:rPr>
        <w:b/>
        <w:noProof/>
        <w:sz w:val="18"/>
      </w:rPr>
      <w:t>2</w:t>
    </w:r>
    <w:r w:rsidRPr="00C95FB9">
      <w:rPr>
        <w:b/>
        <w:sz w:val="18"/>
      </w:rPr>
      <w:fldChar w:fldCharType="end"/>
    </w:r>
    <w:r>
      <w:rPr>
        <w:b/>
        <w:sz w:val="18"/>
      </w:rPr>
      <w:tab/>
    </w:r>
    <w:r>
      <w:t>GE.22-29206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F6E3" w14:textId="01A5A375" w:rsidR="00C95FB9" w:rsidRPr="00C95FB9" w:rsidRDefault="00C95FB9" w:rsidP="00C95FB9">
    <w:pPr>
      <w:pStyle w:val="Footer"/>
      <w:tabs>
        <w:tab w:val="right" w:pos="9638"/>
      </w:tabs>
      <w:rPr>
        <w:b/>
        <w:sz w:val="18"/>
      </w:rPr>
    </w:pPr>
    <w:r>
      <w:t>GE.22-29206</w:t>
    </w:r>
    <w:r>
      <w:tab/>
    </w:r>
    <w:r w:rsidRPr="00C95FB9">
      <w:rPr>
        <w:b/>
        <w:sz w:val="18"/>
      </w:rPr>
      <w:fldChar w:fldCharType="begin"/>
    </w:r>
    <w:r w:rsidRPr="00C95FB9">
      <w:rPr>
        <w:b/>
        <w:sz w:val="18"/>
      </w:rPr>
      <w:instrText xml:space="preserve"> PAGE  \* MERGEFORMAT </w:instrText>
    </w:r>
    <w:r w:rsidRPr="00C95FB9">
      <w:rPr>
        <w:b/>
        <w:sz w:val="18"/>
      </w:rPr>
      <w:fldChar w:fldCharType="separate"/>
    </w:r>
    <w:r w:rsidRPr="00C95FB9">
      <w:rPr>
        <w:b/>
        <w:noProof/>
        <w:sz w:val="18"/>
      </w:rPr>
      <w:t>3</w:t>
    </w:r>
    <w:r w:rsidRPr="00C95F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A47" w14:textId="52EF802E" w:rsidR="007F20FA" w:rsidRPr="00C95FB9" w:rsidRDefault="00C95FB9" w:rsidP="00C95FB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76E88B" wp14:editId="0398A1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29206  (</w:t>
    </w:r>
    <w:proofErr w:type="gramEnd"/>
    <w:r>
      <w:rPr>
        <w:sz w:val="20"/>
      </w:rPr>
      <w:t>F)</w:t>
    </w:r>
    <w:r>
      <w:rPr>
        <w:noProof/>
        <w:sz w:val="20"/>
      </w:rPr>
      <w:drawing>
        <wp:anchor distT="0" distB="0" distL="114300" distR="114300" simplePos="0" relativeHeight="251660288" behindDoc="0" locked="0" layoutInCell="1" allowOverlap="1" wp14:anchorId="43C34B3E" wp14:editId="381EF5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160323    160323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49A7" w14:textId="77777777" w:rsidR="00024661" w:rsidRPr="00AC3823" w:rsidRDefault="00024661" w:rsidP="00AC3823">
      <w:pPr>
        <w:pStyle w:val="Footer"/>
        <w:tabs>
          <w:tab w:val="right" w:pos="2155"/>
        </w:tabs>
        <w:spacing w:after="80" w:line="240" w:lineRule="atLeast"/>
        <w:ind w:left="680"/>
        <w:rPr>
          <w:u w:val="single"/>
        </w:rPr>
      </w:pPr>
      <w:r>
        <w:rPr>
          <w:u w:val="single"/>
        </w:rPr>
        <w:tab/>
      </w:r>
    </w:p>
  </w:footnote>
  <w:footnote w:type="continuationSeparator" w:id="0">
    <w:p w14:paraId="1D82A7DC" w14:textId="77777777" w:rsidR="00024661" w:rsidRPr="00AC3823" w:rsidRDefault="00024661" w:rsidP="00AC3823">
      <w:pPr>
        <w:pStyle w:val="Footer"/>
        <w:tabs>
          <w:tab w:val="right" w:pos="2155"/>
        </w:tabs>
        <w:spacing w:after="80" w:line="240" w:lineRule="atLeast"/>
        <w:ind w:left="680"/>
        <w:rPr>
          <w:u w:val="single"/>
        </w:rPr>
      </w:pPr>
      <w:r>
        <w:rPr>
          <w:u w:val="single"/>
        </w:rPr>
        <w:tab/>
      </w:r>
    </w:p>
  </w:footnote>
  <w:footnote w:type="continuationNotice" w:id="1">
    <w:p w14:paraId="7D73A786" w14:textId="77777777" w:rsidR="00024661" w:rsidRPr="00AC3823" w:rsidRDefault="00024661">
      <w:pPr>
        <w:spacing w:line="240" w:lineRule="auto"/>
        <w:rPr>
          <w:sz w:val="2"/>
          <w:szCs w:val="2"/>
        </w:rPr>
      </w:pPr>
    </w:p>
  </w:footnote>
  <w:footnote w:id="2">
    <w:p w14:paraId="0FFC5F3F" w14:textId="6A7E9D51" w:rsidR="00A223BA" w:rsidRPr="00A223BA" w:rsidRDefault="00A223BA">
      <w:pPr>
        <w:pStyle w:val="FootnoteText"/>
      </w:pPr>
      <w:r>
        <w:rPr>
          <w:rStyle w:val="FootnoteReference"/>
        </w:rPr>
        <w:tab/>
      </w:r>
      <w:r w:rsidRPr="00A223BA">
        <w:rPr>
          <w:rStyle w:val="FootnoteReference"/>
          <w:sz w:val="20"/>
          <w:vertAlign w:val="baseline"/>
        </w:rPr>
        <w:t>*</w:t>
      </w:r>
      <w:r>
        <w:rPr>
          <w:rStyle w:val="FootnoteReference"/>
          <w:sz w:val="20"/>
          <w:vertAlign w:val="baseline"/>
        </w:rPr>
        <w:tab/>
      </w:r>
      <w:r>
        <w:rPr>
          <w:lang w:val="fr-FR"/>
        </w:rPr>
        <w:t>A/77/6 (Sect. 20), par. 20.76.</w:t>
      </w:r>
    </w:p>
  </w:footnote>
  <w:footnote w:id="3">
    <w:p w14:paraId="15E354DD" w14:textId="7217A537" w:rsidR="00A223BA" w:rsidRPr="00A223BA" w:rsidRDefault="00A223BA">
      <w:pPr>
        <w:pStyle w:val="FootnoteText"/>
      </w:pPr>
      <w:r>
        <w:rPr>
          <w:rStyle w:val="FootnoteReference"/>
        </w:rPr>
        <w:tab/>
      </w:r>
      <w:r w:rsidRPr="00A223BA">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294D" w14:textId="73AC17FC" w:rsidR="00C95FB9" w:rsidRPr="00C95FB9" w:rsidRDefault="00000000">
    <w:pPr>
      <w:pStyle w:val="Header"/>
    </w:pPr>
    <w:r>
      <w:fldChar w:fldCharType="begin"/>
    </w:r>
    <w:r>
      <w:instrText xml:space="preserve"> TITLE  \* MERGEFORMAT </w:instrText>
    </w:r>
    <w:r>
      <w:fldChar w:fldCharType="separate"/>
    </w:r>
    <w:r w:rsidR="00732066">
      <w:t>ECE/TRANS/WP.15/AC.1/2023/19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0055" w14:textId="0CFBE50E" w:rsidR="00C95FB9" w:rsidRPr="00C95FB9" w:rsidRDefault="00000000" w:rsidP="00C95FB9">
    <w:pPr>
      <w:pStyle w:val="Header"/>
      <w:jc w:val="right"/>
    </w:pPr>
    <w:fldSimple w:instr=" TITLE  \* MERGEFORMAT ">
      <w:r w:rsidR="00732066">
        <w:t>ECE/TRANS/WP.15/AC.1/2023/19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93949361">
    <w:abstractNumId w:val="12"/>
  </w:num>
  <w:num w:numId="2" w16cid:durableId="94060016">
    <w:abstractNumId w:val="11"/>
  </w:num>
  <w:num w:numId="3" w16cid:durableId="557975059">
    <w:abstractNumId w:val="10"/>
  </w:num>
  <w:num w:numId="4" w16cid:durableId="620110674">
    <w:abstractNumId w:val="8"/>
  </w:num>
  <w:num w:numId="5" w16cid:durableId="1483035844">
    <w:abstractNumId w:val="3"/>
  </w:num>
  <w:num w:numId="6" w16cid:durableId="211894656">
    <w:abstractNumId w:val="2"/>
  </w:num>
  <w:num w:numId="7" w16cid:durableId="962267410">
    <w:abstractNumId w:val="1"/>
  </w:num>
  <w:num w:numId="8" w16cid:durableId="1278025203">
    <w:abstractNumId w:val="0"/>
  </w:num>
  <w:num w:numId="9" w16cid:durableId="708456688">
    <w:abstractNumId w:val="9"/>
  </w:num>
  <w:num w:numId="10" w16cid:durableId="234702019">
    <w:abstractNumId w:val="7"/>
  </w:num>
  <w:num w:numId="11" w16cid:durableId="1883441727">
    <w:abstractNumId w:val="6"/>
  </w:num>
  <w:num w:numId="12" w16cid:durableId="244845468">
    <w:abstractNumId w:val="5"/>
  </w:num>
  <w:num w:numId="13" w16cid:durableId="1844127405">
    <w:abstractNumId w:val="4"/>
  </w:num>
  <w:num w:numId="14" w16cid:durableId="973368390">
    <w:abstractNumId w:val="12"/>
  </w:num>
  <w:num w:numId="15" w16cid:durableId="1860586801">
    <w:abstractNumId w:val="11"/>
  </w:num>
  <w:num w:numId="16" w16cid:durableId="788090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9"/>
    <w:rsid w:val="00017F94"/>
    <w:rsid w:val="00023842"/>
    <w:rsid w:val="00024661"/>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0FA4"/>
    <w:rsid w:val="003B0019"/>
    <w:rsid w:val="00421996"/>
    <w:rsid w:val="00441C3B"/>
    <w:rsid w:val="00446FE5"/>
    <w:rsid w:val="00452396"/>
    <w:rsid w:val="00477EB2"/>
    <w:rsid w:val="004837D8"/>
    <w:rsid w:val="004E2EED"/>
    <w:rsid w:val="004E468C"/>
    <w:rsid w:val="005505B7"/>
    <w:rsid w:val="00573BE5"/>
    <w:rsid w:val="00586ED3"/>
    <w:rsid w:val="00596AA9"/>
    <w:rsid w:val="006861D9"/>
    <w:rsid w:val="007031A9"/>
    <w:rsid w:val="0071601D"/>
    <w:rsid w:val="00732066"/>
    <w:rsid w:val="007A62E6"/>
    <w:rsid w:val="007F20FA"/>
    <w:rsid w:val="0080684C"/>
    <w:rsid w:val="00871C75"/>
    <w:rsid w:val="008776DC"/>
    <w:rsid w:val="008D0571"/>
    <w:rsid w:val="008D5EF9"/>
    <w:rsid w:val="009446C0"/>
    <w:rsid w:val="009705C8"/>
    <w:rsid w:val="009C1CF4"/>
    <w:rsid w:val="009F6B74"/>
    <w:rsid w:val="00A223BA"/>
    <w:rsid w:val="00A3029F"/>
    <w:rsid w:val="00A30353"/>
    <w:rsid w:val="00AC3823"/>
    <w:rsid w:val="00AE323C"/>
    <w:rsid w:val="00AF0CB5"/>
    <w:rsid w:val="00B00181"/>
    <w:rsid w:val="00B00B0D"/>
    <w:rsid w:val="00B226A6"/>
    <w:rsid w:val="00B45F2E"/>
    <w:rsid w:val="00B765F7"/>
    <w:rsid w:val="00B77993"/>
    <w:rsid w:val="00BA0CA9"/>
    <w:rsid w:val="00C02897"/>
    <w:rsid w:val="00C95FB9"/>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84151"/>
  <w15:docId w15:val="{3F347C52-85DF-4431-A80F-613AE00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A223BA"/>
    <w:rPr>
      <w:rFonts w:ascii="Times New Roman" w:eastAsiaTheme="minorHAnsi" w:hAnsi="Times New Roman" w:cs="Times New Roman"/>
      <w:sz w:val="20"/>
      <w:szCs w:val="20"/>
      <w:lang w:eastAsia="en-US"/>
    </w:rPr>
  </w:style>
  <w:style w:type="paragraph" w:customStyle="1" w:styleId="Hoofdtekst">
    <w:name w:val="Hoofdtekst"/>
    <w:rsid w:val="00A223BA"/>
    <w:pPr>
      <w:spacing w:after="0" w:line="240" w:lineRule="auto"/>
    </w:pPr>
    <w:rPr>
      <w:rFonts w:ascii="Helvetica" w:eastAsia="Arial Unicode MS" w:hAnsi="Arial Unicode MS" w:cs="Arial Unicode MS"/>
      <w:color w:val="00000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6FF80F-8565-42F7-A47D-172F40785F3E}"/>
</file>

<file path=customXml/itemProps2.xml><?xml version="1.0" encoding="utf-8"?>
<ds:datastoreItem xmlns:ds="http://schemas.openxmlformats.org/officeDocument/2006/customXml" ds:itemID="{7ADEE6AC-F92D-49B4-9525-24C42D1AFBA8}"/>
</file>

<file path=customXml/itemProps3.xml><?xml version="1.0" encoding="utf-8"?>
<ds:datastoreItem xmlns:ds="http://schemas.openxmlformats.org/officeDocument/2006/customXml" ds:itemID="{21B681B3-E6AF-407E-896B-D328C713F3F2}"/>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ECE/TRANS/WP.15/AC.1/2023/19</vt:lpstr>
    </vt:vector>
  </TitlesOfParts>
  <Company>DCM</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ECE/TRANS/WP.15/AC.1/2023/19</dc:title>
  <dc:subject/>
  <dc:creator>Nicolas MORIN</dc:creator>
  <cp:keywords/>
  <cp:lastModifiedBy>Laurence Berthet</cp:lastModifiedBy>
  <cp:revision>3</cp:revision>
  <cp:lastPrinted>2023-03-16T14:38:00Z</cp:lastPrinted>
  <dcterms:created xsi:type="dcterms:W3CDTF">2023-03-16T14:38:00Z</dcterms:created>
  <dcterms:modified xsi:type="dcterms:W3CDTF">2023-03-16T14:39:00Z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