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126"/>
        <w:gridCol w:w="3402"/>
        <w:gridCol w:w="2835"/>
      </w:tblGrid>
      <w:tr w:rsidR="003C3936" w:rsidRPr="00E55D61" w14:paraId="019E15E3" w14:textId="77777777" w:rsidTr="007E7611">
        <w:trPr>
          <w:cantSplit/>
          <w:trHeight w:hRule="exact" w:val="851"/>
        </w:trPr>
        <w:tc>
          <w:tcPr>
            <w:tcW w:w="1276" w:type="dxa"/>
            <w:tcBorders>
              <w:bottom w:val="single" w:sz="4" w:space="0" w:color="auto"/>
            </w:tcBorders>
            <w:vAlign w:val="bottom"/>
          </w:tcPr>
          <w:p w14:paraId="48B31899" w14:textId="77777777" w:rsidR="003C3936" w:rsidRPr="00EF452F" w:rsidRDefault="003C3936" w:rsidP="003C3936"/>
        </w:tc>
        <w:tc>
          <w:tcPr>
            <w:tcW w:w="2126" w:type="dxa"/>
            <w:tcBorders>
              <w:bottom w:val="single" w:sz="4" w:space="0" w:color="auto"/>
            </w:tcBorders>
            <w:vAlign w:val="bottom"/>
          </w:tcPr>
          <w:p w14:paraId="19C370E3" w14:textId="77777777" w:rsidR="003C3936" w:rsidRPr="00EF452F" w:rsidRDefault="003C3936" w:rsidP="003C3936">
            <w:pPr>
              <w:rPr>
                <w:b/>
                <w:sz w:val="24"/>
                <w:szCs w:val="24"/>
              </w:rPr>
            </w:pPr>
          </w:p>
        </w:tc>
        <w:tc>
          <w:tcPr>
            <w:tcW w:w="6237" w:type="dxa"/>
            <w:gridSpan w:val="2"/>
            <w:tcBorders>
              <w:bottom w:val="single" w:sz="4" w:space="0" w:color="auto"/>
            </w:tcBorders>
            <w:vAlign w:val="bottom"/>
          </w:tcPr>
          <w:p w14:paraId="79CE7CFE" w14:textId="1F73140C" w:rsidR="003C3936" w:rsidRPr="00E55D61" w:rsidRDefault="007E7611" w:rsidP="000F6AEA">
            <w:pPr>
              <w:jc w:val="right"/>
            </w:pPr>
            <w:r>
              <w:rPr>
                <w:sz w:val="40"/>
              </w:rPr>
              <w:t xml:space="preserve">Informal document </w:t>
            </w:r>
            <w:r w:rsidR="00141119" w:rsidRPr="00E55D61">
              <w:rPr>
                <w:sz w:val="40"/>
              </w:rPr>
              <w:t>No.</w:t>
            </w:r>
            <w:r w:rsidR="00BB5E0B" w:rsidRPr="00E55D61">
              <w:rPr>
                <w:sz w:val="40"/>
              </w:rPr>
              <w:t xml:space="preserve"> </w:t>
            </w:r>
            <w:r w:rsidR="00C650B5">
              <w:rPr>
                <w:sz w:val="40"/>
              </w:rPr>
              <w:t>3</w:t>
            </w:r>
            <w:r w:rsidR="00141119" w:rsidRPr="00E55D61">
              <w:rPr>
                <w:sz w:val="40"/>
              </w:rPr>
              <w:t xml:space="preserve"> </w:t>
            </w:r>
          </w:p>
        </w:tc>
      </w:tr>
      <w:tr w:rsidR="003C3936" w:rsidRPr="00E55D61" w14:paraId="7DB16687" w14:textId="77777777" w:rsidTr="003C3936">
        <w:trPr>
          <w:cantSplit/>
          <w:trHeight w:hRule="exact" w:val="2835"/>
        </w:trPr>
        <w:tc>
          <w:tcPr>
            <w:tcW w:w="1276" w:type="dxa"/>
            <w:tcBorders>
              <w:top w:val="single" w:sz="4" w:space="0" w:color="auto"/>
              <w:bottom w:val="single" w:sz="12" w:space="0" w:color="auto"/>
            </w:tcBorders>
          </w:tcPr>
          <w:p w14:paraId="28BA5173" w14:textId="77777777" w:rsidR="003C3936" w:rsidRPr="00E55D61" w:rsidRDefault="003C3936" w:rsidP="003C3936">
            <w:pPr>
              <w:spacing w:before="120"/>
            </w:pPr>
          </w:p>
        </w:tc>
        <w:tc>
          <w:tcPr>
            <w:tcW w:w="5528" w:type="dxa"/>
            <w:gridSpan w:val="2"/>
            <w:tcBorders>
              <w:top w:val="single" w:sz="4" w:space="0" w:color="auto"/>
              <w:bottom w:val="single" w:sz="12" w:space="0" w:color="auto"/>
            </w:tcBorders>
          </w:tcPr>
          <w:p w14:paraId="0ED37429" w14:textId="77777777" w:rsidR="003C3936" w:rsidRPr="00E55D61" w:rsidRDefault="003C3936" w:rsidP="003C3936">
            <w:pPr>
              <w:spacing w:before="120"/>
            </w:pPr>
          </w:p>
        </w:tc>
        <w:tc>
          <w:tcPr>
            <w:tcW w:w="2835" w:type="dxa"/>
            <w:tcBorders>
              <w:top w:val="single" w:sz="4" w:space="0" w:color="auto"/>
              <w:bottom w:val="single" w:sz="12" w:space="0" w:color="auto"/>
            </w:tcBorders>
          </w:tcPr>
          <w:p w14:paraId="611BFD88" w14:textId="77777777" w:rsidR="003C3936" w:rsidRPr="00E55D61" w:rsidRDefault="00141119" w:rsidP="00141119">
            <w:pPr>
              <w:spacing w:before="240" w:line="240" w:lineRule="exact"/>
            </w:pPr>
            <w:r w:rsidRPr="00E55D61">
              <w:t>Distr.: General</w:t>
            </w:r>
          </w:p>
          <w:p w14:paraId="09DA282F" w14:textId="21FBA8E7" w:rsidR="007E4273" w:rsidRDefault="00670655" w:rsidP="00141119">
            <w:pPr>
              <w:spacing w:line="240" w:lineRule="exact"/>
            </w:pPr>
            <w:r>
              <w:t>3</w:t>
            </w:r>
            <w:r w:rsidR="0054566E">
              <w:t xml:space="preserve"> </w:t>
            </w:r>
            <w:r w:rsidR="002B712B">
              <w:t>February</w:t>
            </w:r>
            <w:r w:rsidR="007E7611">
              <w:t xml:space="preserve"> </w:t>
            </w:r>
            <w:r w:rsidR="00141119" w:rsidRPr="00E55D61">
              <w:t>20</w:t>
            </w:r>
            <w:r w:rsidR="00CF3822">
              <w:t>2</w:t>
            </w:r>
            <w:r w:rsidR="00C157C4">
              <w:t>3</w:t>
            </w:r>
          </w:p>
          <w:p w14:paraId="11443FBC" w14:textId="77777777" w:rsidR="007902D7" w:rsidRDefault="007902D7" w:rsidP="00945B9C">
            <w:pPr>
              <w:spacing w:line="240" w:lineRule="exact"/>
            </w:pPr>
          </w:p>
          <w:p w14:paraId="024DCCAB" w14:textId="77777777" w:rsidR="00141119" w:rsidRPr="00E55D61" w:rsidRDefault="003A2FD1" w:rsidP="00945B9C">
            <w:pPr>
              <w:spacing w:line="240" w:lineRule="exact"/>
            </w:pPr>
            <w:r>
              <w:t>English</w:t>
            </w:r>
            <w:r w:rsidR="001E77F4">
              <w:t xml:space="preserve"> only</w:t>
            </w:r>
          </w:p>
        </w:tc>
      </w:tr>
    </w:tbl>
    <w:p w14:paraId="19B741E8" w14:textId="77777777" w:rsidR="007E7611" w:rsidRPr="00C27FA7" w:rsidRDefault="007E7611" w:rsidP="007E7611">
      <w:pPr>
        <w:spacing w:before="120"/>
        <w:rPr>
          <w:b/>
          <w:bCs/>
          <w:sz w:val="28"/>
          <w:szCs w:val="28"/>
        </w:rPr>
      </w:pPr>
      <w:r w:rsidRPr="00C27FA7">
        <w:rPr>
          <w:b/>
          <w:bCs/>
          <w:sz w:val="28"/>
          <w:szCs w:val="28"/>
        </w:rPr>
        <w:t>Economic Commission for Europe</w:t>
      </w:r>
    </w:p>
    <w:p w14:paraId="26682B3D" w14:textId="77777777" w:rsidR="007E7611" w:rsidRPr="00C27FA7" w:rsidRDefault="007E7611" w:rsidP="007E7611">
      <w:pPr>
        <w:spacing w:before="120"/>
        <w:rPr>
          <w:sz w:val="28"/>
          <w:szCs w:val="28"/>
        </w:rPr>
      </w:pPr>
      <w:r w:rsidRPr="00C27FA7">
        <w:rPr>
          <w:sz w:val="28"/>
          <w:szCs w:val="28"/>
        </w:rPr>
        <w:t>Inland Transport Committee</w:t>
      </w:r>
    </w:p>
    <w:p w14:paraId="054F815B" w14:textId="28C83BB3" w:rsidR="007E7611" w:rsidRPr="00C27FA7" w:rsidRDefault="007E7611" w:rsidP="007E7611">
      <w:pPr>
        <w:spacing w:before="120"/>
        <w:rPr>
          <w:b/>
          <w:bCs/>
        </w:rPr>
      </w:pPr>
      <w:r>
        <w:rPr>
          <w:b/>
          <w:bCs/>
          <w:lang w:val="en-US"/>
        </w:rPr>
        <w:t>Eight</w:t>
      </w:r>
      <w:r w:rsidR="0054566E">
        <w:rPr>
          <w:b/>
          <w:bCs/>
          <w:lang w:val="en-US"/>
        </w:rPr>
        <w:t>y-</w:t>
      </w:r>
      <w:r w:rsidR="00997CF2">
        <w:rPr>
          <w:b/>
          <w:bCs/>
          <w:lang w:val="en-US"/>
        </w:rPr>
        <w:t xml:space="preserve">fifth </w:t>
      </w:r>
      <w:r w:rsidRPr="00C27FA7">
        <w:rPr>
          <w:b/>
          <w:bCs/>
        </w:rPr>
        <w:t>session</w:t>
      </w:r>
    </w:p>
    <w:p w14:paraId="2EAFAA99" w14:textId="14BE753B" w:rsidR="00436C3F" w:rsidRPr="00436C3F" w:rsidRDefault="0054566E" w:rsidP="00436C3F">
      <w:pPr>
        <w:rPr>
          <w:b/>
        </w:rPr>
      </w:pPr>
      <w:r w:rsidRPr="00042700">
        <w:t xml:space="preserve">Geneva, </w:t>
      </w:r>
      <w:r w:rsidR="008B39BA">
        <w:t>21</w:t>
      </w:r>
      <w:r>
        <w:t>-</w:t>
      </w:r>
      <w:r w:rsidR="008B39BA">
        <w:t>24</w:t>
      </w:r>
      <w:r w:rsidRPr="00042700">
        <w:t xml:space="preserve"> February 20</w:t>
      </w:r>
      <w:r w:rsidR="002C4E84">
        <w:t>2</w:t>
      </w:r>
      <w:r w:rsidR="00997CF2">
        <w:t>3</w:t>
      </w:r>
      <w:r w:rsidR="007E7611" w:rsidRPr="00C27FA7">
        <w:br/>
      </w:r>
      <w:r w:rsidR="007E7611" w:rsidRPr="00436C3F">
        <w:t xml:space="preserve">Item </w:t>
      </w:r>
      <w:r w:rsidR="00DC2375" w:rsidRPr="00436C3F">
        <w:t>7</w:t>
      </w:r>
      <w:r w:rsidR="002B31BE" w:rsidRPr="00436C3F">
        <w:t xml:space="preserve"> (</w:t>
      </w:r>
      <w:r w:rsidR="00DC2375" w:rsidRPr="00436C3F">
        <w:t>e</w:t>
      </w:r>
      <w:r w:rsidR="000C23D9" w:rsidRPr="00436C3F">
        <w:t xml:space="preserve">) </w:t>
      </w:r>
      <w:r w:rsidR="00DC2375" w:rsidRPr="00436C3F">
        <w:t>(ii)</w:t>
      </w:r>
      <w:r w:rsidR="007E7611" w:rsidRPr="00436C3F">
        <w:t xml:space="preserve"> of the provisional agenda</w:t>
      </w:r>
      <w:r w:rsidR="007E7611" w:rsidRPr="00436C3F">
        <w:br/>
      </w:r>
      <w:r w:rsidR="00436C3F" w:rsidRPr="00436C3F">
        <w:rPr>
          <w:b/>
        </w:rPr>
        <w:t>Strategic Questions of a Horizontal and Cross-Sectoral Policy or</w:t>
      </w:r>
    </w:p>
    <w:p w14:paraId="56222A64" w14:textId="24307318" w:rsidR="007E7611" w:rsidRDefault="00436C3F" w:rsidP="00436C3F">
      <w:pPr>
        <w:rPr>
          <w:b/>
          <w:bCs/>
        </w:rPr>
      </w:pPr>
      <w:r w:rsidRPr="00436C3F">
        <w:rPr>
          <w:b/>
        </w:rPr>
        <w:t>Regulatory Nature</w:t>
      </w:r>
      <w:r w:rsidR="001E77F4" w:rsidRPr="00436C3F">
        <w:rPr>
          <w:b/>
        </w:rPr>
        <w:t xml:space="preserve">: </w:t>
      </w:r>
      <w:r w:rsidR="00495DA6" w:rsidRPr="00436C3F">
        <w:rPr>
          <w:b/>
        </w:rPr>
        <w:t xml:space="preserve">Environment, climate change and transport </w:t>
      </w:r>
      <w:r w:rsidR="001E77F4" w:rsidRPr="00436C3F">
        <w:rPr>
          <w:b/>
        </w:rPr>
        <w:t xml:space="preserve">- </w:t>
      </w:r>
      <w:r w:rsidR="001E77F4" w:rsidRPr="00436C3F">
        <w:rPr>
          <w:b/>
        </w:rPr>
        <w:br/>
      </w:r>
      <w:r w:rsidR="00DC2375" w:rsidRPr="00DC2375">
        <w:rPr>
          <w:b/>
        </w:rPr>
        <w:t>Inland Transport Committee acting on climate change adaptation and mitigation</w:t>
      </w:r>
    </w:p>
    <w:p w14:paraId="77C13037" w14:textId="42D61E63" w:rsidR="007E7611" w:rsidRDefault="007E7611" w:rsidP="007E7611">
      <w:pPr>
        <w:pStyle w:val="HChG"/>
      </w:pPr>
      <w:r>
        <w:tab/>
      </w:r>
      <w:r w:rsidR="00763E37">
        <w:tab/>
      </w:r>
      <w:r w:rsidR="00B00BCF">
        <w:t xml:space="preserve">Update on recent </w:t>
      </w:r>
      <w:r w:rsidR="006303F8" w:rsidRPr="006303F8">
        <w:t xml:space="preserve">ForFITS </w:t>
      </w:r>
      <w:r w:rsidR="00B00BCF">
        <w:t>activities</w:t>
      </w:r>
    </w:p>
    <w:p w14:paraId="4963B1C7" w14:textId="77777777" w:rsidR="007E7611" w:rsidRDefault="007E7611" w:rsidP="007E7611">
      <w:pPr>
        <w:pStyle w:val="H1G"/>
      </w:pPr>
      <w:r>
        <w:tab/>
      </w:r>
      <w:r>
        <w:tab/>
        <w:t>Note by the secretariat</w:t>
      </w:r>
    </w:p>
    <w:p w14:paraId="10A80C9E" w14:textId="109417E9" w:rsidR="0012583B" w:rsidRPr="007B76EA" w:rsidRDefault="008B34B8" w:rsidP="0012583B">
      <w:pPr>
        <w:pStyle w:val="HChG"/>
      </w:pPr>
      <w:r>
        <w:tab/>
      </w:r>
      <w:r w:rsidR="0012583B" w:rsidRPr="007B76EA">
        <w:t>I.</w:t>
      </w:r>
      <w:r w:rsidR="0012583B" w:rsidRPr="007B76EA">
        <w:tab/>
      </w:r>
      <w:r w:rsidR="00D91CBF">
        <w:t xml:space="preserve">Internal </w:t>
      </w:r>
      <w:r w:rsidR="0012583B" w:rsidRPr="007B76EA">
        <w:t xml:space="preserve">ForFITS </w:t>
      </w:r>
      <w:r w:rsidR="00307576">
        <w:t xml:space="preserve">application </w:t>
      </w:r>
    </w:p>
    <w:p w14:paraId="63467F3F" w14:textId="68CD1023" w:rsidR="00CF31C5" w:rsidRDefault="00CF31C5" w:rsidP="00CF31C5">
      <w:pPr>
        <w:pStyle w:val="H1G"/>
      </w:pPr>
      <w:bookmarkStart w:id="0" w:name="_Hlk61969686"/>
      <w:r>
        <w:tab/>
      </w:r>
      <w:r w:rsidRPr="007B76EA">
        <w:t>A.</w:t>
      </w:r>
      <w:r w:rsidRPr="007B76EA">
        <w:tab/>
      </w:r>
      <w:r w:rsidR="0097294A">
        <w:t>ECE Environment Performance Review (EPR) of Azerbaijan</w:t>
      </w:r>
    </w:p>
    <w:bookmarkEnd w:id="0"/>
    <w:p w14:paraId="5B544BBA" w14:textId="74573839" w:rsidR="00E770FF" w:rsidRPr="00B55BCC" w:rsidRDefault="00B55BCC" w:rsidP="00B55BCC">
      <w:pPr>
        <w:pStyle w:val="SingleTxtG"/>
      </w:pPr>
      <w:r>
        <w:t>1.</w:t>
      </w:r>
      <w:r>
        <w:tab/>
      </w:r>
      <w:r w:rsidR="00E770FF">
        <w:t>The Environment Division of UNECE has initiated in 20</w:t>
      </w:r>
      <w:r w:rsidR="00A07F43">
        <w:t>21</w:t>
      </w:r>
      <w:r w:rsidR="00E770FF">
        <w:t xml:space="preserve"> an update of the Environment </w:t>
      </w:r>
      <w:r w:rsidR="00E770FF" w:rsidRPr="00B55BCC">
        <w:t xml:space="preserve">Performance Review (EPR) for </w:t>
      </w:r>
      <w:r w:rsidR="00A07F43" w:rsidRPr="00B55BCC">
        <w:t>Azerbaij</w:t>
      </w:r>
      <w:r w:rsidR="00E770FF" w:rsidRPr="00B55BCC">
        <w:t>an that was last reviewed in 200</w:t>
      </w:r>
      <w:r w:rsidR="00183792" w:rsidRPr="00B55BCC">
        <w:t>3</w:t>
      </w:r>
      <w:r w:rsidR="00E770FF" w:rsidRPr="00B55BCC">
        <w:t xml:space="preserve"> and 201</w:t>
      </w:r>
      <w:r w:rsidR="00183792" w:rsidRPr="00B55BCC">
        <w:t>1</w:t>
      </w:r>
      <w:r w:rsidR="00E770FF" w:rsidRPr="00B55BCC">
        <w:t>. The transport sector has a prominent role in this review initiated in 20</w:t>
      </w:r>
      <w:r w:rsidR="00062DFF" w:rsidRPr="00B55BCC">
        <w:t>2</w:t>
      </w:r>
      <w:r w:rsidR="00E770FF" w:rsidRPr="00B55BCC">
        <w:t xml:space="preserve">1 and a </w:t>
      </w:r>
      <w:proofErr w:type="spellStart"/>
      <w:r w:rsidR="00E770FF" w:rsidRPr="00B55BCC">
        <w:t>ForFITS</w:t>
      </w:r>
      <w:proofErr w:type="spellEnd"/>
      <w:r w:rsidR="00E770FF" w:rsidRPr="00B55BCC">
        <w:t xml:space="preserve"> analysis for </w:t>
      </w:r>
      <w:r w:rsidR="00062DFF" w:rsidRPr="00B55BCC">
        <w:t>Azerbaijan</w:t>
      </w:r>
      <w:r w:rsidR="00E770FF" w:rsidRPr="00B55BCC">
        <w:t xml:space="preserve"> has been performed as part of the transport chapter. </w:t>
      </w:r>
      <w:r w:rsidR="00C34BC0" w:rsidRPr="00B55BCC">
        <w:t xml:space="preserve">This third edition of the EPR for Azerbaijan is expected to be </w:t>
      </w:r>
      <w:r w:rsidR="00AF3F81" w:rsidRPr="00B55BCC">
        <w:t>launched in the second quarter of 2023</w:t>
      </w:r>
      <w:r w:rsidR="00E770FF" w:rsidRPr="00B55BCC">
        <w:t xml:space="preserve">. </w:t>
      </w:r>
    </w:p>
    <w:p w14:paraId="4BEA0D17" w14:textId="47D5E8F7" w:rsidR="00E770FF" w:rsidRPr="00B55BCC" w:rsidRDefault="00B55BCC" w:rsidP="00B55BCC">
      <w:pPr>
        <w:pStyle w:val="SingleTxtG"/>
      </w:pPr>
      <w:r w:rsidRPr="00B55BCC">
        <w:t>2.</w:t>
      </w:r>
      <w:r w:rsidRPr="00B55BCC">
        <w:tab/>
      </w:r>
      <w:r w:rsidR="00D2590E" w:rsidRPr="00B55BCC">
        <w:t xml:space="preserve">As per usual practice, </w:t>
      </w:r>
      <w:r w:rsidR="00B77A93" w:rsidRPr="00B55BCC">
        <w:t xml:space="preserve">the </w:t>
      </w:r>
      <w:proofErr w:type="spellStart"/>
      <w:r w:rsidR="00D2590E" w:rsidRPr="00B55BCC">
        <w:t>ForFITS</w:t>
      </w:r>
      <w:proofErr w:type="spellEnd"/>
      <w:r w:rsidR="00D2590E" w:rsidRPr="00B55BCC">
        <w:t xml:space="preserve"> </w:t>
      </w:r>
      <w:r w:rsidR="00B77A93" w:rsidRPr="00B55BCC">
        <w:t xml:space="preserve">analysis looked at </w:t>
      </w:r>
      <w:r w:rsidR="00087B0F" w:rsidRPr="00B55BCC">
        <w:t xml:space="preserve">energy and climate impacts of </w:t>
      </w:r>
      <w:r w:rsidR="001B42FB" w:rsidRPr="00B55BCC">
        <w:t>transport activity</w:t>
      </w:r>
      <w:r w:rsidR="00E770FF" w:rsidRPr="00B55BCC">
        <w:t>.</w:t>
      </w:r>
      <w:r w:rsidR="001B42FB" w:rsidRPr="00B55BCC">
        <w:t xml:space="preserve"> The International Transport Forum of the </w:t>
      </w:r>
      <w:r w:rsidR="00551530" w:rsidRPr="00B55BCC">
        <w:t>Organisation for Economic Co-operation and Development was performing a similar exercise in the</w:t>
      </w:r>
      <w:r w:rsidR="00C92FC4" w:rsidRPr="00B55BCC">
        <w:t xml:space="preserve"> country as part of their Decarbonizing Transport </w:t>
      </w:r>
      <w:r w:rsidR="006C386C" w:rsidRPr="00B55BCC">
        <w:t xml:space="preserve">in Emerging Economies </w:t>
      </w:r>
      <w:r w:rsidR="00C92FC4" w:rsidRPr="00B55BCC">
        <w:t>Project</w:t>
      </w:r>
      <w:r w:rsidR="00C43AC6" w:rsidRPr="00B6243D">
        <w:rPr>
          <w:vertAlign w:val="superscript"/>
        </w:rPr>
        <w:footnoteReference w:id="2"/>
      </w:r>
      <w:r w:rsidR="00C92FC4" w:rsidRPr="00B55BCC">
        <w:t>.</w:t>
      </w:r>
    </w:p>
    <w:p w14:paraId="6D05021F" w14:textId="464107D2" w:rsidR="00E770FF" w:rsidRPr="00B55BCC" w:rsidRDefault="00B55BCC" w:rsidP="00B55BCC">
      <w:pPr>
        <w:pStyle w:val="SingleTxtG"/>
      </w:pPr>
      <w:r w:rsidRPr="00B55BCC">
        <w:t>3.</w:t>
      </w:r>
      <w:r w:rsidRPr="00B55BCC">
        <w:tab/>
      </w:r>
      <w:r w:rsidR="00EB6204" w:rsidRPr="00B55BCC">
        <w:t xml:space="preserve">Close collaboration between the </w:t>
      </w:r>
      <w:proofErr w:type="spellStart"/>
      <w:r w:rsidR="00B66E19" w:rsidRPr="00B55BCC">
        <w:t>ForFITS</w:t>
      </w:r>
      <w:proofErr w:type="spellEnd"/>
      <w:r w:rsidR="00EB6204" w:rsidRPr="00B55BCC">
        <w:t xml:space="preserve"> activity and the work undertaken by the IUTF was performed, in order to mutualize resources</w:t>
      </w:r>
      <w:r w:rsidR="004C408B" w:rsidRPr="00B55BCC">
        <w:t>, exchange available data</w:t>
      </w:r>
      <w:r w:rsidR="00EB6204" w:rsidRPr="00B55BCC">
        <w:t xml:space="preserve"> and align </w:t>
      </w:r>
      <w:r w:rsidR="00B66E19" w:rsidRPr="00B55BCC">
        <w:t>some of the modelling inputs</w:t>
      </w:r>
      <w:r w:rsidR="00E770FF" w:rsidRPr="00B55BCC">
        <w:t>.</w:t>
      </w:r>
      <w:r w:rsidR="00E04C08" w:rsidRPr="00B55BCC">
        <w:t xml:space="preserve"> The authors wish to thank the ITF for the fruitful collaboration </w:t>
      </w:r>
      <w:r w:rsidR="006874A5" w:rsidRPr="00B55BCC">
        <w:t>for those forward looking activities in Azerbaijan.</w:t>
      </w:r>
    </w:p>
    <w:p w14:paraId="742F4623" w14:textId="5BFAF976" w:rsidR="00E770FF" w:rsidRDefault="00B55BCC" w:rsidP="00B55BCC">
      <w:pPr>
        <w:pStyle w:val="SingleTxtG"/>
      </w:pPr>
      <w:r w:rsidRPr="00B55BCC">
        <w:t>4.</w:t>
      </w:r>
      <w:r w:rsidRPr="00B55BCC">
        <w:tab/>
      </w:r>
      <w:r w:rsidR="003B5342" w:rsidRPr="00B55BCC">
        <w:t>Azerbaijan has a motorized vehicle fleet for road transport of about 1.5 million vehicles, dominated by light duty vehicles. The age distribution of the vehicle fleet shows the wide majority of vehicle are 10 years old or more, with a clear trend towards an ageing of the fleet between 2014 and 2020</w:t>
      </w:r>
      <w:r w:rsidR="003B5342" w:rsidRPr="003B5342">
        <w:t xml:space="preserve">. </w:t>
      </w:r>
      <w:r w:rsidR="00E770FF" w:rsidRPr="00E11A0C">
        <w:t>(</w:t>
      </w:r>
      <w:r w:rsidR="008760AB">
        <w:t>F</w:t>
      </w:r>
      <w:r w:rsidR="00E770FF" w:rsidRPr="00E11A0C">
        <w:t>igure 1).</w:t>
      </w:r>
    </w:p>
    <w:p w14:paraId="04BEF124" w14:textId="1B5762AF" w:rsidR="00E15059" w:rsidRDefault="00E770FF" w:rsidP="00E15059">
      <w:pPr>
        <w:pStyle w:val="Heading1"/>
        <w:keepNext/>
        <w:keepLines/>
      </w:pPr>
      <w:r w:rsidRPr="003A1814">
        <w:lastRenderedPageBreak/>
        <w:t>Figure 1</w:t>
      </w:r>
    </w:p>
    <w:p w14:paraId="54A295B0" w14:textId="1B075E72" w:rsidR="00E770FF" w:rsidRPr="00E15059" w:rsidRDefault="006528B8" w:rsidP="00E15059">
      <w:pPr>
        <w:pStyle w:val="Heading1"/>
        <w:keepNext/>
        <w:keepLines/>
        <w:rPr>
          <w:b/>
          <w:bCs/>
        </w:rPr>
      </w:pPr>
      <w:r w:rsidRPr="00E15059">
        <w:rPr>
          <w:b/>
          <w:bCs/>
        </w:rPr>
        <w:t>Age distribution of the road vehicle fleet in Azerbaijan, 2014–2020, million</w:t>
      </w:r>
    </w:p>
    <w:p w14:paraId="7C556D35" w14:textId="661F0042" w:rsidR="00E770FF" w:rsidRPr="003A1814" w:rsidRDefault="007C554F" w:rsidP="00E15059">
      <w:pPr>
        <w:keepNext/>
        <w:keepLines/>
        <w:ind w:right="108"/>
        <w:contextualSpacing/>
        <w:jc w:val="center"/>
        <w:rPr>
          <w:sz w:val="22"/>
          <w:szCs w:val="22"/>
        </w:rPr>
      </w:pPr>
      <w:r w:rsidRPr="00A2204F">
        <w:rPr>
          <w:noProof/>
        </w:rPr>
        <w:drawing>
          <wp:inline distT="0" distB="0" distL="0" distR="0" wp14:anchorId="4E59DDE2" wp14:editId="68A2153E">
            <wp:extent cx="4572000" cy="22078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207895"/>
                    </a:xfrm>
                    <a:prstGeom prst="rect">
                      <a:avLst/>
                    </a:prstGeom>
                    <a:noFill/>
                    <a:ln>
                      <a:noFill/>
                    </a:ln>
                  </pic:spPr>
                </pic:pic>
              </a:graphicData>
            </a:graphic>
          </wp:inline>
        </w:drawing>
      </w:r>
    </w:p>
    <w:p w14:paraId="15730C55" w14:textId="10E929F3" w:rsidR="00C650B5" w:rsidRDefault="00B55BCC" w:rsidP="00B55BCC">
      <w:pPr>
        <w:pStyle w:val="SingleTxtG"/>
      </w:pPr>
      <w:r>
        <w:t>5.</w:t>
      </w:r>
      <w:r>
        <w:tab/>
      </w:r>
      <w:r w:rsidR="00604B4C">
        <w:t>Ener</w:t>
      </w:r>
      <w:r w:rsidR="00C650B5">
        <w:t>gy</w:t>
      </w:r>
      <w:r w:rsidR="00604B4C">
        <w:t xml:space="preserve"> use data for the transport sector shows that </w:t>
      </w:r>
      <w:r w:rsidR="00C157C4">
        <w:t>Azerbaijan relies mostly on gasoline and diesel, with insignificant amounts of alternative fuels to power its transport sector.</w:t>
      </w:r>
      <w:r w:rsidR="00FE78FB">
        <w:t xml:space="preserve"> </w:t>
      </w:r>
      <w:r w:rsidR="00A3633B">
        <w:t xml:space="preserve">Light duty vehicles predominantly use gasoline whereas heavy duty vehicles use diesel fuel </w:t>
      </w:r>
      <w:r w:rsidR="00842BAB">
        <w:t xml:space="preserve"> (Figure 2)</w:t>
      </w:r>
      <w:r w:rsidR="00195788">
        <w:t>.</w:t>
      </w:r>
    </w:p>
    <w:p w14:paraId="643D806A" w14:textId="54A36F59" w:rsidR="00E15059" w:rsidRDefault="00195788" w:rsidP="00E15059">
      <w:pPr>
        <w:pStyle w:val="Heading1"/>
      </w:pPr>
      <w:r w:rsidRPr="00A2204F">
        <w:t>Figure 2</w:t>
      </w:r>
    </w:p>
    <w:p w14:paraId="4EAB32CC" w14:textId="0650C90C" w:rsidR="00195788" w:rsidRPr="00E15059" w:rsidRDefault="00195788" w:rsidP="00E15059">
      <w:pPr>
        <w:pStyle w:val="Heading1"/>
        <w:rPr>
          <w:b/>
          <w:bCs/>
        </w:rPr>
      </w:pPr>
      <w:r w:rsidRPr="00E15059">
        <w:rPr>
          <w:b/>
          <w:bCs/>
        </w:rPr>
        <w:t>Road vehicle fleet and energy use split by energy type, 2020</w:t>
      </w:r>
    </w:p>
    <w:p w14:paraId="18C8AD07" w14:textId="77777777" w:rsidR="00195788" w:rsidRPr="00A2204F" w:rsidRDefault="00195788" w:rsidP="00195788">
      <w:pPr>
        <w:keepNext/>
        <w:keepLines/>
        <w:ind w:right="108"/>
        <w:contextualSpacing/>
        <w:jc w:val="both"/>
        <w:rPr>
          <w:sz w:val="22"/>
          <w:szCs w:val="22"/>
        </w:rPr>
      </w:pPr>
    </w:p>
    <w:p w14:paraId="65A2B51D" w14:textId="77777777" w:rsidR="00195788" w:rsidRDefault="00195788" w:rsidP="00195788">
      <w:pPr>
        <w:ind w:right="106"/>
        <w:contextualSpacing/>
        <w:jc w:val="center"/>
        <w:rPr>
          <w:sz w:val="22"/>
          <w:szCs w:val="22"/>
        </w:rPr>
      </w:pPr>
      <w:r w:rsidRPr="00EC0F31">
        <w:rPr>
          <w:sz w:val="22"/>
          <w:szCs w:val="22"/>
        </w:rPr>
        <w:t xml:space="preserve"> </w:t>
      </w:r>
      <w:r w:rsidRPr="00EC0F31">
        <w:rPr>
          <w:noProof/>
        </w:rPr>
        <w:drawing>
          <wp:inline distT="0" distB="0" distL="0" distR="0" wp14:anchorId="2E0B15FE" wp14:editId="7A577FCC">
            <wp:extent cx="4572000" cy="22307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2230755"/>
                    </a:xfrm>
                    <a:prstGeom prst="rect">
                      <a:avLst/>
                    </a:prstGeom>
                    <a:noFill/>
                    <a:ln>
                      <a:noFill/>
                    </a:ln>
                  </pic:spPr>
                </pic:pic>
              </a:graphicData>
            </a:graphic>
          </wp:inline>
        </w:drawing>
      </w:r>
    </w:p>
    <w:p w14:paraId="7DF4CBEB" w14:textId="1645DAD7" w:rsidR="002D1F0C" w:rsidRPr="002D1F0C" w:rsidRDefault="00B55BCC" w:rsidP="00B55BCC">
      <w:pPr>
        <w:pStyle w:val="SingleTxtG"/>
      </w:pPr>
      <w:r w:rsidRPr="002D1F0C">
        <w:t>6.</w:t>
      </w:r>
      <w:r w:rsidRPr="002D1F0C">
        <w:tab/>
      </w:r>
      <w:r w:rsidR="002D1F0C" w:rsidRPr="002D1F0C">
        <w:t>Azerbaijan, as a signatory to the COP26</w:t>
      </w:r>
      <w:r w:rsidR="00EC2CE2">
        <w:t>’s</w:t>
      </w:r>
      <w:r w:rsidR="002D1F0C" w:rsidRPr="002D1F0C">
        <w:t xml:space="preserve"> </w:t>
      </w:r>
      <w:r w:rsidR="00EC2CE2">
        <w:t>d</w:t>
      </w:r>
      <w:r w:rsidR="00EC2CE2" w:rsidRPr="00EC2CE2">
        <w:t>eclaration on accelerating the transition to 100% zero emission cars and vans</w:t>
      </w:r>
      <w:r w:rsidR="002D1F0C" w:rsidRPr="002D1F0C">
        <w:t xml:space="preserve"> is setting a path towards electrification of the vehicle fleet. One of the main commitment of signatories to ZEVTC is to “As governments, we will work towards all sales of new cars and vans being zero emission by 2040 or earlier, or by no later than 2035 in leading markets”. </w:t>
      </w:r>
      <w:r w:rsidR="00B7133E" w:rsidRPr="00B7133E">
        <w:t>The Accelerating to Zero coalition (A2Z) launched at COP27 will host the ZEV declaration in the future</w:t>
      </w:r>
      <w:r w:rsidR="00BC4CA8">
        <w:t xml:space="preserve">, and </w:t>
      </w:r>
      <w:r w:rsidR="00BC4CA8" w:rsidRPr="002D1F0C">
        <w:t>Azerbaijan</w:t>
      </w:r>
      <w:r w:rsidR="00BC4CA8">
        <w:t xml:space="preserve"> remains as a signatory.</w:t>
      </w:r>
    </w:p>
    <w:p w14:paraId="787D7B92" w14:textId="536CF6D3" w:rsidR="0075267B" w:rsidRDefault="00B55BCC" w:rsidP="00B55BCC">
      <w:pPr>
        <w:pStyle w:val="SingleTxtG"/>
      </w:pPr>
      <w:r>
        <w:t>7.</w:t>
      </w:r>
      <w:r>
        <w:tab/>
      </w:r>
      <w:r w:rsidR="00AA110C">
        <w:t>G</w:t>
      </w:r>
      <w:r w:rsidR="0034122D">
        <w:t>i</w:t>
      </w:r>
      <w:r w:rsidR="00AA110C">
        <w:t xml:space="preserve">ven the non-legally binding nature of the A2Z declaration, </w:t>
      </w:r>
      <w:r w:rsidR="009C4FC1">
        <w:t xml:space="preserve">in the reference scenario, electrification of the fleet </w:t>
      </w:r>
      <w:r w:rsidR="00AA110C">
        <w:t>remains low</w:t>
      </w:r>
      <w:r w:rsidR="0034122D">
        <w:t xml:space="preserve"> and a high share of electric vehicles in-line with the ambition of the A2Z declaration have been </w:t>
      </w:r>
      <w:r w:rsidR="00520D6A">
        <w:t xml:space="preserve">assumed for the Scenario Improve that </w:t>
      </w:r>
      <w:r w:rsidR="00382CBB">
        <w:t>simulates high powertrain technology shift and energy efficiency gains</w:t>
      </w:r>
      <w:r w:rsidR="0075267B">
        <w:t xml:space="preserve"> (Table 1)</w:t>
      </w:r>
    </w:p>
    <w:p w14:paraId="60FFC41D" w14:textId="39C09AB7" w:rsidR="00E15059" w:rsidRDefault="0075267B" w:rsidP="003620B8">
      <w:pPr>
        <w:pStyle w:val="Heading1"/>
        <w:pageBreakBefore/>
      </w:pPr>
      <w:r w:rsidRPr="00A2204F">
        <w:lastRenderedPageBreak/>
        <w:t xml:space="preserve">Table </w:t>
      </w:r>
      <w:r>
        <w:t>1</w:t>
      </w:r>
    </w:p>
    <w:p w14:paraId="00FA8DB3" w14:textId="5B4429AD" w:rsidR="0075267B" w:rsidRPr="00E15059" w:rsidRDefault="0075267B" w:rsidP="00E15059">
      <w:pPr>
        <w:pStyle w:val="Heading1"/>
        <w:rPr>
          <w:b/>
          <w:bCs/>
        </w:rPr>
      </w:pPr>
      <w:r w:rsidRPr="00E15059">
        <w:rPr>
          <w:b/>
          <w:bCs/>
        </w:rPr>
        <w:t>Assumptions in the Scenario Improve for advanced powertrain in the fleet</w:t>
      </w:r>
    </w:p>
    <w:p w14:paraId="271AB0AB" w14:textId="77777777" w:rsidR="0075267B" w:rsidRPr="00A2204F" w:rsidRDefault="0075267B" w:rsidP="0075267B">
      <w:pPr>
        <w:ind w:right="106"/>
        <w:contextualSpacing/>
        <w:jc w:val="both"/>
        <w:rPr>
          <w:sz w:val="22"/>
          <w:szCs w:val="22"/>
        </w:rPr>
      </w:pPr>
    </w:p>
    <w:tbl>
      <w:tblPr>
        <w:tblW w:w="0" w:type="auto"/>
        <w:tblInd w:w="900" w:type="dxa"/>
        <w:tblLook w:val="04A0" w:firstRow="1" w:lastRow="0" w:firstColumn="1" w:lastColumn="0" w:noHBand="0" w:noVBand="1"/>
      </w:tblPr>
      <w:tblGrid>
        <w:gridCol w:w="2080"/>
        <w:gridCol w:w="1585"/>
        <w:gridCol w:w="1627"/>
        <w:gridCol w:w="1688"/>
      </w:tblGrid>
      <w:tr w:rsidR="0075267B" w:rsidRPr="00A2204F" w14:paraId="5755F528" w14:textId="77777777" w:rsidTr="0079306A">
        <w:tc>
          <w:tcPr>
            <w:tcW w:w="2080" w:type="dxa"/>
            <w:tcBorders>
              <w:top w:val="nil"/>
              <w:left w:val="nil"/>
              <w:bottom w:val="nil"/>
              <w:right w:val="single" w:sz="4" w:space="0" w:color="auto"/>
            </w:tcBorders>
            <w:shd w:val="clear" w:color="000000" w:fill="FFFFFF"/>
            <w:vAlign w:val="center"/>
            <w:hideMark/>
          </w:tcPr>
          <w:p w14:paraId="45F86325" w14:textId="77777777" w:rsidR="0075267B" w:rsidRPr="00A2204F" w:rsidRDefault="0075267B" w:rsidP="0079306A">
            <w:pPr>
              <w:ind w:right="106"/>
              <w:jc w:val="center"/>
              <w:rPr>
                <w:b/>
                <w:bCs/>
                <w:color w:val="000000"/>
                <w:sz w:val="18"/>
                <w:szCs w:val="18"/>
              </w:rPr>
            </w:pPr>
            <w:r w:rsidRPr="00A2204F">
              <w:rPr>
                <w:b/>
                <w:bCs/>
                <w:color w:val="000000"/>
                <w:sz w:val="18"/>
                <w:szCs w:val="18"/>
              </w:rPr>
              <w:t> </w:t>
            </w:r>
          </w:p>
        </w:tc>
        <w:tc>
          <w:tcPr>
            <w:tcW w:w="4900" w:type="dxa"/>
            <w:gridSpan w:val="3"/>
            <w:tcBorders>
              <w:top w:val="nil"/>
              <w:left w:val="nil"/>
              <w:bottom w:val="single" w:sz="4" w:space="0" w:color="auto"/>
              <w:right w:val="nil"/>
            </w:tcBorders>
            <w:shd w:val="clear" w:color="000000" w:fill="FFFFFF"/>
            <w:vAlign w:val="center"/>
            <w:hideMark/>
          </w:tcPr>
          <w:p w14:paraId="65004B4F" w14:textId="77777777" w:rsidR="0075267B" w:rsidRPr="00A2204F" w:rsidRDefault="0075267B" w:rsidP="0079306A">
            <w:pPr>
              <w:ind w:right="106"/>
              <w:jc w:val="center"/>
              <w:rPr>
                <w:b/>
                <w:bCs/>
                <w:color w:val="000000"/>
                <w:sz w:val="18"/>
                <w:szCs w:val="18"/>
              </w:rPr>
            </w:pPr>
            <w:r w:rsidRPr="00A2204F">
              <w:rPr>
                <w:b/>
                <w:bCs/>
                <w:color w:val="000000"/>
                <w:sz w:val="18"/>
                <w:szCs w:val="18"/>
              </w:rPr>
              <w:t xml:space="preserve">Powertrain Group ( per cent of each technology in the fleet) 2050 </w:t>
            </w:r>
            <w:r>
              <w:rPr>
                <w:b/>
                <w:bCs/>
                <w:color w:val="000000"/>
                <w:sz w:val="18"/>
                <w:szCs w:val="18"/>
              </w:rPr>
              <w:t>S</w:t>
            </w:r>
            <w:r w:rsidRPr="00A2204F">
              <w:rPr>
                <w:b/>
                <w:bCs/>
                <w:color w:val="000000"/>
                <w:sz w:val="18"/>
                <w:szCs w:val="18"/>
              </w:rPr>
              <w:t xml:space="preserve">cenario Improve </w:t>
            </w:r>
          </w:p>
        </w:tc>
      </w:tr>
      <w:tr w:rsidR="0075267B" w:rsidRPr="00A2204F" w14:paraId="6395A9BE" w14:textId="77777777" w:rsidTr="0079306A">
        <w:tc>
          <w:tcPr>
            <w:tcW w:w="2080" w:type="dxa"/>
            <w:tcBorders>
              <w:top w:val="nil"/>
              <w:left w:val="nil"/>
              <w:bottom w:val="single" w:sz="8" w:space="0" w:color="auto"/>
              <w:right w:val="single" w:sz="4" w:space="0" w:color="auto"/>
            </w:tcBorders>
            <w:shd w:val="clear" w:color="000000" w:fill="FFFFFF"/>
            <w:vAlign w:val="center"/>
            <w:hideMark/>
          </w:tcPr>
          <w:p w14:paraId="17AAE91C" w14:textId="77777777" w:rsidR="0075267B" w:rsidRPr="00A2204F" w:rsidRDefault="0075267B" w:rsidP="0079306A">
            <w:pPr>
              <w:ind w:right="106"/>
              <w:jc w:val="center"/>
              <w:rPr>
                <w:b/>
                <w:bCs/>
                <w:color w:val="000000"/>
                <w:sz w:val="18"/>
                <w:szCs w:val="18"/>
              </w:rPr>
            </w:pPr>
            <w:r w:rsidRPr="00A2204F">
              <w:rPr>
                <w:b/>
                <w:bCs/>
                <w:color w:val="000000"/>
                <w:sz w:val="18"/>
                <w:szCs w:val="18"/>
              </w:rPr>
              <w:t> </w:t>
            </w:r>
          </w:p>
        </w:tc>
        <w:tc>
          <w:tcPr>
            <w:tcW w:w="1585" w:type="dxa"/>
            <w:tcBorders>
              <w:top w:val="nil"/>
              <w:left w:val="nil"/>
              <w:bottom w:val="single" w:sz="8" w:space="0" w:color="auto"/>
              <w:right w:val="nil"/>
            </w:tcBorders>
            <w:shd w:val="clear" w:color="000000" w:fill="FFFFFF"/>
            <w:noWrap/>
            <w:vAlign w:val="bottom"/>
            <w:hideMark/>
          </w:tcPr>
          <w:p w14:paraId="12BD8807" w14:textId="77777777" w:rsidR="0075267B" w:rsidRPr="00A2204F" w:rsidRDefault="0075267B" w:rsidP="0079306A">
            <w:pPr>
              <w:ind w:right="106"/>
              <w:jc w:val="center"/>
              <w:rPr>
                <w:color w:val="000000"/>
                <w:sz w:val="18"/>
                <w:szCs w:val="18"/>
              </w:rPr>
            </w:pPr>
            <w:r w:rsidRPr="00A2204F">
              <w:rPr>
                <w:color w:val="000000"/>
                <w:sz w:val="18"/>
                <w:szCs w:val="18"/>
              </w:rPr>
              <w:t>Hybrids and Plug-ins</w:t>
            </w:r>
          </w:p>
        </w:tc>
        <w:tc>
          <w:tcPr>
            <w:tcW w:w="1627" w:type="dxa"/>
            <w:tcBorders>
              <w:top w:val="nil"/>
              <w:left w:val="nil"/>
              <w:bottom w:val="single" w:sz="8" w:space="0" w:color="auto"/>
              <w:right w:val="nil"/>
            </w:tcBorders>
            <w:shd w:val="clear" w:color="000000" w:fill="FFFFFF"/>
            <w:vAlign w:val="bottom"/>
            <w:hideMark/>
          </w:tcPr>
          <w:p w14:paraId="0C183882" w14:textId="77777777" w:rsidR="0075267B" w:rsidRPr="00A2204F" w:rsidRDefault="0075267B" w:rsidP="0079306A">
            <w:pPr>
              <w:ind w:right="106"/>
              <w:jc w:val="center"/>
              <w:rPr>
                <w:color w:val="000000"/>
                <w:sz w:val="18"/>
                <w:szCs w:val="18"/>
              </w:rPr>
            </w:pPr>
            <w:r w:rsidRPr="00A2204F">
              <w:rPr>
                <w:color w:val="000000"/>
                <w:sz w:val="18"/>
                <w:szCs w:val="18"/>
              </w:rPr>
              <w:t>Battery electric</w:t>
            </w:r>
          </w:p>
        </w:tc>
        <w:tc>
          <w:tcPr>
            <w:tcW w:w="1688" w:type="dxa"/>
            <w:tcBorders>
              <w:top w:val="nil"/>
              <w:left w:val="nil"/>
              <w:bottom w:val="single" w:sz="8" w:space="0" w:color="auto"/>
              <w:right w:val="nil"/>
            </w:tcBorders>
            <w:shd w:val="clear" w:color="000000" w:fill="FFFFFF"/>
            <w:vAlign w:val="bottom"/>
            <w:hideMark/>
          </w:tcPr>
          <w:p w14:paraId="183C7D0A" w14:textId="77777777" w:rsidR="0075267B" w:rsidRPr="00A2204F" w:rsidRDefault="0075267B" w:rsidP="0079306A">
            <w:pPr>
              <w:ind w:right="106"/>
              <w:jc w:val="center"/>
              <w:rPr>
                <w:color w:val="000000"/>
                <w:sz w:val="18"/>
                <w:szCs w:val="18"/>
              </w:rPr>
            </w:pPr>
            <w:r w:rsidRPr="00A2204F">
              <w:rPr>
                <w:color w:val="000000"/>
                <w:sz w:val="18"/>
                <w:szCs w:val="18"/>
              </w:rPr>
              <w:t>Overhead electric</w:t>
            </w:r>
          </w:p>
        </w:tc>
      </w:tr>
      <w:tr w:rsidR="0075267B" w:rsidRPr="00A2204F" w14:paraId="0B8405F1" w14:textId="77777777" w:rsidTr="0079306A">
        <w:tc>
          <w:tcPr>
            <w:tcW w:w="2080" w:type="dxa"/>
            <w:tcBorders>
              <w:top w:val="nil"/>
              <w:left w:val="nil"/>
              <w:bottom w:val="nil"/>
              <w:right w:val="single" w:sz="4" w:space="0" w:color="auto"/>
            </w:tcBorders>
            <w:shd w:val="clear" w:color="000000" w:fill="FFFFFF"/>
            <w:noWrap/>
            <w:vAlign w:val="center"/>
            <w:hideMark/>
          </w:tcPr>
          <w:p w14:paraId="7F9DD84E" w14:textId="77777777" w:rsidR="0075267B" w:rsidRPr="00A2204F" w:rsidRDefault="0075267B" w:rsidP="0079306A">
            <w:pPr>
              <w:ind w:right="106"/>
              <w:jc w:val="both"/>
              <w:rPr>
                <w:color w:val="000000"/>
                <w:sz w:val="18"/>
                <w:szCs w:val="18"/>
              </w:rPr>
            </w:pPr>
            <w:r w:rsidRPr="00A2204F">
              <w:rPr>
                <w:color w:val="000000"/>
                <w:sz w:val="18"/>
                <w:szCs w:val="18"/>
              </w:rPr>
              <w:t>Cars</w:t>
            </w:r>
          </w:p>
        </w:tc>
        <w:tc>
          <w:tcPr>
            <w:tcW w:w="1585" w:type="dxa"/>
            <w:tcBorders>
              <w:top w:val="nil"/>
              <w:left w:val="nil"/>
              <w:bottom w:val="nil"/>
              <w:right w:val="nil"/>
            </w:tcBorders>
            <w:shd w:val="clear" w:color="000000" w:fill="FFFFFF"/>
            <w:noWrap/>
            <w:vAlign w:val="center"/>
            <w:hideMark/>
          </w:tcPr>
          <w:p w14:paraId="658012F5" w14:textId="77777777" w:rsidR="0075267B" w:rsidRPr="00A2204F" w:rsidRDefault="0075267B" w:rsidP="0079306A">
            <w:pPr>
              <w:ind w:right="106"/>
              <w:jc w:val="center"/>
              <w:rPr>
                <w:color w:val="000000"/>
                <w:sz w:val="18"/>
                <w:szCs w:val="18"/>
              </w:rPr>
            </w:pPr>
            <w:r w:rsidRPr="00A2204F">
              <w:rPr>
                <w:color w:val="000000"/>
                <w:sz w:val="18"/>
                <w:szCs w:val="18"/>
              </w:rPr>
              <w:t>20</w:t>
            </w:r>
            <w:r>
              <w:rPr>
                <w:color w:val="000000"/>
                <w:sz w:val="18"/>
                <w:szCs w:val="18"/>
              </w:rPr>
              <w:t xml:space="preserve"> </w:t>
            </w:r>
          </w:p>
        </w:tc>
        <w:tc>
          <w:tcPr>
            <w:tcW w:w="1627" w:type="dxa"/>
            <w:tcBorders>
              <w:top w:val="nil"/>
              <w:left w:val="nil"/>
              <w:bottom w:val="nil"/>
              <w:right w:val="nil"/>
            </w:tcBorders>
            <w:shd w:val="clear" w:color="000000" w:fill="FFFFFF"/>
            <w:noWrap/>
            <w:vAlign w:val="center"/>
            <w:hideMark/>
          </w:tcPr>
          <w:p w14:paraId="7D642D1F" w14:textId="77777777" w:rsidR="0075267B" w:rsidRPr="00A2204F" w:rsidRDefault="0075267B" w:rsidP="0079306A">
            <w:pPr>
              <w:ind w:right="106"/>
              <w:jc w:val="center"/>
              <w:rPr>
                <w:color w:val="000000"/>
                <w:sz w:val="18"/>
                <w:szCs w:val="18"/>
              </w:rPr>
            </w:pPr>
            <w:r w:rsidRPr="00A2204F">
              <w:rPr>
                <w:color w:val="000000"/>
                <w:sz w:val="18"/>
                <w:szCs w:val="18"/>
              </w:rPr>
              <w:t>40</w:t>
            </w:r>
            <w:r>
              <w:rPr>
                <w:color w:val="000000"/>
                <w:sz w:val="18"/>
                <w:szCs w:val="18"/>
              </w:rPr>
              <w:t xml:space="preserve"> </w:t>
            </w:r>
          </w:p>
        </w:tc>
        <w:tc>
          <w:tcPr>
            <w:tcW w:w="1688" w:type="dxa"/>
            <w:tcBorders>
              <w:top w:val="nil"/>
              <w:left w:val="nil"/>
              <w:bottom w:val="nil"/>
              <w:right w:val="nil"/>
            </w:tcBorders>
            <w:shd w:val="clear" w:color="000000" w:fill="FFFFFF"/>
            <w:noWrap/>
            <w:vAlign w:val="center"/>
            <w:hideMark/>
          </w:tcPr>
          <w:p w14:paraId="07240297" w14:textId="77777777" w:rsidR="0075267B" w:rsidRPr="00A2204F" w:rsidRDefault="0075267B" w:rsidP="0079306A">
            <w:pPr>
              <w:ind w:right="106"/>
              <w:jc w:val="center"/>
              <w:rPr>
                <w:color w:val="000000"/>
                <w:sz w:val="18"/>
                <w:szCs w:val="18"/>
              </w:rPr>
            </w:pPr>
            <w:r w:rsidRPr="00A2204F">
              <w:rPr>
                <w:color w:val="000000"/>
                <w:sz w:val="18"/>
                <w:szCs w:val="18"/>
              </w:rPr>
              <w:t> </w:t>
            </w:r>
          </w:p>
        </w:tc>
      </w:tr>
      <w:tr w:rsidR="0075267B" w:rsidRPr="00A2204F" w14:paraId="272C602D" w14:textId="77777777" w:rsidTr="0079306A">
        <w:tc>
          <w:tcPr>
            <w:tcW w:w="2080" w:type="dxa"/>
            <w:tcBorders>
              <w:top w:val="nil"/>
              <w:left w:val="nil"/>
              <w:bottom w:val="nil"/>
              <w:right w:val="single" w:sz="4" w:space="0" w:color="auto"/>
            </w:tcBorders>
            <w:shd w:val="clear" w:color="000000" w:fill="FFFFFF"/>
            <w:noWrap/>
            <w:vAlign w:val="center"/>
            <w:hideMark/>
          </w:tcPr>
          <w:p w14:paraId="62E4B309" w14:textId="77777777" w:rsidR="0075267B" w:rsidRPr="00A2204F" w:rsidRDefault="0075267B" w:rsidP="0079306A">
            <w:pPr>
              <w:ind w:right="106"/>
              <w:jc w:val="both"/>
              <w:rPr>
                <w:color w:val="000000"/>
                <w:sz w:val="18"/>
                <w:szCs w:val="18"/>
              </w:rPr>
            </w:pPr>
            <w:r w:rsidRPr="00A2204F">
              <w:rPr>
                <w:color w:val="000000"/>
                <w:sz w:val="18"/>
                <w:szCs w:val="18"/>
              </w:rPr>
              <w:t>Buses and coaches</w:t>
            </w:r>
          </w:p>
        </w:tc>
        <w:tc>
          <w:tcPr>
            <w:tcW w:w="1585" w:type="dxa"/>
            <w:tcBorders>
              <w:top w:val="nil"/>
              <w:left w:val="nil"/>
              <w:bottom w:val="nil"/>
              <w:right w:val="nil"/>
            </w:tcBorders>
            <w:shd w:val="clear" w:color="000000" w:fill="FFFFFF"/>
            <w:noWrap/>
            <w:vAlign w:val="center"/>
            <w:hideMark/>
          </w:tcPr>
          <w:p w14:paraId="7AB53ADB" w14:textId="77777777" w:rsidR="0075267B" w:rsidRPr="00A2204F" w:rsidRDefault="0075267B" w:rsidP="0079306A">
            <w:pPr>
              <w:ind w:right="106"/>
              <w:jc w:val="center"/>
              <w:rPr>
                <w:color w:val="000000"/>
                <w:sz w:val="18"/>
                <w:szCs w:val="18"/>
              </w:rPr>
            </w:pPr>
            <w:r w:rsidRPr="00A2204F">
              <w:rPr>
                <w:color w:val="000000"/>
                <w:sz w:val="18"/>
                <w:szCs w:val="18"/>
              </w:rPr>
              <w:t>10</w:t>
            </w:r>
            <w:r>
              <w:rPr>
                <w:color w:val="000000"/>
                <w:sz w:val="18"/>
                <w:szCs w:val="18"/>
              </w:rPr>
              <w:t xml:space="preserve"> </w:t>
            </w:r>
          </w:p>
        </w:tc>
        <w:tc>
          <w:tcPr>
            <w:tcW w:w="1627" w:type="dxa"/>
            <w:tcBorders>
              <w:top w:val="nil"/>
              <w:left w:val="nil"/>
              <w:bottom w:val="nil"/>
              <w:right w:val="nil"/>
            </w:tcBorders>
            <w:shd w:val="clear" w:color="000000" w:fill="FFFFFF"/>
            <w:noWrap/>
            <w:vAlign w:val="center"/>
            <w:hideMark/>
          </w:tcPr>
          <w:p w14:paraId="159FD48E" w14:textId="77777777" w:rsidR="0075267B" w:rsidRPr="00A2204F" w:rsidRDefault="0075267B" w:rsidP="0079306A">
            <w:pPr>
              <w:ind w:right="106"/>
              <w:jc w:val="center"/>
              <w:rPr>
                <w:color w:val="000000"/>
                <w:sz w:val="18"/>
                <w:szCs w:val="18"/>
              </w:rPr>
            </w:pPr>
            <w:r w:rsidRPr="00A2204F">
              <w:rPr>
                <w:color w:val="000000"/>
                <w:sz w:val="18"/>
                <w:szCs w:val="18"/>
              </w:rPr>
              <w:t>20 </w:t>
            </w:r>
          </w:p>
        </w:tc>
        <w:tc>
          <w:tcPr>
            <w:tcW w:w="1688" w:type="dxa"/>
            <w:tcBorders>
              <w:top w:val="nil"/>
              <w:left w:val="nil"/>
              <w:bottom w:val="nil"/>
              <w:right w:val="nil"/>
            </w:tcBorders>
            <w:shd w:val="clear" w:color="000000" w:fill="FFFFFF"/>
            <w:noWrap/>
            <w:vAlign w:val="center"/>
            <w:hideMark/>
          </w:tcPr>
          <w:p w14:paraId="2FA9FBC4" w14:textId="77777777" w:rsidR="0075267B" w:rsidRPr="00A2204F" w:rsidRDefault="0075267B" w:rsidP="0079306A">
            <w:pPr>
              <w:ind w:right="106"/>
              <w:jc w:val="center"/>
              <w:rPr>
                <w:color w:val="000000"/>
                <w:sz w:val="18"/>
                <w:szCs w:val="18"/>
              </w:rPr>
            </w:pPr>
            <w:r w:rsidRPr="00A2204F">
              <w:rPr>
                <w:color w:val="000000"/>
                <w:sz w:val="18"/>
                <w:szCs w:val="18"/>
              </w:rPr>
              <w:t> </w:t>
            </w:r>
          </w:p>
        </w:tc>
      </w:tr>
      <w:tr w:rsidR="0075267B" w:rsidRPr="00A2204F" w14:paraId="0E6BC9E3" w14:textId="77777777" w:rsidTr="0079306A">
        <w:tc>
          <w:tcPr>
            <w:tcW w:w="2080" w:type="dxa"/>
            <w:tcBorders>
              <w:top w:val="nil"/>
              <w:left w:val="nil"/>
              <w:bottom w:val="nil"/>
              <w:right w:val="single" w:sz="4" w:space="0" w:color="auto"/>
            </w:tcBorders>
            <w:shd w:val="clear" w:color="000000" w:fill="FFFFFF"/>
            <w:noWrap/>
            <w:vAlign w:val="center"/>
            <w:hideMark/>
          </w:tcPr>
          <w:p w14:paraId="6C726D3F" w14:textId="77777777" w:rsidR="0075267B" w:rsidRPr="00A2204F" w:rsidRDefault="0075267B" w:rsidP="0079306A">
            <w:pPr>
              <w:ind w:right="106"/>
              <w:jc w:val="both"/>
              <w:rPr>
                <w:color w:val="000000"/>
                <w:sz w:val="18"/>
                <w:szCs w:val="18"/>
              </w:rPr>
            </w:pPr>
            <w:r w:rsidRPr="00A2204F">
              <w:rPr>
                <w:color w:val="000000"/>
                <w:sz w:val="18"/>
                <w:szCs w:val="18"/>
              </w:rPr>
              <w:t>Vans</w:t>
            </w:r>
          </w:p>
        </w:tc>
        <w:tc>
          <w:tcPr>
            <w:tcW w:w="1585" w:type="dxa"/>
            <w:tcBorders>
              <w:top w:val="nil"/>
              <w:left w:val="nil"/>
              <w:bottom w:val="nil"/>
              <w:right w:val="nil"/>
            </w:tcBorders>
            <w:shd w:val="clear" w:color="000000" w:fill="FFFFFF"/>
            <w:noWrap/>
            <w:vAlign w:val="center"/>
            <w:hideMark/>
          </w:tcPr>
          <w:p w14:paraId="7CD5EDFD" w14:textId="77777777" w:rsidR="0075267B" w:rsidRPr="00A2204F" w:rsidRDefault="0075267B" w:rsidP="0079306A">
            <w:pPr>
              <w:ind w:right="106"/>
              <w:jc w:val="center"/>
              <w:rPr>
                <w:color w:val="000000"/>
                <w:sz w:val="18"/>
                <w:szCs w:val="18"/>
              </w:rPr>
            </w:pPr>
          </w:p>
        </w:tc>
        <w:tc>
          <w:tcPr>
            <w:tcW w:w="1627" w:type="dxa"/>
            <w:tcBorders>
              <w:top w:val="nil"/>
              <w:left w:val="nil"/>
              <w:bottom w:val="nil"/>
              <w:right w:val="nil"/>
            </w:tcBorders>
            <w:shd w:val="clear" w:color="000000" w:fill="FFFFFF"/>
            <w:noWrap/>
            <w:vAlign w:val="center"/>
            <w:hideMark/>
          </w:tcPr>
          <w:p w14:paraId="3617F687" w14:textId="77777777" w:rsidR="0075267B" w:rsidRPr="00A2204F" w:rsidRDefault="0075267B" w:rsidP="0079306A">
            <w:pPr>
              <w:ind w:right="106"/>
              <w:jc w:val="center"/>
              <w:rPr>
                <w:color w:val="000000"/>
                <w:sz w:val="18"/>
                <w:szCs w:val="18"/>
              </w:rPr>
            </w:pPr>
            <w:r w:rsidRPr="00A2204F">
              <w:rPr>
                <w:color w:val="000000"/>
                <w:sz w:val="18"/>
                <w:szCs w:val="18"/>
              </w:rPr>
              <w:t>20 </w:t>
            </w:r>
          </w:p>
        </w:tc>
        <w:tc>
          <w:tcPr>
            <w:tcW w:w="1688" w:type="dxa"/>
            <w:tcBorders>
              <w:top w:val="nil"/>
              <w:left w:val="nil"/>
              <w:bottom w:val="nil"/>
              <w:right w:val="nil"/>
            </w:tcBorders>
            <w:shd w:val="clear" w:color="000000" w:fill="FFFFFF"/>
            <w:noWrap/>
            <w:vAlign w:val="center"/>
            <w:hideMark/>
          </w:tcPr>
          <w:p w14:paraId="50595702" w14:textId="77777777" w:rsidR="0075267B" w:rsidRPr="00A2204F" w:rsidRDefault="0075267B" w:rsidP="0079306A">
            <w:pPr>
              <w:ind w:right="106"/>
              <w:jc w:val="center"/>
              <w:rPr>
                <w:color w:val="000000"/>
                <w:sz w:val="18"/>
                <w:szCs w:val="18"/>
              </w:rPr>
            </w:pPr>
            <w:r w:rsidRPr="00A2204F">
              <w:rPr>
                <w:color w:val="000000"/>
                <w:sz w:val="18"/>
                <w:szCs w:val="18"/>
              </w:rPr>
              <w:t> </w:t>
            </w:r>
          </w:p>
        </w:tc>
      </w:tr>
      <w:tr w:rsidR="0075267B" w:rsidRPr="00A2204F" w14:paraId="1F29A6DC" w14:textId="77777777" w:rsidTr="0079306A">
        <w:tc>
          <w:tcPr>
            <w:tcW w:w="2080" w:type="dxa"/>
            <w:tcBorders>
              <w:top w:val="nil"/>
              <w:left w:val="nil"/>
              <w:bottom w:val="nil"/>
              <w:right w:val="single" w:sz="4" w:space="0" w:color="auto"/>
            </w:tcBorders>
            <w:shd w:val="clear" w:color="000000" w:fill="FFFFFF"/>
            <w:noWrap/>
            <w:vAlign w:val="center"/>
            <w:hideMark/>
          </w:tcPr>
          <w:p w14:paraId="582CBAFE" w14:textId="77777777" w:rsidR="0075267B" w:rsidRPr="00A2204F" w:rsidRDefault="0075267B" w:rsidP="0079306A">
            <w:pPr>
              <w:ind w:right="106"/>
              <w:jc w:val="both"/>
              <w:rPr>
                <w:color w:val="000000"/>
                <w:sz w:val="18"/>
                <w:szCs w:val="18"/>
              </w:rPr>
            </w:pPr>
            <w:r w:rsidRPr="00A2204F">
              <w:rPr>
                <w:color w:val="000000"/>
                <w:sz w:val="18"/>
                <w:szCs w:val="18"/>
              </w:rPr>
              <w:t>Trucks</w:t>
            </w:r>
          </w:p>
        </w:tc>
        <w:tc>
          <w:tcPr>
            <w:tcW w:w="1585" w:type="dxa"/>
            <w:tcBorders>
              <w:top w:val="nil"/>
              <w:left w:val="nil"/>
              <w:bottom w:val="nil"/>
              <w:right w:val="nil"/>
            </w:tcBorders>
            <w:shd w:val="clear" w:color="000000" w:fill="FFFFFF"/>
            <w:noWrap/>
            <w:vAlign w:val="center"/>
            <w:hideMark/>
          </w:tcPr>
          <w:p w14:paraId="470E7E96" w14:textId="77777777" w:rsidR="0075267B" w:rsidRPr="00A2204F" w:rsidRDefault="0075267B" w:rsidP="0079306A">
            <w:pPr>
              <w:ind w:right="106"/>
              <w:jc w:val="center"/>
              <w:rPr>
                <w:color w:val="000000"/>
                <w:sz w:val="18"/>
                <w:szCs w:val="18"/>
              </w:rPr>
            </w:pPr>
          </w:p>
        </w:tc>
        <w:tc>
          <w:tcPr>
            <w:tcW w:w="1627" w:type="dxa"/>
            <w:tcBorders>
              <w:top w:val="nil"/>
              <w:left w:val="nil"/>
              <w:bottom w:val="nil"/>
              <w:right w:val="nil"/>
            </w:tcBorders>
            <w:shd w:val="clear" w:color="000000" w:fill="FFFFFF"/>
            <w:noWrap/>
            <w:vAlign w:val="center"/>
            <w:hideMark/>
          </w:tcPr>
          <w:p w14:paraId="121B11F1" w14:textId="77777777" w:rsidR="0075267B" w:rsidRPr="00A2204F" w:rsidRDefault="0075267B" w:rsidP="0079306A">
            <w:pPr>
              <w:ind w:right="106"/>
              <w:jc w:val="center"/>
              <w:rPr>
                <w:color w:val="000000"/>
                <w:sz w:val="18"/>
                <w:szCs w:val="18"/>
              </w:rPr>
            </w:pPr>
            <w:r w:rsidRPr="00A2204F">
              <w:rPr>
                <w:color w:val="000000"/>
                <w:sz w:val="18"/>
                <w:szCs w:val="18"/>
              </w:rPr>
              <w:t>10 </w:t>
            </w:r>
          </w:p>
        </w:tc>
        <w:tc>
          <w:tcPr>
            <w:tcW w:w="1688" w:type="dxa"/>
            <w:tcBorders>
              <w:top w:val="nil"/>
              <w:left w:val="nil"/>
              <w:bottom w:val="nil"/>
              <w:right w:val="nil"/>
            </w:tcBorders>
            <w:shd w:val="clear" w:color="000000" w:fill="FFFFFF"/>
            <w:noWrap/>
            <w:vAlign w:val="center"/>
            <w:hideMark/>
          </w:tcPr>
          <w:p w14:paraId="338C0F09" w14:textId="77777777" w:rsidR="0075267B" w:rsidRPr="00A2204F" w:rsidRDefault="0075267B" w:rsidP="0079306A">
            <w:pPr>
              <w:ind w:right="106"/>
              <w:jc w:val="center"/>
              <w:rPr>
                <w:color w:val="000000"/>
                <w:sz w:val="18"/>
                <w:szCs w:val="18"/>
              </w:rPr>
            </w:pPr>
            <w:r w:rsidRPr="00A2204F">
              <w:rPr>
                <w:color w:val="000000"/>
                <w:sz w:val="18"/>
                <w:szCs w:val="18"/>
              </w:rPr>
              <w:t> </w:t>
            </w:r>
          </w:p>
        </w:tc>
      </w:tr>
      <w:tr w:rsidR="0075267B" w:rsidRPr="00A2204F" w14:paraId="23EDE9FE" w14:textId="77777777" w:rsidTr="0079306A">
        <w:tc>
          <w:tcPr>
            <w:tcW w:w="2080" w:type="dxa"/>
            <w:tcBorders>
              <w:top w:val="nil"/>
              <w:left w:val="nil"/>
              <w:bottom w:val="nil"/>
              <w:right w:val="single" w:sz="4" w:space="0" w:color="auto"/>
            </w:tcBorders>
            <w:shd w:val="clear" w:color="000000" w:fill="FFFFFF"/>
            <w:noWrap/>
            <w:vAlign w:val="center"/>
            <w:hideMark/>
          </w:tcPr>
          <w:p w14:paraId="1BF3108E" w14:textId="77777777" w:rsidR="0075267B" w:rsidRPr="00A2204F" w:rsidRDefault="0075267B" w:rsidP="0079306A">
            <w:pPr>
              <w:ind w:right="106"/>
              <w:jc w:val="both"/>
              <w:rPr>
                <w:color w:val="000000"/>
                <w:sz w:val="18"/>
                <w:szCs w:val="18"/>
              </w:rPr>
            </w:pPr>
            <w:r w:rsidRPr="00A2204F">
              <w:rPr>
                <w:color w:val="000000"/>
                <w:sz w:val="18"/>
                <w:szCs w:val="18"/>
              </w:rPr>
              <w:t>Rail</w:t>
            </w:r>
          </w:p>
        </w:tc>
        <w:tc>
          <w:tcPr>
            <w:tcW w:w="1585" w:type="dxa"/>
            <w:tcBorders>
              <w:top w:val="nil"/>
              <w:left w:val="nil"/>
              <w:bottom w:val="nil"/>
              <w:right w:val="nil"/>
            </w:tcBorders>
            <w:shd w:val="clear" w:color="000000" w:fill="FFFFFF"/>
            <w:noWrap/>
            <w:vAlign w:val="center"/>
            <w:hideMark/>
          </w:tcPr>
          <w:p w14:paraId="56CEC7C4" w14:textId="77777777" w:rsidR="0075267B" w:rsidRPr="00A2204F" w:rsidRDefault="0075267B" w:rsidP="0079306A">
            <w:pPr>
              <w:ind w:right="106"/>
              <w:jc w:val="center"/>
              <w:rPr>
                <w:color w:val="000000"/>
                <w:sz w:val="18"/>
                <w:szCs w:val="18"/>
              </w:rPr>
            </w:pPr>
            <w:r w:rsidRPr="00A2204F">
              <w:rPr>
                <w:color w:val="000000"/>
                <w:sz w:val="18"/>
                <w:szCs w:val="18"/>
              </w:rPr>
              <w:t> </w:t>
            </w:r>
          </w:p>
        </w:tc>
        <w:tc>
          <w:tcPr>
            <w:tcW w:w="1627" w:type="dxa"/>
            <w:tcBorders>
              <w:top w:val="nil"/>
              <w:left w:val="nil"/>
              <w:bottom w:val="nil"/>
              <w:right w:val="nil"/>
            </w:tcBorders>
            <w:shd w:val="clear" w:color="000000" w:fill="FFFFFF"/>
            <w:noWrap/>
            <w:vAlign w:val="center"/>
            <w:hideMark/>
          </w:tcPr>
          <w:p w14:paraId="55D27C2C" w14:textId="77777777" w:rsidR="0075267B" w:rsidRPr="00A2204F" w:rsidRDefault="0075267B" w:rsidP="0079306A">
            <w:pPr>
              <w:ind w:right="106"/>
              <w:jc w:val="center"/>
              <w:rPr>
                <w:color w:val="000000"/>
                <w:sz w:val="18"/>
                <w:szCs w:val="18"/>
              </w:rPr>
            </w:pPr>
            <w:r w:rsidRPr="00A2204F">
              <w:rPr>
                <w:color w:val="000000"/>
                <w:sz w:val="18"/>
                <w:szCs w:val="18"/>
              </w:rPr>
              <w:t> </w:t>
            </w:r>
          </w:p>
        </w:tc>
        <w:tc>
          <w:tcPr>
            <w:tcW w:w="1688" w:type="dxa"/>
            <w:tcBorders>
              <w:top w:val="nil"/>
              <w:left w:val="nil"/>
              <w:bottom w:val="nil"/>
              <w:right w:val="nil"/>
            </w:tcBorders>
            <w:shd w:val="clear" w:color="000000" w:fill="FFFFFF"/>
            <w:noWrap/>
            <w:vAlign w:val="center"/>
            <w:hideMark/>
          </w:tcPr>
          <w:p w14:paraId="06F29940" w14:textId="77777777" w:rsidR="0075267B" w:rsidRPr="00A2204F" w:rsidRDefault="0075267B" w:rsidP="0079306A">
            <w:pPr>
              <w:ind w:right="106"/>
              <w:jc w:val="center"/>
              <w:rPr>
                <w:color w:val="000000"/>
                <w:sz w:val="18"/>
                <w:szCs w:val="18"/>
              </w:rPr>
            </w:pPr>
            <w:r w:rsidRPr="00A2204F">
              <w:rPr>
                <w:color w:val="000000"/>
                <w:sz w:val="18"/>
                <w:szCs w:val="18"/>
              </w:rPr>
              <w:t>85</w:t>
            </w:r>
            <w:r>
              <w:rPr>
                <w:color w:val="000000"/>
                <w:sz w:val="18"/>
                <w:szCs w:val="18"/>
              </w:rPr>
              <w:t xml:space="preserve"> </w:t>
            </w:r>
          </w:p>
        </w:tc>
      </w:tr>
    </w:tbl>
    <w:p w14:paraId="6775C0FD" w14:textId="0AD97512" w:rsidR="00060914" w:rsidRPr="00060914" w:rsidRDefault="00B55BCC" w:rsidP="003620B8">
      <w:pPr>
        <w:pStyle w:val="SingleTxtG"/>
        <w:spacing w:before="240"/>
      </w:pPr>
      <w:r w:rsidRPr="00060914">
        <w:t>8.</w:t>
      </w:r>
      <w:r w:rsidRPr="00060914">
        <w:tab/>
      </w:r>
      <w:r w:rsidR="00060914" w:rsidRPr="00060914">
        <w:t>The Scenario ASI simulates the cumulative effect of the scenarios Avoid, Shift and Improve . This Scenario ASI shows the result of implementing these policies concurrently. It is important to note that the impact of combining the three scenarios is not the addition of the individual impacts. Indeed, impacts are not cumulative. For example, the impact on energy and emissions of shifting to mass transportation is decreased if the energy efficiency of individual modes drastically improves. As a result, the CO2 saved in the scenarios Shift and Improve separately is higher than when considering the Scenario ASI.</w:t>
      </w:r>
    </w:p>
    <w:p w14:paraId="70C8A285" w14:textId="5138CB3B" w:rsidR="00060914" w:rsidRPr="00060914" w:rsidRDefault="00B55BCC" w:rsidP="00B55BCC">
      <w:pPr>
        <w:pStyle w:val="SingleTxtG"/>
      </w:pPr>
      <w:r w:rsidRPr="00060914">
        <w:t>9.</w:t>
      </w:r>
      <w:r w:rsidRPr="00060914">
        <w:tab/>
      </w:r>
      <w:r w:rsidR="00426B1E">
        <w:t xml:space="preserve">In the </w:t>
      </w:r>
      <w:r w:rsidR="00803BA5">
        <w:t>Scenario R</w:t>
      </w:r>
      <w:r w:rsidR="00426B1E">
        <w:t xml:space="preserve">eference, </w:t>
      </w:r>
      <w:r w:rsidR="00803BA5">
        <w:t xml:space="preserve">CO2 emissions from the transport sector are expected to </w:t>
      </w:r>
      <w:r w:rsidR="00624497">
        <w:t xml:space="preserve">increase by around 50% between 2020 and 2050. </w:t>
      </w:r>
      <w:r w:rsidR="00060914" w:rsidRPr="00060914">
        <w:t>In the Scenario ASI, overall CO2 emissions are reduced by more than 40 per cent compared to the Scenario Reference in 2050, and decrease by around 10 per cent compared with 2020 (</w:t>
      </w:r>
      <w:r w:rsidR="00437976">
        <w:t>F</w:t>
      </w:r>
      <w:r w:rsidR="00060914" w:rsidRPr="00060914">
        <w:t xml:space="preserve">igure </w:t>
      </w:r>
      <w:r w:rsidR="00437976">
        <w:t>3</w:t>
      </w:r>
      <w:r w:rsidR="00060914" w:rsidRPr="00060914">
        <w:t>)</w:t>
      </w:r>
      <w:r w:rsidR="009F7824">
        <w:t>.</w:t>
      </w:r>
    </w:p>
    <w:p w14:paraId="01B3D458" w14:textId="2BA1B7D2" w:rsidR="00E15059" w:rsidRDefault="00060914" w:rsidP="00E15059">
      <w:pPr>
        <w:pStyle w:val="Heading1"/>
      </w:pPr>
      <w:r w:rsidRPr="00A2204F">
        <w:t xml:space="preserve">Figure </w:t>
      </w:r>
      <w:r w:rsidR="00437976">
        <w:t>3</w:t>
      </w:r>
    </w:p>
    <w:p w14:paraId="6527A114" w14:textId="57DE2EBC" w:rsidR="00060914" w:rsidRPr="00E15059" w:rsidRDefault="00060914" w:rsidP="00E15059">
      <w:pPr>
        <w:pStyle w:val="Heading1"/>
        <w:rPr>
          <w:b/>
          <w:bCs/>
        </w:rPr>
      </w:pPr>
      <w:r w:rsidRPr="00E15059">
        <w:rPr>
          <w:b/>
          <w:bCs/>
          <w:i/>
          <w:iCs/>
        </w:rPr>
        <w:t>W</w:t>
      </w:r>
      <w:r w:rsidR="00437976" w:rsidRPr="00E15059">
        <w:rPr>
          <w:b/>
          <w:bCs/>
          <w:i/>
          <w:iCs/>
        </w:rPr>
        <w:t xml:space="preserve">ell </w:t>
      </w:r>
      <w:r w:rsidRPr="00E15059">
        <w:rPr>
          <w:b/>
          <w:bCs/>
          <w:i/>
          <w:iCs/>
        </w:rPr>
        <w:t>T</w:t>
      </w:r>
      <w:r w:rsidR="00437976" w:rsidRPr="00E15059">
        <w:rPr>
          <w:b/>
          <w:bCs/>
          <w:i/>
          <w:iCs/>
        </w:rPr>
        <w:t xml:space="preserve">o </w:t>
      </w:r>
      <w:r w:rsidRPr="00E15059">
        <w:rPr>
          <w:b/>
          <w:bCs/>
          <w:i/>
          <w:iCs/>
        </w:rPr>
        <w:t>W</w:t>
      </w:r>
      <w:r w:rsidR="00437976" w:rsidRPr="00E15059">
        <w:rPr>
          <w:b/>
          <w:bCs/>
          <w:i/>
          <w:iCs/>
        </w:rPr>
        <w:t>heel</w:t>
      </w:r>
      <w:r w:rsidRPr="00E15059">
        <w:rPr>
          <w:b/>
          <w:bCs/>
        </w:rPr>
        <w:t xml:space="preserve"> CO</w:t>
      </w:r>
      <w:r w:rsidRPr="00E15059">
        <w:rPr>
          <w:b/>
          <w:bCs/>
          <w:vertAlign w:val="subscript"/>
        </w:rPr>
        <w:t>2</w:t>
      </w:r>
      <w:r w:rsidRPr="00E15059">
        <w:rPr>
          <w:b/>
          <w:bCs/>
        </w:rPr>
        <w:t xml:space="preserve"> emissions by mode, all scenarios in 205</w:t>
      </w:r>
      <w:r w:rsidR="00437976" w:rsidRPr="00E15059">
        <w:rPr>
          <w:b/>
          <w:bCs/>
        </w:rPr>
        <w:t>0</w:t>
      </w:r>
      <w:r w:rsidRPr="00E15059">
        <w:rPr>
          <w:b/>
          <w:bCs/>
        </w:rPr>
        <w:t>, MtCO</w:t>
      </w:r>
      <w:r w:rsidRPr="00E15059">
        <w:rPr>
          <w:b/>
          <w:bCs/>
          <w:vertAlign w:val="subscript"/>
        </w:rPr>
        <w:t>2</w:t>
      </w:r>
    </w:p>
    <w:p w14:paraId="3C5B6444" w14:textId="77777777" w:rsidR="00060914" w:rsidRPr="00A2204F" w:rsidRDefault="00060914" w:rsidP="00060914">
      <w:pPr>
        <w:keepNext/>
        <w:ind w:right="106"/>
        <w:rPr>
          <w:sz w:val="22"/>
          <w:szCs w:val="22"/>
        </w:rPr>
      </w:pPr>
    </w:p>
    <w:p w14:paraId="1922630A" w14:textId="77777777" w:rsidR="00060914" w:rsidRPr="00A2204F" w:rsidRDefault="00060914" w:rsidP="00060914">
      <w:pPr>
        <w:ind w:right="106"/>
        <w:jc w:val="center"/>
        <w:rPr>
          <w:sz w:val="22"/>
          <w:szCs w:val="22"/>
        </w:rPr>
      </w:pPr>
      <w:r w:rsidRPr="0073598D">
        <w:rPr>
          <w:noProof/>
        </w:rPr>
        <w:drawing>
          <wp:inline distT="0" distB="0" distL="0" distR="0" wp14:anchorId="6429787B" wp14:editId="25FFE552">
            <wp:extent cx="4572000" cy="22891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2289175"/>
                    </a:xfrm>
                    <a:prstGeom prst="rect">
                      <a:avLst/>
                    </a:prstGeom>
                    <a:noFill/>
                    <a:ln>
                      <a:noFill/>
                    </a:ln>
                  </pic:spPr>
                </pic:pic>
              </a:graphicData>
            </a:graphic>
          </wp:inline>
        </w:drawing>
      </w:r>
    </w:p>
    <w:p w14:paraId="573E4468" w14:textId="77777777" w:rsidR="00060914" w:rsidRPr="00A2204F" w:rsidRDefault="00060914" w:rsidP="00060914">
      <w:pPr>
        <w:ind w:right="106"/>
        <w:rPr>
          <w:sz w:val="22"/>
          <w:szCs w:val="22"/>
        </w:rPr>
      </w:pPr>
    </w:p>
    <w:p w14:paraId="3DDC29D1" w14:textId="7C833943" w:rsidR="000F1826" w:rsidRDefault="00B55BCC" w:rsidP="00B55BCC">
      <w:pPr>
        <w:pStyle w:val="SingleTxtG"/>
      </w:pPr>
      <w:r>
        <w:t>10.</w:t>
      </w:r>
      <w:r>
        <w:tab/>
      </w:r>
      <w:r w:rsidR="00E276BC">
        <w:t>Recommendations for the</w:t>
      </w:r>
      <w:r w:rsidR="00DB2852">
        <w:t xml:space="preserve"> </w:t>
      </w:r>
      <w:proofErr w:type="spellStart"/>
      <w:r w:rsidR="00004EAD">
        <w:t>ForFITS</w:t>
      </w:r>
      <w:proofErr w:type="spellEnd"/>
      <w:r w:rsidR="00004EAD">
        <w:t xml:space="preserve"> analysis</w:t>
      </w:r>
      <w:r w:rsidR="00E276BC">
        <w:t xml:space="preserve"> in Azerbaijan include </w:t>
      </w:r>
      <w:r w:rsidR="00003556">
        <w:t xml:space="preserve">to link fuel tax with the carbon content of the fuel </w:t>
      </w:r>
      <w:r w:rsidR="000F1826">
        <w:t>given d</w:t>
      </w:r>
      <w:r w:rsidR="000F1826" w:rsidRPr="000F1826">
        <w:t>iesel prices in Azerbaijan do not reflect international energy market prices,</w:t>
      </w:r>
      <w:r w:rsidR="006A1748">
        <w:t xml:space="preserve"> to d</w:t>
      </w:r>
      <w:r w:rsidR="006A1748" w:rsidRPr="006A1748">
        <w:t>evelop dedicated legal provisions on the import of low-</w:t>
      </w:r>
      <w:r w:rsidR="006A1748" w:rsidRPr="00B55BCC">
        <w:t>CO2</w:t>
      </w:r>
      <w:r w:rsidR="006A1748" w:rsidRPr="006A1748">
        <w:t xml:space="preserve"> used vehicles</w:t>
      </w:r>
      <w:r w:rsidR="001F53F0">
        <w:t xml:space="preserve">, given the ageing fleet and the high share of used vehicle imports and to </w:t>
      </w:r>
      <w:r w:rsidR="00A333D3">
        <w:t>apply the latest version of ECE vehicle regulations, as Azerbaijan is a contracting party to</w:t>
      </w:r>
      <w:r w:rsidR="00D65D0E" w:rsidRPr="00D65D0E">
        <w:t xml:space="preserve"> the 1958 and 1998 vehicl</w:t>
      </w:r>
      <w:r w:rsidR="00D65D0E">
        <w:t>e</w:t>
      </w:r>
      <w:r w:rsidR="00D65D0E" w:rsidRPr="00D65D0E">
        <w:t xml:space="preserve"> agreements</w:t>
      </w:r>
      <w:r w:rsidR="00D65D0E">
        <w:t>.</w:t>
      </w:r>
    </w:p>
    <w:p w14:paraId="321CC7FE" w14:textId="313E57FB" w:rsidR="00ED5426" w:rsidRDefault="00ED5426" w:rsidP="00ED5426">
      <w:pPr>
        <w:pStyle w:val="H1G"/>
      </w:pPr>
      <w:r>
        <w:tab/>
      </w:r>
      <w:r w:rsidR="00A06B32">
        <w:t>B</w:t>
      </w:r>
      <w:r w:rsidRPr="007B76EA">
        <w:t>.</w:t>
      </w:r>
      <w:r w:rsidRPr="007B76EA">
        <w:tab/>
      </w:r>
      <w:r w:rsidR="00A06B32">
        <w:t>ECE EPR of Armenia</w:t>
      </w:r>
    </w:p>
    <w:p w14:paraId="0E51F37A" w14:textId="6FB7E2C3" w:rsidR="00C95E20" w:rsidRPr="00B55BCC" w:rsidRDefault="00B55BCC" w:rsidP="00B55BCC">
      <w:pPr>
        <w:pStyle w:val="SingleTxtG"/>
      </w:pPr>
      <w:r>
        <w:t>11.</w:t>
      </w:r>
      <w:r>
        <w:tab/>
      </w:r>
      <w:r w:rsidR="00F40E4F">
        <w:t>Following the first edition in 2000, a second EPR in Armenia has been undertaken in the course of 2022 / 2023</w:t>
      </w:r>
      <w:r w:rsidR="00827753">
        <w:t xml:space="preserve">. A dedicated annex on </w:t>
      </w:r>
      <w:r w:rsidR="00BD323B" w:rsidRPr="00BD323B">
        <w:t>Transport, energy and CO2 emissions outlook to 2050</w:t>
      </w:r>
      <w:r w:rsidR="00BD323B">
        <w:t xml:space="preserve"> has been </w:t>
      </w:r>
      <w:r w:rsidR="00BD323B" w:rsidRPr="00B55BCC">
        <w:t xml:space="preserve">developed using the </w:t>
      </w:r>
      <w:proofErr w:type="spellStart"/>
      <w:r w:rsidR="00BD323B" w:rsidRPr="00B55BCC">
        <w:t>ForFITS</w:t>
      </w:r>
      <w:proofErr w:type="spellEnd"/>
      <w:r w:rsidR="00BD323B" w:rsidRPr="00B55BCC">
        <w:t xml:space="preserve"> model. </w:t>
      </w:r>
      <w:r w:rsidR="004E5AAB" w:rsidRPr="00B55BCC">
        <w:t xml:space="preserve">It focuses on well to wheel (WTW) CO2 emissions stemming from the transport sector </w:t>
      </w:r>
      <w:r w:rsidR="00C95E20" w:rsidRPr="00B55BCC">
        <w:t>in Armenia.</w:t>
      </w:r>
    </w:p>
    <w:p w14:paraId="2AC2C4C8" w14:textId="73070781" w:rsidR="0094739F" w:rsidRPr="00B55BCC" w:rsidRDefault="00B55BCC" w:rsidP="00B55BCC">
      <w:pPr>
        <w:pStyle w:val="SingleTxtG"/>
      </w:pPr>
      <w:r w:rsidRPr="00B55BCC">
        <w:lastRenderedPageBreak/>
        <w:t>12.</w:t>
      </w:r>
      <w:r w:rsidRPr="00B55BCC">
        <w:tab/>
      </w:r>
      <w:r w:rsidR="00EF0ED2" w:rsidRPr="00B55BCC">
        <w:t xml:space="preserve">The </w:t>
      </w:r>
      <w:proofErr w:type="spellStart"/>
      <w:r w:rsidR="00EF0ED2" w:rsidRPr="00B55BCC">
        <w:t>ForFITS</w:t>
      </w:r>
      <w:proofErr w:type="spellEnd"/>
      <w:r w:rsidR="00EF0ED2" w:rsidRPr="00B55BCC">
        <w:t xml:space="preserve"> analysis include </w:t>
      </w:r>
      <w:r w:rsidR="00E21C0B" w:rsidRPr="00B55BCC">
        <w:t>5</w:t>
      </w:r>
      <w:r w:rsidR="005D4F04" w:rsidRPr="00B55BCC">
        <w:t xml:space="preserve"> scenarios looking at the 2050 time horizon</w:t>
      </w:r>
      <w:r w:rsidR="0094739F" w:rsidRPr="00B55BCC">
        <w:t>.</w:t>
      </w:r>
      <w:r w:rsidR="001C423F" w:rsidRPr="00B55BCC">
        <w:t xml:space="preserve"> </w:t>
      </w:r>
      <w:r w:rsidR="009D3982" w:rsidRPr="00B55BCC">
        <w:t xml:space="preserve">The scenario Reference </w:t>
      </w:r>
      <w:r w:rsidR="002342B8" w:rsidRPr="00B55BCC">
        <w:t xml:space="preserve">includes default data on the expected evolution of fuel consumption characteristics by powertrain to reflect future improvements in vehicle technology and their associated costs </w:t>
      </w:r>
      <w:r w:rsidR="001C423F" w:rsidRPr="00B55BCC">
        <w:t xml:space="preserve">The scenario “Avoid” looks at demand management measure impact on energy use and GHG </w:t>
      </w:r>
      <w:proofErr w:type="spellStart"/>
      <w:r w:rsidR="001C423F" w:rsidRPr="00B55BCC">
        <w:t>emisisons</w:t>
      </w:r>
      <w:proofErr w:type="spellEnd"/>
      <w:r w:rsidR="003E7E6D" w:rsidRPr="00B55BCC">
        <w:t>. The scenario “Shift” analyses the impact of modal shift towards less carbon intensive modes of transport</w:t>
      </w:r>
      <w:r w:rsidR="00BF1421" w:rsidRPr="00B55BCC">
        <w:t xml:space="preserve">. The scenario “Improve” finally looks at the impact of improved energy efficiency and powertrain technology shifts </w:t>
      </w:r>
      <w:r w:rsidR="00B52456" w:rsidRPr="00B55BCC">
        <w:t>towards lower carbon options and its impact on energy demand and GHG emissions. The final ASI scenario combines all Avoid, Shift and Improve measures</w:t>
      </w:r>
      <w:r w:rsidR="00250ED0" w:rsidRPr="00B55BCC">
        <w:t>.</w:t>
      </w:r>
    </w:p>
    <w:p w14:paraId="72BAB534" w14:textId="2AE6CB03" w:rsidR="00EF0ED2" w:rsidRDefault="00B55BCC" w:rsidP="00B55BCC">
      <w:pPr>
        <w:pStyle w:val="SingleTxtG"/>
      </w:pPr>
      <w:r w:rsidRPr="00B55BCC">
        <w:t>13.</w:t>
      </w:r>
      <w:r w:rsidRPr="00B55BCC">
        <w:tab/>
      </w:r>
      <w:r w:rsidR="00EF0ED2" w:rsidRPr="00B55BCC">
        <w:t>Armenia has a motorized vehicle fleet for road transport of about 0.6 million cars and 0.8 million when counting all road vehicles (cars, trucks, buses and powered 2-wheelers), according to the data coll</w:t>
      </w:r>
      <w:r w:rsidR="00EF0ED2">
        <w:t xml:space="preserve">ected by the consultant (Figure </w:t>
      </w:r>
      <w:r w:rsidR="004A63D5">
        <w:t>4</w:t>
      </w:r>
      <w:r w:rsidR="00EF0ED2">
        <w:t xml:space="preserve">). The statistics provided tend to indicate that registrations database does not take vehicle deregistration, vehicle exports, scrapping into account, as fleet annual increase per vehicle type equals new registrations. </w:t>
      </w:r>
    </w:p>
    <w:p w14:paraId="22B5D861" w14:textId="29F40DFB" w:rsidR="00E15059" w:rsidRDefault="00153BF9" w:rsidP="00E15059">
      <w:pPr>
        <w:pStyle w:val="Heading1"/>
      </w:pPr>
      <w:r w:rsidRPr="0016320C">
        <w:t>Figure 4</w:t>
      </w:r>
    </w:p>
    <w:p w14:paraId="4D412949" w14:textId="46D79ACE" w:rsidR="00153BF9" w:rsidRPr="00E15059" w:rsidRDefault="00E15059" w:rsidP="00E15059">
      <w:pPr>
        <w:pStyle w:val="Heading1"/>
        <w:rPr>
          <w:b/>
          <w:bCs/>
        </w:rPr>
      </w:pPr>
      <w:r w:rsidRPr="00E15059">
        <w:rPr>
          <w:b/>
          <w:bCs/>
        </w:rPr>
        <w:t>R</w:t>
      </w:r>
      <w:r w:rsidR="00153BF9" w:rsidRPr="00E15059">
        <w:rPr>
          <w:b/>
          <w:bCs/>
        </w:rPr>
        <w:t>oad vehicle fleet in Armenia, 2012–2020, million</w:t>
      </w:r>
    </w:p>
    <w:p w14:paraId="534C0390" w14:textId="77777777" w:rsidR="00153BF9" w:rsidRPr="00153BF9" w:rsidRDefault="00153BF9" w:rsidP="004C5A99">
      <w:pPr>
        <w:pStyle w:val="ListParagraph"/>
        <w:keepNext/>
        <w:keepLines/>
        <w:ind w:left="993" w:right="108"/>
      </w:pPr>
      <w:r w:rsidRPr="00FB172E">
        <w:rPr>
          <w:noProof/>
        </w:rPr>
        <w:drawing>
          <wp:inline distT="0" distB="0" distL="0" distR="0" wp14:anchorId="26317E43" wp14:editId="53C586BD">
            <wp:extent cx="4799965" cy="2159635"/>
            <wp:effectExtent l="0" t="0" r="635" b="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9965" cy="2159635"/>
                    </a:xfrm>
                    <a:prstGeom prst="rect">
                      <a:avLst/>
                    </a:prstGeom>
                    <a:noFill/>
                    <a:ln>
                      <a:noFill/>
                    </a:ln>
                  </pic:spPr>
                </pic:pic>
              </a:graphicData>
            </a:graphic>
          </wp:inline>
        </w:drawing>
      </w:r>
    </w:p>
    <w:p w14:paraId="7EEE70B8" w14:textId="6AA3D9C8" w:rsidR="009368EC" w:rsidRDefault="00B55BCC" w:rsidP="00B55BCC">
      <w:pPr>
        <w:pStyle w:val="SingleTxtG"/>
      </w:pPr>
      <w:r>
        <w:t>14.</w:t>
      </w:r>
      <w:r>
        <w:tab/>
      </w:r>
      <w:r w:rsidR="00EF0ED2">
        <w:t>The Armenian vehicle fleet is relying heavily on compressed natural gas to power its vehicles</w:t>
      </w:r>
      <w:r w:rsidR="00D8196C">
        <w:t xml:space="preserve"> (Figure 5)</w:t>
      </w:r>
      <w:r w:rsidR="00EF0ED2">
        <w:t>, because of better affordability of this energy type. Armenia has no production of natural gas in the country and relies on imports from neighbouring countries. To make sure natural gas are safe to use on open roads, ECE offers harmonized methodologies to test the safety of natural gas vehicles, whether as original equipment in new vehicles or as retrofit kits</w:t>
      </w:r>
      <w:r w:rsidR="0067137D">
        <w:t>.</w:t>
      </w:r>
    </w:p>
    <w:p w14:paraId="21D98928" w14:textId="1F5D150F" w:rsidR="00E15059" w:rsidRDefault="0016320C" w:rsidP="00E15059">
      <w:pPr>
        <w:pStyle w:val="Heading1"/>
      </w:pPr>
      <w:r w:rsidRPr="0016320C">
        <w:t xml:space="preserve">Figure </w:t>
      </w:r>
      <w:r>
        <w:t>5</w:t>
      </w:r>
    </w:p>
    <w:p w14:paraId="21EC434C" w14:textId="4C70E3A2" w:rsidR="0016320C" w:rsidRPr="00E15059" w:rsidRDefault="0016320C" w:rsidP="00E15059">
      <w:pPr>
        <w:pStyle w:val="Heading1"/>
        <w:rPr>
          <w:b/>
          <w:bCs/>
        </w:rPr>
      </w:pPr>
      <w:r w:rsidRPr="00E15059">
        <w:rPr>
          <w:b/>
          <w:bCs/>
        </w:rPr>
        <w:t>Energy used in road transport in Armenia, 2019</w:t>
      </w:r>
    </w:p>
    <w:p w14:paraId="134632C3" w14:textId="2CD91311" w:rsidR="0016320C" w:rsidRDefault="003E6C83" w:rsidP="003620B8">
      <w:pPr>
        <w:pStyle w:val="ListParagraph"/>
        <w:ind w:left="1134" w:right="106"/>
      </w:pPr>
      <w:r>
        <w:rPr>
          <w:noProof/>
        </w:rPr>
        <w:drawing>
          <wp:inline distT="0" distB="0" distL="0" distR="0" wp14:anchorId="1EBD2E99" wp14:editId="5AB158A1">
            <wp:extent cx="4572000" cy="2743200"/>
            <wp:effectExtent l="0" t="0" r="0" b="0"/>
            <wp:docPr id="1" name="Chart 1">
              <a:extLst xmlns:a="http://schemas.openxmlformats.org/drawingml/2006/main">
                <a:ext uri="{FF2B5EF4-FFF2-40B4-BE49-F238E27FC236}">
                  <a16:creationId xmlns:a16="http://schemas.microsoft.com/office/drawing/2014/main" id="{1B209C38-2709-461C-A5CB-80A1EFB14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FE2FEB" w14:textId="30CAAEE2" w:rsidR="003E6C83" w:rsidRPr="00B55BCC" w:rsidRDefault="00B55BCC" w:rsidP="00B55BCC">
      <w:pPr>
        <w:pStyle w:val="SingleTxtG"/>
      </w:pPr>
      <w:r>
        <w:lastRenderedPageBreak/>
        <w:t>15.</w:t>
      </w:r>
      <w:r>
        <w:tab/>
      </w:r>
      <w:r w:rsidR="00833608" w:rsidRPr="00FB172E">
        <w:t xml:space="preserve">The Model has been calibrated to the extent possible for year 2019 and 2020 to match energy (gasoline, diesel, natural gas and electricity) used by the road and rail sectors, according to the IEA World Energy </w:t>
      </w:r>
      <w:r w:rsidR="00833608" w:rsidRPr="00B55BCC">
        <w:t>Balances</w:t>
      </w:r>
      <w:r w:rsidR="00833608" w:rsidRPr="00B6243D">
        <w:rPr>
          <w:rStyle w:val="FootnoteReference"/>
          <w:sz w:val="20"/>
        </w:rPr>
        <w:footnoteReference w:id="3"/>
      </w:r>
      <w:r w:rsidR="00833608" w:rsidRPr="00B55BCC">
        <w:t>. Given how the COVID-19 pandemic has impacted global economy in 2020, year 2019 has been chosen as the baseline year for the projections.</w:t>
      </w:r>
    </w:p>
    <w:p w14:paraId="22C5CBEF" w14:textId="050BCD2B" w:rsidR="003E6C83" w:rsidRDefault="00B55BCC" w:rsidP="00B55BCC">
      <w:pPr>
        <w:pStyle w:val="SingleTxtG"/>
      </w:pPr>
      <w:r w:rsidRPr="00B55BCC">
        <w:t>16.</w:t>
      </w:r>
      <w:r w:rsidRPr="00B55BCC">
        <w:tab/>
      </w:r>
      <w:r w:rsidR="00364F2A" w:rsidRPr="00B55BCC">
        <w:t>In Scenario Reference, traffic activity is expe</w:t>
      </w:r>
      <w:r w:rsidR="00364F2A">
        <w:t>cted to grow by more than 60% between 2019 and 2050 (Figure 6)</w:t>
      </w:r>
    </w:p>
    <w:p w14:paraId="2B1DD690" w14:textId="14E2BDA3" w:rsidR="00E15059" w:rsidRDefault="00364F2A" w:rsidP="00E15059">
      <w:pPr>
        <w:pStyle w:val="Heading1"/>
      </w:pPr>
      <w:bookmarkStart w:id="1" w:name="_Ref408237282"/>
      <w:bookmarkStart w:id="2" w:name="_Ref408237278"/>
      <w:bookmarkStart w:id="3" w:name="_Toc408397919"/>
      <w:bookmarkStart w:id="4" w:name="_Ref417571156"/>
      <w:r w:rsidRPr="00B90A97">
        <w:t xml:space="preserve">Figure </w:t>
      </w:r>
      <w:r w:rsidR="00B90A97" w:rsidRPr="00B90A97">
        <w:t>6</w:t>
      </w:r>
      <w:bookmarkEnd w:id="1"/>
    </w:p>
    <w:p w14:paraId="6362AE4B" w14:textId="19BEDA9C" w:rsidR="00364F2A" w:rsidRPr="00E15059" w:rsidRDefault="00E15059" w:rsidP="00E15059">
      <w:pPr>
        <w:pStyle w:val="Heading1"/>
        <w:rPr>
          <w:b/>
          <w:bCs/>
        </w:rPr>
      </w:pPr>
      <w:r w:rsidRPr="00E15059">
        <w:rPr>
          <w:b/>
          <w:bCs/>
        </w:rPr>
        <w:t>T</w:t>
      </w:r>
      <w:r w:rsidR="00364F2A" w:rsidRPr="00E15059">
        <w:rPr>
          <w:b/>
          <w:bCs/>
        </w:rPr>
        <w:t xml:space="preserve">raffic activity by mode </w:t>
      </w:r>
      <w:bookmarkEnd w:id="2"/>
      <w:r w:rsidR="00364F2A" w:rsidRPr="00E15059">
        <w:rPr>
          <w:b/>
          <w:bCs/>
        </w:rPr>
        <w:t>under reference scenario, 20</w:t>
      </w:r>
      <w:bookmarkEnd w:id="3"/>
      <w:r w:rsidR="00364F2A" w:rsidRPr="00E15059">
        <w:rPr>
          <w:b/>
          <w:bCs/>
        </w:rPr>
        <w:t>20–20</w:t>
      </w:r>
      <w:bookmarkEnd w:id="4"/>
      <w:r w:rsidR="00364F2A" w:rsidRPr="00E15059">
        <w:rPr>
          <w:b/>
          <w:bCs/>
        </w:rPr>
        <w:t>50, Million vehicle.km/year</w:t>
      </w:r>
    </w:p>
    <w:p w14:paraId="3BAC70D8" w14:textId="77777777" w:rsidR="00364F2A" w:rsidRPr="00364F2A" w:rsidRDefault="00364F2A" w:rsidP="003620B8">
      <w:pPr>
        <w:pStyle w:val="ListParagraph"/>
        <w:spacing w:before="120" w:after="120"/>
        <w:ind w:left="1134" w:right="106"/>
      </w:pPr>
      <w:r w:rsidRPr="00FB172E">
        <w:rPr>
          <w:noProof/>
        </w:rPr>
        <w:drawing>
          <wp:inline distT="0" distB="0" distL="0" distR="0" wp14:anchorId="6171EE3A" wp14:editId="6ACD0627">
            <wp:extent cx="5403215" cy="2696210"/>
            <wp:effectExtent l="0" t="0" r="6985" b="889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3215" cy="2696210"/>
                    </a:xfrm>
                    <a:prstGeom prst="rect">
                      <a:avLst/>
                    </a:prstGeom>
                    <a:noFill/>
                    <a:ln>
                      <a:noFill/>
                    </a:ln>
                  </pic:spPr>
                </pic:pic>
              </a:graphicData>
            </a:graphic>
          </wp:inline>
        </w:drawing>
      </w:r>
    </w:p>
    <w:p w14:paraId="6657B182" w14:textId="0B8EEC4C" w:rsidR="00DE447B" w:rsidRPr="00B55BCC" w:rsidRDefault="00B55BCC" w:rsidP="00B55BCC">
      <w:pPr>
        <w:pStyle w:val="SingleTxtG"/>
      </w:pPr>
      <w:r>
        <w:t>17.</w:t>
      </w:r>
      <w:r>
        <w:tab/>
      </w:r>
      <w:r w:rsidR="00DE447B">
        <w:t xml:space="preserve">In the Scenario ASI, overall CO2 emissions are reduced by more than 44 per cent compared to the Scenario Reference in 2050 and decrease by around 26 per cent compared with 2020 (Figure 7). The passenger transport sector is expected to contribute more to the GHG emissions reduction potential, with Freight emissions stagnating in Scenario ASI between 2020 and 2050. Freight sector is often seen as harder to abate than passenger, and in </w:t>
      </w:r>
      <w:r w:rsidR="00DE447B" w:rsidRPr="00B55BCC">
        <w:t>Armenia, it has a bigger growth potential than passenger transport (as Armenia population is not expected to grow significantly, a major driver of passenger transport demand).</w:t>
      </w:r>
    </w:p>
    <w:p w14:paraId="4FBB66C7" w14:textId="69480905" w:rsidR="00364F2A" w:rsidRDefault="00B55BCC" w:rsidP="00B55BCC">
      <w:pPr>
        <w:pStyle w:val="SingleTxtG"/>
      </w:pPr>
      <w:r w:rsidRPr="00B55BCC">
        <w:t>18.</w:t>
      </w:r>
      <w:r w:rsidRPr="00B55BCC">
        <w:tab/>
      </w:r>
      <w:r w:rsidR="00DE447B" w:rsidRPr="00B55BCC">
        <w:t>Switching from road to rail in the freight sector has been identified as offering a higher potential than improving road freight efficiency and energy use of the road freight sector. For passenger transport, high potential</w:t>
      </w:r>
      <w:r w:rsidR="00DE447B">
        <w:t xml:space="preserve"> to reduce emissions by improving fuel economy and switching to e-mobility would be as important as shifting towards more efficient modes of transport. Technical and financial policies all have a role to play top drive down GHG emissions from transport while still allowing free movements of goods and people.</w:t>
      </w:r>
    </w:p>
    <w:p w14:paraId="58C41AFB" w14:textId="6BC9BB07" w:rsidR="00E15059" w:rsidRDefault="00B1365A" w:rsidP="003620B8">
      <w:pPr>
        <w:pStyle w:val="Heading1"/>
        <w:pageBreakBefore/>
      </w:pPr>
      <w:r w:rsidRPr="00FB172E">
        <w:lastRenderedPageBreak/>
        <w:t xml:space="preserve">Figure </w:t>
      </w:r>
      <w:r>
        <w:t>7</w:t>
      </w:r>
    </w:p>
    <w:p w14:paraId="0F6402E1" w14:textId="7AA64C25" w:rsidR="00B1365A" w:rsidRPr="00E15059" w:rsidRDefault="00B1365A" w:rsidP="00E15059">
      <w:pPr>
        <w:pStyle w:val="Heading1"/>
        <w:rPr>
          <w:b/>
          <w:bCs/>
        </w:rPr>
      </w:pPr>
      <w:r w:rsidRPr="00E15059">
        <w:rPr>
          <w:b/>
          <w:bCs/>
          <w:i/>
          <w:iCs/>
        </w:rPr>
        <w:t>WTW</w:t>
      </w:r>
      <w:r w:rsidRPr="00E15059">
        <w:rPr>
          <w:b/>
          <w:bCs/>
        </w:rPr>
        <w:t xml:space="preserve"> CO</w:t>
      </w:r>
      <w:r w:rsidRPr="00E15059">
        <w:rPr>
          <w:b/>
          <w:bCs/>
          <w:vertAlign w:val="subscript"/>
        </w:rPr>
        <w:t>2</w:t>
      </w:r>
      <w:r w:rsidRPr="00E15059">
        <w:rPr>
          <w:b/>
          <w:bCs/>
        </w:rPr>
        <w:t xml:space="preserve"> emissions by mode, all scenarios in 2050, MtCO</w:t>
      </w:r>
      <w:r w:rsidRPr="00E15059">
        <w:rPr>
          <w:b/>
          <w:bCs/>
          <w:vertAlign w:val="subscript"/>
        </w:rPr>
        <w:t>2</w:t>
      </w:r>
    </w:p>
    <w:p w14:paraId="0ACF188E" w14:textId="77777777" w:rsidR="00B1365A" w:rsidRPr="00FB172E" w:rsidRDefault="00B1365A" w:rsidP="00B1365A">
      <w:pPr>
        <w:keepNext/>
        <w:ind w:right="106"/>
        <w:rPr>
          <w:szCs w:val="22"/>
        </w:rPr>
      </w:pPr>
    </w:p>
    <w:p w14:paraId="45EDB682" w14:textId="77777777" w:rsidR="00B1365A" w:rsidRPr="00FB172E" w:rsidRDefault="00B1365A" w:rsidP="00B1365A">
      <w:pPr>
        <w:ind w:right="106"/>
        <w:jc w:val="center"/>
        <w:rPr>
          <w:szCs w:val="22"/>
        </w:rPr>
      </w:pPr>
      <w:r w:rsidRPr="00FB172E">
        <w:rPr>
          <w:noProof/>
          <w:lang w:eastAsia="en-GB"/>
        </w:rPr>
        <w:drawing>
          <wp:inline distT="0" distB="0" distL="0" distR="0" wp14:anchorId="4B7F7889" wp14:editId="743FFB67">
            <wp:extent cx="4683125" cy="2159635"/>
            <wp:effectExtent l="0" t="0" r="3175" b="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3125" cy="2159635"/>
                    </a:xfrm>
                    <a:prstGeom prst="rect">
                      <a:avLst/>
                    </a:prstGeom>
                    <a:noFill/>
                    <a:ln>
                      <a:noFill/>
                    </a:ln>
                  </pic:spPr>
                </pic:pic>
              </a:graphicData>
            </a:graphic>
          </wp:inline>
        </w:drawing>
      </w:r>
    </w:p>
    <w:p w14:paraId="2FA8B019" w14:textId="1B1122BA" w:rsidR="00EC54AC" w:rsidRDefault="00EC54AC" w:rsidP="00EC54AC">
      <w:pPr>
        <w:pStyle w:val="H1G"/>
      </w:pPr>
      <w:r>
        <w:tab/>
        <w:t>C</w:t>
      </w:r>
      <w:r w:rsidRPr="007B76EA">
        <w:t>.</w:t>
      </w:r>
      <w:r w:rsidRPr="007B76EA">
        <w:tab/>
      </w:r>
      <w:r w:rsidR="00A06B32">
        <w:t>Car Pooling / Car Sharing in Central Asia</w:t>
      </w:r>
    </w:p>
    <w:p w14:paraId="27A35C4B" w14:textId="5079BCAD" w:rsidR="00BD312A" w:rsidRPr="00B55BCC" w:rsidRDefault="00B55BCC" w:rsidP="00B55BCC">
      <w:pPr>
        <w:pStyle w:val="SingleTxtG"/>
      </w:pPr>
      <w:r>
        <w:t>19.</w:t>
      </w:r>
      <w:r>
        <w:tab/>
      </w:r>
      <w:r w:rsidR="009508EB">
        <w:t xml:space="preserve">A </w:t>
      </w:r>
      <w:proofErr w:type="spellStart"/>
      <w:r w:rsidR="004B6326">
        <w:t>ForFIT</w:t>
      </w:r>
      <w:r w:rsidR="007873CE">
        <w:t>S</w:t>
      </w:r>
      <w:proofErr w:type="spellEnd"/>
      <w:r w:rsidR="009508EB">
        <w:t xml:space="preserve"> analysis has been developed for </w:t>
      </w:r>
      <w:r w:rsidR="009508EB" w:rsidRPr="00B55BCC">
        <w:t xml:space="preserve">a project from the ECE transport </w:t>
      </w:r>
      <w:proofErr w:type="spellStart"/>
      <w:r w:rsidR="009508EB" w:rsidRPr="00B55BCC">
        <w:t>dvision</w:t>
      </w:r>
      <w:proofErr w:type="spellEnd"/>
      <w:r w:rsidR="009508EB" w:rsidRPr="00B55BCC">
        <w:t xml:space="preserve"> </w:t>
      </w:r>
      <w:r w:rsidR="008221B9" w:rsidRPr="00B55BCC">
        <w:t xml:space="preserve">which is aiming at </w:t>
      </w:r>
      <w:r w:rsidR="00BD312A" w:rsidRPr="00B55BCC">
        <w:t>strengthening the capacity of Central Asian countries to develop sustainable urban mobility policy on car sharing and carpooling initiatives.</w:t>
      </w:r>
    </w:p>
    <w:p w14:paraId="382C9791" w14:textId="21D70223" w:rsidR="0042501B" w:rsidRPr="00B55BCC" w:rsidRDefault="00B55BCC" w:rsidP="00B55BCC">
      <w:pPr>
        <w:pStyle w:val="SingleTxtG"/>
      </w:pPr>
      <w:r w:rsidRPr="00B55BCC">
        <w:t>20.</w:t>
      </w:r>
      <w:r w:rsidRPr="00B55BCC">
        <w:tab/>
      </w:r>
      <w:r w:rsidR="009348DF" w:rsidRPr="00B55BCC">
        <w:t>The project looks at both the national scale</w:t>
      </w:r>
      <w:r w:rsidR="00714AEC" w:rsidRPr="00B55BCC">
        <w:t xml:space="preserve"> for Kazakhstan, Kyrgyzstan and , Tajikistan</w:t>
      </w:r>
      <w:r w:rsidR="009348DF" w:rsidRPr="00B55BCC">
        <w:t xml:space="preserve"> and the urban level</w:t>
      </w:r>
      <w:r w:rsidR="00714AEC" w:rsidRPr="00B55BCC">
        <w:t xml:space="preserve"> </w:t>
      </w:r>
      <w:r w:rsidR="00F11001" w:rsidRPr="00B55BCC">
        <w:t xml:space="preserve">for the cities of Bishkek, Nur-Sultan and Dushanbe. </w:t>
      </w:r>
      <w:r w:rsidR="00215CB5" w:rsidRPr="00B55BCC">
        <w:t>Very limited data were collected f</w:t>
      </w:r>
      <w:r w:rsidR="0058795D" w:rsidRPr="00B55BCC">
        <w:t>o</w:t>
      </w:r>
      <w:r w:rsidR="00215CB5" w:rsidRPr="00B55BCC">
        <w:t>r this project</w:t>
      </w:r>
      <w:r w:rsidR="00BD312A" w:rsidRPr="00B55BCC">
        <w:t xml:space="preserve"> </w:t>
      </w:r>
      <w:r w:rsidR="0058795D" w:rsidRPr="00B55BCC">
        <w:t xml:space="preserve">and </w:t>
      </w:r>
      <w:r w:rsidR="0042501B" w:rsidRPr="00B55BCC">
        <w:t xml:space="preserve">activities are still </w:t>
      </w:r>
      <w:r w:rsidR="0058795D" w:rsidRPr="00B55BCC">
        <w:t xml:space="preserve">on-going </w:t>
      </w:r>
      <w:r w:rsidR="0042501B" w:rsidRPr="00B55BCC">
        <w:t>with local consultants to try and identify more data sources to fine-tune the deliverables.</w:t>
      </w:r>
    </w:p>
    <w:p w14:paraId="4F147FBE" w14:textId="7012F1E6" w:rsidR="00B30B74" w:rsidRPr="00B55BCC" w:rsidRDefault="00B55BCC" w:rsidP="00B55BCC">
      <w:pPr>
        <w:pStyle w:val="SingleTxtG"/>
      </w:pPr>
      <w:r w:rsidRPr="00B55BCC">
        <w:t>21.</w:t>
      </w:r>
      <w:r w:rsidRPr="00B55BCC">
        <w:tab/>
      </w:r>
      <w:r w:rsidR="00CE0E5F" w:rsidRPr="00B55BCC">
        <w:t xml:space="preserve">The </w:t>
      </w:r>
      <w:proofErr w:type="spellStart"/>
      <w:r w:rsidR="00CE0E5F" w:rsidRPr="00B55BCC">
        <w:t>ForFITS</w:t>
      </w:r>
      <w:proofErr w:type="spellEnd"/>
      <w:r w:rsidR="00CE0E5F" w:rsidRPr="00B55BCC">
        <w:t xml:space="preserve"> analysis aims at </w:t>
      </w:r>
      <w:r w:rsidR="00B30B74" w:rsidRPr="00B55BCC">
        <w:t xml:space="preserve">quantifying the potential impact of car-sharing and car-pooling schemes </w:t>
      </w:r>
      <w:r w:rsidR="00244AE1" w:rsidRPr="00B55BCC">
        <w:t xml:space="preserve">on GHG emissions. </w:t>
      </w:r>
      <w:r w:rsidR="00A64103" w:rsidRPr="00B55BCC">
        <w:t xml:space="preserve">The analysis looked at the potential impact of car </w:t>
      </w:r>
      <w:r w:rsidR="001C37B0" w:rsidRPr="00B55BCC">
        <w:t>sharing</w:t>
      </w:r>
      <w:r w:rsidR="00A64103" w:rsidRPr="00B55BCC">
        <w:t xml:space="preserve"> and car</w:t>
      </w:r>
      <w:r w:rsidR="001C37B0" w:rsidRPr="00B55BCC">
        <w:t>-</w:t>
      </w:r>
      <w:r w:rsidR="00A64103" w:rsidRPr="00B55BCC">
        <w:t xml:space="preserve">pooling </w:t>
      </w:r>
      <w:r w:rsidR="001C37B0" w:rsidRPr="00B55BCC">
        <w:t>scheme</w:t>
      </w:r>
      <w:r w:rsidR="00A64103" w:rsidRPr="00B55BCC">
        <w:t xml:space="preserve"> separately before </w:t>
      </w:r>
      <w:r w:rsidR="001C37B0" w:rsidRPr="00B55BCC">
        <w:t>putting forward recommendations for the target countries and cities.</w:t>
      </w:r>
    </w:p>
    <w:p w14:paraId="7318845A" w14:textId="21CA7C65" w:rsidR="001C37B0" w:rsidRDefault="00B55BCC" w:rsidP="00B55BCC">
      <w:pPr>
        <w:pStyle w:val="SingleTxtG"/>
      </w:pPr>
      <w:r w:rsidRPr="00B55BCC">
        <w:t>22.</w:t>
      </w:r>
      <w:r w:rsidRPr="00B55BCC">
        <w:tab/>
      </w:r>
      <w:r w:rsidR="004F73CF" w:rsidRPr="00B55BCC">
        <w:t>Car Sharing</w:t>
      </w:r>
      <w:r w:rsidR="00F96FF9" w:rsidRPr="00B55BCC">
        <w:t xml:space="preserve"> schemes</w:t>
      </w:r>
      <w:r w:rsidR="00F70408" w:rsidRPr="00B55BCC">
        <w:t xml:space="preserve">, </w:t>
      </w:r>
      <w:r w:rsidR="00F96FF9" w:rsidRPr="00B55BCC">
        <w:t>predominantly</w:t>
      </w:r>
      <w:r w:rsidR="00F70408" w:rsidRPr="00B55BCC">
        <w:t xml:space="preserve"> deployed in </w:t>
      </w:r>
      <w:r w:rsidR="00F96FF9" w:rsidRPr="00B55BCC">
        <w:t>cities</w:t>
      </w:r>
      <w:r w:rsidR="00F70408" w:rsidRPr="00B55BCC">
        <w:t xml:space="preserve"> or </w:t>
      </w:r>
      <w:r w:rsidR="00F96FF9" w:rsidRPr="00B55BCC">
        <w:t>metropolitan</w:t>
      </w:r>
      <w:r w:rsidR="00F70408" w:rsidRPr="00B55BCC">
        <w:t xml:space="preserve"> areas</w:t>
      </w:r>
      <w:r w:rsidR="00F96FF9" w:rsidRPr="00B55BCC">
        <w:t xml:space="preserve">, </w:t>
      </w:r>
      <w:r w:rsidR="004F73CF" w:rsidRPr="00B55BCC">
        <w:t xml:space="preserve"> are expected to reduce annual transport related </w:t>
      </w:r>
      <w:r w:rsidR="00C3622D" w:rsidRPr="00B55BCC">
        <w:t>GHG emissions for</w:t>
      </w:r>
      <w:r w:rsidR="00C3622D">
        <w:t xml:space="preserve"> car owners by around </w:t>
      </w:r>
      <w:r w:rsidR="00F00373">
        <w:t xml:space="preserve">20 </w:t>
      </w:r>
      <w:r w:rsidR="00C3622D">
        <w:t xml:space="preserve">% by decreasing the reliance on </w:t>
      </w:r>
      <w:r w:rsidR="00F00373">
        <w:t>individual car trips</w:t>
      </w:r>
      <w:r w:rsidR="00305707">
        <w:t xml:space="preserve"> (Figure </w:t>
      </w:r>
      <w:r w:rsidR="003E6834">
        <w:t>8)</w:t>
      </w:r>
      <w:r w:rsidR="00F00373">
        <w:t>, and is some occasion se</w:t>
      </w:r>
      <w:r w:rsidR="00305707">
        <w:t>l</w:t>
      </w:r>
      <w:r w:rsidR="00F00373">
        <w:t>ling their indivi</w:t>
      </w:r>
      <w:r w:rsidR="00305707">
        <w:t>du</w:t>
      </w:r>
      <w:r w:rsidR="00F00373">
        <w:t>al car</w:t>
      </w:r>
      <w:r w:rsidR="00305707">
        <w:t xml:space="preserve"> after subscribing to the car sharing scheme.</w:t>
      </w:r>
    </w:p>
    <w:p w14:paraId="256D633E" w14:textId="66D4BFEB" w:rsidR="00E15059" w:rsidRDefault="00A0262C" w:rsidP="00E15059">
      <w:pPr>
        <w:pStyle w:val="Heading1"/>
      </w:pPr>
      <w:r w:rsidRPr="00B90A97">
        <w:t xml:space="preserve">Figure </w:t>
      </w:r>
      <w:r>
        <w:t>8</w:t>
      </w:r>
    </w:p>
    <w:p w14:paraId="6E274ED0" w14:textId="5182E3E3" w:rsidR="00A0262C" w:rsidRPr="00E15059" w:rsidRDefault="00134EB5" w:rsidP="00E15059">
      <w:pPr>
        <w:pStyle w:val="Heading1"/>
        <w:rPr>
          <w:b/>
          <w:bCs/>
        </w:rPr>
      </w:pPr>
      <w:r w:rsidRPr="00E15059">
        <w:rPr>
          <w:b/>
          <w:bCs/>
        </w:rPr>
        <w:t>CO</w:t>
      </w:r>
      <w:r w:rsidRPr="00E15059">
        <w:rPr>
          <w:b/>
          <w:bCs/>
          <w:vertAlign w:val="subscript"/>
        </w:rPr>
        <w:t>2</w:t>
      </w:r>
      <w:r w:rsidRPr="00E15059">
        <w:rPr>
          <w:b/>
          <w:bCs/>
        </w:rPr>
        <w:t xml:space="preserve"> emission from transportation of average household before and after subscribing to car sharing scheme</w:t>
      </w:r>
      <w:r w:rsidR="00D6417C" w:rsidRPr="00E15059">
        <w:rPr>
          <w:b/>
          <w:bCs/>
        </w:rPr>
        <w:t xml:space="preserve"> – Car owners</w:t>
      </w:r>
    </w:p>
    <w:p w14:paraId="068B0227" w14:textId="1DDE341D" w:rsidR="00A0262C" w:rsidRDefault="00A0262C" w:rsidP="00E15059">
      <w:pPr>
        <w:pStyle w:val="SingleTxtG"/>
      </w:pPr>
      <w:r>
        <w:rPr>
          <w:noProof/>
        </w:rPr>
        <w:drawing>
          <wp:inline distT="0" distB="0" distL="0" distR="0" wp14:anchorId="7081FADF" wp14:editId="45824202">
            <wp:extent cx="4572000" cy="2743200"/>
            <wp:effectExtent l="0" t="0" r="0" b="0"/>
            <wp:docPr id="3" name="Chart 3">
              <a:extLst xmlns:a="http://schemas.openxmlformats.org/drawingml/2006/main">
                <a:ext uri="{FF2B5EF4-FFF2-40B4-BE49-F238E27FC236}">
                  <a16:creationId xmlns:a16="http://schemas.microsoft.com/office/drawing/2014/main" id="{20C368B6-AA25-4B65-943E-04D6780798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45704A" w14:textId="0F0083BC" w:rsidR="003E6834" w:rsidRDefault="00B55BCC" w:rsidP="00B55BCC">
      <w:pPr>
        <w:pStyle w:val="SingleTxtG"/>
      </w:pPr>
      <w:r>
        <w:lastRenderedPageBreak/>
        <w:t>23.</w:t>
      </w:r>
      <w:r>
        <w:tab/>
      </w:r>
      <w:r w:rsidR="003E6834">
        <w:t xml:space="preserve">For </w:t>
      </w:r>
      <w:proofErr w:type="spellStart"/>
      <w:r w:rsidR="003E6834">
        <w:t>non car</w:t>
      </w:r>
      <w:proofErr w:type="spellEnd"/>
      <w:r w:rsidR="003E6834">
        <w:t xml:space="preserve">-owners, the effect is expected to be the opposite, with access to car-sharing </w:t>
      </w:r>
      <w:r w:rsidR="0009332D">
        <w:t>schemes</w:t>
      </w:r>
      <w:r w:rsidR="003E6834">
        <w:t xml:space="preserve"> increasing their annual GHG emissions for transport activities by </w:t>
      </w:r>
      <w:r w:rsidR="00975723">
        <w:t xml:space="preserve">around 20% (Figure 9). Indeed, a car sharing scheme would increase access to mobility services, and the </w:t>
      </w:r>
      <w:r w:rsidR="0009332D">
        <w:t xml:space="preserve">shared would become </w:t>
      </w:r>
      <w:r w:rsidR="0009332D" w:rsidRPr="00B55BCC">
        <w:t>the</w:t>
      </w:r>
      <w:r w:rsidR="0009332D">
        <w:t xml:space="preserve"> most carbon intensive mode of transport compared with modes used before subscribing to car sharing scheme.</w:t>
      </w:r>
    </w:p>
    <w:p w14:paraId="702152E7" w14:textId="5AB9AAB8" w:rsidR="00E15059" w:rsidRDefault="008E07D5" w:rsidP="00E15059">
      <w:pPr>
        <w:pStyle w:val="Heading1"/>
        <w:keepNext/>
        <w:keepLines/>
      </w:pPr>
      <w:r w:rsidRPr="00B90A97">
        <w:t xml:space="preserve">Figure </w:t>
      </w:r>
      <w:r>
        <w:t>9</w:t>
      </w:r>
    </w:p>
    <w:p w14:paraId="42DD7FED" w14:textId="0F880480" w:rsidR="008E07D5" w:rsidRPr="00E15059" w:rsidRDefault="008E07D5" w:rsidP="00E15059">
      <w:pPr>
        <w:pStyle w:val="Heading1"/>
        <w:keepNext/>
        <w:keepLines/>
        <w:rPr>
          <w:b/>
          <w:bCs/>
        </w:rPr>
      </w:pPr>
      <w:r w:rsidRPr="00E15059">
        <w:rPr>
          <w:b/>
          <w:bCs/>
        </w:rPr>
        <w:t>CO</w:t>
      </w:r>
      <w:r w:rsidRPr="00E15059">
        <w:rPr>
          <w:b/>
          <w:bCs/>
          <w:vertAlign w:val="subscript"/>
        </w:rPr>
        <w:t>2</w:t>
      </w:r>
      <w:r w:rsidRPr="00E15059">
        <w:rPr>
          <w:b/>
          <w:bCs/>
        </w:rPr>
        <w:t xml:space="preserve"> emission from transportation of average household before and after subscribing to car sharing scheme</w:t>
      </w:r>
      <w:r w:rsidR="00D6417C" w:rsidRPr="00E15059">
        <w:rPr>
          <w:b/>
          <w:bCs/>
        </w:rPr>
        <w:t xml:space="preserve"> – Non car owners</w:t>
      </w:r>
    </w:p>
    <w:p w14:paraId="2A922DE5" w14:textId="26617192" w:rsidR="00E71914" w:rsidRDefault="008E07D5" w:rsidP="00E15059">
      <w:pPr>
        <w:pStyle w:val="SingleTxtG"/>
        <w:keepNext/>
        <w:keepLines/>
      </w:pPr>
      <w:r>
        <w:rPr>
          <w:noProof/>
        </w:rPr>
        <w:drawing>
          <wp:inline distT="0" distB="0" distL="0" distR="0" wp14:anchorId="034EA2A5" wp14:editId="7AC234AF">
            <wp:extent cx="4572000" cy="2743200"/>
            <wp:effectExtent l="0" t="0" r="0" b="0"/>
            <wp:docPr id="7" name="Chart 7">
              <a:extLst xmlns:a="http://schemas.openxmlformats.org/drawingml/2006/main">
                <a:ext uri="{FF2B5EF4-FFF2-40B4-BE49-F238E27FC236}">
                  <a16:creationId xmlns:a16="http://schemas.microsoft.com/office/drawing/2014/main" id="{AC6864BC-97C7-42ED-B606-767C7BE233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16F5A0" w14:textId="556496F8" w:rsidR="00EC54AC" w:rsidRPr="00B55BCC" w:rsidRDefault="00B55BCC" w:rsidP="00B55BCC">
      <w:pPr>
        <w:pStyle w:val="SingleTxtG"/>
      </w:pPr>
      <w:r>
        <w:t>24.</w:t>
      </w:r>
      <w:r>
        <w:tab/>
      </w:r>
      <w:r w:rsidR="00CF3CDE">
        <w:t>Car-pooling</w:t>
      </w:r>
      <w:r w:rsidR="00F96FF9">
        <w:t xml:space="preserve"> </w:t>
      </w:r>
      <w:r w:rsidR="00CD5E00">
        <w:t>schemes</w:t>
      </w:r>
      <w:r w:rsidR="00F96FF9">
        <w:t>,</w:t>
      </w:r>
      <w:r w:rsidR="00141FDD">
        <w:t xml:space="preserve"> more successfully used for long distance trips</w:t>
      </w:r>
      <w:r w:rsidR="007B2B19">
        <w:t>.</w:t>
      </w:r>
      <w:r w:rsidR="00CD5E00">
        <w:t xml:space="preserve"> </w:t>
      </w:r>
      <w:r w:rsidR="00CD5E00" w:rsidRPr="00CD5E00">
        <w:t xml:space="preserve">Long distance </w:t>
      </w:r>
      <w:r w:rsidR="00CF3CDE" w:rsidRPr="00CD5E00">
        <w:t>car</w:t>
      </w:r>
      <w:r w:rsidR="00CF3CDE">
        <w:t>-</w:t>
      </w:r>
      <w:r w:rsidR="00CF3CDE" w:rsidRPr="00CD5E00">
        <w:t>pooling</w:t>
      </w:r>
      <w:r w:rsidR="00CD5E00" w:rsidRPr="00CD5E00">
        <w:t xml:space="preserve"> has been the most successful to date, with some companies developed globally to propose organized </w:t>
      </w:r>
      <w:r w:rsidR="00CF3CDE" w:rsidRPr="00CD5E00">
        <w:t>car-pooling</w:t>
      </w:r>
      <w:r w:rsidR="00CD5E00" w:rsidRPr="00CD5E00">
        <w:t xml:space="preserve">, by putting drivers and passengers in contact through centralized websites. A recent </w:t>
      </w:r>
      <w:r w:rsidR="00CD5E00" w:rsidRPr="00B55BCC">
        <w:t>study performed in 8 countries where the car</w:t>
      </w:r>
      <w:r w:rsidR="00CF3CDE" w:rsidRPr="00B55BCC">
        <w:t>-</w:t>
      </w:r>
      <w:r w:rsidR="00CD5E00" w:rsidRPr="00B55BCC">
        <w:t>pooling company operate showed that car</w:t>
      </w:r>
      <w:r w:rsidR="00CF3CDE" w:rsidRPr="00B55BCC">
        <w:t>-</w:t>
      </w:r>
      <w:r w:rsidR="00CD5E00" w:rsidRPr="00B55BCC">
        <w:t>pooling decreases CO2 by 30% based on user survey and the alternative mode that would have been chosen if the car</w:t>
      </w:r>
      <w:r w:rsidR="00CF3CDE" w:rsidRPr="00B55BCC">
        <w:t>-</w:t>
      </w:r>
      <w:r w:rsidR="00CD5E00" w:rsidRPr="00B55BCC">
        <w:t>pooling offer would not have been there.</w:t>
      </w:r>
    </w:p>
    <w:p w14:paraId="1F7128AB" w14:textId="7FB4C7DE" w:rsidR="00B93916" w:rsidRPr="00B55BCC" w:rsidRDefault="00B55BCC" w:rsidP="00B55BCC">
      <w:pPr>
        <w:pStyle w:val="SingleTxtG"/>
      </w:pPr>
      <w:r w:rsidRPr="00B55BCC">
        <w:t>25.</w:t>
      </w:r>
      <w:r w:rsidRPr="00B55BCC">
        <w:tab/>
      </w:r>
      <w:r w:rsidR="00B93916" w:rsidRPr="00B55BCC">
        <w:t>Car sharing and car</w:t>
      </w:r>
      <w:r w:rsidR="00CF3CDE" w:rsidRPr="00B55BCC">
        <w:t>-</w:t>
      </w:r>
      <w:r w:rsidR="00B93916" w:rsidRPr="00B55BCC">
        <w:t>pooling would yield higher CO2 benefits in countries where individual car ownership is high and where car sharing /car</w:t>
      </w:r>
      <w:r w:rsidR="00CF3CDE" w:rsidRPr="00B55BCC">
        <w:t>-</w:t>
      </w:r>
      <w:r w:rsidR="00B93916" w:rsidRPr="00B55BCC">
        <w:t xml:space="preserve">pooling schemes would replace individual car trips. </w:t>
      </w:r>
    </w:p>
    <w:p w14:paraId="5331E723" w14:textId="1FA7B418" w:rsidR="00B93916" w:rsidRPr="00B55BCC" w:rsidRDefault="00B55BCC" w:rsidP="00B55BCC">
      <w:pPr>
        <w:pStyle w:val="SingleTxtG"/>
      </w:pPr>
      <w:r w:rsidRPr="00B55BCC">
        <w:t>26.</w:t>
      </w:r>
      <w:r w:rsidRPr="00B55BCC">
        <w:tab/>
      </w:r>
      <w:r w:rsidR="00B93916" w:rsidRPr="00B55BCC">
        <w:t>To maximize potential CO2 emissions reduction benefit, car sharing schemes should preferably target car owners, or household that consider buying a car, in order to provide an incentive to sell (or not replace) or to avoid buying a car, that would yield the highest CO2 emissions reduction. Car sharing schemes are more effective at reducing CO2 emissions in cities, where alter</w:t>
      </w:r>
      <w:r w:rsidR="00CF3CDE" w:rsidRPr="00B55BCC">
        <w:t>n</w:t>
      </w:r>
      <w:r w:rsidR="00B93916" w:rsidRPr="00B55BCC">
        <w:t>ative modes of transport are available.</w:t>
      </w:r>
    </w:p>
    <w:p w14:paraId="4578207E" w14:textId="097D1BFF" w:rsidR="00C716F2" w:rsidRDefault="00B55BCC" w:rsidP="00B55BCC">
      <w:pPr>
        <w:pStyle w:val="SingleTxtG"/>
      </w:pPr>
      <w:r w:rsidRPr="00B55BCC">
        <w:t>27.</w:t>
      </w:r>
      <w:r w:rsidRPr="00B55BCC">
        <w:tab/>
      </w:r>
      <w:r w:rsidR="00B93916" w:rsidRPr="00B55BCC">
        <w:t>Car</w:t>
      </w:r>
      <w:r w:rsidR="00CF3CDE" w:rsidRPr="00B55BCC">
        <w:t>-</w:t>
      </w:r>
      <w:r w:rsidR="00B93916" w:rsidRPr="00B55BCC">
        <w:t xml:space="preserve">pooling schemes should first focus </w:t>
      </w:r>
      <w:r w:rsidR="00CF3CDE" w:rsidRPr="00B55BCC">
        <w:t>o</w:t>
      </w:r>
      <w:r w:rsidR="00B93916" w:rsidRPr="00B55BCC">
        <w:t>n long distance journeys, in between cities, given the higher incentives for both drivers and passengers</w:t>
      </w:r>
      <w:r w:rsidR="00B93916">
        <w:t>, before getting deployed at urban scales</w:t>
      </w:r>
      <w:r w:rsidR="00857D06">
        <w:t>.</w:t>
      </w:r>
    </w:p>
    <w:p w14:paraId="70B794F3" w14:textId="18205472" w:rsidR="00666DE8" w:rsidRDefault="00666DE8" w:rsidP="00666DE8">
      <w:pPr>
        <w:pStyle w:val="HChG"/>
      </w:pPr>
      <w:r>
        <w:tab/>
        <w:t>I</w:t>
      </w:r>
      <w:r w:rsidRPr="007B76EA">
        <w:t>I.</w:t>
      </w:r>
      <w:r w:rsidRPr="007B76EA">
        <w:tab/>
      </w:r>
      <w:r w:rsidR="002E00EA">
        <w:t>Outreach ForFITS activities</w:t>
      </w:r>
    </w:p>
    <w:p w14:paraId="1792558B" w14:textId="28B38189" w:rsidR="009616CB" w:rsidRDefault="00B55BCC" w:rsidP="00B55BCC">
      <w:pPr>
        <w:pStyle w:val="SingleTxtG"/>
      </w:pPr>
      <w:r>
        <w:t>28.</w:t>
      </w:r>
      <w:r>
        <w:tab/>
      </w:r>
      <w:r w:rsidR="009616CB">
        <w:t xml:space="preserve">Following </w:t>
      </w:r>
      <w:r w:rsidR="00B53B88">
        <w:t xml:space="preserve">decision </w:t>
      </w:r>
      <w:r w:rsidR="00B879F8">
        <w:t xml:space="preserve">35 </w:t>
      </w:r>
      <w:r w:rsidR="00B53B88">
        <w:t xml:space="preserve">from </w:t>
      </w:r>
      <w:r w:rsidR="00B879F8">
        <w:t xml:space="preserve">the </w:t>
      </w:r>
      <w:r w:rsidR="00CA6CBA">
        <w:t xml:space="preserve">84th </w:t>
      </w:r>
      <w:r w:rsidR="00CA6CBA" w:rsidRPr="00B55BCC">
        <w:t>session</w:t>
      </w:r>
      <w:r w:rsidR="00CA6CBA">
        <w:t xml:space="preserve"> of  </w:t>
      </w:r>
      <w:r w:rsidR="00B53B88">
        <w:t>ITC</w:t>
      </w:r>
      <w:r w:rsidR="00CA6CBA">
        <w:t>, which “</w:t>
      </w:r>
      <w:r w:rsidR="00F4549D">
        <w:t xml:space="preserve">…supported the proposed approach in order to further develop ForFITS, sustain its use internally, develop partnerships with other modelling groups…”, ForFITS has </w:t>
      </w:r>
      <w:r w:rsidR="00B47035">
        <w:t>reached out t</w:t>
      </w:r>
      <w:r w:rsidR="00D4324C">
        <w:t>o</w:t>
      </w:r>
      <w:r w:rsidR="00B47035">
        <w:t xml:space="preserve"> several stakeholders </w:t>
      </w:r>
      <w:r w:rsidR="00D4324C">
        <w:t xml:space="preserve">to increase joint activities </w:t>
      </w:r>
      <w:r w:rsidR="00056DD2">
        <w:t>in ForFITS related activities</w:t>
      </w:r>
      <w:r w:rsidR="0030047D">
        <w:t>.</w:t>
      </w:r>
    </w:p>
    <w:p w14:paraId="4DDA2F14" w14:textId="61BCC04B" w:rsidR="00666DE8" w:rsidRDefault="00666DE8" w:rsidP="00666DE8">
      <w:pPr>
        <w:pStyle w:val="H1G"/>
      </w:pPr>
      <w:r>
        <w:lastRenderedPageBreak/>
        <w:tab/>
        <w:t>A</w:t>
      </w:r>
      <w:r w:rsidRPr="007B76EA">
        <w:t>.</w:t>
      </w:r>
      <w:r w:rsidRPr="007B76EA">
        <w:tab/>
      </w:r>
      <w:r w:rsidR="00960C10">
        <w:t>UNECE as host of the Transport Data Commons prototype</w:t>
      </w:r>
    </w:p>
    <w:p w14:paraId="6D4CA08C" w14:textId="0BDFEDD3" w:rsidR="00DB1953" w:rsidRPr="00B55BCC" w:rsidRDefault="00B55BCC" w:rsidP="00B55BCC">
      <w:pPr>
        <w:pStyle w:val="SingleTxtG"/>
      </w:pPr>
      <w:r>
        <w:t>29.</w:t>
      </w:r>
      <w:r>
        <w:tab/>
      </w:r>
      <w:r w:rsidR="00DB1953">
        <w:t xml:space="preserve">With current policies in place, the transport sector’s CO2 emissions will grow almost 20% by 2050 according to the International Transport Forum Transport Outlook, and even more in developing countries. Many stakeholders working to mitigate greenhouse gas (GHG) emissions from </w:t>
      </w:r>
      <w:r w:rsidR="00DB1953" w:rsidRPr="00B55BCC">
        <w:t>transport need, use and collect such data but they are not available in a commonly known and accessible place. </w:t>
      </w:r>
    </w:p>
    <w:p w14:paraId="446ECC82" w14:textId="2DB4CB17" w:rsidR="00DB1953" w:rsidRPr="00B55BCC" w:rsidRDefault="00B55BCC" w:rsidP="00B55BCC">
      <w:pPr>
        <w:pStyle w:val="SingleTxtG"/>
      </w:pPr>
      <w:r w:rsidRPr="00B55BCC">
        <w:t>30.</w:t>
      </w:r>
      <w:r w:rsidRPr="00B55BCC">
        <w:tab/>
      </w:r>
      <w:r w:rsidR="00DB1953" w:rsidRPr="00B55BCC">
        <w:t>Since May this year, UNECE and other key stakeholders forming the Transport Data Commons Initiative have been working to create an open data platform to share the existing data on CO2 emissions in the transport sector. On 9 December 2022, UNECE was chosen by the initiative to host a prototype database to be developed by May 2023.  </w:t>
      </w:r>
    </w:p>
    <w:p w14:paraId="64EB73FD" w14:textId="3FE0CA11" w:rsidR="00DB1953" w:rsidRPr="00B55BCC" w:rsidRDefault="00B55BCC" w:rsidP="00B55BCC">
      <w:pPr>
        <w:pStyle w:val="SingleTxtG"/>
      </w:pPr>
      <w:r w:rsidRPr="00B55BCC">
        <w:t>31.</w:t>
      </w:r>
      <w:r w:rsidRPr="00B55BCC">
        <w:tab/>
      </w:r>
      <w:r w:rsidR="00DB1953" w:rsidRPr="00B55BCC">
        <w:t>The database will be hosted under the umbrella of UNECE’s For Future Inland Transport System (</w:t>
      </w:r>
      <w:proofErr w:type="spellStart"/>
      <w:r w:rsidR="00DB1953" w:rsidRPr="00B55BCC">
        <w:t>ForFITS</w:t>
      </w:r>
      <w:proofErr w:type="spellEnd"/>
      <w:r w:rsidR="00DB1953" w:rsidRPr="00B55BCC">
        <w:t xml:space="preserve">), </w:t>
      </w:r>
      <w:r w:rsidR="009F42AC" w:rsidRPr="00B55BCC">
        <w:t xml:space="preserve">under which the </w:t>
      </w:r>
      <w:proofErr w:type="spellStart"/>
      <w:r w:rsidR="009F42AC" w:rsidRPr="00B55BCC">
        <w:t>ForFITS</w:t>
      </w:r>
      <w:proofErr w:type="spellEnd"/>
      <w:r w:rsidR="009F42AC" w:rsidRPr="00B55BCC">
        <w:t xml:space="preserve"> Model has been </w:t>
      </w:r>
      <w:r w:rsidR="006A31FD" w:rsidRPr="00B55BCC">
        <w:t>developed to</w:t>
      </w:r>
      <w:r w:rsidR="00DB1953" w:rsidRPr="00B55BCC">
        <w:t xml:space="preserve"> foster sustainable transport policies. </w:t>
      </w:r>
    </w:p>
    <w:p w14:paraId="64CC2859" w14:textId="40C42589" w:rsidR="00DB1953" w:rsidRPr="00B55BCC" w:rsidRDefault="00B55BCC" w:rsidP="00B55BCC">
      <w:pPr>
        <w:pStyle w:val="SingleTxtG"/>
      </w:pPr>
      <w:r w:rsidRPr="00B55BCC">
        <w:t>32.</w:t>
      </w:r>
      <w:r w:rsidRPr="00B55BCC">
        <w:tab/>
      </w:r>
      <w:r w:rsidR="00DB1953" w:rsidRPr="00B55BCC">
        <w:t>Key features of the Transport Data Commons will include free, publicly available, centralized and transparent data access. The database is expected to include intuitive, state-of-the-art data visualization, with data imports and export capabilities, to benefit the whole transport community. </w:t>
      </w:r>
    </w:p>
    <w:p w14:paraId="11304C1E" w14:textId="626466AF" w:rsidR="00DB1953" w:rsidRPr="00B55BCC" w:rsidRDefault="00B55BCC" w:rsidP="00B55BCC">
      <w:pPr>
        <w:pStyle w:val="SingleTxtG"/>
      </w:pPr>
      <w:r w:rsidRPr="00B55BCC">
        <w:t>33.</w:t>
      </w:r>
      <w:r w:rsidRPr="00B55BCC">
        <w:tab/>
      </w:r>
      <w:r w:rsidR="00DB1953" w:rsidRPr="00B55BCC">
        <w:t>The initial focus will cover transport and climate change, but it may be expanded to air quality and road safety at a later stage. </w:t>
      </w:r>
    </w:p>
    <w:p w14:paraId="72551726" w14:textId="34169BD1" w:rsidR="00666DE8" w:rsidRDefault="00B55BCC" w:rsidP="00B55BCC">
      <w:pPr>
        <w:pStyle w:val="SingleTxtG"/>
      </w:pPr>
      <w:r w:rsidRPr="00B55BCC">
        <w:t>34.</w:t>
      </w:r>
      <w:r w:rsidRPr="00B55BCC">
        <w:tab/>
      </w:r>
      <w:r w:rsidR="00DB1953" w:rsidRPr="00B55BCC">
        <w:t xml:space="preserve">In addition to UNECE, the Transport Data Commons gathers the Asian Development Bank (ADB), Climate Compatible Growth (CCG), European Bank for Reconstruction and Development (EBRD), FIA Foundation, Deutsche Gesellschaft für Internationale </w:t>
      </w:r>
      <w:proofErr w:type="spellStart"/>
      <w:r w:rsidR="00DB1953" w:rsidRPr="00B55BCC">
        <w:t>Zusammenarbeit</w:t>
      </w:r>
      <w:proofErr w:type="spellEnd"/>
      <w:r w:rsidR="00DB1953" w:rsidRPr="00B55BCC">
        <w:t xml:space="preserve"> (GIZ), German Credit Institute</w:t>
      </w:r>
      <w:r w:rsidR="00DB1953">
        <w:t xml:space="preserve"> for Reconstruction (</w:t>
      </w:r>
      <w:proofErr w:type="spellStart"/>
      <w:r w:rsidR="00DB1953">
        <w:t>KfW</w:t>
      </w:r>
      <w:proofErr w:type="spellEnd"/>
      <w:r w:rsidR="00DB1953">
        <w:t xml:space="preserve">), International Transport Forum (ITF), Institute for Transportation and Development Policy (ITDP), </w:t>
      </w:r>
      <w:proofErr w:type="spellStart"/>
      <w:r w:rsidR="00DB1953">
        <w:t>Institut</w:t>
      </w:r>
      <w:proofErr w:type="spellEnd"/>
      <w:r w:rsidR="00DB1953">
        <w:t xml:space="preserve"> für </w:t>
      </w:r>
      <w:proofErr w:type="spellStart"/>
      <w:r w:rsidR="00DB1953">
        <w:t>Energie</w:t>
      </w:r>
      <w:proofErr w:type="spellEnd"/>
      <w:r w:rsidR="00DB1953">
        <w:t xml:space="preserve">- und </w:t>
      </w:r>
      <w:proofErr w:type="spellStart"/>
      <w:r w:rsidR="00DB1953">
        <w:t>Umweltforschung</w:t>
      </w:r>
      <w:proofErr w:type="spellEnd"/>
      <w:r w:rsidR="00DB1953">
        <w:t xml:space="preserve"> (IFEU), International Institute for Applied Systems Analysis (IIASA), the International Road Federation (IRF), </w:t>
      </w:r>
      <w:proofErr w:type="spellStart"/>
      <w:r w:rsidR="00DB1953">
        <w:t>MobilizeYourCity</w:t>
      </w:r>
      <w:proofErr w:type="spellEnd"/>
      <w:r w:rsidR="00DB1953">
        <w:t>, University of California Davis, University of Oxford, Partnership on Sustainable, Low Carbon Transport (SLOCAT), and the World Bank.  </w:t>
      </w:r>
    </w:p>
    <w:p w14:paraId="41B16533" w14:textId="254DAC3B" w:rsidR="00C4123A" w:rsidRPr="00E625D6" w:rsidRDefault="00C4123A" w:rsidP="00C4123A">
      <w:pPr>
        <w:pStyle w:val="H1G"/>
      </w:pPr>
      <w:r>
        <w:tab/>
        <w:t>B</w:t>
      </w:r>
      <w:r w:rsidRPr="00E625D6">
        <w:t>.</w:t>
      </w:r>
      <w:r w:rsidRPr="00E625D6">
        <w:tab/>
      </w:r>
      <w:r w:rsidR="00C13760">
        <w:t xml:space="preserve">UNECE as knowledge partner to the </w:t>
      </w:r>
      <w:proofErr w:type="spellStart"/>
      <w:r w:rsidR="00C13760">
        <w:t>MobilizeYourCity</w:t>
      </w:r>
      <w:proofErr w:type="spellEnd"/>
      <w:r w:rsidR="00C13760">
        <w:t xml:space="preserve"> </w:t>
      </w:r>
      <w:r w:rsidR="00101047">
        <w:t>partnership</w:t>
      </w:r>
    </w:p>
    <w:p w14:paraId="1FCE052B" w14:textId="1678D1D5" w:rsidR="00461A40" w:rsidRPr="00B55BCC" w:rsidRDefault="00B55BCC" w:rsidP="00B55BCC">
      <w:pPr>
        <w:pStyle w:val="SingleTxtG"/>
      </w:pPr>
      <w:r>
        <w:t>35.</w:t>
      </w:r>
      <w:r>
        <w:tab/>
      </w:r>
      <w:r w:rsidR="00114E0C" w:rsidRPr="00114E0C">
        <w:t xml:space="preserve">The </w:t>
      </w:r>
      <w:proofErr w:type="spellStart"/>
      <w:r w:rsidR="00114E0C" w:rsidRPr="00114E0C">
        <w:t>MobiliseYourCity</w:t>
      </w:r>
      <w:proofErr w:type="spellEnd"/>
      <w:r w:rsidR="00114E0C" w:rsidRPr="00114E0C">
        <w:t xml:space="preserve"> Partnership aims to empowers 100 cities and 20 countries to improve urban mobility for their citizens and decarbonise transport to fight the global climate crisis.</w:t>
      </w:r>
      <w:r w:rsidR="00FB389E">
        <w:t xml:space="preserve"> </w:t>
      </w:r>
      <w:r w:rsidR="00FB389E" w:rsidRPr="00B55BCC">
        <w:t>As part of these act</w:t>
      </w:r>
      <w:r w:rsidR="00796DAD" w:rsidRPr="00B55BCC">
        <w:t>i</w:t>
      </w:r>
      <w:r w:rsidR="00FB389E" w:rsidRPr="00B55BCC">
        <w:t>vit</w:t>
      </w:r>
      <w:r w:rsidR="003F0CE8" w:rsidRPr="00B55BCC">
        <w:t>i</w:t>
      </w:r>
      <w:r w:rsidR="00FB389E" w:rsidRPr="00B55BCC">
        <w:t xml:space="preserve">es, </w:t>
      </w:r>
      <w:r w:rsidR="00BC6119" w:rsidRPr="00B55BCC">
        <w:t xml:space="preserve">the </w:t>
      </w:r>
      <w:proofErr w:type="spellStart"/>
      <w:r w:rsidR="00BC6119" w:rsidRPr="00B55BCC">
        <w:t>MobiliseYourCity</w:t>
      </w:r>
      <w:proofErr w:type="spellEnd"/>
      <w:r w:rsidR="00BC6119" w:rsidRPr="00B55BCC">
        <w:t xml:space="preserve"> Partnership </w:t>
      </w:r>
      <w:r w:rsidR="003F0CE8" w:rsidRPr="00B55BCC">
        <w:t xml:space="preserve">offers methodologies and capacity building through communities of practice. </w:t>
      </w:r>
    </w:p>
    <w:p w14:paraId="09E806A4" w14:textId="0A87CAB9" w:rsidR="00A2715E" w:rsidRPr="00B55BCC" w:rsidRDefault="00B55BCC" w:rsidP="00B55BCC">
      <w:pPr>
        <w:pStyle w:val="SingleTxtG"/>
      </w:pPr>
      <w:r w:rsidRPr="00B55BCC">
        <w:t>36.</w:t>
      </w:r>
      <w:r w:rsidRPr="00B55BCC">
        <w:tab/>
      </w:r>
      <w:r w:rsidR="003F0CE8" w:rsidRPr="00B55BCC">
        <w:t>In particular, it has released the</w:t>
      </w:r>
      <w:r w:rsidR="008827C5" w:rsidRPr="00B55BCC">
        <w:t xml:space="preserve"> </w:t>
      </w:r>
      <w:proofErr w:type="spellStart"/>
      <w:r w:rsidR="008827C5" w:rsidRPr="00B55BCC">
        <w:t>MobiliseYourCity</w:t>
      </w:r>
      <w:proofErr w:type="spellEnd"/>
      <w:r w:rsidR="008827C5" w:rsidRPr="00B55BCC">
        <w:t xml:space="preserve"> Emissions Calculator which supports cities and countries project the GHG Impact of their </w:t>
      </w:r>
      <w:r w:rsidR="00461A40" w:rsidRPr="00B55BCC">
        <w:t>sustainable urban mobility plans (SUMPs)</w:t>
      </w:r>
      <w:r w:rsidR="008827C5" w:rsidRPr="00B55BCC">
        <w:t xml:space="preserve"> and </w:t>
      </w:r>
      <w:r w:rsidR="0068499F" w:rsidRPr="00B55BCC">
        <w:t>national urban mobility policies and investment programs (NUMPs)</w:t>
      </w:r>
      <w:r w:rsidR="008827C5" w:rsidRPr="00B55BCC">
        <w:t xml:space="preserve">. </w:t>
      </w:r>
      <w:proofErr w:type="spellStart"/>
      <w:r w:rsidR="00461A40" w:rsidRPr="00B55BCC">
        <w:t>ForFITS</w:t>
      </w:r>
      <w:proofErr w:type="spellEnd"/>
      <w:r w:rsidR="00461A40" w:rsidRPr="00B55BCC">
        <w:t xml:space="preserve"> has been invited to review and provide in-depth comments to </w:t>
      </w:r>
      <w:r w:rsidR="00654E59" w:rsidRPr="00B55BCC">
        <w:t xml:space="preserve">the latest version of the </w:t>
      </w:r>
      <w:proofErr w:type="spellStart"/>
      <w:r w:rsidR="00654E59" w:rsidRPr="00B55BCC">
        <w:t>MobiliseYourCity</w:t>
      </w:r>
      <w:proofErr w:type="spellEnd"/>
      <w:r w:rsidR="00654E59" w:rsidRPr="00B55BCC">
        <w:t xml:space="preserve"> Emissions Calculator</w:t>
      </w:r>
      <w:r w:rsidR="00654E59" w:rsidRPr="00454CCA">
        <w:rPr>
          <w:rStyle w:val="FootnoteReference"/>
          <w:sz w:val="20"/>
        </w:rPr>
        <w:footnoteReference w:id="4"/>
      </w:r>
      <w:r w:rsidR="008827C5" w:rsidRPr="00B55BCC">
        <w:t>.</w:t>
      </w:r>
    </w:p>
    <w:p w14:paraId="7ED7EDF0" w14:textId="6E60E393" w:rsidR="000A676A" w:rsidRDefault="00B55BCC" w:rsidP="00B55BCC">
      <w:pPr>
        <w:pStyle w:val="SingleTxtG"/>
      </w:pPr>
      <w:r w:rsidRPr="00B55BCC">
        <w:t>37.</w:t>
      </w:r>
      <w:r w:rsidRPr="00B55BCC">
        <w:tab/>
      </w:r>
      <w:r w:rsidR="00A05E61" w:rsidRPr="00B55BCC">
        <w:t xml:space="preserve">Discussions </w:t>
      </w:r>
      <w:r w:rsidR="003367FC" w:rsidRPr="00B55BCC">
        <w:t xml:space="preserve">are on-going for </w:t>
      </w:r>
      <w:proofErr w:type="spellStart"/>
      <w:r w:rsidR="003367FC" w:rsidRPr="00B55BCC">
        <w:t>ForFITS</w:t>
      </w:r>
      <w:proofErr w:type="spellEnd"/>
      <w:r w:rsidR="003367FC" w:rsidRPr="00B55BCC">
        <w:t xml:space="preserve"> to join the </w:t>
      </w:r>
      <w:proofErr w:type="spellStart"/>
      <w:r w:rsidR="000A676A" w:rsidRPr="00B55BCC">
        <w:t>MobiliseYourCity</w:t>
      </w:r>
      <w:proofErr w:type="spellEnd"/>
      <w:r w:rsidR="000A676A" w:rsidRPr="00B55BCC">
        <w:t xml:space="preserve"> Partnership as a knowledge partner together with a selected number of institutions ba</w:t>
      </w:r>
      <w:r w:rsidR="00F6295B" w:rsidRPr="00B55BCC">
        <w:t xml:space="preserve">sed on the expert knowledge they can bring to the </w:t>
      </w:r>
      <w:proofErr w:type="spellStart"/>
      <w:r w:rsidR="00F6295B" w:rsidRPr="00B55BCC">
        <w:t>MobiliseYourCity</w:t>
      </w:r>
      <w:proofErr w:type="spellEnd"/>
      <w:r w:rsidR="00F6295B" w:rsidRPr="00B55BCC">
        <w:t xml:space="preserve"> Partnership.</w:t>
      </w:r>
      <w:r w:rsidR="00850B7E" w:rsidRPr="00B55BCC">
        <w:t xml:space="preserve"> Existing knowledge partners include</w:t>
      </w:r>
      <w:r w:rsidR="00850B7E">
        <w:t xml:space="preserve"> </w:t>
      </w:r>
      <w:r w:rsidR="0002754C">
        <w:t xml:space="preserve">institutions such as </w:t>
      </w:r>
      <w:r w:rsidR="00850B7E">
        <w:t>UN Habitat</w:t>
      </w:r>
      <w:r w:rsidR="0002754C">
        <w:t xml:space="preserve"> or the </w:t>
      </w:r>
      <w:r w:rsidR="0002754C" w:rsidRPr="0002754C">
        <w:t>Institute for Transportation and Development Policy</w:t>
      </w:r>
      <w:r w:rsidR="0002754C">
        <w:t xml:space="preserve"> (ITDP).</w:t>
      </w:r>
    </w:p>
    <w:p w14:paraId="7DBEBBAD" w14:textId="39F98E9D" w:rsidR="006864FF" w:rsidRPr="006864FF" w:rsidRDefault="006864FF" w:rsidP="006864FF">
      <w:pPr>
        <w:pStyle w:val="SingleTxtG"/>
        <w:spacing w:before="240" w:after="0"/>
        <w:jc w:val="center"/>
        <w:rPr>
          <w:u w:val="single"/>
        </w:rPr>
      </w:pPr>
      <w:r>
        <w:rPr>
          <w:u w:val="single"/>
        </w:rPr>
        <w:tab/>
      </w:r>
      <w:r>
        <w:rPr>
          <w:u w:val="single"/>
        </w:rPr>
        <w:tab/>
      </w:r>
      <w:r>
        <w:rPr>
          <w:u w:val="single"/>
        </w:rPr>
        <w:tab/>
      </w:r>
      <w:r w:rsidR="00B55BCC">
        <w:rPr>
          <w:u w:val="single"/>
        </w:rPr>
        <w:tab/>
      </w:r>
    </w:p>
    <w:sectPr w:rsidR="006864FF" w:rsidRPr="006864FF" w:rsidSect="009A67A1">
      <w:headerReference w:type="even" r:id="rId20"/>
      <w:headerReference w:type="default" r:id="rId21"/>
      <w:footerReference w:type="even" r:id="rId22"/>
      <w:footerReference w:type="default" r:id="rId23"/>
      <w:headerReference w:type="firs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5997" w14:textId="77777777" w:rsidR="00972B29" w:rsidRDefault="00972B29"/>
  </w:endnote>
  <w:endnote w:type="continuationSeparator" w:id="0">
    <w:p w14:paraId="7A76C636" w14:textId="77777777" w:rsidR="00972B29" w:rsidRDefault="00972B29"/>
  </w:endnote>
  <w:endnote w:type="continuationNotice" w:id="1">
    <w:p w14:paraId="2230F7C0" w14:textId="77777777" w:rsidR="00972B29" w:rsidRDefault="00972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E294" w14:textId="77777777" w:rsidR="00141119" w:rsidRPr="00141119" w:rsidRDefault="00141119" w:rsidP="00141119">
    <w:pPr>
      <w:pStyle w:val="Footer"/>
      <w:tabs>
        <w:tab w:val="right" w:pos="9638"/>
      </w:tabs>
      <w:rPr>
        <w:sz w:val="18"/>
      </w:rPr>
    </w:pPr>
    <w:r w:rsidRPr="00141119">
      <w:rPr>
        <w:b/>
        <w:sz w:val="18"/>
      </w:rPr>
      <w:fldChar w:fldCharType="begin"/>
    </w:r>
    <w:r w:rsidRPr="00141119">
      <w:rPr>
        <w:b/>
        <w:sz w:val="18"/>
      </w:rPr>
      <w:instrText xml:space="preserve"> PAGE  \* MERGEFORMAT </w:instrText>
    </w:r>
    <w:r w:rsidRPr="00141119">
      <w:rPr>
        <w:b/>
        <w:sz w:val="18"/>
      </w:rPr>
      <w:fldChar w:fldCharType="separate"/>
    </w:r>
    <w:r w:rsidR="002B31BE">
      <w:rPr>
        <w:b/>
        <w:noProof/>
        <w:sz w:val="18"/>
      </w:rPr>
      <w:t>12</w:t>
    </w:r>
    <w:r w:rsidRPr="001411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8483" w14:textId="77777777" w:rsidR="00141119" w:rsidRPr="00141119" w:rsidRDefault="00141119" w:rsidP="00141119">
    <w:pPr>
      <w:pStyle w:val="Footer"/>
      <w:tabs>
        <w:tab w:val="right" w:pos="9638"/>
      </w:tabs>
      <w:rPr>
        <w:b/>
        <w:sz w:val="18"/>
      </w:rPr>
    </w:pPr>
    <w:r>
      <w:tab/>
    </w:r>
    <w:r w:rsidRPr="00141119">
      <w:rPr>
        <w:b/>
        <w:sz w:val="18"/>
      </w:rPr>
      <w:fldChar w:fldCharType="begin"/>
    </w:r>
    <w:r w:rsidRPr="00141119">
      <w:rPr>
        <w:b/>
        <w:sz w:val="18"/>
      </w:rPr>
      <w:instrText xml:space="preserve"> PAGE  \* MERGEFORMAT </w:instrText>
    </w:r>
    <w:r w:rsidRPr="00141119">
      <w:rPr>
        <w:b/>
        <w:sz w:val="18"/>
      </w:rPr>
      <w:fldChar w:fldCharType="separate"/>
    </w:r>
    <w:r w:rsidR="002B31BE">
      <w:rPr>
        <w:b/>
        <w:noProof/>
        <w:sz w:val="18"/>
      </w:rPr>
      <w:t>13</w:t>
    </w:r>
    <w:r w:rsidRPr="0014111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CA5B" w14:textId="77777777" w:rsidR="00972B29" w:rsidRPr="000B175B" w:rsidRDefault="00972B29" w:rsidP="000B175B">
      <w:pPr>
        <w:tabs>
          <w:tab w:val="right" w:pos="2155"/>
        </w:tabs>
        <w:spacing w:after="80"/>
        <w:ind w:left="680"/>
        <w:rPr>
          <w:u w:val="single"/>
        </w:rPr>
      </w:pPr>
      <w:r>
        <w:rPr>
          <w:u w:val="single"/>
        </w:rPr>
        <w:tab/>
      </w:r>
    </w:p>
  </w:footnote>
  <w:footnote w:type="continuationSeparator" w:id="0">
    <w:p w14:paraId="5EE9ED58" w14:textId="77777777" w:rsidR="00972B29" w:rsidRPr="00FC68B7" w:rsidRDefault="00972B29" w:rsidP="00FC68B7">
      <w:pPr>
        <w:tabs>
          <w:tab w:val="left" w:pos="2155"/>
        </w:tabs>
        <w:spacing w:after="80"/>
        <w:ind w:left="680"/>
        <w:rPr>
          <w:u w:val="single"/>
        </w:rPr>
      </w:pPr>
      <w:r>
        <w:rPr>
          <w:u w:val="single"/>
        </w:rPr>
        <w:tab/>
      </w:r>
    </w:p>
  </w:footnote>
  <w:footnote w:type="continuationNotice" w:id="1">
    <w:p w14:paraId="5FD17764" w14:textId="77777777" w:rsidR="00972B29" w:rsidRDefault="00972B29"/>
  </w:footnote>
  <w:footnote w:id="2">
    <w:p w14:paraId="2E874641" w14:textId="779225B7" w:rsidR="00C43AC6" w:rsidRPr="00C43AC6" w:rsidRDefault="009A67A1">
      <w:pPr>
        <w:pStyle w:val="FootnoteText"/>
        <w:rPr>
          <w:lang w:val="fr-CH"/>
        </w:rPr>
      </w:pPr>
      <w:r>
        <w:tab/>
      </w:r>
      <w:r w:rsidR="00C43AC6">
        <w:rPr>
          <w:rStyle w:val="FootnoteReference"/>
        </w:rPr>
        <w:footnoteRef/>
      </w:r>
      <w:r w:rsidR="00C43AC6">
        <w:t xml:space="preserve"> </w:t>
      </w:r>
      <w:r>
        <w:tab/>
      </w:r>
      <w:r w:rsidR="00C43AC6" w:rsidRPr="00C43AC6">
        <w:t>https://www.itf-oecd.org/dtee-azerbaijan</w:t>
      </w:r>
    </w:p>
  </w:footnote>
  <w:footnote w:id="3">
    <w:p w14:paraId="30B582AB" w14:textId="6E9D3212" w:rsidR="00833608" w:rsidRPr="00670655" w:rsidRDefault="00E15059" w:rsidP="00833608">
      <w:pPr>
        <w:pStyle w:val="FootnoteText"/>
        <w:rPr>
          <w:lang w:val="fr-CH"/>
        </w:rPr>
      </w:pPr>
      <w:r>
        <w:tab/>
      </w:r>
      <w:r w:rsidR="00833608">
        <w:rPr>
          <w:rStyle w:val="FootnoteReference"/>
        </w:rPr>
        <w:footnoteRef/>
      </w:r>
      <w:hyperlink w:history="1">
        <w:r w:rsidRPr="00460F80">
          <w:rPr>
            <w:rStyle w:val="Hyperlink"/>
            <w:lang w:val="fr-CH"/>
          </w:rPr>
          <w:t xml:space="preserve"> </w:t>
        </w:r>
        <w:r w:rsidRPr="00460F80">
          <w:rPr>
            <w:rStyle w:val="Hyperlink"/>
            <w:lang w:val="fr-CH"/>
          </w:rPr>
          <w:tab/>
          <w:t>www.iea.org/data-and-statistics/data-product/world-energy-balances</w:t>
        </w:r>
      </w:hyperlink>
      <w:r w:rsidR="00833608" w:rsidRPr="00670655">
        <w:rPr>
          <w:lang w:val="fr-CH"/>
        </w:rPr>
        <w:t xml:space="preserve">. </w:t>
      </w:r>
    </w:p>
  </w:footnote>
  <w:footnote w:id="4">
    <w:p w14:paraId="19F91B8F" w14:textId="0B3C8567" w:rsidR="00654E59" w:rsidRPr="00670655" w:rsidRDefault="00E15059">
      <w:pPr>
        <w:pStyle w:val="FootnoteText"/>
      </w:pPr>
      <w:r>
        <w:tab/>
      </w:r>
      <w:r w:rsidR="00654E59">
        <w:rPr>
          <w:rStyle w:val="FootnoteReference"/>
        </w:rPr>
        <w:footnoteRef/>
      </w:r>
      <w:r w:rsidR="00654E59">
        <w:t xml:space="preserve"> </w:t>
      </w:r>
      <w:r>
        <w:tab/>
      </w:r>
      <w:r w:rsidR="003367FC" w:rsidRPr="00670655">
        <w:t xml:space="preserve">The </w:t>
      </w:r>
      <w:proofErr w:type="spellStart"/>
      <w:r w:rsidR="003367FC" w:rsidRPr="00670655">
        <w:t>MobiliseYourCity</w:t>
      </w:r>
      <w:proofErr w:type="spellEnd"/>
      <w:r w:rsidR="003367FC" w:rsidRPr="00670655">
        <w:t xml:space="preserve"> Emissions Calculator can be downloaded at : https://www.mobiliseyourcity.net/mobiliseyourcity-emissions-calculator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A0F4" w14:textId="35093480" w:rsidR="00141119" w:rsidRPr="00141119" w:rsidRDefault="006C1E97">
    <w:pPr>
      <w:pStyle w:val="Header"/>
    </w:pPr>
    <w:r>
      <w:t xml:space="preserve">Informal document </w:t>
    </w:r>
    <w:r w:rsidR="00141119">
      <w:t>No.</w:t>
    </w:r>
    <w:r w:rsidR="00447101">
      <w:t xml:space="preserve"> </w:t>
    </w:r>
    <w:r w:rsidR="00C650B5">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F774" w14:textId="3D2FE645" w:rsidR="00141119" w:rsidRPr="00141119" w:rsidRDefault="00141119" w:rsidP="00141119">
    <w:pPr>
      <w:pStyle w:val="Header"/>
      <w:jc w:val="right"/>
    </w:pPr>
    <w:r>
      <w:t>In</w:t>
    </w:r>
    <w:r w:rsidR="006C1E97">
      <w:t xml:space="preserve">formal document </w:t>
    </w:r>
    <w:r w:rsidR="00222E25">
      <w:t>No.</w:t>
    </w:r>
    <w:r w:rsidR="00447101">
      <w:t xml:space="preserve"> </w:t>
    </w:r>
    <w:r w:rsidR="00C650B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4F10" w14:textId="77777777" w:rsidR="008C7F60" w:rsidRDefault="008C7F60" w:rsidP="008C7F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87701"/>
    <w:multiLevelType w:val="hybridMultilevel"/>
    <w:tmpl w:val="8BB05984"/>
    <w:lvl w:ilvl="0" w:tplc="D6F89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E27CF"/>
    <w:multiLevelType w:val="hybridMultilevel"/>
    <w:tmpl w:val="E1087DC8"/>
    <w:lvl w:ilvl="0" w:tplc="D744C256">
      <w:start w:val="1"/>
      <w:numFmt w:val="upperRoman"/>
      <w:lvlText w:val="%1."/>
      <w:lvlJc w:val="left"/>
      <w:pPr>
        <w:ind w:left="1860" w:hanging="720"/>
      </w:pPr>
      <w:rPr>
        <w:rFonts w:hint="default"/>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0BF73E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84465"/>
    <w:multiLevelType w:val="hybridMultilevel"/>
    <w:tmpl w:val="BD723214"/>
    <w:lvl w:ilvl="0" w:tplc="FFFFFFFF">
      <w:start w:val="1"/>
      <w:numFmt w:val="decimal"/>
      <w:lvlText w:val="%1."/>
      <w:lvlJc w:val="left"/>
      <w:pPr>
        <w:ind w:left="1689" w:hanging="555"/>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15:restartNumberingAfterBreak="0">
    <w:nsid w:val="17D87767"/>
    <w:multiLevelType w:val="hybridMultilevel"/>
    <w:tmpl w:val="0602F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B0932"/>
    <w:multiLevelType w:val="hybridMultilevel"/>
    <w:tmpl w:val="99C47D8E"/>
    <w:lvl w:ilvl="0" w:tplc="3D10DEE4">
      <w:start w:val="1"/>
      <w:numFmt w:val="lowerLetter"/>
      <w:lvlText w:val="(%1)"/>
      <w:lvlJc w:val="left"/>
      <w:pPr>
        <w:ind w:left="1905" w:hanging="360"/>
      </w:pPr>
      <w:rPr>
        <w:rFonts w:ascii="Times New Roman" w:eastAsia="Times New Roman" w:hAnsi="Times New Roman" w:cs="Times New Roman"/>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7" w15:restartNumberingAfterBreak="0">
    <w:nsid w:val="1ED755FF"/>
    <w:multiLevelType w:val="hybridMultilevel"/>
    <w:tmpl w:val="76AC050C"/>
    <w:lvl w:ilvl="0" w:tplc="9FF64960">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FD26CD3"/>
    <w:multiLevelType w:val="hybridMultilevel"/>
    <w:tmpl w:val="7024AE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37F72E0"/>
    <w:multiLevelType w:val="hybridMultilevel"/>
    <w:tmpl w:val="4C7CBAB8"/>
    <w:lvl w:ilvl="0" w:tplc="073CC21C">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1082C4D"/>
    <w:multiLevelType w:val="hybridMultilevel"/>
    <w:tmpl w:val="6376077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4A84CDC"/>
    <w:multiLevelType w:val="hybridMultilevel"/>
    <w:tmpl w:val="90AC91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3B0857EE"/>
    <w:multiLevelType w:val="hybridMultilevel"/>
    <w:tmpl w:val="A9D49ADE"/>
    <w:lvl w:ilvl="0" w:tplc="9FF64960">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DED75A7"/>
    <w:multiLevelType w:val="hybridMultilevel"/>
    <w:tmpl w:val="72B067CC"/>
    <w:lvl w:ilvl="0" w:tplc="E8221BE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EB1460D"/>
    <w:multiLevelType w:val="hybridMultilevel"/>
    <w:tmpl w:val="F6BE7B6C"/>
    <w:lvl w:ilvl="0" w:tplc="12989C38">
      <w:start w:val="1"/>
      <w:numFmt w:val="lowerLetter"/>
      <w:pStyle w:val="ListDash"/>
      <w:lvlText w:val="(%1)"/>
      <w:lvlJc w:val="left"/>
      <w:pPr>
        <w:tabs>
          <w:tab w:val="num" w:pos="1003"/>
        </w:tabs>
        <w:ind w:left="1003" w:hanging="283"/>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Times New Roman"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Times New Roman"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5760F"/>
    <w:multiLevelType w:val="hybridMultilevel"/>
    <w:tmpl w:val="7C9E51B6"/>
    <w:lvl w:ilvl="0" w:tplc="9FF64960">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65A31A0"/>
    <w:multiLevelType w:val="hybridMultilevel"/>
    <w:tmpl w:val="2E1EA4C6"/>
    <w:lvl w:ilvl="0" w:tplc="52D2AFD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9BE3CE4"/>
    <w:multiLevelType w:val="hybridMultilevel"/>
    <w:tmpl w:val="834ED886"/>
    <w:lvl w:ilvl="0" w:tplc="FFFFFFFF">
      <w:numFmt w:val="bullet"/>
      <w:pStyle w:val="ListBullet"/>
      <w:lvlText w:val="-"/>
      <w:lvlJc w:val="left"/>
      <w:pPr>
        <w:ind w:left="720" w:hanging="360"/>
      </w:pPr>
      <w:rPr>
        <w:rFonts w:ascii="Calibri" w:eastAsia="Times New Roman" w:hAnsi="Calibri" w:hint="default"/>
      </w:rPr>
    </w:lvl>
    <w:lvl w:ilvl="1" w:tplc="FFFFFFFF">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B3611D"/>
    <w:multiLevelType w:val="hybridMultilevel"/>
    <w:tmpl w:val="9C76D794"/>
    <w:lvl w:ilvl="0" w:tplc="AB383042">
      <w:numFmt w:val="bullet"/>
      <w:lvlText w:val="—"/>
      <w:lvlJc w:val="left"/>
      <w:pPr>
        <w:tabs>
          <w:tab w:val="num" w:pos="1003"/>
        </w:tabs>
        <w:ind w:left="1003" w:hanging="283"/>
      </w:pPr>
      <w:rPr>
        <w:rFonts w:ascii="Arial" w:eastAsia="EUAlbertina-Regular-Identity-H" w:hAnsi="Arial" w:hint="default"/>
      </w:rPr>
    </w:lvl>
    <w:lvl w:ilvl="1" w:tplc="04050001">
      <w:start w:val="1"/>
      <w:numFmt w:val="bullet"/>
      <w:lvlText w:val=""/>
      <w:lvlJc w:val="left"/>
      <w:pPr>
        <w:tabs>
          <w:tab w:val="num" w:pos="1440"/>
        </w:tabs>
        <w:ind w:left="1440" w:hanging="360"/>
      </w:pPr>
      <w:rPr>
        <w:rFonts w:ascii="Symbol" w:hAnsi="Symbol"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Times New Roman"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Times New Roman"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40B5F"/>
    <w:multiLevelType w:val="hybridMultilevel"/>
    <w:tmpl w:val="CC96386E"/>
    <w:lvl w:ilvl="0" w:tplc="B6D21B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4295D"/>
    <w:multiLevelType w:val="hybridMultilevel"/>
    <w:tmpl w:val="9A8C94C6"/>
    <w:lvl w:ilvl="0" w:tplc="04090001">
      <w:start w:val="1"/>
      <w:numFmt w:val="bullet"/>
      <w:lvlText w:val=""/>
      <w:lvlJc w:val="left"/>
      <w:pPr>
        <w:ind w:left="2628" w:hanging="360"/>
      </w:pPr>
      <w:rPr>
        <w:rFonts w:ascii="Symbol" w:hAnsi="Symbol" w:hint="default"/>
      </w:rPr>
    </w:lvl>
    <w:lvl w:ilvl="1" w:tplc="04090001">
      <w:start w:val="1"/>
      <w:numFmt w:val="bullet"/>
      <w:lvlText w:val=""/>
      <w:lvlJc w:val="left"/>
      <w:pPr>
        <w:ind w:left="3348" w:hanging="360"/>
      </w:pPr>
      <w:rPr>
        <w:rFonts w:ascii="Symbol" w:hAnsi="Symbol"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1" w15:restartNumberingAfterBreak="0">
    <w:nsid w:val="5E4B3FCB"/>
    <w:multiLevelType w:val="hybridMultilevel"/>
    <w:tmpl w:val="234205A4"/>
    <w:lvl w:ilvl="0" w:tplc="A3CAF2C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F3D6234"/>
    <w:multiLevelType w:val="hybridMultilevel"/>
    <w:tmpl w:val="E668AD86"/>
    <w:lvl w:ilvl="0" w:tplc="9FF64960">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67B6E"/>
    <w:multiLevelType w:val="hybridMultilevel"/>
    <w:tmpl w:val="DC44C93C"/>
    <w:lvl w:ilvl="0" w:tplc="FFFFFFFF">
      <w:start w:val="1"/>
      <w:numFmt w:val="decimal"/>
      <w:lvlText w:val="%1."/>
      <w:lvlJc w:val="left"/>
      <w:pPr>
        <w:ind w:left="1689" w:hanging="555"/>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5" w15:restartNumberingAfterBreak="0">
    <w:nsid w:val="71B74537"/>
    <w:multiLevelType w:val="hybridMultilevel"/>
    <w:tmpl w:val="3EA6E05A"/>
    <w:lvl w:ilvl="0" w:tplc="04090001">
      <w:start w:val="1"/>
      <w:numFmt w:val="bullet"/>
      <w:lvlText w:val=""/>
      <w:lvlJc w:val="left"/>
      <w:pPr>
        <w:ind w:left="2421" w:hanging="360"/>
      </w:pPr>
      <w:rPr>
        <w:rFonts w:ascii="Symbol" w:hAnsi="Symbol" w:hint="default"/>
      </w:rPr>
    </w:lvl>
    <w:lvl w:ilvl="1" w:tplc="380222F2">
      <w:numFmt w:val="bullet"/>
      <w:lvlText w:val="-"/>
      <w:lvlJc w:val="left"/>
      <w:pPr>
        <w:ind w:left="3141" w:hanging="360"/>
      </w:pPr>
      <w:rPr>
        <w:rFonts w:ascii="Times New Roman" w:eastAsia="Times New Roman" w:hAnsi="Times New Roman" w:cs="Times New Roman"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15:restartNumberingAfterBreak="0">
    <w:nsid w:val="72701627"/>
    <w:multiLevelType w:val="hybridMultilevel"/>
    <w:tmpl w:val="F5CE677C"/>
    <w:lvl w:ilvl="0" w:tplc="B01E24D8">
      <w:start w:val="1"/>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B5ECD"/>
    <w:multiLevelType w:val="hybridMultilevel"/>
    <w:tmpl w:val="4FD6462A"/>
    <w:lvl w:ilvl="0" w:tplc="04090001">
      <w:start w:val="1"/>
      <w:numFmt w:val="bullet"/>
      <w:lvlText w:val=""/>
      <w:lvlJc w:val="left"/>
      <w:pPr>
        <w:ind w:left="2421" w:hanging="360"/>
      </w:pPr>
      <w:rPr>
        <w:rFonts w:ascii="Symbol" w:hAnsi="Symbol" w:hint="default"/>
      </w:rPr>
    </w:lvl>
    <w:lvl w:ilvl="1" w:tplc="04090001">
      <w:start w:val="1"/>
      <w:numFmt w:val="bullet"/>
      <w:lvlText w:val=""/>
      <w:lvlJc w:val="left"/>
      <w:pPr>
        <w:ind w:left="3141" w:hanging="360"/>
      </w:pPr>
      <w:rPr>
        <w:rFonts w:ascii="Symbol" w:hAnsi="Symbol"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15:restartNumberingAfterBreak="0">
    <w:nsid w:val="78D26F45"/>
    <w:multiLevelType w:val="hybridMultilevel"/>
    <w:tmpl w:val="14A6910E"/>
    <w:lvl w:ilvl="0" w:tplc="737481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306425"/>
    <w:multiLevelType w:val="hybridMultilevel"/>
    <w:tmpl w:val="76F27DB0"/>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30" w15:restartNumberingAfterBreak="0">
    <w:nsid w:val="7BAD63F2"/>
    <w:multiLevelType w:val="hybridMultilevel"/>
    <w:tmpl w:val="0032D40A"/>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16cid:durableId="405029608">
    <w:abstractNumId w:val="0"/>
  </w:num>
  <w:num w:numId="2" w16cid:durableId="289551466">
    <w:abstractNumId w:val="23"/>
  </w:num>
  <w:num w:numId="3" w16cid:durableId="725492218">
    <w:abstractNumId w:val="2"/>
  </w:num>
  <w:num w:numId="4" w16cid:durableId="1199974146">
    <w:abstractNumId w:val="27"/>
  </w:num>
  <w:num w:numId="5" w16cid:durableId="1943953358">
    <w:abstractNumId w:val="25"/>
  </w:num>
  <w:num w:numId="6" w16cid:durableId="2122064864">
    <w:abstractNumId w:val="20"/>
  </w:num>
  <w:num w:numId="7" w16cid:durableId="1686059657">
    <w:abstractNumId w:val="30"/>
  </w:num>
  <w:num w:numId="8" w16cid:durableId="2106031218">
    <w:abstractNumId w:val="29"/>
  </w:num>
  <w:num w:numId="9" w16cid:durableId="1631593501">
    <w:abstractNumId w:val="26"/>
  </w:num>
  <w:num w:numId="10" w16cid:durableId="880820398">
    <w:abstractNumId w:val="1"/>
  </w:num>
  <w:num w:numId="11" w16cid:durableId="1805460623">
    <w:abstractNumId w:val="21"/>
  </w:num>
  <w:num w:numId="12" w16cid:durableId="1278295580">
    <w:abstractNumId w:val="9"/>
  </w:num>
  <w:num w:numId="13" w16cid:durableId="1073241234">
    <w:abstractNumId w:val="13"/>
  </w:num>
  <w:num w:numId="14" w16cid:durableId="991643281">
    <w:abstractNumId w:val="6"/>
  </w:num>
  <w:num w:numId="15" w16cid:durableId="763499497">
    <w:abstractNumId w:val="16"/>
  </w:num>
  <w:num w:numId="16" w16cid:durableId="1442064000">
    <w:abstractNumId w:val="19"/>
  </w:num>
  <w:num w:numId="17" w16cid:durableId="1404713968">
    <w:abstractNumId w:val="14"/>
    <w:lvlOverride w:ilvl="0">
      <w:startOverride w:val="1"/>
    </w:lvlOverride>
    <w:lvlOverride w:ilvl="1"/>
    <w:lvlOverride w:ilvl="2"/>
    <w:lvlOverride w:ilvl="3"/>
    <w:lvlOverride w:ilvl="4"/>
    <w:lvlOverride w:ilvl="5"/>
    <w:lvlOverride w:ilvl="6"/>
    <w:lvlOverride w:ilvl="7"/>
    <w:lvlOverride w:ilvl="8"/>
  </w:num>
  <w:num w:numId="18" w16cid:durableId="400753763">
    <w:abstractNumId w:val="18"/>
  </w:num>
  <w:num w:numId="19" w16cid:durableId="1700928593">
    <w:abstractNumId w:val="28"/>
  </w:num>
  <w:num w:numId="20" w16cid:durableId="1221592567">
    <w:abstractNumId w:val="11"/>
  </w:num>
  <w:num w:numId="21" w16cid:durableId="610094762">
    <w:abstractNumId w:val="17"/>
  </w:num>
  <w:num w:numId="22" w16cid:durableId="1329989126">
    <w:abstractNumId w:val="10"/>
  </w:num>
  <w:num w:numId="23" w16cid:durableId="1781531301">
    <w:abstractNumId w:val="5"/>
  </w:num>
  <w:num w:numId="24" w16cid:durableId="1057701934">
    <w:abstractNumId w:val="8"/>
  </w:num>
  <w:num w:numId="25" w16cid:durableId="807170322">
    <w:abstractNumId w:val="12"/>
  </w:num>
  <w:num w:numId="26" w16cid:durableId="636448773">
    <w:abstractNumId w:val="7"/>
  </w:num>
  <w:num w:numId="27" w16cid:durableId="103692418">
    <w:abstractNumId w:val="22"/>
  </w:num>
  <w:num w:numId="28" w16cid:durableId="534317793">
    <w:abstractNumId w:val="15"/>
  </w:num>
  <w:num w:numId="29" w16cid:durableId="1652442061">
    <w:abstractNumId w:val="3"/>
  </w:num>
  <w:num w:numId="30" w16cid:durableId="1737321039">
    <w:abstractNumId w:val="24"/>
  </w:num>
  <w:num w:numId="31" w16cid:durableId="70079019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19"/>
    <w:rsid w:val="00000AA0"/>
    <w:rsid w:val="00001BEA"/>
    <w:rsid w:val="00003556"/>
    <w:rsid w:val="000040F6"/>
    <w:rsid w:val="00004EAD"/>
    <w:rsid w:val="00012604"/>
    <w:rsid w:val="00015C29"/>
    <w:rsid w:val="0002754C"/>
    <w:rsid w:val="00027757"/>
    <w:rsid w:val="00030A08"/>
    <w:rsid w:val="00036AD5"/>
    <w:rsid w:val="00041B87"/>
    <w:rsid w:val="00050F6B"/>
    <w:rsid w:val="00052170"/>
    <w:rsid w:val="00052CFD"/>
    <w:rsid w:val="00056DD2"/>
    <w:rsid w:val="00060914"/>
    <w:rsid w:val="00061177"/>
    <w:rsid w:val="00062DFF"/>
    <w:rsid w:val="00072C8C"/>
    <w:rsid w:val="00074141"/>
    <w:rsid w:val="000742CE"/>
    <w:rsid w:val="000751A9"/>
    <w:rsid w:val="00080BEE"/>
    <w:rsid w:val="000814DD"/>
    <w:rsid w:val="000860C9"/>
    <w:rsid w:val="00087B0F"/>
    <w:rsid w:val="000931C0"/>
    <w:rsid w:val="0009332D"/>
    <w:rsid w:val="000A1C74"/>
    <w:rsid w:val="000A676A"/>
    <w:rsid w:val="000A7893"/>
    <w:rsid w:val="000B175B"/>
    <w:rsid w:val="000B29EE"/>
    <w:rsid w:val="000B39DD"/>
    <w:rsid w:val="000B3A0F"/>
    <w:rsid w:val="000B633B"/>
    <w:rsid w:val="000C23D9"/>
    <w:rsid w:val="000D7A66"/>
    <w:rsid w:val="000D7FF2"/>
    <w:rsid w:val="000E0415"/>
    <w:rsid w:val="000E0EFF"/>
    <w:rsid w:val="000E399A"/>
    <w:rsid w:val="000E7BA5"/>
    <w:rsid w:val="000F1826"/>
    <w:rsid w:val="000F49D0"/>
    <w:rsid w:val="000F6AEA"/>
    <w:rsid w:val="00101047"/>
    <w:rsid w:val="00106470"/>
    <w:rsid w:val="001149F4"/>
    <w:rsid w:val="00114E0C"/>
    <w:rsid w:val="001171AF"/>
    <w:rsid w:val="001220B8"/>
    <w:rsid w:val="0012433F"/>
    <w:rsid w:val="0012583B"/>
    <w:rsid w:val="0013349B"/>
    <w:rsid w:val="00134EB5"/>
    <w:rsid w:val="00141119"/>
    <w:rsid w:val="00141FDD"/>
    <w:rsid w:val="00143647"/>
    <w:rsid w:val="001445F7"/>
    <w:rsid w:val="001474E8"/>
    <w:rsid w:val="00150006"/>
    <w:rsid w:val="00151BC8"/>
    <w:rsid w:val="00153BF9"/>
    <w:rsid w:val="0016320C"/>
    <w:rsid w:val="00165C5D"/>
    <w:rsid w:val="00180DF0"/>
    <w:rsid w:val="00183078"/>
    <w:rsid w:val="00183792"/>
    <w:rsid w:val="001837B2"/>
    <w:rsid w:val="00185F9B"/>
    <w:rsid w:val="00186BF1"/>
    <w:rsid w:val="00191FB0"/>
    <w:rsid w:val="001945FB"/>
    <w:rsid w:val="00195788"/>
    <w:rsid w:val="001A463C"/>
    <w:rsid w:val="001B1C4E"/>
    <w:rsid w:val="001B2714"/>
    <w:rsid w:val="001B42FB"/>
    <w:rsid w:val="001B4B04"/>
    <w:rsid w:val="001B71F9"/>
    <w:rsid w:val="001C1DC2"/>
    <w:rsid w:val="001C291C"/>
    <w:rsid w:val="001C37B0"/>
    <w:rsid w:val="001C3C67"/>
    <w:rsid w:val="001C423F"/>
    <w:rsid w:val="001C6663"/>
    <w:rsid w:val="001C7895"/>
    <w:rsid w:val="001D26DF"/>
    <w:rsid w:val="001D3608"/>
    <w:rsid w:val="001D5A3B"/>
    <w:rsid w:val="001D68AF"/>
    <w:rsid w:val="001E4F46"/>
    <w:rsid w:val="001E77F4"/>
    <w:rsid w:val="001F53F0"/>
    <w:rsid w:val="001F68A9"/>
    <w:rsid w:val="001F6AF3"/>
    <w:rsid w:val="00211E0B"/>
    <w:rsid w:val="00215CB5"/>
    <w:rsid w:val="00215CFC"/>
    <w:rsid w:val="00222E25"/>
    <w:rsid w:val="0022496B"/>
    <w:rsid w:val="002342B8"/>
    <w:rsid w:val="00236183"/>
    <w:rsid w:val="002405A7"/>
    <w:rsid w:val="00243B3D"/>
    <w:rsid w:val="00244AE1"/>
    <w:rsid w:val="00250ED0"/>
    <w:rsid w:val="00253BBF"/>
    <w:rsid w:val="00261256"/>
    <w:rsid w:val="002631B7"/>
    <w:rsid w:val="00263B2A"/>
    <w:rsid w:val="00264F05"/>
    <w:rsid w:val="00266871"/>
    <w:rsid w:val="00267E7C"/>
    <w:rsid w:val="00273246"/>
    <w:rsid w:val="00273784"/>
    <w:rsid w:val="00277050"/>
    <w:rsid w:val="00283ABC"/>
    <w:rsid w:val="00285531"/>
    <w:rsid w:val="0029614A"/>
    <w:rsid w:val="00297B0F"/>
    <w:rsid w:val="002A6515"/>
    <w:rsid w:val="002A6D67"/>
    <w:rsid w:val="002A73C4"/>
    <w:rsid w:val="002B200D"/>
    <w:rsid w:val="002B2900"/>
    <w:rsid w:val="002B31BE"/>
    <w:rsid w:val="002B439A"/>
    <w:rsid w:val="002B52A4"/>
    <w:rsid w:val="002B52AB"/>
    <w:rsid w:val="002B712B"/>
    <w:rsid w:val="002C4696"/>
    <w:rsid w:val="002C4E84"/>
    <w:rsid w:val="002C62B2"/>
    <w:rsid w:val="002D1F0C"/>
    <w:rsid w:val="002D276F"/>
    <w:rsid w:val="002D321C"/>
    <w:rsid w:val="002D3FBE"/>
    <w:rsid w:val="002D4294"/>
    <w:rsid w:val="002D4D67"/>
    <w:rsid w:val="002E00EA"/>
    <w:rsid w:val="002E2859"/>
    <w:rsid w:val="002E3493"/>
    <w:rsid w:val="002E5EDD"/>
    <w:rsid w:val="002F0E9F"/>
    <w:rsid w:val="0030047D"/>
    <w:rsid w:val="00301C31"/>
    <w:rsid w:val="00305707"/>
    <w:rsid w:val="00307576"/>
    <w:rsid w:val="003107FA"/>
    <w:rsid w:val="003138B9"/>
    <w:rsid w:val="003229D8"/>
    <w:rsid w:val="003233DB"/>
    <w:rsid w:val="00325537"/>
    <w:rsid w:val="003315C1"/>
    <w:rsid w:val="00336629"/>
    <w:rsid w:val="003367FC"/>
    <w:rsid w:val="0033745A"/>
    <w:rsid w:val="0034122D"/>
    <w:rsid w:val="00344AF8"/>
    <w:rsid w:val="00356130"/>
    <w:rsid w:val="003620B8"/>
    <w:rsid w:val="00364F2A"/>
    <w:rsid w:val="00371DF1"/>
    <w:rsid w:val="00376BAB"/>
    <w:rsid w:val="003817D0"/>
    <w:rsid w:val="00381801"/>
    <w:rsid w:val="00382CBB"/>
    <w:rsid w:val="00391986"/>
    <w:rsid w:val="0039277A"/>
    <w:rsid w:val="00393C0F"/>
    <w:rsid w:val="00395170"/>
    <w:rsid w:val="00396669"/>
    <w:rsid w:val="003972E0"/>
    <w:rsid w:val="0039739E"/>
    <w:rsid w:val="003A2604"/>
    <w:rsid w:val="003A2FD1"/>
    <w:rsid w:val="003A630D"/>
    <w:rsid w:val="003A667B"/>
    <w:rsid w:val="003A6711"/>
    <w:rsid w:val="003A7AC8"/>
    <w:rsid w:val="003B5342"/>
    <w:rsid w:val="003C2133"/>
    <w:rsid w:val="003C2CC4"/>
    <w:rsid w:val="003C3936"/>
    <w:rsid w:val="003C5A54"/>
    <w:rsid w:val="003C653E"/>
    <w:rsid w:val="003D4B23"/>
    <w:rsid w:val="003E3C6D"/>
    <w:rsid w:val="003E4578"/>
    <w:rsid w:val="003E4C2A"/>
    <w:rsid w:val="003E5829"/>
    <w:rsid w:val="003E6834"/>
    <w:rsid w:val="003E6C83"/>
    <w:rsid w:val="003E7E6D"/>
    <w:rsid w:val="003F0CE8"/>
    <w:rsid w:val="003F1ED3"/>
    <w:rsid w:val="003F2B68"/>
    <w:rsid w:val="0041036E"/>
    <w:rsid w:val="00414A68"/>
    <w:rsid w:val="00422176"/>
    <w:rsid w:val="0042501B"/>
    <w:rsid w:val="004250A5"/>
    <w:rsid w:val="00426B1E"/>
    <w:rsid w:val="00432192"/>
    <w:rsid w:val="004325CB"/>
    <w:rsid w:val="00435D3F"/>
    <w:rsid w:val="00436C3F"/>
    <w:rsid w:val="00437976"/>
    <w:rsid w:val="004418D3"/>
    <w:rsid w:val="00441B8A"/>
    <w:rsid w:val="00443B7D"/>
    <w:rsid w:val="00444FD7"/>
    <w:rsid w:val="00445C6A"/>
    <w:rsid w:val="00446DE4"/>
    <w:rsid w:val="00447101"/>
    <w:rsid w:val="00450746"/>
    <w:rsid w:val="00451C94"/>
    <w:rsid w:val="00452C96"/>
    <w:rsid w:val="00454CCA"/>
    <w:rsid w:val="0045576A"/>
    <w:rsid w:val="00460DDE"/>
    <w:rsid w:val="00461A40"/>
    <w:rsid w:val="004669E0"/>
    <w:rsid w:val="0046753C"/>
    <w:rsid w:val="0046760C"/>
    <w:rsid w:val="00474A05"/>
    <w:rsid w:val="00484D11"/>
    <w:rsid w:val="00490347"/>
    <w:rsid w:val="00491CA2"/>
    <w:rsid w:val="0049330C"/>
    <w:rsid w:val="004947A8"/>
    <w:rsid w:val="00495DA6"/>
    <w:rsid w:val="004A41CA"/>
    <w:rsid w:val="004A63D5"/>
    <w:rsid w:val="004A69F0"/>
    <w:rsid w:val="004A7A11"/>
    <w:rsid w:val="004B3105"/>
    <w:rsid w:val="004B3C5C"/>
    <w:rsid w:val="004B6326"/>
    <w:rsid w:val="004B7D48"/>
    <w:rsid w:val="004C1052"/>
    <w:rsid w:val="004C18BF"/>
    <w:rsid w:val="004C2EAE"/>
    <w:rsid w:val="004C408B"/>
    <w:rsid w:val="004C5A99"/>
    <w:rsid w:val="004C5C96"/>
    <w:rsid w:val="004C77B8"/>
    <w:rsid w:val="004D65FF"/>
    <w:rsid w:val="004E239C"/>
    <w:rsid w:val="004E2CE5"/>
    <w:rsid w:val="004E4C55"/>
    <w:rsid w:val="004E4E58"/>
    <w:rsid w:val="004E5AAB"/>
    <w:rsid w:val="004E60B1"/>
    <w:rsid w:val="004F2306"/>
    <w:rsid w:val="004F3C34"/>
    <w:rsid w:val="004F54A3"/>
    <w:rsid w:val="004F73CF"/>
    <w:rsid w:val="00503228"/>
    <w:rsid w:val="00503AA4"/>
    <w:rsid w:val="005050D4"/>
    <w:rsid w:val="00505384"/>
    <w:rsid w:val="00505D2E"/>
    <w:rsid w:val="0050621B"/>
    <w:rsid w:val="00507F89"/>
    <w:rsid w:val="0051069E"/>
    <w:rsid w:val="00516335"/>
    <w:rsid w:val="005173FA"/>
    <w:rsid w:val="00520D6A"/>
    <w:rsid w:val="00521342"/>
    <w:rsid w:val="00522B97"/>
    <w:rsid w:val="0052748F"/>
    <w:rsid w:val="00533585"/>
    <w:rsid w:val="00534DF5"/>
    <w:rsid w:val="005405AC"/>
    <w:rsid w:val="005420F2"/>
    <w:rsid w:val="0054566E"/>
    <w:rsid w:val="00551530"/>
    <w:rsid w:val="005551EF"/>
    <w:rsid w:val="005552A9"/>
    <w:rsid w:val="00556689"/>
    <w:rsid w:val="00562030"/>
    <w:rsid w:val="00563573"/>
    <w:rsid w:val="00564D75"/>
    <w:rsid w:val="005653DB"/>
    <w:rsid w:val="0057736B"/>
    <w:rsid w:val="005863C3"/>
    <w:rsid w:val="0058795D"/>
    <w:rsid w:val="005A6856"/>
    <w:rsid w:val="005A6FC6"/>
    <w:rsid w:val="005B0DF3"/>
    <w:rsid w:val="005B1F2C"/>
    <w:rsid w:val="005B3DB3"/>
    <w:rsid w:val="005C194E"/>
    <w:rsid w:val="005C2EBD"/>
    <w:rsid w:val="005C4E7E"/>
    <w:rsid w:val="005D1186"/>
    <w:rsid w:val="005D1DB7"/>
    <w:rsid w:val="005D2BB6"/>
    <w:rsid w:val="005D4F04"/>
    <w:rsid w:val="005D5459"/>
    <w:rsid w:val="005E128E"/>
    <w:rsid w:val="005E42B7"/>
    <w:rsid w:val="005F05CB"/>
    <w:rsid w:val="005F7D58"/>
    <w:rsid w:val="0060281E"/>
    <w:rsid w:val="00604B4C"/>
    <w:rsid w:val="00607D1D"/>
    <w:rsid w:val="006116D7"/>
    <w:rsid w:val="00611FC4"/>
    <w:rsid w:val="006139FC"/>
    <w:rsid w:val="00613C3F"/>
    <w:rsid w:val="00615D1F"/>
    <w:rsid w:val="006176FB"/>
    <w:rsid w:val="00624497"/>
    <w:rsid w:val="006248C0"/>
    <w:rsid w:val="006250C8"/>
    <w:rsid w:val="00627ED0"/>
    <w:rsid w:val="006303F8"/>
    <w:rsid w:val="00640B26"/>
    <w:rsid w:val="006528B8"/>
    <w:rsid w:val="00654E59"/>
    <w:rsid w:val="006551EC"/>
    <w:rsid w:val="0066011C"/>
    <w:rsid w:val="006621B5"/>
    <w:rsid w:val="006646C9"/>
    <w:rsid w:val="00665595"/>
    <w:rsid w:val="00666DE8"/>
    <w:rsid w:val="00670655"/>
    <w:rsid w:val="0067137D"/>
    <w:rsid w:val="00672620"/>
    <w:rsid w:val="006767D2"/>
    <w:rsid w:val="0068499F"/>
    <w:rsid w:val="0068562C"/>
    <w:rsid w:val="00685E72"/>
    <w:rsid w:val="006864FF"/>
    <w:rsid w:val="00687360"/>
    <w:rsid w:val="006874A5"/>
    <w:rsid w:val="00687A66"/>
    <w:rsid w:val="00690553"/>
    <w:rsid w:val="00690F21"/>
    <w:rsid w:val="00697F35"/>
    <w:rsid w:val="006A1748"/>
    <w:rsid w:val="006A31FD"/>
    <w:rsid w:val="006A7392"/>
    <w:rsid w:val="006B26F3"/>
    <w:rsid w:val="006C1E97"/>
    <w:rsid w:val="006C386C"/>
    <w:rsid w:val="006C6F76"/>
    <w:rsid w:val="006E2804"/>
    <w:rsid w:val="006E564B"/>
    <w:rsid w:val="006E6FFD"/>
    <w:rsid w:val="0070412C"/>
    <w:rsid w:val="00705CAB"/>
    <w:rsid w:val="0070688D"/>
    <w:rsid w:val="00707FB1"/>
    <w:rsid w:val="00711067"/>
    <w:rsid w:val="00712CDF"/>
    <w:rsid w:val="00714AEC"/>
    <w:rsid w:val="00717997"/>
    <w:rsid w:val="0072632A"/>
    <w:rsid w:val="00732170"/>
    <w:rsid w:val="007331B0"/>
    <w:rsid w:val="007335DE"/>
    <w:rsid w:val="00743CD6"/>
    <w:rsid w:val="00744DC1"/>
    <w:rsid w:val="00750010"/>
    <w:rsid w:val="00751E3F"/>
    <w:rsid w:val="0075267B"/>
    <w:rsid w:val="0076286D"/>
    <w:rsid w:val="00763E37"/>
    <w:rsid w:val="007678AE"/>
    <w:rsid w:val="00767CB4"/>
    <w:rsid w:val="0077020E"/>
    <w:rsid w:val="00775656"/>
    <w:rsid w:val="00777878"/>
    <w:rsid w:val="00780FAA"/>
    <w:rsid w:val="00782FBA"/>
    <w:rsid w:val="007873CE"/>
    <w:rsid w:val="007902D7"/>
    <w:rsid w:val="0079468E"/>
    <w:rsid w:val="007950E8"/>
    <w:rsid w:val="00796DAD"/>
    <w:rsid w:val="007A01EE"/>
    <w:rsid w:val="007B2B19"/>
    <w:rsid w:val="007B6BA5"/>
    <w:rsid w:val="007C3390"/>
    <w:rsid w:val="007C3DC6"/>
    <w:rsid w:val="007C4F4B"/>
    <w:rsid w:val="007C554F"/>
    <w:rsid w:val="007C75B6"/>
    <w:rsid w:val="007D36D3"/>
    <w:rsid w:val="007D3ED0"/>
    <w:rsid w:val="007D7322"/>
    <w:rsid w:val="007E4273"/>
    <w:rsid w:val="007E7611"/>
    <w:rsid w:val="007F0B83"/>
    <w:rsid w:val="007F0CDA"/>
    <w:rsid w:val="007F1FE8"/>
    <w:rsid w:val="007F6611"/>
    <w:rsid w:val="008022D8"/>
    <w:rsid w:val="00802D2F"/>
    <w:rsid w:val="00803198"/>
    <w:rsid w:val="00803BA5"/>
    <w:rsid w:val="008175E9"/>
    <w:rsid w:val="008221B9"/>
    <w:rsid w:val="008242D7"/>
    <w:rsid w:val="00827753"/>
    <w:rsid w:val="00827E05"/>
    <w:rsid w:val="008311A3"/>
    <w:rsid w:val="00833608"/>
    <w:rsid w:val="00842BAB"/>
    <w:rsid w:val="00850B7E"/>
    <w:rsid w:val="008555E5"/>
    <w:rsid w:val="00857D06"/>
    <w:rsid w:val="0086123C"/>
    <w:rsid w:val="00864923"/>
    <w:rsid w:val="00871FD5"/>
    <w:rsid w:val="008736E8"/>
    <w:rsid w:val="008760AB"/>
    <w:rsid w:val="008810D4"/>
    <w:rsid w:val="00882616"/>
    <w:rsid w:val="008827C5"/>
    <w:rsid w:val="00883CA5"/>
    <w:rsid w:val="00883D7B"/>
    <w:rsid w:val="00885DBC"/>
    <w:rsid w:val="00890DD9"/>
    <w:rsid w:val="008979A4"/>
    <w:rsid w:val="008979B1"/>
    <w:rsid w:val="008A6B25"/>
    <w:rsid w:val="008A6C4F"/>
    <w:rsid w:val="008A71EA"/>
    <w:rsid w:val="008A7A59"/>
    <w:rsid w:val="008B34B8"/>
    <w:rsid w:val="008B39BA"/>
    <w:rsid w:val="008B5488"/>
    <w:rsid w:val="008B718B"/>
    <w:rsid w:val="008C35EA"/>
    <w:rsid w:val="008C6DF3"/>
    <w:rsid w:val="008C7F60"/>
    <w:rsid w:val="008D364A"/>
    <w:rsid w:val="008E07D5"/>
    <w:rsid w:val="008E0E46"/>
    <w:rsid w:val="008E4189"/>
    <w:rsid w:val="008E76D0"/>
    <w:rsid w:val="008F4D8F"/>
    <w:rsid w:val="008F5688"/>
    <w:rsid w:val="0090508E"/>
    <w:rsid w:val="00907AD2"/>
    <w:rsid w:val="009146CB"/>
    <w:rsid w:val="0092302A"/>
    <w:rsid w:val="00924A1C"/>
    <w:rsid w:val="00925EAC"/>
    <w:rsid w:val="00927717"/>
    <w:rsid w:val="009332EA"/>
    <w:rsid w:val="00933D12"/>
    <w:rsid w:val="009348DF"/>
    <w:rsid w:val="00935408"/>
    <w:rsid w:val="00935988"/>
    <w:rsid w:val="009368EC"/>
    <w:rsid w:val="00940F97"/>
    <w:rsid w:val="00945B9C"/>
    <w:rsid w:val="0094739F"/>
    <w:rsid w:val="00947C23"/>
    <w:rsid w:val="009508EB"/>
    <w:rsid w:val="00960C10"/>
    <w:rsid w:val="009616CB"/>
    <w:rsid w:val="00963CBA"/>
    <w:rsid w:val="00972218"/>
    <w:rsid w:val="0097294A"/>
    <w:rsid w:val="00972B29"/>
    <w:rsid w:val="00974A8D"/>
    <w:rsid w:val="009755D2"/>
    <w:rsid w:val="00975723"/>
    <w:rsid w:val="00977C08"/>
    <w:rsid w:val="00980493"/>
    <w:rsid w:val="00982821"/>
    <w:rsid w:val="00986682"/>
    <w:rsid w:val="00987DDC"/>
    <w:rsid w:val="00991261"/>
    <w:rsid w:val="00996CA4"/>
    <w:rsid w:val="00997CF2"/>
    <w:rsid w:val="009A2524"/>
    <w:rsid w:val="009A53A3"/>
    <w:rsid w:val="009A67A1"/>
    <w:rsid w:val="009C30F4"/>
    <w:rsid w:val="009C4FC1"/>
    <w:rsid w:val="009C5C77"/>
    <w:rsid w:val="009C5D5A"/>
    <w:rsid w:val="009D3982"/>
    <w:rsid w:val="009D5B03"/>
    <w:rsid w:val="009D66A8"/>
    <w:rsid w:val="009D6B8C"/>
    <w:rsid w:val="009F15BC"/>
    <w:rsid w:val="009F3A17"/>
    <w:rsid w:val="009F42AC"/>
    <w:rsid w:val="009F7824"/>
    <w:rsid w:val="00A0262C"/>
    <w:rsid w:val="00A029B7"/>
    <w:rsid w:val="00A03AA9"/>
    <w:rsid w:val="00A05E61"/>
    <w:rsid w:val="00A06B32"/>
    <w:rsid w:val="00A07F43"/>
    <w:rsid w:val="00A1427D"/>
    <w:rsid w:val="00A17D4C"/>
    <w:rsid w:val="00A216BF"/>
    <w:rsid w:val="00A2262D"/>
    <w:rsid w:val="00A2307A"/>
    <w:rsid w:val="00A26608"/>
    <w:rsid w:val="00A2715E"/>
    <w:rsid w:val="00A27F8E"/>
    <w:rsid w:val="00A333D3"/>
    <w:rsid w:val="00A3633B"/>
    <w:rsid w:val="00A408A5"/>
    <w:rsid w:val="00A419AF"/>
    <w:rsid w:val="00A42EF3"/>
    <w:rsid w:val="00A43371"/>
    <w:rsid w:val="00A537BC"/>
    <w:rsid w:val="00A64103"/>
    <w:rsid w:val="00A64C2F"/>
    <w:rsid w:val="00A67C3B"/>
    <w:rsid w:val="00A70715"/>
    <w:rsid w:val="00A70892"/>
    <w:rsid w:val="00A71506"/>
    <w:rsid w:val="00A72F22"/>
    <w:rsid w:val="00A748A6"/>
    <w:rsid w:val="00A85956"/>
    <w:rsid w:val="00A85C99"/>
    <w:rsid w:val="00A86234"/>
    <w:rsid w:val="00A86AEB"/>
    <w:rsid w:val="00A879A4"/>
    <w:rsid w:val="00A94370"/>
    <w:rsid w:val="00AA0B3F"/>
    <w:rsid w:val="00AA110C"/>
    <w:rsid w:val="00AA13C7"/>
    <w:rsid w:val="00AA6C82"/>
    <w:rsid w:val="00AB1EA7"/>
    <w:rsid w:val="00AB6BDC"/>
    <w:rsid w:val="00AC03FE"/>
    <w:rsid w:val="00AC67AC"/>
    <w:rsid w:val="00AD586F"/>
    <w:rsid w:val="00AE0917"/>
    <w:rsid w:val="00AE44B9"/>
    <w:rsid w:val="00AF1864"/>
    <w:rsid w:val="00AF2241"/>
    <w:rsid w:val="00AF3F81"/>
    <w:rsid w:val="00B0041B"/>
    <w:rsid w:val="00B00BCF"/>
    <w:rsid w:val="00B00DED"/>
    <w:rsid w:val="00B0609C"/>
    <w:rsid w:val="00B1228A"/>
    <w:rsid w:val="00B1365A"/>
    <w:rsid w:val="00B1558B"/>
    <w:rsid w:val="00B17B26"/>
    <w:rsid w:val="00B30179"/>
    <w:rsid w:val="00B30B74"/>
    <w:rsid w:val="00B31B48"/>
    <w:rsid w:val="00B33EC0"/>
    <w:rsid w:val="00B40A61"/>
    <w:rsid w:val="00B45F5D"/>
    <w:rsid w:val="00B47035"/>
    <w:rsid w:val="00B479D8"/>
    <w:rsid w:val="00B5063F"/>
    <w:rsid w:val="00B510C1"/>
    <w:rsid w:val="00B52456"/>
    <w:rsid w:val="00B53B88"/>
    <w:rsid w:val="00B55BCC"/>
    <w:rsid w:val="00B6243D"/>
    <w:rsid w:val="00B66E19"/>
    <w:rsid w:val="00B67B40"/>
    <w:rsid w:val="00B7133E"/>
    <w:rsid w:val="00B7328C"/>
    <w:rsid w:val="00B76AE6"/>
    <w:rsid w:val="00B77A93"/>
    <w:rsid w:val="00B80AD9"/>
    <w:rsid w:val="00B81E12"/>
    <w:rsid w:val="00B8535F"/>
    <w:rsid w:val="00B879F8"/>
    <w:rsid w:val="00B90A97"/>
    <w:rsid w:val="00B91D7C"/>
    <w:rsid w:val="00B93916"/>
    <w:rsid w:val="00B95A90"/>
    <w:rsid w:val="00BB4AA1"/>
    <w:rsid w:val="00BB5E0B"/>
    <w:rsid w:val="00BC01F6"/>
    <w:rsid w:val="00BC2002"/>
    <w:rsid w:val="00BC2431"/>
    <w:rsid w:val="00BC4CA8"/>
    <w:rsid w:val="00BC4F53"/>
    <w:rsid w:val="00BC5159"/>
    <w:rsid w:val="00BC6119"/>
    <w:rsid w:val="00BC74E9"/>
    <w:rsid w:val="00BD2146"/>
    <w:rsid w:val="00BD25E5"/>
    <w:rsid w:val="00BD2F5B"/>
    <w:rsid w:val="00BD312A"/>
    <w:rsid w:val="00BD323B"/>
    <w:rsid w:val="00BD731C"/>
    <w:rsid w:val="00BE2A7D"/>
    <w:rsid w:val="00BE4F74"/>
    <w:rsid w:val="00BE618E"/>
    <w:rsid w:val="00BF1421"/>
    <w:rsid w:val="00BF1926"/>
    <w:rsid w:val="00BF1DDF"/>
    <w:rsid w:val="00BF2D64"/>
    <w:rsid w:val="00BF67AA"/>
    <w:rsid w:val="00C028EF"/>
    <w:rsid w:val="00C0682A"/>
    <w:rsid w:val="00C11289"/>
    <w:rsid w:val="00C13760"/>
    <w:rsid w:val="00C157C4"/>
    <w:rsid w:val="00C15BD2"/>
    <w:rsid w:val="00C17699"/>
    <w:rsid w:val="00C1791C"/>
    <w:rsid w:val="00C34BC0"/>
    <w:rsid w:val="00C3622D"/>
    <w:rsid w:val="00C4123A"/>
    <w:rsid w:val="00C41A28"/>
    <w:rsid w:val="00C43AC6"/>
    <w:rsid w:val="00C44A74"/>
    <w:rsid w:val="00C44C74"/>
    <w:rsid w:val="00C463DD"/>
    <w:rsid w:val="00C5193F"/>
    <w:rsid w:val="00C52B7A"/>
    <w:rsid w:val="00C5791E"/>
    <w:rsid w:val="00C64151"/>
    <w:rsid w:val="00C650B5"/>
    <w:rsid w:val="00C716F2"/>
    <w:rsid w:val="00C745C3"/>
    <w:rsid w:val="00C80483"/>
    <w:rsid w:val="00C80D80"/>
    <w:rsid w:val="00C81504"/>
    <w:rsid w:val="00C85AA0"/>
    <w:rsid w:val="00C86187"/>
    <w:rsid w:val="00C92B59"/>
    <w:rsid w:val="00C92FC4"/>
    <w:rsid w:val="00C95E20"/>
    <w:rsid w:val="00CA0305"/>
    <w:rsid w:val="00CA0F78"/>
    <w:rsid w:val="00CA0FDD"/>
    <w:rsid w:val="00CA22E9"/>
    <w:rsid w:val="00CA6CBA"/>
    <w:rsid w:val="00CB20E3"/>
    <w:rsid w:val="00CB6826"/>
    <w:rsid w:val="00CB6CA6"/>
    <w:rsid w:val="00CC0335"/>
    <w:rsid w:val="00CC1383"/>
    <w:rsid w:val="00CC6BA2"/>
    <w:rsid w:val="00CD2F24"/>
    <w:rsid w:val="00CD4A93"/>
    <w:rsid w:val="00CD5E00"/>
    <w:rsid w:val="00CE07FC"/>
    <w:rsid w:val="00CE0E5F"/>
    <w:rsid w:val="00CE4A8F"/>
    <w:rsid w:val="00CF297E"/>
    <w:rsid w:val="00CF31C5"/>
    <w:rsid w:val="00CF3822"/>
    <w:rsid w:val="00CF3CDE"/>
    <w:rsid w:val="00CF4F15"/>
    <w:rsid w:val="00D17401"/>
    <w:rsid w:val="00D2031B"/>
    <w:rsid w:val="00D2590E"/>
    <w:rsid w:val="00D25FE2"/>
    <w:rsid w:val="00D317BB"/>
    <w:rsid w:val="00D31A17"/>
    <w:rsid w:val="00D35BA9"/>
    <w:rsid w:val="00D366AA"/>
    <w:rsid w:val="00D375DB"/>
    <w:rsid w:val="00D413ED"/>
    <w:rsid w:val="00D42C2A"/>
    <w:rsid w:val="00D4324C"/>
    <w:rsid w:val="00D43252"/>
    <w:rsid w:val="00D4418B"/>
    <w:rsid w:val="00D47656"/>
    <w:rsid w:val="00D47DE0"/>
    <w:rsid w:val="00D5690F"/>
    <w:rsid w:val="00D56BAE"/>
    <w:rsid w:val="00D6417C"/>
    <w:rsid w:val="00D65D0E"/>
    <w:rsid w:val="00D7618F"/>
    <w:rsid w:val="00D804F4"/>
    <w:rsid w:val="00D8196C"/>
    <w:rsid w:val="00D83F1B"/>
    <w:rsid w:val="00D870F8"/>
    <w:rsid w:val="00D91CBF"/>
    <w:rsid w:val="00D93E12"/>
    <w:rsid w:val="00D9677E"/>
    <w:rsid w:val="00D978C6"/>
    <w:rsid w:val="00D9792F"/>
    <w:rsid w:val="00D97A31"/>
    <w:rsid w:val="00DA4315"/>
    <w:rsid w:val="00DA67AD"/>
    <w:rsid w:val="00DA6AF7"/>
    <w:rsid w:val="00DA6CB7"/>
    <w:rsid w:val="00DB1953"/>
    <w:rsid w:val="00DB2852"/>
    <w:rsid w:val="00DB5D0F"/>
    <w:rsid w:val="00DC0F64"/>
    <w:rsid w:val="00DC1017"/>
    <w:rsid w:val="00DC2375"/>
    <w:rsid w:val="00DC4752"/>
    <w:rsid w:val="00DC4A4F"/>
    <w:rsid w:val="00DD4879"/>
    <w:rsid w:val="00DD5807"/>
    <w:rsid w:val="00DE2C24"/>
    <w:rsid w:val="00DE447B"/>
    <w:rsid w:val="00DE647F"/>
    <w:rsid w:val="00DF08CD"/>
    <w:rsid w:val="00DF12F7"/>
    <w:rsid w:val="00DF6313"/>
    <w:rsid w:val="00DF687E"/>
    <w:rsid w:val="00E01E7B"/>
    <w:rsid w:val="00E02C81"/>
    <w:rsid w:val="00E04C08"/>
    <w:rsid w:val="00E11A0C"/>
    <w:rsid w:val="00E12A0C"/>
    <w:rsid w:val="00E12A2A"/>
    <w:rsid w:val="00E130AB"/>
    <w:rsid w:val="00E130CC"/>
    <w:rsid w:val="00E133E5"/>
    <w:rsid w:val="00E13B18"/>
    <w:rsid w:val="00E15059"/>
    <w:rsid w:val="00E21C0B"/>
    <w:rsid w:val="00E24BB5"/>
    <w:rsid w:val="00E276BC"/>
    <w:rsid w:val="00E333D8"/>
    <w:rsid w:val="00E3435D"/>
    <w:rsid w:val="00E34655"/>
    <w:rsid w:val="00E35FC6"/>
    <w:rsid w:val="00E422B9"/>
    <w:rsid w:val="00E509BC"/>
    <w:rsid w:val="00E53207"/>
    <w:rsid w:val="00E5379E"/>
    <w:rsid w:val="00E55D61"/>
    <w:rsid w:val="00E55DCA"/>
    <w:rsid w:val="00E60B9C"/>
    <w:rsid w:val="00E625D6"/>
    <w:rsid w:val="00E627C4"/>
    <w:rsid w:val="00E7150D"/>
    <w:rsid w:val="00E71914"/>
    <w:rsid w:val="00E71A01"/>
    <w:rsid w:val="00E7260F"/>
    <w:rsid w:val="00E7268A"/>
    <w:rsid w:val="00E728DC"/>
    <w:rsid w:val="00E73DBB"/>
    <w:rsid w:val="00E770FF"/>
    <w:rsid w:val="00E87921"/>
    <w:rsid w:val="00E91F31"/>
    <w:rsid w:val="00E96630"/>
    <w:rsid w:val="00EA215E"/>
    <w:rsid w:val="00EA264E"/>
    <w:rsid w:val="00EA464F"/>
    <w:rsid w:val="00EB51F0"/>
    <w:rsid w:val="00EB6204"/>
    <w:rsid w:val="00EC2CE2"/>
    <w:rsid w:val="00EC50E5"/>
    <w:rsid w:val="00EC54AC"/>
    <w:rsid w:val="00EC72B8"/>
    <w:rsid w:val="00EC76F0"/>
    <w:rsid w:val="00ED34C7"/>
    <w:rsid w:val="00ED5426"/>
    <w:rsid w:val="00ED7142"/>
    <w:rsid w:val="00ED7188"/>
    <w:rsid w:val="00ED7A2A"/>
    <w:rsid w:val="00EF068F"/>
    <w:rsid w:val="00EF0ED2"/>
    <w:rsid w:val="00EF1D7F"/>
    <w:rsid w:val="00EF2955"/>
    <w:rsid w:val="00EF452F"/>
    <w:rsid w:val="00EF7C28"/>
    <w:rsid w:val="00F00373"/>
    <w:rsid w:val="00F05DA3"/>
    <w:rsid w:val="00F104C0"/>
    <w:rsid w:val="00F11001"/>
    <w:rsid w:val="00F138E1"/>
    <w:rsid w:val="00F16DE5"/>
    <w:rsid w:val="00F242CE"/>
    <w:rsid w:val="00F249DF"/>
    <w:rsid w:val="00F33D2F"/>
    <w:rsid w:val="00F40E4F"/>
    <w:rsid w:val="00F44030"/>
    <w:rsid w:val="00F4432D"/>
    <w:rsid w:val="00F4549D"/>
    <w:rsid w:val="00F50F87"/>
    <w:rsid w:val="00F52219"/>
    <w:rsid w:val="00F53793"/>
    <w:rsid w:val="00F53EDA"/>
    <w:rsid w:val="00F60583"/>
    <w:rsid w:val="00F61AB4"/>
    <w:rsid w:val="00F6295B"/>
    <w:rsid w:val="00F70408"/>
    <w:rsid w:val="00F7753D"/>
    <w:rsid w:val="00F85F34"/>
    <w:rsid w:val="00F871A6"/>
    <w:rsid w:val="00F903CC"/>
    <w:rsid w:val="00F93379"/>
    <w:rsid w:val="00F93C91"/>
    <w:rsid w:val="00F96FF9"/>
    <w:rsid w:val="00FA06F7"/>
    <w:rsid w:val="00FA5861"/>
    <w:rsid w:val="00FB171A"/>
    <w:rsid w:val="00FB338F"/>
    <w:rsid w:val="00FB389E"/>
    <w:rsid w:val="00FC2625"/>
    <w:rsid w:val="00FC2A2F"/>
    <w:rsid w:val="00FC68B7"/>
    <w:rsid w:val="00FC70A1"/>
    <w:rsid w:val="00FD0C60"/>
    <w:rsid w:val="00FD7141"/>
    <w:rsid w:val="00FD7BF6"/>
    <w:rsid w:val="00FE5D08"/>
    <w:rsid w:val="00FE78FB"/>
    <w:rsid w:val="00FF44CE"/>
    <w:rsid w:val="00FF7D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4149"/>
  <w15:docId w15:val="{38E67654-130C-4CD8-B511-1EECF871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Head 1"/>
    <w:basedOn w:val="SingleTxtG"/>
    <w:next w:val="SingleTxtG"/>
    <w:link w:val="Heading1Char"/>
    <w:qFormat/>
    <w:rsid w:val="00503228"/>
    <w:pPr>
      <w:spacing w:after="0" w:line="240" w:lineRule="auto"/>
      <w:ind w:right="0"/>
      <w:jc w:val="left"/>
      <w:outlineLvl w:val="0"/>
    </w:pPr>
  </w:style>
  <w:style w:type="paragraph" w:styleId="Heading2">
    <w:name w:val="heading 2"/>
    <w:aliases w:val="H2,Heading,2,2 Char Carácter"/>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uiPriority w:val="9"/>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symbol,BVI fnr,16 Point,Superscript 6 Point,ftref,BVI fnr Car Car,BVI fnr Car,BVI fnr Car Car Car Car,Footnote text,Footnote Reference Number,Footnote Reference_LVL6,Footnote Reference_LVL61,Footnote Reference_LVL62,Ref"/>
    <w:link w:val="FNRefeCharChar"/>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single space,Footnote Text Char Char,Footnote Text Char Char Char,FOOTNOTES,fn,ADB,footnote text,Geneva 9,Font: Geneva 9,Boston 10,f,ft,Footnote Text Char Char Char Char Char Char Char Char Char Char,5_,ALTS FOOTNOTE"/>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775656"/>
    <w:rPr>
      <w:lang w:val="en-GB"/>
    </w:rPr>
  </w:style>
  <w:style w:type="paragraph" w:styleId="BalloonText">
    <w:name w:val="Balloon Text"/>
    <w:basedOn w:val="Normal"/>
    <w:link w:val="BalloonTextChar"/>
    <w:rsid w:val="00DE2C24"/>
    <w:pPr>
      <w:spacing w:line="240" w:lineRule="auto"/>
    </w:pPr>
    <w:rPr>
      <w:rFonts w:ascii="Tahoma" w:hAnsi="Tahoma" w:cs="Tahoma"/>
      <w:sz w:val="16"/>
      <w:szCs w:val="16"/>
    </w:rPr>
  </w:style>
  <w:style w:type="character" w:customStyle="1" w:styleId="BalloonTextChar">
    <w:name w:val="Balloon Text Char"/>
    <w:link w:val="BalloonText"/>
    <w:rsid w:val="00DE2C24"/>
    <w:rPr>
      <w:rFonts w:ascii="Tahoma" w:hAnsi="Tahoma" w:cs="Tahoma"/>
      <w:sz w:val="16"/>
      <w:szCs w:val="16"/>
      <w:lang w:eastAsia="en-US"/>
    </w:rPr>
  </w:style>
  <w:style w:type="paragraph" w:styleId="ListParagraph">
    <w:name w:val="List Paragraph"/>
    <w:basedOn w:val="Normal"/>
    <w:link w:val="ListParagraphChar"/>
    <w:uiPriority w:val="34"/>
    <w:qFormat/>
    <w:rsid w:val="008810D4"/>
    <w:pPr>
      <w:suppressAutoHyphens w:val="0"/>
      <w:spacing w:after="200" w:line="276" w:lineRule="auto"/>
      <w:ind w:left="720"/>
      <w:contextualSpacing/>
    </w:pPr>
    <w:rPr>
      <w:rFonts w:asciiTheme="minorHAnsi" w:eastAsiaTheme="minorEastAsia" w:hAnsiTheme="minorHAnsi" w:cstheme="minorBidi"/>
      <w:sz w:val="22"/>
      <w:szCs w:val="22"/>
      <w:lang w:val="en-US" w:eastAsia="pl-PL"/>
    </w:rPr>
  </w:style>
  <w:style w:type="character" w:customStyle="1" w:styleId="ListParagraphChar">
    <w:name w:val="List Paragraph Char"/>
    <w:basedOn w:val="DefaultParagraphFont"/>
    <w:link w:val="ListParagraph"/>
    <w:uiPriority w:val="34"/>
    <w:rsid w:val="008810D4"/>
    <w:rPr>
      <w:rFonts w:asciiTheme="minorHAnsi" w:eastAsiaTheme="minorEastAsia" w:hAnsiTheme="minorHAnsi" w:cstheme="minorBidi"/>
      <w:sz w:val="22"/>
      <w:szCs w:val="22"/>
      <w:lang w:eastAsia="pl-PL"/>
    </w:rPr>
  </w:style>
  <w:style w:type="paragraph" w:styleId="BodyText">
    <w:name w:val="Body Text"/>
    <w:basedOn w:val="Normal"/>
    <w:link w:val="BodyTextChar"/>
    <w:rsid w:val="008810D4"/>
    <w:pPr>
      <w:widowControl w:val="0"/>
      <w:spacing w:after="120" w:line="240" w:lineRule="auto"/>
    </w:pPr>
    <w:rPr>
      <w:rFonts w:ascii="Arial" w:hAnsi="Arial" w:cs="Arial"/>
      <w:bCs/>
      <w:kern w:val="2"/>
      <w:sz w:val="24"/>
      <w:szCs w:val="24"/>
      <w:lang w:val="en-US" w:eastAsia="cs-CZ"/>
    </w:rPr>
  </w:style>
  <w:style w:type="character" w:customStyle="1" w:styleId="BodyTextChar">
    <w:name w:val="Body Text Char"/>
    <w:basedOn w:val="DefaultParagraphFont"/>
    <w:link w:val="BodyText"/>
    <w:rsid w:val="008810D4"/>
    <w:rPr>
      <w:rFonts w:ascii="Arial" w:hAnsi="Arial" w:cs="Arial"/>
      <w:bCs/>
      <w:kern w:val="2"/>
      <w:sz w:val="24"/>
      <w:szCs w:val="24"/>
      <w:lang w:eastAsia="cs-CZ"/>
    </w:rPr>
  </w:style>
  <w:style w:type="paragraph" w:styleId="BodyText2">
    <w:name w:val="Body Text 2"/>
    <w:basedOn w:val="Normal"/>
    <w:link w:val="BodyText2Char"/>
    <w:rsid w:val="008810D4"/>
    <w:pPr>
      <w:suppressAutoHyphens w:val="0"/>
      <w:spacing w:after="120" w:line="480" w:lineRule="auto"/>
    </w:pPr>
    <w:rPr>
      <w:rFonts w:ascii="Calibri" w:hAnsi="Calibri"/>
      <w:sz w:val="22"/>
      <w:szCs w:val="22"/>
      <w:lang w:val="de-AT"/>
    </w:rPr>
  </w:style>
  <w:style w:type="character" w:customStyle="1" w:styleId="BodyText2Char">
    <w:name w:val="Body Text 2 Char"/>
    <w:basedOn w:val="DefaultParagraphFont"/>
    <w:link w:val="BodyText2"/>
    <w:rsid w:val="008810D4"/>
    <w:rPr>
      <w:rFonts w:ascii="Calibri" w:hAnsi="Calibri"/>
      <w:sz w:val="22"/>
      <w:szCs w:val="22"/>
      <w:lang w:val="de-AT"/>
    </w:rPr>
  </w:style>
  <w:style w:type="paragraph" w:customStyle="1" w:styleId="ListDash">
    <w:name w:val="List Dash"/>
    <w:basedOn w:val="Normal"/>
    <w:rsid w:val="008810D4"/>
    <w:pPr>
      <w:numPr>
        <w:numId w:val="17"/>
      </w:numPr>
      <w:suppressAutoHyphens w:val="0"/>
      <w:spacing w:line="240" w:lineRule="auto"/>
    </w:pPr>
    <w:rPr>
      <w:rFonts w:eastAsia="Batang"/>
      <w:sz w:val="24"/>
      <w:szCs w:val="24"/>
    </w:rPr>
  </w:style>
  <w:style w:type="character" w:customStyle="1" w:styleId="Heading6Char">
    <w:name w:val="Heading 6 Char"/>
    <w:basedOn w:val="DefaultParagraphFont"/>
    <w:link w:val="Heading6"/>
    <w:uiPriority w:val="9"/>
    <w:rsid w:val="008810D4"/>
    <w:rPr>
      <w:lang w:val="en-GB"/>
    </w:rPr>
  </w:style>
  <w:style w:type="paragraph" w:styleId="PlainText">
    <w:name w:val="Plain Text"/>
    <w:basedOn w:val="Normal"/>
    <w:link w:val="PlainTextChar"/>
    <w:uiPriority w:val="99"/>
    <w:unhideWhenUsed/>
    <w:rsid w:val="008810D4"/>
    <w:pPr>
      <w:suppressAutoHyphens w:val="0"/>
      <w:spacing w:line="240" w:lineRule="auto"/>
    </w:pPr>
    <w:rPr>
      <w:rFonts w:ascii="Consolas" w:eastAsia="Calibri" w:hAnsi="Consolas"/>
      <w:sz w:val="21"/>
      <w:szCs w:val="21"/>
      <w:lang w:val="de-AT"/>
    </w:rPr>
  </w:style>
  <w:style w:type="character" w:customStyle="1" w:styleId="PlainTextChar">
    <w:name w:val="Plain Text Char"/>
    <w:basedOn w:val="DefaultParagraphFont"/>
    <w:link w:val="PlainText"/>
    <w:uiPriority w:val="99"/>
    <w:rsid w:val="008810D4"/>
    <w:rPr>
      <w:rFonts w:ascii="Consolas" w:eastAsia="Calibri" w:hAnsi="Consolas"/>
      <w:sz w:val="21"/>
      <w:szCs w:val="21"/>
      <w:lang w:val="de-AT"/>
    </w:rPr>
  </w:style>
  <w:style w:type="character" w:styleId="CommentReference">
    <w:name w:val="annotation reference"/>
    <w:basedOn w:val="DefaultParagraphFont"/>
    <w:uiPriority w:val="99"/>
    <w:rsid w:val="000814DD"/>
    <w:rPr>
      <w:sz w:val="16"/>
      <w:szCs w:val="16"/>
    </w:rPr>
  </w:style>
  <w:style w:type="paragraph" w:styleId="CommentText">
    <w:name w:val="annotation text"/>
    <w:basedOn w:val="Normal"/>
    <w:link w:val="CommentTextChar"/>
    <w:uiPriority w:val="99"/>
    <w:rsid w:val="000814DD"/>
    <w:pPr>
      <w:spacing w:line="240" w:lineRule="auto"/>
    </w:pPr>
  </w:style>
  <w:style w:type="character" w:customStyle="1" w:styleId="CommentTextChar">
    <w:name w:val="Comment Text Char"/>
    <w:basedOn w:val="DefaultParagraphFont"/>
    <w:link w:val="CommentText"/>
    <w:uiPriority w:val="99"/>
    <w:rsid w:val="000814DD"/>
    <w:rPr>
      <w:lang w:val="en-GB"/>
    </w:rPr>
  </w:style>
  <w:style w:type="paragraph" w:styleId="CommentSubject">
    <w:name w:val="annotation subject"/>
    <w:basedOn w:val="CommentText"/>
    <w:next w:val="CommentText"/>
    <w:link w:val="CommentSubjectChar"/>
    <w:rsid w:val="000814DD"/>
    <w:rPr>
      <w:b/>
      <w:bCs/>
    </w:rPr>
  </w:style>
  <w:style w:type="character" w:customStyle="1" w:styleId="CommentSubjectChar">
    <w:name w:val="Comment Subject Char"/>
    <w:basedOn w:val="CommentTextChar"/>
    <w:link w:val="CommentSubject"/>
    <w:rsid w:val="000814DD"/>
    <w:rPr>
      <w:b/>
      <w:bCs/>
      <w:lang w:val="en-GB"/>
    </w:rPr>
  </w:style>
  <w:style w:type="paragraph" w:customStyle="1" w:styleId="Default">
    <w:name w:val="Default"/>
    <w:rsid w:val="00763E37"/>
    <w:pPr>
      <w:widowControl w:val="0"/>
      <w:autoSpaceDE w:val="0"/>
      <w:autoSpaceDN w:val="0"/>
      <w:adjustRightInd w:val="0"/>
    </w:pPr>
    <w:rPr>
      <w:rFonts w:ascii="Helvetica" w:hAnsi="Helvetica" w:cs="Helvetica"/>
      <w:color w:val="000000"/>
      <w:sz w:val="24"/>
      <w:szCs w:val="24"/>
    </w:rPr>
  </w:style>
  <w:style w:type="character" w:customStyle="1" w:styleId="Heading2Char">
    <w:name w:val="Heading 2 Char"/>
    <w:aliases w:val="H2 Char,Heading Char,2 Char,2 Char Carácter Char"/>
    <w:link w:val="Heading2"/>
    <w:rsid w:val="00763E37"/>
    <w:rPr>
      <w:lang w:val="en-GB"/>
    </w:rPr>
  </w:style>
  <w:style w:type="character" w:customStyle="1" w:styleId="FootnoteTextChar">
    <w:name w:val="Footnote Text Char"/>
    <w:aliases w:val="5_G Char,single space Char,Footnote Text Char Char Char1,Footnote Text Char Char Char Char,FOOTNOTES Char,fn Char,ADB Char,footnote text Char,Geneva 9 Char,Font: Geneva 9 Char,Boston 10 Char,f Char,ft Char,5_ Char,ALTS FOOTNOTE Char"/>
    <w:basedOn w:val="DefaultParagraphFont"/>
    <w:link w:val="FootnoteText"/>
    <w:uiPriority w:val="99"/>
    <w:qFormat/>
    <w:rsid w:val="00763E37"/>
    <w:rPr>
      <w:sz w:val="18"/>
      <w:lang w:val="en-GB"/>
    </w:rPr>
  </w:style>
  <w:style w:type="character" w:customStyle="1" w:styleId="Heading1Char">
    <w:name w:val="Heading 1 Char"/>
    <w:aliases w:val="Table_G Char,Head 1 Char"/>
    <w:basedOn w:val="DefaultParagraphFont"/>
    <w:link w:val="Heading1"/>
    <w:rsid w:val="00763E37"/>
    <w:rPr>
      <w:lang w:val="en-GB"/>
    </w:rPr>
  </w:style>
  <w:style w:type="paragraph" w:styleId="ListBullet">
    <w:name w:val="List Bullet"/>
    <w:basedOn w:val="Normal"/>
    <w:rsid w:val="00763E37"/>
    <w:pPr>
      <w:numPr>
        <w:numId w:val="21"/>
      </w:numPr>
      <w:tabs>
        <w:tab w:val="num" w:pos="360"/>
      </w:tabs>
      <w:suppressAutoHyphens w:val="0"/>
      <w:spacing w:after="200" w:line="276" w:lineRule="auto"/>
      <w:ind w:left="360"/>
    </w:pPr>
    <w:rPr>
      <w:rFonts w:ascii="Calibri" w:hAnsi="Calibri" w:cs="Calibri"/>
      <w:sz w:val="22"/>
      <w:szCs w:val="22"/>
    </w:rPr>
  </w:style>
  <w:style w:type="paragraph" w:customStyle="1" w:styleId="FNRefeCharChar">
    <w:name w:val="FNRefe Char Char"/>
    <w:aliases w:val=" BVI fnr Car Car Car Car Char Char Char Char Char, BVI fnr Car Car Char Char Char, BVI fnr Char Char Char,BVI fnr Car Car Car Car Char Char Char Char Char,BVI fnr Car Car Char Char Char,BVI fnr Car Char Char Char,BVI fnr Char Char"/>
    <w:basedOn w:val="Normal"/>
    <w:link w:val="FootnoteReference"/>
    <w:uiPriority w:val="99"/>
    <w:rsid w:val="00833608"/>
    <w:pPr>
      <w:suppressAutoHyphens w:val="0"/>
      <w:spacing w:line="240" w:lineRule="exact"/>
    </w:pPr>
    <w:rPr>
      <w:sz w:val="18"/>
      <w:vertAlign w:val="superscript"/>
      <w:lang w:val="en-US"/>
    </w:rPr>
  </w:style>
  <w:style w:type="character" w:styleId="UnresolvedMention">
    <w:name w:val="Unresolved Mention"/>
    <w:basedOn w:val="DefaultParagraphFont"/>
    <w:uiPriority w:val="99"/>
    <w:semiHidden/>
    <w:unhideWhenUsed/>
    <w:rsid w:val="00E15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74893">
      <w:bodyDiv w:val="1"/>
      <w:marLeft w:val="0"/>
      <w:marRight w:val="0"/>
      <w:marTop w:val="0"/>
      <w:marBottom w:val="0"/>
      <w:divBdr>
        <w:top w:val="none" w:sz="0" w:space="0" w:color="auto"/>
        <w:left w:val="none" w:sz="0" w:space="0" w:color="auto"/>
        <w:bottom w:val="none" w:sz="0" w:space="0" w:color="auto"/>
        <w:right w:val="none" w:sz="0" w:space="0" w:color="auto"/>
      </w:divBdr>
    </w:div>
    <w:div w:id="555746830">
      <w:bodyDiv w:val="1"/>
      <w:marLeft w:val="0"/>
      <w:marRight w:val="0"/>
      <w:marTop w:val="0"/>
      <w:marBottom w:val="0"/>
      <w:divBdr>
        <w:top w:val="none" w:sz="0" w:space="0" w:color="auto"/>
        <w:left w:val="none" w:sz="0" w:space="0" w:color="auto"/>
        <w:bottom w:val="none" w:sz="0" w:space="0" w:color="auto"/>
        <w:right w:val="none" w:sz="0" w:space="0" w:color="auto"/>
      </w:divBdr>
    </w:div>
    <w:div w:id="603848785">
      <w:bodyDiv w:val="1"/>
      <w:marLeft w:val="0"/>
      <w:marRight w:val="0"/>
      <w:marTop w:val="0"/>
      <w:marBottom w:val="0"/>
      <w:divBdr>
        <w:top w:val="none" w:sz="0" w:space="0" w:color="auto"/>
        <w:left w:val="none" w:sz="0" w:space="0" w:color="auto"/>
        <w:bottom w:val="none" w:sz="0" w:space="0" w:color="auto"/>
        <w:right w:val="none" w:sz="0" w:space="0" w:color="auto"/>
      </w:divBdr>
    </w:div>
    <w:div w:id="1055550007">
      <w:bodyDiv w:val="1"/>
      <w:marLeft w:val="0"/>
      <w:marRight w:val="0"/>
      <w:marTop w:val="0"/>
      <w:marBottom w:val="0"/>
      <w:divBdr>
        <w:top w:val="none" w:sz="0" w:space="0" w:color="auto"/>
        <w:left w:val="none" w:sz="0" w:space="0" w:color="auto"/>
        <w:bottom w:val="none" w:sz="0" w:space="0" w:color="auto"/>
        <w:right w:val="none" w:sz="0" w:space="0" w:color="auto"/>
      </w:divBdr>
    </w:div>
    <w:div w:id="1382703758">
      <w:bodyDiv w:val="1"/>
      <w:marLeft w:val="0"/>
      <w:marRight w:val="0"/>
      <w:marTop w:val="0"/>
      <w:marBottom w:val="0"/>
      <w:divBdr>
        <w:top w:val="none" w:sz="0" w:space="0" w:color="auto"/>
        <w:left w:val="none" w:sz="0" w:space="0" w:color="auto"/>
        <w:bottom w:val="none" w:sz="0" w:space="0" w:color="auto"/>
        <w:right w:val="none" w:sz="0" w:space="0" w:color="auto"/>
      </w:divBdr>
    </w:div>
    <w:div w:id="1399548055">
      <w:bodyDiv w:val="1"/>
      <w:marLeft w:val="0"/>
      <w:marRight w:val="0"/>
      <w:marTop w:val="0"/>
      <w:marBottom w:val="0"/>
      <w:divBdr>
        <w:top w:val="none" w:sz="0" w:space="0" w:color="auto"/>
        <w:left w:val="none" w:sz="0" w:space="0" w:color="auto"/>
        <w:bottom w:val="none" w:sz="0" w:space="0" w:color="auto"/>
        <w:right w:val="none" w:sz="0" w:space="0" w:color="auto"/>
      </w:divBdr>
    </w:div>
    <w:div w:id="1427264170">
      <w:bodyDiv w:val="1"/>
      <w:marLeft w:val="0"/>
      <w:marRight w:val="0"/>
      <w:marTop w:val="0"/>
      <w:marBottom w:val="0"/>
      <w:divBdr>
        <w:top w:val="none" w:sz="0" w:space="0" w:color="auto"/>
        <w:left w:val="none" w:sz="0" w:space="0" w:color="auto"/>
        <w:bottom w:val="none" w:sz="0" w:space="0" w:color="auto"/>
        <w:right w:val="none" w:sz="0" w:space="0" w:color="auto"/>
      </w:divBdr>
    </w:div>
    <w:div w:id="1454637117">
      <w:bodyDiv w:val="1"/>
      <w:marLeft w:val="0"/>
      <w:marRight w:val="0"/>
      <w:marTop w:val="0"/>
      <w:marBottom w:val="0"/>
      <w:divBdr>
        <w:top w:val="none" w:sz="0" w:space="0" w:color="auto"/>
        <w:left w:val="none" w:sz="0" w:space="0" w:color="auto"/>
        <w:bottom w:val="none" w:sz="0" w:space="0" w:color="auto"/>
        <w:right w:val="none" w:sz="0" w:space="0" w:color="auto"/>
      </w:divBdr>
    </w:div>
    <w:div w:id="1859274028">
      <w:bodyDiv w:val="1"/>
      <w:marLeft w:val="0"/>
      <w:marRight w:val="0"/>
      <w:marTop w:val="0"/>
      <w:marBottom w:val="0"/>
      <w:divBdr>
        <w:top w:val="none" w:sz="0" w:space="0" w:color="auto"/>
        <w:left w:val="none" w:sz="0" w:space="0" w:color="auto"/>
        <w:bottom w:val="none" w:sz="0" w:space="0" w:color="auto"/>
        <w:right w:val="none" w:sz="0" w:space="0" w:color="auto"/>
      </w:divBdr>
    </w:div>
    <w:div w:id="1872183878">
      <w:bodyDiv w:val="1"/>
      <w:marLeft w:val="0"/>
      <w:marRight w:val="0"/>
      <w:marTop w:val="0"/>
      <w:marBottom w:val="0"/>
      <w:divBdr>
        <w:top w:val="none" w:sz="0" w:space="0" w:color="auto"/>
        <w:left w:val="none" w:sz="0" w:space="0" w:color="auto"/>
        <w:bottom w:val="none" w:sz="0" w:space="0" w:color="auto"/>
        <w:right w:val="none" w:sz="0" w:space="0" w:color="auto"/>
      </w:divBdr>
      <w:divsChild>
        <w:div w:id="711077331">
          <w:marLeft w:val="0"/>
          <w:marRight w:val="0"/>
          <w:marTop w:val="280"/>
          <w:marBottom w:val="280"/>
          <w:divBdr>
            <w:top w:val="none" w:sz="0" w:space="0" w:color="auto"/>
            <w:left w:val="none" w:sz="0" w:space="0" w:color="auto"/>
            <w:bottom w:val="none" w:sz="0" w:space="0" w:color="auto"/>
            <w:right w:val="none" w:sz="0" w:space="0" w:color="auto"/>
          </w:divBdr>
        </w:div>
        <w:div w:id="2134472512">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nitednations.sharepoint.com/sites/ECE_TD2/Shared%20Documents/Section%20VRTIS/UNDA/ForFITS/Follow%20on%20activities/2022%20EPR%20Armenia/FiguresForFITS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itednations.sharepoint.com/sites/ECE_TD2/Shared%20Documents/Section%20VRTIS/UNDA/ForFITS/Follow%20on%20activities/2021%20KAZ_CarSharing_CarPooling/Data_CarSharing_CarPool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itednations.sharepoint.com/sites/ECE_TD2/Shared%20Documents/Section%20VRTIS/UNDA/ForFITS/Follow%20on%20activities/2021%20KAZ_CarSharing_CarPooling/Data_CarSharing_CarPooling.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50-4A56-983D-F50E602D30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50-4A56-983D-F50E602D30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A50-4A56-983D-F50E602D309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A50-4A56-983D-F50E602D309B}"/>
              </c:ext>
            </c:extLst>
          </c:dPt>
          <c:cat>
            <c:strRef>
              <c:f>FV.2!$B$3:$E$3</c:f>
              <c:strCache>
                <c:ptCount val="4"/>
                <c:pt idx="0">
                  <c:v>Natural gas</c:v>
                </c:pt>
                <c:pt idx="1">
                  <c:v>Liquefied petroleum gases (LPG)</c:v>
                </c:pt>
                <c:pt idx="2">
                  <c:v>Motor gasoline excl. biofuels</c:v>
                </c:pt>
                <c:pt idx="3">
                  <c:v>Gas/diesel oil excl. biofuels</c:v>
                </c:pt>
              </c:strCache>
            </c:strRef>
          </c:cat>
          <c:val>
            <c:numRef>
              <c:f>FV.2!$B$4:$E$4</c:f>
              <c:numCache>
                <c:formatCode>General</c:formatCode>
                <c:ptCount val="4"/>
                <c:pt idx="0">
                  <c:v>480.81099999999998</c:v>
                </c:pt>
                <c:pt idx="1">
                  <c:v>28.3949</c:v>
                </c:pt>
                <c:pt idx="2">
                  <c:v>184.3107</c:v>
                </c:pt>
                <c:pt idx="3">
                  <c:v>103.0509</c:v>
                </c:pt>
              </c:numCache>
            </c:numRef>
          </c:val>
          <c:extLst>
            <c:ext xmlns:c16="http://schemas.microsoft.com/office/drawing/2014/chart" uri="{C3380CC4-5D6E-409C-BE32-E72D297353CC}">
              <c16:uniqueId val="{00000008-2A50-4A56-983D-F50E602D309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 owner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Sheet1!$G$18</c:f>
              <c:strCache>
                <c:ptCount val="1"/>
                <c:pt idx="0">
                  <c:v>CS</c:v>
                </c:pt>
              </c:strCache>
            </c:strRef>
          </c:tx>
          <c:spPr>
            <a:solidFill>
              <a:schemeClr val="accent1"/>
            </a:solidFill>
            <a:ln>
              <a:noFill/>
            </a:ln>
            <a:effectLst/>
          </c:spPr>
          <c:invertIfNegative val="0"/>
          <c:cat>
            <c:strRef>
              <c:f>Sheet1!$H$17:$I$17</c:f>
              <c:strCache>
                <c:ptCount val="2"/>
                <c:pt idx="0">
                  <c:v>Before subscribing to car sharing</c:v>
                </c:pt>
                <c:pt idx="1">
                  <c:v>After subscribing to car sharing</c:v>
                </c:pt>
              </c:strCache>
            </c:strRef>
          </c:cat>
          <c:val>
            <c:numRef>
              <c:f>Sheet1!$H$18:$I$18</c:f>
              <c:numCache>
                <c:formatCode>General</c:formatCode>
                <c:ptCount val="2"/>
                <c:pt idx="0">
                  <c:v>0</c:v>
                </c:pt>
                <c:pt idx="1">
                  <c:v>388500</c:v>
                </c:pt>
              </c:numCache>
            </c:numRef>
          </c:val>
          <c:extLst>
            <c:ext xmlns:c16="http://schemas.microsoft.com/office/drawing/2014/chart" uri="{C3380CC4-5D6E-409C-BE32-E72D297353CC}">
              <c16:uniqueId val="{00000000-531E-4B1E-9C52-3355382E4D24}"/>
            </c:ext>
          </c:extLst>
        </c:ser>
        <c:ser>
          <c:idx val="1"/>
          <c:order val="1"/>
          <c:tx>
            <c:strRef>
              <c:f>Sheet1!$G$19</c:f>
              <c:strCache>
                <c:ptCount val="1"/>
                <c:pt idx="0">
                  <c:v>Car</c:v>
                </c:pt>
              </c:strCache>
            </c:strRef>
          </c:tx>
          <c:spPr>
            <a:solidFill>
              <a:schemeClr val="accent2"/>
            </a:solidFill>
            <a:ln>
              <a:noFill/>
            </a:ln>
            <a:effectLst/>
          </c:spPr>
          <c:invertIfNegative val="0"/>
          <c:cat>
            <c:strRef>
              <c:f>Sheet1!$H$17:$I$17</c:f>
              <c:strCache>
                <c:ptCount val="2"/>
                <c:pt idx="0">
                  <c:v>Before subscribing to car sharing</c:v>
                </c:pt>
                <c:pt idx="1">
                  <c:v>After subscribing to car sharing</c:v>
                </c:pt>
              </c:strCache>
            </c:strRef>
          </c:cat>
          <c:val>
            <c:numRef>
              <c:f>Sheet1!$H$19:$I$19</c:f>
              <c:numCache>
                <c:formatCode>General</c:formatCode>
                <c:ptCount val="2"/>
                <c:pt idx="0">
                  <c:v>2102160</c:v>
                </c:pt>
                <c:pt idx="1">
                  <c:v>1279080</c:v>
                </c:pt>
              </c:numCache>
            </c:numRef>
          </c:val>
          <c:extLst>
            <c:ext xmlns:c16="http://schemas.microsoft.com/office/drawing/2014/chart" uri="{C3380CC4-5D6E-409C-BE32-E72D297353CC}">
              <c16:uniqueId val="{00000001-531E-4B1E-9C52-3355382E4D24}"/>
            </c:ext>
          </c:extLst>
        </c:ser>
        <c:ser>
          <c:idx val="2"/>
          <c:order val="2"/>
          <c:tx>
            <c:strRef>
              <c:f>Sheet1!$G$20</c:f>
              <c:strCache>
                <c:ptCount val="1"/>
                <c:pt idx="0">
                  <c:v>Train</c:v>
                </c:pt>
              </c:strCache>
            </c:strRef>
          </c:tx>
          <c:spPr>
            <a:solidFill>
              <a:schemeClr val="accent3"/>
            </a:solidFill>
            <a:ln>
              <a:noFill/>
            </a:ln>
            <a:effectLst/>
          </c:spPr>
          <c:invertIfNegative val="0"/>
          <c:cat>
            <c:strRef>
              <c:f>Sheet1!$H$17:$I$17</c:f>
              <c:strCache>
                <c:ptCount val="2"/>
                <c:pt idx="0">
                  <c:v>Before subscribing to car sharing</c:v>
                </c:pt>
                <c:pt idx="1">
                  <c:v>After subscribing to car sharing</c:v>
                </c:pt>
              </c:strCache>
            </c:strRef>
          </c:cat>
          <c:val>
            <c:numRef>
              <c:f>Sheet1!$H$20:$I$20</c:f>
              <c:numCache>
                <c:formatCode>General</c:formatCode>
                <c:ptCount val="2"/>
                <c:pt idx="0">
                  <c:v>144531</c:v>
                </c:pt>
                <c:pt idx="1">
                  <c:v>309969</c:v>
                </c:pt>
              </c:numCache>
            </c:numRef>
          </c:val>
          <c:extLst>
            <c:ext xmlns:c16="http://schemas.microsoft.com/office/drawing/2014/chart" uri="{C3380CC4-5D6E-409C-BE32-E72D297353CC}">
              <c16:uniqueId val="{00000002-531E-4B1E-9C52-3355382E4D24}"/>
            </c:ext>
          </c:extLst>
        </c:ser>
        <c:ser>
          <c:idx val="3"/>
          <c:order val="3"/>
          <c:tx>
            <c:strRef>
              <c:f>Sheet1!$G$21</c:f>
              <c:strCache>
                <c:ptCount val="1"/>
                <c:pt idx="0">
                  <c:v>Bus</c:v>
                </c:pt>
              </c:strCache>
            </c:strRef>
          </c:tx>
          <c:spPr>
            <a:solidFill>
              <a:schemeClr val="accent4"/>
            </a:solidFill>
            <a:ln>
              <a:noFill/>
            </a:ln>
            <a:effectLst/>
          </c:spPr>
          <c:invertIfNegative val="0"/>
          <c:cat>
            <c:strRef>
              <c:f>Sheet1!$H$17:$I$17</c:f>
              <c:strCache>
                <c:ptCount val="2"/>
                <c:pt idx="0">
                  <c:v>Before subscribing to car sharing</c:v>
                </c:pt>
                <c:pt idx="1">
                  <c:v>After subscribing to car sharing</c:v>
                </c:pt>
              </c:strCache>
            </c:strRef>
          </c:cat>
          <c:val>
            <c:numRef>
              <c:f>Sheet1!$H$21:$I$21</c:f>
              <c:numCache>
                <c:formatCode>General</c:formatCode>
                <c:ptCount val="2"/>
                <c:pt idx="0">
                  <c:v>26180</c:v>
                </c:pt>
                <c:pt idx="1">
                  <c:v>55913</c:v>
                </c:pt>
              </c:numCache>
            </c:numRef>
          </c:val>
          <c:extLst>
            <c:ext xmlns:c16="http://schemas.microsoft.com/office/drawing/2014/chart" uri="{C3380CC4-5D6E-409C-BE32-E72D297353CC}">
              <c16:uniqueId val="{00000003-531E-4B1E-9C52-3355382E4D24}"/>
            </c:ext>
          </c:extLst>
        </c:ser>
        <c:ser>
          <c:idx val="4"/>
          <c:order val="4"/>
          <c:tx>
            <c:strRef>
              <c:f>Sheet1!$G$22</c:f>
              <c:strCache>
                <c:ptCount val="1"/>
                <c:pt idx="0">
                  <c:v>Bicycle</c:v>
                </c:pt>
              </c:strCache>
            </c:strRef>
          </c:tx>
          <c:spPr>
            <a:solidFill>
              <a:schemeClr val="accent5"/>
            </a:solidFill>
            <a:ln>
              <a:noFill/>
            </a:ln>
            <a:effectLst/>
          </c:spPr>
          <c:invertIfNegative val="0"/>
          <c:cat>
            <c:strRef>
              <c:f>Sheet1!$H$17:$I$17</c:f>
              <c:strCache>
                <c:ptCount val="2"/>
                <c:pt idx="0">
                  <c:v>Before subscribing to car sharing</c:v>
                </c:pt>
                <c:pt idx="1">
                  <c:v>After subscribing to car sharing</c:v>
                </c:pt>
              </c:strCache>
            </c:strRef>
          </c:cat>
          <c:val>
            <c:numRef>
              <c:f>Sheet1!$H$22:$I$22</c:f>
              <c:numCache>
                <c:formatCode>General</c:formatCode>
                <c:ptCount val="2"/>
                <c:pt idx="0">
                  <c:v>2100</c:v>
                </c:pt>
                <c:pt idx="1">
                  <c:v>4500</c:v>
                </c:pt>
              </c:numCache>
            </c:numRef>
          </c:val>
          <c:extLst>
            <c:ext xmlns:c16="http://schemas.microsoft.com/office/drawing/2014/chart" uri="{C3380CC4-5D6E-409C-BE32-E72D297353CC}">
              <c16:uniqueId val="{00000004-531E-4B1E-9C52-3355382E4D24}"/>
            </c:ext>
          </c:extLst>
        </c:ser>
        <c:ser>
          <c:idx val="5"/>
          <c:order val="5"/>
          <c:tx>
            <c:strRef>
              <c:f>Sheet1!$G$23</c:f>
              <c:strCache>
                <c:ptCount val="1"/>
                <c:pt idx="0">
                  <c:v>Carpooling</c:v>
                </c:pt>
              </c:strCache>
            </c:strRef>
          </c:tx>
          <c:spPr>
            <a:solidFill>
              <a:schemeClr val="accent6"/>
            </a:solidFill>
            <a:ln>
              <a:noFill/>
            </a:ln>
            <a:effectLst/>
          </c:spPr>
          <c:invertIfNegative val="0"/>
          <c:cat>
            <c:strRef>
              <c:f>Sheet1!$H$17:$I$17</c:f>
              <c:strCache>
                <c:ptCount val="2"/>
                <c:pt idx="0">
                  <c:v>Before subscribing to car sharing</c:v>
                </c:pt>
                <c:pt idx="1">
                  <c:v>After subscribing to car sharing</c:v>
                </c:pt>
              </c:strCache>
            </c:strRef>
          </c:cat>
          <c:val>
            <c:numRef>
              <c:f>Sheet1!$H$23:$I$23</c:f>
              <c:numCache>
                <c:formatCode>General</c:formatCode>
                <c:ptCount val="2"/>
                <c:pt idx="0">
                  <c:v>5040</c:v>
                </c:pt>
                <c:pt idx="1">
                  <c:v>10800</c:v>
                </c:pt>
              </c:numCache>
            </c:numRef>
          </c:val>
          <c:extLst>
            <c:ext xmlns:c16="http://schemas.microsoft.com/office/drawing/2014/chart" uri="{C3380CC4-5D6E-409C-BE32-E72D297353CC}">
              <c16:uniqueId val="{00000005-531E-4B1E-9C52-3355382E4D24}"/>
            </c:ext>
          </c:extLst>
        </c:ser>
        <c:ser>
          <c:idx val="6"/>
          <c:order val="6"/>
          <c:tx>
            <c:strRef>
              <c:f>Sheet1!$G$24</c:f>
              <c:strCache>
                <c:ptCount val="1"/>
                <c:pt idx="0">
                  <c:v>Other</c:v>
                </c:pt>
              </c:strCache>
            </c:strRef>
          </c:tx>
          <c:spPr>
            <a:solidFill>
              <a:schemeClr val="accent1">
                <a:lumMod val="60000"/>
              </a:schemeClr>
            </a:solidFill>
            <a:ln>
              <a:noFill/>
            </a:ln>
            <a:effectLst/>
          </c:spPr>
          <c:invertIfNegative val="0"/>
          <c:cat>
            <c:strRef>
              <c:f>Sheet1!$H$17:$I$17</c:f>
              <c:strCache>
                <c:ptCount val="2"/>
                <c:pt idx="0">
                  <c:v>Before subscribing to car sharing</c:v>
                </c:pt>
                <c:pt idx="1">
                  <c:v>After subscribing to car sharing</c:v>
                </c:pt>
              </c:strCache>
            </c:strRef>
          </c:cat>
          <c:val>
            <c:numRef>
              <c:f>Sheet1!$H$24:$I$24</c:f>
              <c:numCache>
                <c:formatCode>General</c:formatCode>
                <c:ptCount val="2"/>
                <c:pt idx="0">
                  <c:v>5250</c:v>
                </c:pt>
                <c:pt idx="1">
                  <c:v>11250</c:v>
                </c:pt>
              </c:numCache>
            </c:numRef>
          </c:val>
          <c:extLst>
            <c:ext xmlns:c16="http://schemas.microsoft.com/office/drawing/2014/chart" uri="{C3380CC4-5D6E-409C-BE32-E72D297353CC}">
              <c16:uniqueId val="{00000006-531E-4B1E-9C52-3355382E4D24}"/>
            </c:ext>
          </c:extLst>
        </c:ser>
        <c:dLbls>
          <c:showLegendKey val="0"/>
          <c:showVal val="0"/>
          <c:showCatName val="0"/>
          <c:showSerName val="0"/>
          <c:showPercent val="0"/>
          <c:showBubbleSize val="0"/>
        </c:dLbls>
        <c:gapWidth val="150"/>
        <c:overlap val="100"/>
        <c:axId val="705927408"/>
        <c:axId val="705923800"/>
      </c:barChart>
      <c:catAx>
        <c:axId val="70592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923800"/>
        <c:crosses val="autoZero"/>
        <c:auto val="1"/>
        <c:lblAlgn val="ctr"/>
        <c:lblOffset val="100"/>
        <c:noMultiLvlLbl val="0"/>
      </c:catAx>
      <c:valAx>
        <c:axId val="705923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GB" sz="1400"/>
                  <a:t>CO2</a:t>
                </a:r>
                <a:r>
                  <a:rPr lang="en-GB" sz="1400" baseline="0"/>
                  <a:t> emissions (tCO2 per year)</a:t>
                </a:r>
                <a:endParaRPr lang="en-GB" sz="1400"/>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927408"/>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Non car owner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Sheet1!$G$31</c:f>
              <c:strCache>
                <c:ptCount val="1"/>
                <c:pt idx="0">
                  <c:v>CS</c:v>
                </c:pt>
              </c:strCache>
            </c:strRef>
          </c:tx>
          <c:spPr>
            <a:solidFill>
              <a:schemeClr val="accent1"/>
            </a:solidFill>
            <a:ln>
              <a:noFill/>
            </a:ln>
            <a:effectLst/>
          </c:spPr>
          <c:invertIfNegative val="0"/>
          <c:cat>
            <c:strRef>
              <c:f>Sheet1!$H$17:$I$17</c:f>
              <c:strCache>
                <c:ptCount val="2"/>
                <c:pt idx="0">
                  <c:v>Before subscribing to car sharing</c:v>
                </c:pt>
                <c:pt idx="1">
                  <c:v>After subscribing to car sharing</c:v>
                </c:pt>
              </c:strCache>
            </c:strRef>
          </c:cat>
          <c:val>
            <c:numRef>
              <c:f>Sheet1!$H$31:$I$31</c:f>
              <c:numCache>
                <c:formatCode>General</c:formatCode>
                <c:ptCount val="2"/>
                <c:pt idx="0">
                  <c:v>0</c:v>
                </c:pt>
                <c:pt idx="1">
                  <c:v>388500</c:v>
                </c:pt>
              </c:numCache>
            </c:numRef>
          </c:val>
          <c:extLst>
            <c:ext xmlns:c16="http://schemas.microsoft.com/office/drawing/2014/chart" uri="{C3380CC4-5D6E-409C-BE32-E72D297353CC}">
              <c16:uniqueId val="{00000000-22B2-44C2-8CAA-17C07FE66E09}"/>
            </c:ext>
          </c:extLst>
        </c:ser>
        <c:ser>
          <c:idx val="1"/>
          <c:order val="1"/>
          <c:tx>
            <c:strRef>
              <c:f>Sheet1!$G$32</c:f>
              <c:strCache>
                <c:ptCount val="1"/>
                <c:pt idx="0">
                  <c:v>Car</c:v>
                </c:pt>
              </c:strCache>
            </c:strRef>
          </c:tx>
          <c:spPr>
            <a:solidFill>
              <a:schemeClr val="accent2"/>
            </a:solidFill>
            <a:ln>
              <a:noFill/>
            </a:ln>
            <a:effectLst/>
          </c:spPr>
          <c:invertIfNegative val="0"/>
          <c:cat>
            <c:strRef>
              <c:f>Sheet1!$H$17:$I$17</c:f>
              <c:strCache>
                <c:ptCount val="2"/>
                <c:pt idx="0">
                  <c:v>Before subscribing to car sharing</c:v>
                </c:pt>
                <c:pt idx="1">
                  <c:v>After subscribing to car sharing</c:v>
                </c:pt>
              </c:strCache>
            </c:strRef>
          </c:cat>
          <c:val>
            <c:numRef>
              <c:f>Sheet1!$H$32:$I$32</c:f>
              <c:numCache>
                <c:formatCode>General</c:formatCode>
                <c:ptCount val="2"/>
                <c:pt idx="0">
                  <c:v>0</c:v>
                </c:pt>
                <c:pt idx="1">
                  <c:v>0</c:v>
                </c:pt>
              </c:numCache>
            </c:numRef>
          </c:val>
          <c:extLst>
            <c:ext xmlns:c16="http://schemas.microsoft.com/office/drawing/2014/chart" uri="{C3380CC4-5D6E-409C-BE32-E72D297353CC}">
              <c16:uniqueId val="{00000001-22B2-44C2-8CAA-17C07FE66E09}"/>
            </c:ext>
          </c:extLst>
        </c:ser>
        <c:ser>
          <c:idx val="2"/>
          <c:order val="2"/>
          <c:tx>
            <c:strRef>
              <c:f>Sheet1!$G$33</c:f>
              <c:strCache>
                <c:ptCount val="1"/>
                <c:pt idx="0">
                  <c:v>Train</c:v>
                </c:pt>
              </c:strCache>
            </c:strRef>
          </c:tx>
          <c:spPr>
            <a:solidFill>
              <a:schemeClr val="accent3"/>
            </a:solidFill>
            <a:ln>
              <a:noFill/>
            </a:ln>
            <a:effectLst/>
          </c:spPr>
          <c:invertIfNegative val="0"/>
          <c:cat>
            <c:strRef>
              <c:f>Sheet1!$H$17:$I$17</c:f>
              <c:strCache>
                <c:ptCount val="2"/>
                <c:pt idx="0">
                  <c:v>Before subscribing to car sharing</c:v>
                </c:pt>
                <c:pt idx="1">
                  <c:v>After subscribing to car sharing</c:v>
                </c:pt>
              </c:strCache>
            </c:strRef>
          </c:cat>
          <c:val>
            <c:numRef>
              <c:f>Sheet1!$H$33:$I$33</c:f>
              <c:numCache>
                <c:formatCode>General</c:formatCode>
                <c:ptCount val="2"/>
                <c:pt idx="0">
                  <c:v>252500</c:v>
                </c:pt>
                <c:pt idx="1">
                  <c:v>309969</c:v>
                </c:pt>
              </c:numCache>
            </c:numRef>
          </c:val>
          <c:extLst>
            <c:ext xmlns:c16="http://schemas.microsoft.com/office/drawing/2014/chart" uri="{C3380CC4-5D6E-409C-BE32-E72D297353CC}">
              <c16:uniqueId val="{00000002-22B2-44C2-8CAA-17C07FE66E09}"/>
            </c:ext>
          </c:extLst>
        </c:ser>
        <c:ser>
          <c:idx val="3"/>
          <c:order val="3"/>
          <c:tx>
            <c:strRef>
              <c:f>Sheet1!$G$34</c:f>
              <c:strCache>
                <c:ptCount val="1"/>
                <c:pt idx="0">
                  <c:v>Bus</c:v>
                </c:pt>
              </c:strCache>
            </c:strRef>
          </c:tx>
          <c:spPr>
            <a:solidFill>
              <a:schemeClr val="accent4"/>
            </a:solidFill>
            <a:ln>
              <a:noFill/>
            </a:ln>
            <a:effectLst/>
          </c:spPr>
          <c:invertIfNegative val="0"/>
          <c:cat>
            <c:strRef>
              <c:f>Sheet1!$H$17:$I$17</c:f>
              <c:strCache>
                <c:ptCount val="2"/>
                <c:pt idx="0">
                  <c:v>Before subscribing to car sharing</c:v>
                </c:pt>
                <c:pt idx="1">
                  <c:v>After subscribing to car sharing</c:v>
                </c:pt>
              </c:strCache>
            </c:strRef>
          </c:cat>
          <c:val>
            <c:numRef>
              <c:f>Sheet1!$H$34:$I$34</c:f>
              <c:numCache>
                <c:formatCode>General</c:formatCode>
                <c:ptCount val="2"/>
                <c:pt idx="0">
                  <c:v>243100</c:v>
                </c:pt>
                <c:pt idx="1">
                  <c:v>55913</c:v>
                </c:pt>
              </c:numCache>
            </c:numRef>
          </c:val>
          <c:extLst>
            <c:ext xmlns:c16="http://schemas.microsoft.com/office/drawing/2014/chart" uri="{C3380CC4-5D6E-409C-BE32-E72D297353CC}">
              <c16:uniqueId val="{00000003-22B2-44C2-8CAA-17C07FE66E09}"/>
            </c:ext>
          </c:extLst>
        </c:ser>
        <c:ser>
          <c:idx val="4"/>
          <c:order val="4"/>
          <c:tx>
            <c:strRef>
              <c:f>Sheet1!$G$35</c:f>
              <c:strCache>
                <c:ptCount val="1"/>
                <c:pt idx="0">
                  <c:v>Bicycle</c:v>
                </c:pt>
              </c:strCache>
            </c:strRef>
          </c:tx>
          <c:spPr>
            <a:solidFill>
              <a:schemeClr val="accent5"/>
            </a:solidFill>
            <a:ln>
              <a:noFill/>
            </a:ln>
            <a:effectLst/>
          </c:spPr>
          <c:invertIfNegative val="0"/>
          <c:cat>
            <c:strRef>
              <c:f>Sheet1!$H$17:$I$17</c:f>
              <c:strCache>
                <c:ptCount val="2"/>
                <c:pt idx="0">
                  <c:v>Before subscribing to car sharing</c:v>
                </c:pt>
                <c:pt idx="1">
                  <c:v>After subscribing to car sharing</c:v>
                </c:pt>
              </c:strCache>
            </c:strRef>
          </c:cat>
          <c:val>
            <c:numRef>
              <c:f>Sheet1!$H$35:$I$35</c:f>
              <c:numCache>
                <c:formatCode>General</c:formatCode>
                <c:ptCount val="2"/>
                <c:pt idx="0">
                  <c:v>20000</c:v>
                </c:pt>
                <c:pt idx="1">
                  <c:v>4500</c:v>
                </c:pt>
              </c:numCache>
            </c:numRef>
          </c:val>
          <c:extLst>
            <c:ext xmlns:c16="http://schemas.microsoft.com/office/drawing/2014/chart" uri="{C3380CC4-5D6E-409C-BE32-E72D297353CC}">
              <c16:uniqueId val="{00000004-22B2-44C2-8CAA-17C07FE66E09}"/>
            </c:ext>
          </c:extLst>
        </c:ser>
        <c:ser>
          <c:idx val="5"/>
          <c:order val="5"/>
          <c:tx>
            <c:strRef>
              <c:f>Sheet1!$G$36</c:f>
              <c:strCache>
                <c:ptCount val="1"/>
                <c:pt idx="0">
                  <c:v>Carpooling</c:v>
                </c:pt>
              </c:strCache>
            </c:strRef>
          </c:tx>
          <c:spPr>
            <a:solidFill>
              <a:schemeClr val="accent6"/>
            </a:solidFill>
            <a:ln>
              <a:noFill/>
            </a:ln>
            <a:effectLst/>
          </c:spPr>
          <c:invertIfNegative val="0"/>
          <c:cat>
            <c:strRef>
              <c:f>Sheet1!$H$17:$I$17</c:f>
              <c:strCache>
                <c:ptCount val="2"/>
                <c:pt idx="0">
                  <c:v>Before subscribing to car sharing</c:v>
                </c:pt>
                <c:pt idx="1">
                  <c:v>After subscribing to car sharing</c:v>
                </c:pt>
              </c:strCache>
            </c:strRef>
          </c:cat>
          <c:val>
            <c:numRef>
              <c:f>Sheet1!$H$36:$I$36</c:f>
              <c:numCache>
                <c:formatCode>General</c:formatCode>
                <c:ptCount val="2"/>
                <c:pt idx="0">
                  <c:v>115200</c:v>
                </c:pt>
                <c:pt idx="1">
                  <c:v>10800</c:v>
                </c:pt>
              </c:numCache>
            </c:numRef>
          </c:val>
          <c:extLst>
            <c:ext xmlns:c16="http://schemas.microsoft.com/office/drawing/2014/chart" uri="{C3380CC4-5D6E-409C-BE32-E72D297353CC}">
              <c16:uniqueId val="{00000005-22B2-44C2-8CAA-17C07FE66E09}"/>
            </c:ext>
          </c:extLst>
        </c:ser>
        <c:ser>
          <c:idx val="6"/>
          <c:order val="6"/>
          <c:tx>
            <c:strRef>
              <c:f>Sheet1!$G$37</c:f>
              <c:strCache>
                <c:ptCount val="1"/>
                <c:pt idx="0">
                  <c:v>Other</c:v>
                </c:pt>
              </c:strCache>
            </c:strRef>
          </c:tx>
          <c:spPr>
            <a:solidFill>
              <a:schemeClr val="accent1">
                <a:lumMod val="60000"/>
              </a:schemeClr>
            </a:solidFill>
            <a:ln>
              <a:noFill/>
            </a:ln>
            <a:effectLst/>
          </c:spPr>
          <c:invertIfNegative val="0"/>
          <c:cat>
            <c:strRef>
              <c:f>Sheet1!$H$17:$I$17</c:f>
              <c:strCache>
                <c:ptCount val="2"/>
                <c:pt idx="0">
                  <c:v>Before subscribing to car sharing</c:v>
                </c:pt>
                <c:pt idx="1">
                  <c:v>After subscribing to car sharing</c:v>
                </c:pt>
              </c:strCache>
            </c:strRef>
          </c:cat>
          <c:val>
            <c:numRef>
              <c:f>Sheet1!$H$37:$I$37</c:f>
              <c:numCache>
                <c:formatCode>General</c:formatCode>
                <c:ptCount val="2"/>
                <c:pt idx="0">
                  <c:v>5250</c:v>
                </c:pt>
                <c:pt idx="1">
                  <c:v>11250</c:v>
                </c:pt>
              </c:numCache>
            </c:numRef>
          </c:val>
          <c:extLst>
            <c:ext xmlns:c16="http://schemas.microsoft.com/office/drawing/2014/chart" uri="{C3380CC4-5D6E-409C-BE32-E72D297353CC}">
              <c16:uniqueId val="{00000006-22B2-44C2-8CAA-17C07FE66E09}"/>
            </c:ext>
          </c:extLst>
        </c:ser>
        <c:dLbls>
          <c:showLegendKey val="0"/>
          <c:showVal val="0"/>
          <c:showCatName val="0"/>
          <c:showSerName val="0"/>
          <c:showPercent val="0"/>
          <c:showBubbleSize val="0"/>
        </c:dLbls>
        <c:gapWidth val="150"/>
        <c:overlap val="100"/>
        <c:axId val="705927408"/>
        <c:axId val="705923800"/>
      </c:barChart>
      <c:catAx>
        <c:axId val="70592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923800"/>
        <c:crosses val="autoZero"/>
        <c:auto val="1"/>
        <c:lblAlgn val="ctr"/>
        <c:lblOffset val="100"/>
        <c:noMultiLvlLbl val="0"/>
      </c:catAx>
      <c:valAx>
        <c:axId val="705923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0" i="0" baseline="0">
                    <a:effectLst/>
                  </a:rPr>
                  <a:t>CO2 emissions (tCO2 per year)</a:t>
                </a:r>
                <a:endParaRPr lang="en-GB" sz="7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927408"/>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9A668-5907-4972-90BB-5883099DD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B81DB-1CE0-4A88-B10F-C9B243B405B1}">
  <ds:schemaRefs>
    <ds:schemaRef ds:uri="http://schemas.openxmlformats.org/officeDocument/2006/bibliography"/>
  </ds:schemaRefs>
</ds:datastoreItem>
</file>

<file path=customXml/itemProps3.xml><?xml version="1.0" encoding="utf-8"?>
<ds:datastoreItem xmlns:ds="http://schemas.openxmlformats.org/officeDocument/2006/customXml" ds:itemID="{28AF2233-A955-4BE8-8AB4-6886156C058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5963FA2-7E06-4709-8FB9-F63BC6557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PlainPage_E.dotm</Template>
  <TotalTime>11</TotalTime>
  <Pages>8</Pages>
  <Words>2389</Words>
  <Characters>13623</Characters>
  <Application>Microsoft Office Word</Application>
  <DocSecurity>0</DocSecurity>
  <Lines>113</Lines>
  <Paragraphs>31</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 Barinova</dc:creator>
  <cp:lastModifiedBy>Secretariat</cp:lastModifiedBy>
  <cp:revision>11</cp:revision>
  <cp:lastPrinted>2017-02-02T09:53:00Z</cp:lastPrinted>
  <dcterms:created xsi:type="dcterms:W3CDTF">2023-02-06T10:44:00Z</dcterms:created>
  <dcterms:modified xsi:type="dcterms:W3CDTF">2023-02-06T14:22:00Z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3405600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