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35D291D" w14:textId="77777777" w:rsidTr="00B20551">
        <w:trPr>
          <w:cantSplit/>
          <w:trHeight w:hRule="exact" w:val="851"/>
        </w:trPr>
        <w:tc>
          <w:tcPr>
            <w:tcW w:w="1276" w:type="dxa"/>
            <w:tcBorders>
              <w:bottom w:val="single" w:sz="4" w:space="0" w:color="auto"/>
            </w:tcBorders>
            <w:vAlign w:val="bottom"/>
          </w:tcPr>
          <w:p w14:paraId="069B63B3" w14:textId="77777777" w:rsidR="009E6CB7" w:rsidRDefault="009E6CB7" w:rsidP="00B20551">
            <w:pPr>
              <w:spacing w:after="80"/>
            </w:pPr>
          </w:p>
        </w:tc>
        <w:tc>
          <w:tcPr>
            <w:tcW w:w="2268" w:type="dxa"/>
            <w:tcBorders>
              <w:bottom w:val="single" w:sz="4" w:space="0" w:color="auto"/>
            </w:tcBorders>
            <w:vAlign w:val="bottom"/>
          </w:tcPr>
          <w:p w14:paraId="124C7B7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B29F308" w14:textId="3FEB8C6B" w:rsidR="009E6CB7" w:rsidRPr="00D47EEA" w:rsidRDefault="001F6A55" w:rsidP="001F6A55">
            <w:pPr>
              <w:jc w:val="right"/>
            </w:pPr>
            <w:r w:rsidRPr="001F6A55">
              <w:rPr>
                <w:sz w:val="40"/>
              </w:rPr>
              <w:t>ECE</w:t>
            </w:r>
            <w:r>
              <w:t>/TRANS/WP.15/2023/4</w:t>
            </w:r>
          </w:p>
        </w:tc>
      </w:tr>
      <w:tr w:rsidR="009E6CB7" w14:paraId="2018D5AD" w14:textId="77777777" w:rsidTr="00B20551">
        <w:trPr>
          <w:cantSplit/>
          <w:trHeight w:hRule="exact" w:val="2835"/>
        </w:trPr>
        <w:tc>
          <w:tcPr>
            <w:tcW w:w="1276" w:type="dxa"/>
            <w:tcBorders>
              <w:top w:val="single" w:sz="4" w:space="0" w:color="auto"/>
              <w:bottom w:val="single" w:sz="12" w:space="0" w:color="auto"/>
            </w:tcBorders>
          </w:tcPr>
          <w:p w14:paraId="17FF01A6" w14:textId="77777777" w:rsidR="009E6CB7" w:rsidRDefault="00686A48" w:rsidP="00B20551">
            <w:pPr>
              <w:spacing w:before="120"/>
            </w:pPr>
            <w:r>
              <w:rPr>
                <w:noProof/>
                <w:lang w:val="fr-CH" w:eastAsia="fr-CH"/>
              </w:rPr>
              <w:drawing>
                <wp:inline distT="0" distB="0" distL="0" distR="0" wp14:anchorId="29174E03" wp14:editId="7E18A3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EEF50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28EE940" w14:textId="77777777" w:rsidR="009E6CB7" w:rsidRDefault="001F6A55" w:rsidP="001F6A55">
            <w:pPr>
              <w:spacing w:before="240" w:line="240" w:lineRule="exact"/>
            </w:pPr>
            <w:r>
              <w:t>Distr.: General</w:t>
            </w:r>
          </w:p>
          <w:p w14:paraId="79E7F74A" w14:textId="77777777" w:rsidR="001F6A55" w:rsidRDefault="001F6A55" w:rsidP="001F6A55">
            <w:pPr>
              <w:spacing w:line="240" w:lineRule="exact"/>
            </w:pPr>
            <w:r>
              <w:t>21 February 2023</w:t>
            </w:r>
          </w:p>
          <w:p w14:paraId="48C1BBA3" w14:textId="77777777" w:rsidR="001F6A55" w:rsidRDefault="001F6A55" w:rsidP="001F6A55">
            <w:pPr>
              <w:spacing w:line="240" w:lineRule="exact"/>
            </w:pPr>
          </w:p>
          <w:p w14:paraId="663BD2F4" w14:textId="4B4835FB" w:rsidR="001F6A55" w:rsidRDefault="001F6A55" w:rsidP="001F6A55">
            <w:pPr>
              <w:spacing w:line="240" w:lineRule="exact"/>
            </w:pPr>
            <w:r>
              <w:t>Original: English</w:t>
            </w:r>
          </w:p>
        </w:tc>
      </w:tr>
    </w:tbl>
    <w:p w14:paraId="6B6D3FC9" w14:textId="77777777" w:rsidR="00C745FB" w:rsidRDefault="00C745FB" w:rsidP="00C411EB">
      <w:pPr>
        <w:spacing w:before="120"/>
        <w:rPr>
          <w:b/>
          <w:sz w:val="28"/>
          <w:szCs w:val="28"/>
        </w:rPr>
      </w:pPr>
      <w:r>
        <w:rPr>
          <w:b/>
          <w:sz w:val="28"/>
          <w:szCs w:val="28"/>
        </w:rPr>
        <w:t>Economic Commission for Europe</w:t>
      </w:r>
    </w:p>
    <w:p w14:paraId="593502D2" w14:textId="77777777" w:rsidR="00C745FB" w:rsidRDefault="00C745FB" w:rsidP="00C411EB">
      <w:pPr>
        <w:spacing w:before="120"/>
        <w:rPr>
          <w:sz w:val="28"/>
          <w:szCs w:val="28"/>
        </w:rPr>
      </w:pPr>
      <w:r>
        <w:rPr>
          <w:sz w:val="28"/>
          <w:szCs w:val="28"/>
        </w:rPr>
        <w:t>Inland Transport Committee</w:t>
      </w:r>
    </w:p>
    <w:p w14:paraId="61BA156B" w14:textId="77777777" w:rsidR="00C745FB" w:rsidRPr="001330DE" w:rsidRDefault="00C745FB" w:rsidP="00C411EB">
      <w:pPr>
        <w:spacing w:before="120"/>
        <w:rPr>
          <w:b/>
          <w:sz w:val="24"/>
          <w:szCs w:val="24"/>
        </w:rPr>
      </w:pPr>
      <w:r>
        <w:rPr>
          <w:b/>
          <w:sz w:val="24"/>
          <w:szCs w:val="24"/>
        </w:rPr>
        <w:t xml:space="preserve">Working Party on the Transport </w:t>
      </w:r>
      <w:r w:rsidRPr="001330DE">
        <w:rPr>
          <w:b/>
          <w:sz w:val="24"/>
          <w:szCs w:val="24"/>
        </w:rPr>
        <w:t>of Dangerous Goods</w:t>
      </w:r>
    </w:p>
    <w:p w14:paraId="2F8E46A5" w14:textId="77777777" w:rsidR="00EC7952" w:rsidRPr="00C90C27" w:rsidRDefault="00EC7952" w:rsidP="00EC7952">
      <w:pPr>
        <w:spacing w:before="120"/>
        <w:rPr>
          <w:rFonts w:eastAsia="SimSun"/>
          <w:b/>
        </w:rPr>
      </w:pPr>
      <w:r w:rsidRPr="00C90C27">
        <w:rPr>
          <w:rFonts w:eastAsia="SimSun"/>
          <w:b/>
        </w:rPr>
        <w:t xml:space="preserve">113th session </w:t>
      </w:r>
    </w:p>
    <w:p w14:paraId="00390216" w14:textId="77777777" w:rsidR="00EC7952" w:rsidRPr="00C90C27" w:rsidRDefault="00EC7952" w:rsidP="00EC7952">
      <w:pPr>
        <w:rPr>
          <w:rFonts w:eastAsia="SimSun"/>
        </w:rPr>
      </w:pPr>
      <w:r w:rsidRPr="00C90C27">
        <w:rPr>
          <w:rFonts w:eastAsia="SimSun"/>
        </w:rPr>
        <w:t>Geneva, 15-19 May 2023</w:t>
      </w:r>
    </w:p>
    <w:p w14:paraId="2611A6D0" w14:textId="0FB8799F" w:rsidR="00EC7952" w:rsidRPr="00C90C27" w:rsidRDefault="00EC7952" w:rsidP="00EC7952">
      <w:pPr>
        <w:autoSpaceDE w:val="0"/>
        <w:autoSpaceDN w:val="0"/>
        <w:adjustRightInd w:val="0"/>
      </w:pPr>
      <w:r w:rsidRPr="00C90C27">
        <w:t xml:space="preserve">Item </w:t>
      </w:r>
      <w:r>
        <w:t>5 (</w:t>
      </w:r>
      <w:r w:rsidR="00F7487B">
        <w:t>a</w:t>
      </w:r>
      <w:r>
        <w:t>)</w:t>
      </w:r>
      <w:r w:rsidRPr="00C90C27">
        <w:t xml:space="preserve"> of the provisional agenda</w:t>
      </w:r>
    </w:p>
    <w:p w14:paraId="133CA847" w14:textId="4F2944FC" w:rsidR="001C6663" w:rsidRDefault="00EC7952" w:rsidP="00EC7952">
      <w:pPr>
        <w:rPr>
          <w:b/>
          <w:bCs/>
          <w:szCs w:val="24"/>
        </w:rPr>
      </w:pPr>
      <w:r w:rsidRPr="00BA3025">
        <w:rPr>
          <w:b/>
          <w:bCs/>
        </w:rPr>
        <w:t>Proposals for amendments to annexes A and B of ADR:</w:t>
      </w:r>
      <w:r w:rsidRPr="00BA3025">
        <w:rPr>
          <w:b/>
          <w:bCs/>
        </w:rPr>
        <w:br/>
      </w:r>
      <w:r w:rsidR="00816016" w:rsidRPr="00923288">
        <w:rPr>
          <w:b/>
          <w:bCs/>
          <w:szCs w:val="24"/>
        </w:rPr>
        <w:t>construction and approval of vehicles</w:t>
      </w:r>
    </w:p>
    <w:p w14:paraId="05118913" w14:textId="48A0287C" w:rsidR="00000E69" w:rsidRDefault="00000E69" w:rsidP="00000E69">
      <w:pPr>
        <w:pStyle w:val="HChG"/>
      </w:pPr>
      <w:r w:rsidRPr="00923288">
        <w:tab/>
      </w:r>
      <w:r w:rsidRPr="00923288">
        <w:tab/>
        <w:t>Section 9.</w:t>
      </w:r>
      <w:r>
        <w:t>2.2.8</w:t>
      </w:r>
      <w:r w:rsidRPr="00923288">
        <w:t xml:space="preserve"> – </w:t>
      </w:r>
      <w:r>
        <w:t xml:space="preserve">Battery </w:t>
      </w:r>
      <w:r w:rsidR="009B1FAA">
        <w:t>master switch</w:t>
      </w:r>
    </w:p>
    <w:p w14:paraId="0CC44398" w14:textId="704D7CEF" w:rsidR="00000E69" w:rsidRPr="00FD0CFE" w:rsidRDefault="00000E69" w:rsidP="00000E69">
      <w:pPr>
        <w:pStyle w:val="H1G"/>
        <w:rPr>
          <w:lang w:eastAsia="ru-RU"/>
        </w:rPr>
      </w:pPr>
      <w:r w:rsidRPr="00FD0CFE">
        <w:rPr>
          <w:lang w:eastAsia="ru-RU"/>
        </w:rPr>
        <w:tab/>
      </w:r>
      <w:r w:rsidRPr="00FD0CFE">
        <w:rPr>
          <w:lang w:eastAsia="ru-RU"/>
        </w:rPr>
        <w:tab/>
        <w:t xml:space="preserve">Transmitted by the Government of the </w:t>
      </w:r>
      <w:r>
        <w:rPr>
          <w:lang w:eastAsia="ru-RU"/>
        </w:rPr>
        <w:t xml:space="preserve">Netherlands on behalf of the </w:t>
      </w:r>
      <w:r w:rsidR="009B1FAA">
        <w:rPr>
          <w:lang w:eastAsia="ru-RU"/>
        </w:rPr>
        <w:t xml:space="preserve">informal working group </w:t>
      </w:r>
      <w:r>
        <w:rPr>
          <w:lang w:eastAsia="ru-RU"/>
        </w:rPr>
        <w:t xml:space="preserve">on </w:t>
      </w:r>
      <w:r w:rsidR="009C4356">
        <w:rPr>
          <w:lang w:eastAsia="ru-RU"/>
        </w:rPr>
        <w:t xml:space="preserve">electrified </w:t>
      </w:r>
      <w:r w:rsidR="009B1FAA">
        <w:rPr>
          <w:lang w:eastAsia="ru-RU"/>
        </w:rPr>
        <w:t>vehicles</w:t>
      </w:r>
      <w:r w:rsidR="00AB3F66">
        <w:rPr>
          <w:rStyle w:val="FootnoteReference"/>
          <w:lang w:eastAsia="ru-RU"/>
        </w:rPr>
        <w:footnoteReference w:id="2"/>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890605" w14:paraId="07CDB108" w14:textId="77777777" w:rsidTr="003C5EC2">
        <w:trPr>
          <w:jc w:val="center"/>
        </w:trPr>
        <w:tc>
          <w:tcPr>
            <w:tcW w:w="9629" w:type="dxa"/>
            <w:shd w:val="clear" w:color="auto" w:fill="auto"/>
          </w:tcPr>
          <w:p w14:paraId="5CE2E73B" w14:textId="77777777" w:rsidR="00890605" w:rsidRPr="00C6263E" w:rsidRDefault="00890605" w:rsidP="006E5E26">
            <w:pPr>
              <w:spacing w:before="240" w:after="120"/>
              <w:ind w:left="255"/>
              <w:rPr>
                <w:i/>
                <w:sz w:val="24"/>
              </w:rPr>
            </w:pPr>
            <w:r w:rsidRPr="00C6263E">
              <w:rPr>
                <w:i/>
                <w:sz w:val="24"/>
              </w:rPr>
              <w:t>Summary</w:t>
            </w:r>
          </w:p>
        </w:tc>
      </w:tr>
      <w:tr w:rsidR="00890605" w14:paraId="0CC64DC4" w14:textId="77777777" w:rsidTr="003C5EC2">
        <w:trPr>
          <w:jc w:val="center"/>
        </w:trPr>
        <w:tc>
          <w:tcPr>
            <w:tcW w:w="9629" w:type="dxa"/>
            <w:shd w:val="clear" w:color="auto" w:fill="auto"/>
          </w:tcPr>
          <w:p w14:paraId="7DD5F796" w14:textId="17ECE449" w:rsidR="00890605" w:rsidRDefault="003C5EC2" w:rsidP="003C5EC2">
            <w:pPr>
              <w:pStyle w:val="SingleTxtG"/>
              <w:ind w:left="3402" w:hanging="2268"/>
            </w:pPr>
            <w:r w:rsidRPr="00923288">
              <w:rPr>
                <w:b/>
              </w:rPr>
              <w:t xml:space="preserve">Executive summary: </w:t>
            </w:r>
            <w:r w:rsidRPr="00923288">
              <w:tab/>
            </w:r>
            <w:r>
              <w:t xml:space="preserve">Electrified </w:t>
            </w:r>
            <w:r w:rsidR="009B1FAA">
              <w:t xml:space="preserve">vehicles </w:t>
            </w:r>
            <w:r>
              <w:t>require different measures to de-energize the electrical systems than vehicles with internal combustion engines. To reflect this, a revised wording is proposed for 9.2.2.8</w:t>
            </w:r>
            <w:r w:rsidRPr="00923288">
              <w:t>.</w:t>
            </w:r>
          </w:p>
          <w:p w14:paraId="709102B1" w14:textId="77777777" w:rsidR="00ED33C0" w:rsidRDefault="00ED33C0" w:rsidP="00ED33C0">
            <w:pPr>
              <w:spacing w:after="120"/>
              <w:ind w:left="3402" w:right="856" w:hanging="2268"/>
              <w:rPr>
                <w:bCs/>
              </w:rPr>
            </w:pPr>
            <w:r w:rsidRPr="00923288">
              <w:rPr>
                <w:b/>
              </w:rPr>
              <w:t>Action to be taken:</w:t>
            </w:r>
            <w:r w:rsidRPr="00923288">
              <w:rPr>
                <w:b/>
              </w:rPr>
              <w:tab/>
            </w:r>
            <w:r w:rsidRPr="00923288">
              <w:rPr>
                <w:bCs/>
              </w:rPr>
              <w:t xml:space="preserve">Amend </w:t>
            </w:r>
            <w:r w:rsidRPr="00FD0CFE">
              <w:rPr>
                <w:bCs/>
              </w:rPr>
              <w:t>ADR 9.</w:t>
            </w:r>
            <w:r>
              <w:rPr>
                <w:bCs/>
              </w:rPr>
              <w:t>2.2.8</w:t>
            </w:r>
            <w:r w:rsidRPr="00923288">
              <w:rPr>
                <w:bCs/>
              </w:rPr>
              <w:t>.</w:t>
            </w:r>
          </w:p>
          <w:p w14:paraId="790D42BD" w14:textId="27BEE78E" w:rsidR="003C5EC2" w:rsidRDefault="00B50B51" w:rsidP="003C5EC2">
            <w:pPr>
              <w:pStyle w:val="SingleTxtG"/>
              <w:ind w:left="3402" w:hanging="2268"/>
            </w:pPr>
            <w:r w:rsidRPr="00923288">
              <w:rPr>
                <w:b/>
              </w:rPr>
              <w:t>Related documents:</w:t>
            </w:r>
            <w:r w:rsidRPr="00923288">
              <w:rPr>
                <w:b/>
              </w:rPr>
              <w:tab/>
            </w:r>
            <w:r w:rsidRPr="006B2B1A">
              <w:rPr>
                <w:bCs/>
              </w:rPr>
              <w:t>Informal document</w:t>
            </w:r>
            <w:r>
              <w:rPr>
                <w:b/>
              </w:rPr>
              <w:t xml:space="preserve"> </w:t>
            </w:r>
            <w:r>
              <w:rPr>
                <w:bCs/>
              </w:rPr>
              <w:t xml:space="preserve">INF.16 </w:t>
            </w:r>
            <w:r w:rsidR="00520830">
              <w:rPr>
                <w:bCs/>
              </w:rPr>
              <w:t xml:space="preserve">from the </w:t>
            </w:r>
            <w:r>
              <w:rPr>
                <w:bCs/>
              </w:rPr>
              <w:t>109</w:t>
            </w:r>
            <w:r w:rsidRPr="008108C9">
              <w:rPr>
                <w:bCs/>
                <w:vertAlign w:val="superscript"/>
              </w:rPr>
              <w:t>th</w:t>
            </w:r>
            <w:r>
              <w:rPr>
                <w:bCs/>
                <w:vertAlign w:val="superscript"/>
              </w:rPr>
              <w:t>,</w:t>
            </w:r>
            <w:r>
              <w:rPr>
                <w:bCs/>
              </w:rPr>
              <w:t xml:space="preserve"> session, informal documents INF.14 and INF.20 from the 110</w:t>
            </w:r>
            <w:r w:rsidRPr="00B00789">
              <w:rPr>
                <w:bCs/>
                <w:vertAlign w:val="superscript"/>
              </w:rPr>
              <w:t>th</w:t>
            </w:r>
            <w:r>
              <w:rPr>
                <w:bCs/>
              </w:rPr>
              <w:t xml:space="preserve"> session, document E</w:t>
            </w:r>
            <w:r w:rsidRPr="00923288">
              <w:rPr>
                <w:bCs/>
              </w:rPr>
              <w:t>CE/TRANS/WP.15/202</w:t>
            </w:r>
            <w:r>
              <w:rPr>
                <w:bCs/>
              </w:rPr>
              <w:t>2</w:t>
            </w:r>
            <w:r w:rsidRPr="00923288">
              <w:rPr>
                <w:bCs/>
              </w:rPr>
              <w:t>/</w:t>
            </w:r>
            <w:r>
              <w:rPr>
                <w:bCs/>
              </w:rPr>
              <w:t>5</w:t>
            </w:r>
            <w:r w:rsidRPr="00923288">
              <w:rPr>
                <w:bCs/>
              </w:rPr>
              <w:t xml:space="preserve"> </w:t>
            </w:r>
            <w:r w:rsidRPr="00FD0CFE">
              <w:rPr>
                <w:bCs/>
              </w:rPr>
              <w:t>and informal document</w:t>
            </w:r>
            <w:r>
              <w:rPr>
                <w:bCs/>
              </w:rPr>
              <w:t>s INF.12, INF.14, INF.18 and INF.23 from</w:t>
            </w:r>
            <w:r w:rsidRPr="00FD0CFE">
              <w:rPr>
                <w:bCs/>
              </w:rPr>
              <w:t xml:space="preserve"> the 1</w:t>
            </w:r>
            <w:r>
              <w:rPr>
                <w:bCs/>
              </w:rPr>
              <w:t>11</w:t>
            </w:r>
            <w:r w:rsidRPr="00FD0CFE">
              <w:rPr>
                <w:bCs/>
                <w:vertAlign w:val="superscript"/>
              </w:rPr>
              <w:t>th</w:t>
            </w:r>
            <w:r w:rsidRPr="00FD0CFE">
              <w:rPr>
                <w:bCs/>
              </w:rPr>
              <w:t xml:space="preserve"> session</w:t>
            </w:r>
            <w:r>
              <w:rPr>
                <w:bCs/>
              </w:rPr>
              <w:t xml:space="preserve"> and informal document INF.6 from the 112</w:t>
            </w:r>
            <w:r w:rsidRPr="00CA7926">
              <w:rPr>
                <w:bCs/>
                <w:vertAlign w:val="superscript"/>
              </w:rPr>
              <w:t>th</w:t>
            </w:r>
            <w:r>
              <w:rPr>
                <w:bCs/>
              </w:rPr>
              <w:t xml:space="preserve"> session.</w:t>
            </w:r>
          </w:p>
        </w:tc>
      </w:tr>
      <w:tr w:rsidR="00890605" w14:paraId="1978E5F4" w14:textId="77777777" w:rsidTr="003C5EC2">
        <w:trPr>
          <w:jc w:val="center"/>
        </w:trPr>
        <w:tc>
          <w:tcPr>
            <w:tcW w:w="9629" w:type="dxa"/>
            <w:shd w:val="clear" w:color="auto" w:fill="auto"/>
          </w:tcPr>
          <w:p w14:paraId="2EA20A7B" w14:textId="77777777" w:rsidR="00890605" w:rsidRDefault="00890605" w:rsidP="006E5E26"/>
        </w:tc>
      </w:tr>
    </w:tbl>
    <w:p w14:paraId="51037E5F" w14:textId="51EE1AD9" w:rsidR="00E31436" w:rsidRPr="00BB1A61" w:rsidRDefault="00E31436" w:rsidP="0079312C">
      <w:pPr>
        <w:pStyle w:val="HChG"/>
        <w:pageBreakBefore/>
      </w:pPr>
      <w:r>
        <w:lastRenderedPageBreak/>
        <w:tab/>
      </w:r>
      <w:r>
        <w:tab/>
      </w:r>
      <w:r w:rsidRPr="00BB1A61">
        <w:t>Introduction</w:t>
      </w:r>
    </w:p>
    <w:p w14:paraId="2CC4C9AA" w14:textId="44C60342" w:rsidR="00E31436" w:rsidRPr="00106BA4" w:rsidRDefault="00E31436" w:rsidP="00E31436">
      <w:pPr>
        <w:pStyle w:val="SingleTxtG"/>
      </w:pPr>
      <w:r>
        <w:tab/>
        <w:t>1.</w:t>
      </w:r>
      <w:r>
        <w:tab/>
      </w:r>
      <w:r w:rsidRPr="00106BA4">
        <w:t xml:space="preserve">Discussions on safety of </w:t>
      </w:r>
      <w:r w:rsidR="009C4356" w:rsidRPr="00106BA4">
        <w:t xml:space="preserve">battery electric vehicles </w:t>
      </w:r>
      <w:r w:rsidRPr="00106BA4">
        <w:t xml:space="preserve">for category FL </w:t>
      </w:r>
      <w:r w:rsidR="009C4356">
        <w:t>are</w:t>
      </w:r>
      <w:r w:rsidRPr="00106BA4">
        <w:t xml:space="preserve"> ongoing. The two major topics for discussion are on the Rechargeable Electrical Energy Storage System (REESS) and the safety in zones where explosive atmospheres may occur. The last topic has led to a text reproduced below that is felt ready for adoption. For more details on the background of these amended wording please read the justification section.</w:t>
      </w:r>
    </w:p>
    <w:p w14:paraId="0CD30812" w14:textId="37E02A78" w:rsidR="00E31436" w:rsidRDefault="00E31436" w:rsidP="00E31436">
      <w:pPr>
        <w:pStyle w:val="HChG"/>
      </w:pPr>
      <w:r>
        <w:tab/>
      </w:r>
      <w:r>
        <w:tab/>
      </w:r>
      <w:r w:rsidRPr="00BB1A61">
        <w:t>Proposal</w:t>
      </w:r>
    </w:p>
    <w:p w14:paraId="0F1DC43B" w14:textId="273A89D4" w:rsidR="00E31436" w:rsidRPr="000C280A" w:rsidRDefault="00E31436" w:rsidP="00E31436">
      <w:pPr>
        <w:pStyle w:val="SingleTxtG"/>
        <w:rPr>
          <w:b/>
          <w:bCs/>
        </w:rPr>
      </w:pPr>
      <w:r>
        <w:tab/>
        <w:t>2.</w:t>
      </w:r>
      <w:r>
        <w:tab/>
      </w:r>
      <w:r w:rsidRPr="00B8735A">
        <w:t xml:space="preserve">Replace the </w:t>
      </w:r>
      <w:r>
        <w:t xml:space="preserve">existing </w:t>
      </w:r>
      <w:r w:rsidRPr="00B8735A">
        <w:t>text of 9.2.2.8 by the text reproduced below:</w:t>
      </w:r>
    </w:p>
    <w:p w14:paraId="7E6990DA" w14:textId="77777777" w:rsidR="009C4356" w:rsidRPr="009C4356" w:rsidRDefault="00DD76EC" w:rsidP="009C4356">
      <w:pPr>
        <w:pStyle w:val="SingleTxtG"/>
        <w:ind w:left="1701"/>
        <w:rPr>
          <w:b/>
          <w:bCs/>
          <w:i/>
          <w:iCs/>
        </w:rPr>
      </w:pPr>
      <w:r w:rsidRPr="00070C76">
        <w:rPr>
          <w:i/>
          <w:iCs/>
        </w:rPr>
        <w:t>“</w:t>
      </w:r>
      <w:r w:rsidRPr="009C4356">
        <w:rPr>
          <w:b/>
          <w:bCs/>
        </w:rPr>
        <w:t>9.2.2.8</w:t>
      </w:r>
      <w:r w:rsidRPr="009C4356">
        <w:rPr>
          <w:b/>
          <w:bCs/>
          <w:i/>
          <w:iCs/>
        </w:rPr>
        <w:tab/>
        <w:t>De-energizing electrical circuits</w:t>
      </w:r>
    </w:p>
    <w:p w14:paraId="08BCB23F" w14:textId="4E87CA17" w:rsidR="00DD76EC" w:rsidRPr="00070C76" w:rsidRDefault="009C4356" w:rsidP="009C4356">
      <w:pPr>
        <w:pStyle w:val="SingleTxtG"/>
        <w:ind w:left="1701"/>
        <w:rPr>
          <w:i/>
          <w:iCs/>
        </w:rPr>
      </w:pPr>
      <w:r w:rsidRPr="009C4356">
        <w:rPr>
          <w:b/>
          <w:bCs/>
          <w:i/>
          <w:iCs/>
        </w:rPr>
        <w:t>NOTE</w:t>
      </w:r>
      <w:r w:rsidR="00DD76EC" w:rsidRPr="009C4356">
        <w:rPr>
          <w:b/>
          <w:bCs/>
          <w:i/>
          <w:iCs/>
        </w:rPr>
        <w:t>:</w:t>
      </w:r>
      <w:r w:rsidR="00DD76EC" w:rsidRPr="00070C76">
        <w:rPr>
          <w:i/>
          <w:iCs/>
        </w:rPr>
        <w:t xml:space="preserve"> </w:t>
      </w:r>
      <w:r>
        <w:rPr>
          <w:i/>
          <w:iCs/>
        </w:rPr>
        <w:t>T</w:t>
      </w:r>
      <w:r w:rsidR="00DD76EC" w:rsidRPr="00070C76">
        <w:rPr>
          <w:i/>
          <w:iCs/>
        </w:rPr>
        <w:t>he feature shall only be used when the vehicle is in standstill.</w:t>
      </w:r>
    </w:p>
    <w:p w14:paraId="3357CB3F" w14:textId="6477F63C" w:rsidR="00DD76EC" w:rsidRPr="00E44F4D" w:rsidRDefault="00DD76EC" w:rsidP="009C4356">
      <w:pPr>
        <w:pStyle w:val="SingleTxtG"/>
        <w:ind w:left="1701"/>
      </w:pPr>
      <w:r w:rsidRPr="00E44F4D">
        <w:t>9.2.2.8.1</w:t>
      </w:r>
      <w:r w:rsidRPr="00E44F4D">
        <w:tab/>
        <w:t xml:space="preserve">Features to enable the de-energization of the electrical circuits for all voltage levels shall be placed as close to the energy </w:t>
      </w:r>
      <w:r w:rsidR="00E44F4D">
        <w:t>sources</w:t>
      </w:r>
      <w:r w:rsidRPr="00E44F4D">
        <w:t xml:space="preserve"> as practicable. In the case the feature interrupts only one lead from the energy source, it shall interrupt the supply lead.</w:t>
      </w:r>
    </w:p>
    <w:p w14:paraId="53BAFC64" w14:textId="1B4295C2" w:rsidR="00DD76EC" w:rsidRPr="009C4356" w:rsidRDefault="00DD76EC" w:rsidP="009C4356">
      <w:pPr>
        <w:pStyle w:val="SingleTxtG"/>
        <w:ind w:left="1701"/>
      </w:pPr>
      <w:r w:rsidRPr="00E44F4D">
        <w:t>9.2.2.8.2</w:t>
      </w:r>
      <w:r w:rsidRPr="00E44F4D">
        <w:tab/>
        <w:t xml:space="preserve">A control device to facilitate the de-energizing shall be installed in the driver's cab. It shall be readily accessible to the driver and be distinctively marked. It shall be protected against inadvertent operation </w:t>
      </w:r>
      <w:r w:rsidR="003E7318" w:rsidRPr="00E44F4D">
        <w:t xml:space="preserve">either </w:t>
      </w:r>
      <w:r w:rsidRPr="00E44F4D">
        <w:t xml:space="preserve">by adding a protective cover, by using a dual movement control device or by other suitable means. Additional control devices may be installed provided they are distinctively marked and protected against inadvertent operation. If the control </w:t>
      </w:r>
      <w:r w:rsidR="00E44F4D">
        <w:t>devices</w:t>
      </w:r>
      <w:r w:rsidRPr="00E44F4D">
        <w:t xml:space="preserve"> are electrically operated, the circuits of the control </w:t>
      </w:r>
      <w:r w:rsidR="00E44F4D">
        <w:t>devices</w:t>
      </w:r>
      <w:r w:rsidRPr="00E44F4D">
        <w:t xml:space="preserve"> are subject to the requirements of 9.2.2.9.</w:t>
      </w:r>
    </w:p>
    <w:p w14:paraId="67B5506A" w14:textId="786D7C33" w:rsidR="00DD76EC" w:rsidRPr="009C4356" w:rsidRDefault="00DD76EC" w:rsidP="009C4356">
      <w:pPr>
        <w:pStyle w:val="SingleTxtG"/>
        <w:ind w:left="1701"/>
      </w:pPr>
      <w:r w:rsidRPr="009C4356">
        <w:t>9.2.2.8.3</w:t>
      </w:r>
      <w:r w:rsidRPr="009C4356">
        <w:tab/>
        <w:t>The de-energization shall be completed within 30 seconds after the activation of the control device.</w:t>
      </w:r>
    </w:p>
    <w:p w14:paraId="35F774CD" w14:textId="2A4371B2" w:rsidR="00DD76EC" w:rsidRPr="009C4356" w:rsidRDefault="00DD76EC" w:rsidP="009C4356">
      <w:pPr>
        <w:pStyle w:val="SingleTxtG"/>
        <w:ind w:left="1701"/>
      </w:pPr>
      <w:r w:rsidRPr="009C4356">
        <w:t>9.2.2.8.4</w:t>
      </w:r>
      <w:r w:rsidRPr="009C4356">
        <w:tab/>
        <w:t xml:space="preserve">The feature shall be installed in such a way that </w:t>
      </w:r>
      <w:r w:rsidR="00D3505A">
        <w:t xml:space="preserve">protection </w:t>
      </w:r>
      <w:r w:rsidRPr="009C4356">
        <w:t>IP65 in accordance with IEC 60529 is complied with.</w:t>
      </w:r>
    </w:p>
    <w:p w14:paraId="0C421B5A" w14:textId="69BA4705" w:rsidR="00DD76EC" w:rsidRPr="009C4356" w:rsidRDefault="00DD76EC" w:rsidP="009C4356">
      <w:pPr>
        <w:pStyle w:val="SingleTxtG"/>
        <w:ind w:left="1701"/>
      </w:pPr>
      <w:r w:rsidRPr="009C4356">
        <w:t>9.2.2.8.5</w:t>
      </w:r>
      <w:r w:rsidRPr="009C4356">
        <w:tab/>
      </w:r>
      <w:r w:rsidRPr="0079312C">
        <w:rPr>
          <w:i/>
          <w:iCs/>
        </w:rPr>
        <w:t>Cable connections on the feature</w:t>
      </w:r>
    </w:p>
    <w:p w14:paraId="2A3E92CB" w14:textId="7CD76156" w:rsidR="003F41C1" w:rsidRPr="009C4356" w:rsidRDefault="003F41C1" w:rsidP="0079312C">
      <w:pPr>
        <w:pStyle w:val="SingleTxtG"/>
        <w:ind w:left="1701" w:firstLine="1134"/>
      </w:pPr>
      <w:r w:rsidRPr="009C4356">
        <w:t>Systems with a voltage that exceed 25 V A.C. or 60 V D.C. and systems under the scope of UN Regulation No. 100, shall comply with the requirements of the said regulation</w:t>
      </w:r>
      <w:r w:rsidR="006D30FB">
        <w:t>.</w:t>
      </w:r>
    </w:p>
    <w:p w14:paraId="2EAB3A32" w14:textId="6DBE1ABF" w:rsidR="003F41C1" w:rsidRPr="009C4356" w:rsidRDefault="003F41C1" w:rsidP="0079312C">
      <w:pPr>
        <w:pStyle w:val="SingleTxtG"/>
        <w:ind w:left="1701" w:firstLine="1134"/>
      </w:pPr>
      <w:r w:rsidRPr="009C4356">
        <w:t>Systems with a voltage up to 25 V A.C. or 60 V D.C. shall have a protection degree IP 54 in accordance with IEC 60529. However, this does not apply if these connections are contained in a housing which may be the battery box. In the case it is sufficient to insulate the connections against short circuits, for example by a rubber cap.”</w:t>
      </w:r>
    </w:p>
    <w:p w14:paraId="350B70EE" w14:textId="0E351FD2" w:rsidR="0092115A" w:rsidRPr="00DF1050" w:rsidRDefault="00B34ED7" w:rsidP="0092115A">
      <w:pPr>
        <w:pStyle w:val="HChG"/>
      </w:pPr>
      <w:r>
        <w:tab/>
      </w:r>
      <w:r>
        <w:tab/>
      </w:r>
      <w:r w:rsidR="0092115A" w:rsidRPr="00DF1050">
        <w:t>Justification</w:t>
      </w:r>
    </w:p>
    <w:p w14:paraId="54775C9D" w14:textId="25616556" w:rsidR="0092115A" w:rsidRDefault="00611354" w:rsidP="00F809FE">
      <w:pPr>
        <w:pStyle w:val="SingleTxtG"/>
      </w:pPr>
      <w:r>
        <w:tab/>
        <w:t>3.</w:t>
      </w:r>
      <w:r>
        <w:tab/>
      </w:r>
      <w:r w:rsidR="0092115A" w:rsidRPr="00106BA4">
        <w:t xml:space="preserve">To de-activate </w:t>
      </w:r>
      <w:r w:rsidR="0092115A">
        <w:t xml:space="preserve">electrical circuits </w:t>
      </w:r>
      <w:r w:rsidR="0092115A" w:rsidRPr="00106BA4">
        <w:t xml:space="preserve">takes a certain </w:t>
      </w:r>
      <w:proofErr w:type="gramStart"/>
      <w:r w:rsidR="0092115A" w:rsidRPr="00106BA4">
        <w:t>period of time</w:t>
      </w:r>
      <w:proofErr w:type="gramEnd"/>
      <w:r w:rsidR="0092115A" w:rsidRPr="00106BA4">
        <w:t xml:space="preserve"> so that all energy is properly released from the components. This de-activation is expected to be possible within 30 seconds but certainly not </w:t>
      </w:r>
      <w:r w:rsidR="006D30FB">
        <w:t xml:space="preserve">within </w:t>
      </w:r>
      <w:r w:rsidR="0092115A" w:rsidRPr="00106BA4">
        <w:t>the 10 seconds now mentioned in 9.2.2.8.3 in ADR 2023.</w:t>
      </w:r>
    </w:p>
    <w:p w14:paraId="72933BAE" w14:textId="1C95B2EC" w:rsidR="0092115A" w:rsidRDefault="00611354" w:rsidP="00611354">
      <w:pPr>
        <w:pStyle w:val="SingleTxtG"/>
      </w:pPr>
      <w:r>
        <w:tab/>
        <w:t>4.</w:t>
      </w:r>
      <w:r>
        <w:tab/>
      </w:r>
      <w:r w:rsidR="0092115A" w:rsidRPr="00106BA4">
        <w:t xml:space="preserve">Subsection 9.2.2.8 is seen as a measure to provide safety in an area where an explosive atmosphere may occur. These situations </w:t>
      </w:r>
      <w:proofErr w:type="gramStart"/>
      <w:r w:rsidR="0092115A" w:rsidRPr="00106BA4">
        <w:t>in particular occur</w:t>
      </w:r>
      <w:proofErr w:type="gramEnd"/>
      <w:r w:rsidR="0092115A" w:rsidRPr="00106BA4">
        <w:t xml:space="preserve"> when filling or discharging the (load) tank of the vehicle with flammable substances. Spilled flammable substances may create an explosive atmosphere </w:t>
      </w:r>
      <w:r w:rsidR="0092115A">
        <w:t xml:space="preserve">that </w:t>
      </w:r>
      <w:r w:rsidR="0092115A" w:rsidRPr="00106BA4">
        <w:t>can be ignited by a hot surface or sparks, for example by electric conductors or components.</w:t>
      </w:r>
    </w:p>
    <w:p w14:paraId="7368783F" w14:textId="6E2B8818" w:rsidR="0092115A" w:rsidRDefault="006F64EC" w:rsidP="00611354">
      <w:pPr>
        <w:pStyle w:val="SingleTxtG"/>
      </w:pPr>
      <w:r>
        <w:tab/>
        <w:t>5.</w:t>
      </w:r>
      <w:r>
        <w:tab/>
      </w:r>
      <w:r w:rsidR="0092115A" w:rsidRPr="00106BA4">
        <w:t>When providing safety in an explosive atmosphere the de-energizing of the electrical system is to be done in a controlled way as described above. It is felt that 30 seconds is an appropriate period as the driver will stop the vehicle at the filling point, uses the control device and steps out of the vehicle to start to connect filling or discharge connections. This will take at least 30 seconds in which the system is de-</w:t>
      </w:r>
      <w:r w:rsidR="0092115A" w:rsidRPr="00973BE3">
        <w:t>energized</w:t>
      </w:r>
      <w:r w:rsidR="0092115A" w:rsidRPr="00106BA4">
        <w:t xml:space="preserve">. In the future a longer period may be needed to shut down a </w:t>
      </w:r>
      <w:r w:rsidR="006D30FB" w:rsidRPr="00106BA4">
        <w:t>hydrogen fuel cell</w:t>
      </w:r>
      <w:r w:rsidR="0092115A" w:rsidRPr="00106BA4">
        <w:t>.</w:t>
      </w:r>
    </w:p>
    <w:p w14:paraId="09DA0978" w14:textId="0989979F" w:rsidR="0092115A" w:rsidRDefault="006F64EC" w:rsidP="00611354">
      <w:pPr>
        <w:pStyle w:val="SingleTxtG"/>
      </w:pPr>
      <w:r>
        <w:tab/>
        <w:t>6.</w:t>
      </w:r>
      <w:r>
        <w:tab/>
      </w:r>
      <w:r w:rsidR="0092115A" w:rsidRPr="00106BA4">
        <w:t xml:space="preserve">In previous reports from the </w:t>
      </w:r>
      <w:r w:rsidR="006D30FB">
        <w:t>informal working group</w:t>
      </w:r>
      <w:r w:rsidR="0092115A" w:rsidRPr="00106BA4">
        <w:t xml:space="preserve"> it was suggested to have separate sections for the battery master switch function for high and low voltage. However, certainly at this stage of vehicle development, electric vehicles are equipped with </w:t>
      </w:r>
      <w:r w:rsidR="006D30FB">
        <w:t xml:space="preserve">both </w:t>
      </w:r>
      <w:r w:rsidR="0092115A" w:rsidRPr="00106BA4">
        <w:t>high and low voltage systems, where i</w:t>
      </w:r>
      <w:r w:rsidR="0092115A">
        <w:t>n</w:t>
      </w:r>
      <w:r w:rsidR="0092115A" w:rsidRPr="00106BA4">
        <w:t xml:space="preserve"> some cases the low voltage system controls the high voltage (drive) system. For this reason</w:t>
      </w:r>
      <w:r w:rsidR="0092115A">
        <w:t>,</w:t>
      </w:r>
      <w:r w:rsidR="0092115A" w:rsidRPr="00106BA4">
        <w:t xml:space="preserve"> it was felt </w:t>
      </w:r>
      <w:r w:rsidR="0092115A">
        <w:t xml:space="preserve">beneficial </w:t>
      </w:r>
      <w:r w:rsidR="0092115A" w:rsidRPr="00106BA4">
        <w:t xml:space="preserve">to have one </w:t>
      </w:r>
      <w:r w:rsidR="006D30FB">
        <w:t xml:space="preserve">single </w:t>
      </w:r>
      <w:r w:rsidR="0092115A" w:rsidRPr="00106BA4">
        <w:t xml:space="preserve">section. </w:t>
      </w:r>
    </w:p>
    <w:p w14:paraId="0CA9E862" w14:textId="5544809A" w:rsidR="0092115A" w:rsidRPr="00106BA4" w:rsidRDefault="00B97BD1" w:rsidP="00B97BD1">
      <w:pPr>
        <w:pStyle w:val="SingleTxtG"/>
      </w:pPr>
      <w:r>
        <w:tab/>
        <w:t>7.</w:t>
      </w:r>
      <w:r>
        <w:tab/>
      </w:r>
      <w:r w:rsidR="0092115A" w:rsidRPr="00106BA4">
        <w:t>It was decided to strive for design neutral descriptions. For this reason</w:t>
      </w:r>
      <w:r w:rsidR="0092115A">
        <w:t>,</w:t>
      </w:r>
      <w:r w:rsidR="0092115A" w:rsidRPr="00106BA4">
        <w:t xml:space="preserve"> </w:t>
      </w:r>
      <w:r w:rsidR="005821B9">
        <w:t xml:space="preserve">the </w:t>
      </w:r>
      <w:r w:rsidR="0092115A" w:rsidRPr="00106BA4">
        <w:t xml:space="preserve">wording “switch” is replaced by “feature” to indicate that it may be any </w:t>
      </w:r>
      <w:r w:rsidR="00070505">
        <w:t>system</w:t>
      </w:r>
      <w:r w:rsidR="00070505" w:rsidRPr="00106BA4">
        <w:t xml:space="preserve"> </w:t>
      </w:r>
      <w:r w:rsidR="0092115A" w:rsidRPr="00106BA4">
        <w:t xml:space="preserve">that will give the required effect. To reflect also that more than one power source may be applied (high voltage-low voltage batteries) </w:t>
      </w:r>
      <w:r w:rsidR="001001E2">
        <w:t>this</w:t>
      </w:r>
      <w:r w:rsidR="001001E2" w:rsidRPr="00106BA4">
        <w:t xml:space="preserve"> </w:t>
      </w:r>
      <w:r w:rsidR="0092115A" w:rsidRPr="00106BA4">
        <w:t xml:space="preserve">also includes hydrogen fuel cells and solar panels that </w:t>
      </w:r>
      <w:r w:rsidR="005C30B3">
        <w:t xml:space="preserve">are installed </w:t>
      </w:r>
      <w:r w:rsidR="0092115A" w:rsidRPr="00106BA4">
        <w:t>on trucks. As far as possible common wording is used for all systems but where necessary differences are made between high and low voltage based on their hazards.</w:t>
      </w:r>
    </w:p>
    <w:p w14:paraId="2A2E8A37" w14:textId="1B5154DC" w:rsidR="00816016" w:rsidRPr="00070C76" w:rsidRDefault="00B14A64" w:rsidP="00E14205">
      <w:pPr>
        <w:spacing w:before="240"/>
        <w:jc w:val="center"/>
        <w:rPr>
          <w:i/>
          <w:iCs/>
        </w:rPr>
      </w:pPr>
      <w:r>
        <w:rPr>
          <w:u w:val="single"/>
        </w:rPr>
        <w:tab/>
      </w:r>
      <w:r>
        <w:rPr>
          <w:u w:val="single"/>
        </w:rPr>
        <w:tab/>
      </w:r>
      <w:r>
        <w:rPr>
          <w:u w:val="single"/>
        </w:rPr>
        <w:tab/>
      </w:r>
    </w:p>
    <w:sectPr w:rsidR="00816016" w:rsidRPr="00070C76" w:rsidSect="001F6A55">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327F" w14:textId="77777777" w:rsidR="00DE5467" w:rsidRDefault="00DE5467"/>
  </w:endnote>
  <w:endnote w:type="continuationSeparator" w:id="0">
    <w:p w14:paraId="2D13AD3C" w14:textId="77777777" w:rsidR="00DE5467" w:rsidRDefault="00DE5467"/>
  </w:endnote>
  <w:endnote w:type="continuationNotice" w:id="1">
    <w:p w14:paraId="2DFF10D4" w14:textId="77777777" w:rsidR="00DE5467" w:rsidRDefault="00DE5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DB2E" w14:textId="0C448E9F" w:rsidR="001F6A55" w:rsidRPr="001F6A55" w:rsidRDefault="001F6A55" w:rsidP="001F6A55">
    <w:pPr>
      <w:pStyle w:val="Footer"/>
      <w:tabs>
        <w:tab w:val="right" w:pos="9638"/>
      </w:tabs>
      <w:rPr>
        <w:sz w:val="18"/>
      </w:rPr>
    </w:pPr>
    <w:r w:rsidRPr="001F6A55">
      <w:rPr>
        <w:b/>
        <w:sz w:val="18"/>
      </w:rPr>
      <w:fldChar w:fldCharType="begin"/>
    </w:r>
    <w:r w:rsidRPr="001F6A55">
      <w:rPr>
        <w:b/>
        <w:sz w:val="18"/>
      </w:rPr>
      <w:instrText xml:space="preserve"> PAGE  \* MERGEFORMAT </w:instrText>
    </w:r>
    <w:r w:rsidRPr="001F6A55">
      <w:rPr>
        <w:b/>
        <w:sz w:val="18"/>
      </w:rPr>
      <w:fldChar w:fldCharType="separate"/>
    </w:r>
    <w:r w:rsidRPr="001F6A55">
      <w:rPr>
        <w:b/>
        <w:noProof/>
        <w:sz w:val="18"/>
      </w:rPr>
      <w:t>2</w:t>
    </w:r>
    <w:r w:rsidRPr="001F6A5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410A" w14:textId="11BED8AF" w:rsidR="001F6A55" w:rsidRPr="001F6A55" w:rsidRDefault="001F6A55" w:rsidP="001F6A55">
    <w:pPr>
      <w:pStyle w:val="Footer"/>
      <w:tabs>
        <w:tab w:val="right" w:pos="9638"/>
      </w:tabs>
      <w:rPr>
        <w:b/>
        <w:sz w:val="18"/>
      </w:rPr>
    </w:pPr>
    <w:r>
      <w:tab/>
    </w:r>
    <w:r w:rsidRPr="001F6A55">
      <w:rPr>
        <w:b/>
        <w:sz w:val="18"/>
      </w:rPr>
      <w:fldChar w:fldCharType="begin"/>
    </w:r>
    <w:r w:rsidRPr="001F6A55">
      <w:rPr>
        <w:b/>
        <w:sz w:val="18"/>
      </w:rPr>
      <w:instrText xml:space="preserve"> PAGE  \* MERGEFORMAT </w:instrText>
    </w:r>
    <w:r w:rsidRPr="001F6A55">
      <w:rPr>
        <w:b/>
        <w:sz w:val="18"/>
      </w:rPr>
      <w:fldChar w:fldCharType="separate"/>
    </w:r>
    <w:r w:rsidRPr="001F6A55">
      <w:rPr>
        <w:b/>
        <w:noProof/>
        <w:sz w:val="18"/>
      </w:rPr>
      <w:t>3</w:t>
    </w:r>
    <w:r w:rsidRPr="001F6A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8358" w14:textId="77777777" w:rsidR="0035223F" w:rsidRPr="001F6A55" w:rsidRDefault="00686A48">
    <w:pPr>
      <w:pStyle w:val="Footer"/>
      <w:rPr>
        <w:sz w:val="20"/>
      </w:rPr>
    </w:pPr>
    <w:r>
      <w:rPr>
        <w:noProof/>
        <w:lang w:val="fr-CH" w:eastAsia="fr-CH"/>
      </w:rPr>
      <w:drawing>
        <wp:anchor distT="0" distB="0" distL="114300" distR="114300" simplePos="0" relativeHeight="251658240" behindDoc="0" locked="1" layoutInCell="1" allowOverlap="1" wp14:anchorId="782F15C3" wp14:editId="4162DF96">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A8F45" w14:textId="77777777" w:rsidR="00DE5467" w:rsidRPr="000B175B" w:rsidRDefault="00DE5467" w:rsidP="000B175B">
      <w:pPr>
        <w:tabs>
          <w:tab w:val="right" w:pos="2155"/>
        </w:tabs>
        <w:spacing w:after="80"/>
        <w:ind w:left="680"/>
        <w:rPr>
          <w:u w:val="single"/>
        </w:rPr>
      </w:pPr>
      <w:r>
        <w:rPr>
          <w:u w:val="single"/>
        </w:rPr>
        <w:tab/>
      </w:r>
    </w:p>
  </w:footnote>
  <w:footnote w:type="continuationSeparator" w:id="0">
    <w:p w14:paraId="68802ACF" w14:textId="77777777" w:rsidR="00DE5467" w:rsidRPr="00FC68B7" w:rsidRDefault="00DE5467" w:rsidP="00FC68B7">
      <w:pPr>
        <w:tabs>
          <w:tab w:val="left" w:pos="2155"/>
        </w:tabs>
        <w:spacing w:after="80"/>
        <w:ind w:left="680"/>
        <w:rPr>
          <w:u w:val="single"/>
        </w:rPr>
      </w:pPr>
      <w:r>
        <w:rPr>
          <w:u w:val="single"/>
        </w:rPr>
        <w:tab/>
      </w:r>
    </w:p>
  </w:footnote>
  <w:footnote w:type="continuationNotice" w:id="1">
    <w:p w14:paraId="025EA468" w14:textId="77777777" w:rsidR="00DE5467" w:rsidRDefault="00DE5467"/>
  </w:footnote>
  <w:footnote w:id="2">
    <w:p w14:paraId="67BEC532" w14:textId="6FAAE70A" w:rsidR="00AB3F66" w:rsidRPr="00AB3F66" w:rsidRDefault="00AB3F66" w:rsidP="00AB3F66">
      <w:pPr>
        <w:pStyle w:val="FootnoteText"/>
        <w:ind w:firstLine="0"/>
        <w:rPr>
          <w:lang w:val="fr-CH"/>
        </w:rPr>
      </w:pPr>
      <w:r>
        <w:rPr>
          <w:rStyle w:val="FootnoteReference"/>
        </w:rPr>
        <w:footnoteRef/>
      </w:r>
      <w:r>
        <w:t xml:space="preserve"> </w:t>
      </w:r>
      <w:r w:rsidRPr="00655CB8">
        <w:t>A/77/6 (Sect. 20), table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8820" w14:textId="4C21CC21" w:rsidR="001F6A55" w:rsidRPr="001F6A55" w:rsidRDefault="00E14205">
    <w:pPr>
      <w:pStyle w:val="Header"/>
    </w:pPr>
    <w:fldSimple w:instr=" TITLE  \* MERGEFORMAT ">
      <w:r w:rsidR="003142A3">
        <w:t>ECE/TRANS/WP.15/2023/4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96FE" w14:textId="0634BBCD" w:rsidR="001F6A55" w:rsidRPr="001F6A55" w:rsidRDefault="00E14205" w:rsidP="001F6A55">
    <w:pPr>
      <w:pStyle w:val="Header"/>
      <w:jc w:val="right"/>
    </w:pPr>
    <w:fldSimple w:instr=" TITLE  \* MERGEFORMAT ">
      <w:r w:rsidR="003142A3">
        <w:t>ECE/TRANS/WP.15/2023/4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7014996"/>
    <w:multiLevelType w:val="hybridMultilevel"/>
    <w:tmpl w:val="9800A1C6"/>
    <w:lvl w:ilvl="0" w:tplc="F448F2B4">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01389208">
    <w:abstractNumId w:val="1"/>
  </w:num>
  <w:num w:numId="2" w16cid:durableId="415637592">
    <w:abstractNumId w:val="0"/>
  </w:num>
  <w:num w:numId="3" w16cid:durableId="160583669">
    <w:abstractNumId w:val="2"/>
  </w:num>
  <w:num w:numId="4" w16cid:durableId="685329689">
    <w:abstractNumId w:val="3"/>
  </w:num>
  <w:num w:numId="5" w16cid:durableId="982001578">
    <w:abstractNumId w:val="8"/>
  </w:num>
  <w:num w:numId="6" w16cid:durableId="215510594">
    <w:abstractNumId w:val="9"/>
  </w:num>
  <w:num w:numId="7" w16cid:durableId="1170944068">
    <w:abstractNumId w:val="7"/>
  </w:num>
  <w:num w:numId="8" w16cid:durableId="1820342499">
    <w:abstractNumId w:val="6"/>
  </w:num>
  <w:num w:numId="9" w16cid:durableId="561210121">
    <w:abstractNumId w:val="5"/>
  </w:num>
  <w:num w:numId="10" w16cid:durableId="1611089832">
    <w:abstractNumId w:val="4"/>
  </w:num>
  <w:num w:numId="11" w16cid:durableId="392119155">
    <w:abstractNumId w:val="16"/>
  </w:num>
  <w:num w:numId="12" w16cid:durableId="308169321">
    <w:abstractNumId w:val="15"/>
  </w:num>
  <w:num w:numId="13" w16cid:durableId="1066958122">
    <w:abstractNumId w:val="10"/>
  </w:num>
  <w:num w:numId="14" w16cid:durableId="1125848657">
    <w:abstractNumId w:val="13"/>
  </w:num>
  <w:num w:numId="15" w16cid:durableId="74590064">
    <w:abstractNumId w:val="17"/>
  </w:num>
  <w:num w:numId="16" w16cid:durableId="117266354">
    <w:abstractNumId w:val="14"/>
  </w:num>
  <w:num w:numId="17" w16cid:durableId="1489202546">
    <w:abstractNumId w:val="18"/>
  </w:num>
  <w:num w:numId="18" w16cid:durableId="2017808504">
    <w:abstractNumId w:val="19"/>
  </w:num>
  <w:num w:numId="19" w16cid:durableId="440808382">
    <w:abstractNumId w:val="11"/>
  </w:num>
  <w:num w:numId="20" w16cid:durableId="63262534">
    <w:abstractNumId w:val="11"/>
  </w:num>
  <w:num w:numId="21" w16cid:durableId="19660356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55"/>
    <w:rsid w:val="00000E69"/>
    <w:rsid w:val="00002A7D"/>
    <w:rsid w:val="000038A8"/>
    <w:rsid w:val="00006790"/>
    <w:rsid w:val="00027624"/>
    <w:rsid w:val="00050F6B"/>
    <w:rsid w:val="000678CD"/>
    <w:rsid w:val="00070505"/>
    <w:rsid w:val="00070C76"/>
    <w:rsid w:val="00072C8C"/>
    <w:rsid w:val="00081CE0"/>
    <w:rsid w:val="00084D30"/>
    <w:rsid w:val="00090320"/>
    <w:rsid w:val="000931C0"/>
    <w:rsid w:val="0009732C"/>
    <w:rsid w:val="000A01F9"/>
    <w:rsid w:val="000A2E09"/>
    <w:rsid w:val="000B175B"/>
    <w:rsid w:val="000B3A0F"/>
    <w:rsid w:val="000C6262"/>
    <w:rsid w:val="000E0415"/>
    <w:rsid w:val="000F7715"/>
    <w:rsid w:val="001001E2"/>
    <w:rsid w:val="00156B99"/>
    <w:rsid w:val="00166124"/>
    <w:rsid w:val="00184DDA"/>
    <w:rsid w:val="001900CD"/>
    <w:rsid w:val="001A0452"/>
    <w:rsid w:val="001B4B04"/>
    <w:rsid w:val="001B5875"/>
    <w:rsid w:val="001C4B9C"/>
    <w:rsid w:val="001C6663"/>
    <w:rsid w:val="001C7895"/>
    <w:rsid w:val="001D26DF"/>
    <w:rsid w:val="001F1599"/>
    <w:rsid w:val="001F19C4"/>
    <w:rsid w:val="001F6A55"/>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142A3"/>
    <w:rsid w:val="003229D8"/>
    <w:rsid w:val="00336C97"/>
    <w:rsid w:val="00337F88"/>
    <w:rsid w:val="00342432"/>
    <w:rsid w:val="0035223F"/>
    <w:rsid w:val="00352D4B"/>
    <w:rsid w:val="0035638C"/>
    <w:rsid w:val="003A46BB"/>
    <w:rsid w:val="003A4EC7"/>
    <w:rsid w:val="003A7295"/>
    <w:rsid w:val="003B1F60"/>
    <w:rsid w:val="003C2CC4"/>
    <w:rsid w:val="003C5EC2"/>
    <w:rsid w:val="003D312A"/>
    <w:rsid w:val="003D4B23"/>
    <w:rsid w:val="003E278A"/>
    <w:rsid w:val="003E7318"/>
    <w:rsid w:val="003F41C1"/>
    <w:rsid w:val="00413520"/>
    <w:rsid w:val="004325CB"/>
    <w:rsid w:val="00440A07"/>
    <w:rsid w:val="00462880"/>
    <w:rsid w:val="00476F24"/>
    <w:rsid w:val="004B68DF"/>
    <w:rsid w:val="004C55B0"/>
    <w:rsid w:val="004F6BA0"/>
    <w:rsid w:val="00503BEA"/>
    <w:rsid w:val="00520830"/>
    <w:rsid w:val="00533616"/>
    <w:rsid w:val="00535ABA"/>
    <w:rsid w:val="0053768B"/>
    <w:rsid w:val="005420F2"/>
    <w:rsid w:val="0054285C"/>
    <w:rsid w:val="005821B9"/>
    <w:rsid w:val="00584173"/>
    <w:rsid w:val="00595520"/>
    <w:rsid w:val="005A44B9"/>
    <w:rsid w:val="005B1BA0"/>
    <w:rsid w:val="005B3DB3"/>
    <w:rsid w:val="005C30B3"/>
    <w:rsid w:val="005D15CA"/>
    <w:rsid w:val="005D7969"/>
    <w:rsid w:val="005F08DF"/>
    <w:rsid w:val="005F3066"/>
    <w:rsid w:val="005F3E61"/>
    <w:rsid w:val="00600DC4"/>
    <w:rsid w:val="00604DDD"/>
    <w:rsid w:val="00611354"/>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D30FB"/>
    <w:rsid w:val="006E564B"/>
    <w:rsid w:val="006E7154"/>
    <w:rsid w:val="006F64EC"/>
    <w:rsid w:val="007003CD"/>
    <w:rsid w:val="0070701E"/>
    <w:rsid w:val="0072632A"/>
    <w:rsid w:val="007358E8"/>
    <w:rsid w:val="00736ECE"/>
    <w:rsid w:val="0074533B"/>
    <w:rsid w:val="007643BC"/>
    <w:rsid w:val="00780C68"/>
    <w:rsid w:val="0079312C"/>
    <w:rsid w:val="007959FE"/>
    <w:rsid w:val="007A0CF1"/>
    <w:rsid w:val="007A478E"/>
    <w:rsid w:val="007B6BA5"/>
    <w:rsid w:val="007C3390"/>
    <w:rsid w:val="007C42D8"/>
    <w:rsid w:val="007C4F4B"/>
    <w:rsid w:val="007D7362"/>
    <w:rsid w:val="007F5CE2"/>
    <w:rsid w:val="007F6611"/>
    <w:rsid w:val="00800522"/>
    <w:rsid w:val="00810BAC"/>
    <w:rsid w:val="00816016"/>
    <w:rsid w:val="008175E9"/>
    <w:rsid w:val="008242D7"/>
    <w:rsid w:val="0082577B"/>
    <w:rsid w:val="008272DD"/>
    <w:rsid w:val="00862F77"/>
    <w:rsid w:val="00866893"/>
    <w:rsid w:val="00866F02"/>
    <w:rsid w:val="00867D18"/>
    <w:rsid w:val="00871F9A"/>
    <w:rsid w:val="00871FD5"/>
    <w:rsid w:val="00877B6C"/>
    <w:rsid w:val="0088172E"/>
    <w:rsid w:val="00881EFA"/>
    <w:rsid w:val="008879CB"/>
    <w:rsid w:val="00890605"/>
    <w:rsid w:val="008979B1"/>
    <w:rsid w:val="008A6B25"/>
    <w:rsid w:val="008A6C4F"/>
    <w:rsid w:val="008A77AE"/>
    <w:rsid w:val="008B389E"/>
    <w:rsid w:val="008D045E"/>
    <w:rsid w:val="008D3F25"/>
    <w:rsid w:val="008D4D82"/>
    <w:rsid w:val="008E0E46"/>
    <w:rsid w:val="008E7116"/>
    <w:rsid w:val="008F143B"/>
    <w:rsid w:val="008F3882"/>
    <w:rsid w:val="008F4B7C"/>
    <w:rsid w:val="0092115A"/>
    <w:rsid w:val="00926E47"/>
    <w:rsid w:val="00947162"/>
    <w:rsid w:val="009610D0"/>
    <w:rsid w:val="0096375C"/>
    <w:rsid w:val="009662E6"/>
    <w:rsid w:val="0097095E"/>
    <w:rsid w:val="00981625"/>
    <w:rsid w:val="0098592B"/>
    <w:rsid w:val="00985FC4"/>
    <w:rsid w:val="00990766"/>
    <w:rsid w:val="00991261"/>
    <w:rsid w:val="009964C4"/>
    <w:rsid w:val="009A7B81"/>
    <w:rsid w:val="009B1FAA"/>
    <w:rsid w:val="009C4356"/>
    <w:rsid w:val="009D01C0"/>
    <w:rsid w:val="009D1003"/>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A27F3"/>
    <w:rsid w:val="00AB3F66"/>
    <w:rsid w:val="00AC0F2C"/>
    <w:rsid w:val="00AC502A"/>
    <w:rsid w:val="00AF58C1"/>
    <w:rsid w:val="00B04A3F"/>
    <w:rsid w:val="00B06643"/>
    <w:rsid w:val="00B14A64"/>
    <w:rsid w:val="00B15055"/>
    <w:rsid w:val="00B20551"/>
    <w:rsid w:val="00B30179"/>
    <w:rsid w:val="00B33FC7"/>
    <w:rsid w:val="00B34ED7"/>
    <w:rsid w:val="00B37B15"/>
    <w:rsid w:val="00B45C02"/>
    <w:rsid w:val="00B50B51"/>
    <w:rsid w:val="00B70B63"/>
    <w:rsid w:val="00B72A1E"/>
    <w:rsid w:val="00B81E12"/>
    <w:rsid w:val="00B92ED2"/>
    <w:rsid w:val="00B97BD1"/>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1B76"/>
    <w:rsid w:val="00C463DD"/>
    <w:rsid w:val="00C745C3"/>
    <w:rsid w:val="00C745FB"/>
    <w:rsid w:val="00C978F5"/>
    <w:rsid w:val="00CA24A4"/>
    <w:rsid w:val="00CB348D"/>
    <w:rsid w:val="00CD46F5"/>
    <w:rsid w:val="00CE4A8F"/>
    <w:rsid w:val="00CE78F6"/>
    <w:rsid w:val="00CF071D"/>
    <w:rsid w:val="00D0123D"/>
    <w:rsid w:val="00D15B04"/>
    <w:rsid w:val="00D2031B"/>
    <w:rsid w:val="00D25FE2"/>
    <w:rsid w:val="00D3505A"/>
    <w:rsid w:val="00D368BE"/>
    <w:rsid w:val="00D37DA9"/>
    <w:rsid w:val="00D406A7"/>
    <w:rsid w:val="00D40765"/>
    <w:rsid w:val="00D43252"/>
    <w:rsid w:val="00D44D86"/>
    <w:rsid w:val="00D50B7D"/>
    <w:rsid w:val="00D52012"/>
    <w:rsid w:val="00D704E5"/>
    <w:rsid w:val="00D72727"/>
    <w:rsid w:val="00D74C01"/>
    <w:rsid w:val="00D978C6"/>
    <w:rsid w:val="00DA0956"/>
    <w:rsid w:val="00DA357F"/>
    <w:rsid w:val="00DA3E12"/>
    <w:rsid w:val="00DC18AD"/>
    <w:rsid w:val="00DD76EC"/>
    <w:rsid w:val="00DE5467"/>
    <w:rsid w:val="00DF184F"/>
    <w:rsid w:val="00DF7CAE"/>
    <w:rsid w:val="00E14205"/>
    <w:rsid w:val="00E31436"/>
    <w:rsid w:val="00E423C0"/>
    <w:rsid w:val="00E44F4D"/>
    <w:rsid w:val="00E6414C"/>
    <w:rsid w:val="00E7260F"/>
    <w:rsid w:val="00E8702D"/>
    <w:rsid w:val="00E905F4"/>
    <w:rsid w:val="00E916A9"/>
    <w:rsid w:val="00E916DE"/>
    <w:rsid w:val="00E925AD"/>
    <w:rsid w:val="00E96630"/>
    <w:rsid w:val="00EC7952"/>
    <w:rsid w:val="00ED18DC"/>
    <w:rsid w:val="00ED33C0"/>
    <w:rsid w:val="00ED6201"/>
    <w:rsid w:val="00ED7A2A"/>
    <w:rsid w:val="00EF1D7F"/>
    <w:rsid w:val="00F0137E"/>
    <w:rsid w:val="00F21786"/>
    <w:rsid w:val="00F3742B"/>
    <w:rsid w:val="00F41FDB"/>
    <w:rsid w:val="00F50596"/>
    <w:rsid w:val="00F56D63"/>
    <w:rsid w:val="00F609A9"/>
    <w:rsid w:val="00F7487B"/>
    <w:rsid w:val="00F809FE"/>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E5A4A"/>
  <w15:docId w15:val="{6FD5B2E1-98F3-4F11-901C-98EF12D4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styleId="ListParagraph">
    <w:name w:val="List Paragraph"/>
    <w:basedOn w:val="Normal"/>
    <w:uiPriority w:val="34"/>
    <w:semiHidden/>
    <w:qFormat/>
    <w:rsid w:val="00E31436"/>
    <w:pPr>
      <w:suppressAutoHyphens w:val="0"/>
      <w:ind w:left="720"/>
      <w:contextualSpacing/>
    </w:pPr>
  </w:style>
  <w:style w:type="paragraph" w:styleId="Revision">
    <w:name w:val="Revision"/>
    <w:hidden/>
    <w:uiPriority w:val="99"/>
    <w:semiHidden/>
    <w:rsid w:val="00E44F4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D7EB7-7537-47B7-B5DD-DBCD3C1CC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0FAC4-072A-4C3D-BB87-570347BF6E9D}">
  <ds:schemaRefs>
    <ds:schemaRef ds:uri="http://schemas.microsoft.com/sharepoint/v3/contenttype/forms"/>
  </ds:schemaRefs>
</ds:datastoreItem>
</file>

<file path=customXml/itemProps3.xml><?xml version="1.0" encoding="utf-8"?>
<ds:datastoreItem xmlns:ds="http://schemas.openxmlformats.org/officeDocument/2006/customXml" ds:itemID="{97F39317-B1DF-46D5-82BC-7CBAA62C1E7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126</TotalTime>
  <Pages>3</Pages>
  <Words>834</Words>
  <Characters>4760</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ECE/TRANS/WP.15/2023/4</dc:title>
  <dc:creator>Laurence BERTHET</dc:creator>
  <cp:lastModifiedBy>Laurence Berthet</cp:lastModifiedBy>
  <cp:revision>47</cp:revision>
  <cp:lastPrinted>2023-02-20T16:20:00Z</cp:lastPrinted>
  <dcterms:created xsi:type="dcterms:W3CDTF">2023-02-20T12:44:00Z</dcterms:created>
  <dcterms:modified xsi:type="dcterms:W3CDTF">2023-02-20T16:20:00Z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