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DEBFD39" w14:textId="77777777" w:rsidTr="00B20551">
        <w:trPr>
          <w:cantSplit/>
          <w:trHeight w:hRule="exact" w:val="851"/>
        </w:trPr>
        <w:tc>
          <w:tcPr>
            <w:tcW w:w="1276" w:type="dxa"/>
            <w:tcBorders>
              <w:bottom w:val="single" w:sz="4" w:space="0" w:color="auto"/>
            </w:tcBorders>
            <w:vAlign w:val="bottom"/>
          </w:tcPr>
          <w:p w14:paraId="67D988EF" w14:textId="77777777" w:rsidR="009E6CB7" w:rsidRDefault="009E6CB7" w:rsidP="00B20551">
            <w:pPr>
              <w:spacing w:after="80"/>
            </w:pPr>
          </w:p>
        </w:tc>
        <w:tc>
          <w:tcPr>
            <w:tcW w:w="2268" w:type="dxa"/>
            <w:tcBorders>
              <w:bottom w:val="single" w:sz="4" w:space="0" w:color="auto"/>
            </w:tcBorders>
            <w:vAlign w:val="bottom"/>
          </w:tcPr>
          <w:p w14:paraId="1F6732F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1ABDB0" w14:textId="269D899F" w:rsidR="009E6CB7" w:rsidRPr="00D47EEA" w:rsidRDefault="00E01D4F" w:rsidP="00E01D4F">
            <w:pPr>
              <w:jc w:val="right"/>
            </w:pPr>
            <w:r w:rsidRPr="00E01D4F">
              <w:rPr>
                <w:sz w:val="40"/>
              </w:rPr>
              <w:t>ECE</w:t>
            </w:r>
            <w:r>
              <w:t>/TRANS/WP.15/2023/1</w:t>
            </w:r>
          </w:p>
        </w:tc>
      </w:tr>
      <w:tr w:rsidR="009E6CB7" w14:paraId="4C95E775" w14:textId="77777777" w:rsidTr="00B20551">
        <w:trPr>
          <w:cantSplit/>
          <w:trHeight w:hRule="exact" w:val="2835"/>
        </w:trPr>
        <w:tc>
          <w:tcPr>
            <w:tcW w:w="1276" w:type="dxa"/>
            <w:tcBorders>
              <w:top w:val="single" w:sz="4" w:space="0" w:color="auto"/>
              <w:bottom w:val="single" w:sz="12" w:space="0" w:color="auto"/>
            </w:tcBorders>
          </w:tcPr>
          <w:p w14:paraId="615E7050" w14:textId="77777777" w:rsidR="009E6CB7" w:rsidRDefault="00686A48" w:rsidP="00B20551">
            <w:pPr>
              <w:spacing w:before="120"/>
            </w:pPr>
            <w:r w:rsidRPr="00FD0CFE">
              <w:rPr>
                <w:noProof/>
                <w:lang w:eastAsia="fr-CH"/>
              </w:rPr>
              <w:drawing>
                <wp:inline distT="0" distB="0" distL="0" distR="0" wp14:anchorId="204B7F5B" wp14:editId="0B6185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07899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048A35" w14:textId="77777777" w:rsidR="009E6CB7" w:rsidRDefault="00E01D4F" w:rsidP="00E01D4F">
            <w:pPr>
              <w:spacing w:before="240" w:line="240" w:lineRule="exact"/>
            </w:pPr>
            <w:r>
              <w:t>Distr.: General</w:t>
            </w:r>
          </w:p>
          <w:p w14:paraId="1C325815" w14:textId="54728AC0" w:rsidR="00E01D4F" w:rsidRDefault="00E01D4F" w:rsidP="00E01D4F">
            <w:pPr>
              <w:spacing w:line="240" w:lineRule="exact"/>
            </w:pPr>
            <w:r>
              <w:t>1</w:t>
            </w:r>
            <w:r w:rsidR="005F7AF0">
              <w:t>6</w:t>
            </w:r>
            <w:r>
              <w:t xml:space="preserve"> February 2023</w:t>
            </w:r>
          </w:p>
          <w:p w14:paraId="428D3334" w14:textId="77777777" w:rsidR="00E01D4F" w:rsidRDefault="00E01D4F" w:rsidP="00E01D4F">
            <w:pPr>
              <w:spacing w:line="240" w:lineRule="exact"/>
            </w:pPr>
          </w:p>
          <w:p w14:paraId="5F3698EF" w14:textId="3DF21E65" w:rsidR="00E01D4F" w:rsidRDefault="00E01D4F" w:rsidP="00E01D4F">
            <w:pPr>
              <w:spacing w:line="240" w:lineRule="exact"/>
            </w:pPr>
            <w:r>
              <w:t>Original: English</w:t>
            </w:r>
          </w:p>
        </w:tc>
      </w:tr>
    </w:tbl>
    <w:p w14:paraId="175857D6" w14:textId="77777777" w:rsidR="00080A00" w:rsidRDefault="00080A00" w:rsidP="00C411EB">
      <w:pPr>
        <w:spacing w:before="120"/>
        <w:rPr>
          <w:b/>
          <w:sz w:val="28"/>
          <w:szCs w:val="28"/>
        </w:rPr>
      </w:pPr>
      <w:r>
        <w:rPr>
          <w:b/>
          <w:sz w:val="28"/>
          <w:szCs w:val="28"/>
        </w:rPr>
        <w:t>Economic Commission for Europe</w:t>
      </w:r>
    </w:p>
    <w:p w14:paraId="332E5E45" w14:textId="77777777" w:rsidR="00080A00" w:rsidRDefault="00080A00" w:rsidP="00C411EB">
      <w:pPr>
        <w:spacing w:before="120"/>
        <w:rPr>
          <w:sz w:val="28"/>
          <w:szCs w:val="28"/>
        </w:rPr>
      </w:pPr>
      <w:r>
        <w:rPr>
          <w:sz w:val="28"/>
          <w:szCs w:val="28"/>
        </w:rPr>
        <w:t>Inland Transport Committee</w:t>
      </w:r>
    </w:p>
    <w:p w14:paraId="14E35962" w14:textId="77777777" w:rsidR="00080A00" w:rsidRPr="001330DE" w:rsidRDefault="00080A00" w:rsidP="00C411EB">
      <w:pPr>
        <w:spacing w:before="120"/>
        <w:rPr>
          <w:b/>
          <w:sz w:val="24"/>
          <w:szCs w:val="24"/>
        </w:rPr>
      </w:pPr>
      <w:r>
        <w:rPr>
          <w:b/>
          <w:sz w:val="24"/>
          <w:szCs w:val="24"/>
        </w:rPr>
        <w:t xml:space="preserve">Working Party on the Transport </w:t>
      </w:r>
      <w:r w:rsidRPr="001330DE">
        <w:rPr>
          <w:b/>
          <w:sz w:val="24"/>
          <w:szCs w:val="24"/>
        </w:rPr>
        <w:t>of Dangerous Goods</w:t>
      </w:r>
    </w:p>
    <w:p w14:paraId="2781A3F1" w14:textId="77777777" w:rsidR="00923288" w:rsidRPr="00923288" w:rsidRDefault="00923288" w:rsidP="00923288">
      <w:pPr>
        <w:suppressAutoHyphens/>
        <w:spacing w:before="120"/>
        <w:rPr>
          <w:rFonts w:eastAsia="SimSun"/>
          <w:b/>
        </w:rPr>
      </w:pPr>
      <w:r w:rsidRPr="00923288">
        <w:rPr>
          <w:rFonts w:eastAsia="SimSun"/>
          <w:b/>
        </w:rPr>
        <w:t>113</w:t>
      </w:r>
      <w:r w:rsidRPr="00923288">
        <w:rPr>
          <w:rFonts w:eastAsia="SimSun"/>
          <w:b/>
          <w:vertAlign w:val="superscript"/>
        </w:rPr>
        <w:t>rd</w:t>
      </w:r>
      <w:r w:rsidRPr="00923288">
        <w:rPr>
          <w:rFonts w:eastAsia="SimSun"/>
          <w:b/>
        </w:rPr>
        <w:t xml:space="preserve"> session </w:t>
      </w:r>
    </w:p>
    <w:p w14:paraId="337B0BB3" w14:textId="77777777" w:rsidR="00923288" w:rsidRPr="00923288" w:rsidRDefault="00923288" w:rsidP="00923288">
      <w:pPr>
        <w:suppressAutoHyphens/>
        <w:autoSpaceDE w:val="0"/>
        <w:autoSpaceDN w:val="0"/>
        <w:adjustRightInd w:val="0"/>
      </w:pPr>
      <w:r w:rsidRPr="00923288">
        <w:rPr>
          <w:rFonts w:eastAsia="SimSun"/>
        </w:rPr>
        <w:t>Geneva, 15-19 May 2023</w:t>
      </w:r>
      <w:r w:rsidRPr="00923288">
        <w:rPr>
          <w:rFonts w:eastAsia="SimSun"/>
        </w:rPr>
        <w:br/>
        <w:t>It</w:t>
      </w:r>
      <w:r w:rsidRPr="00923288">
        <w:t>em 5 (a) of the provisional agenda</w:t>
      </w:r>
    </w:p>
    <w:p w14:paraId="127C9FE2" w14:textId="77777777" w:rsidR="00923288" w:rsidRPr="00923288" w:rsidRDefault="00923288" w:rsidP="00923288">
      <w:pPr>
        <w:suppressAutoHyphens/>
        <w:rPr>
          <w:b/>
          <w:bCs/>
          <w:szCs w:val="24"/>
        </w:rPr>
      </w:pPr>
      <w:r w:rsidRPr="00923288">
        <w:rPr>
          <w:b/>
          <w:bCs/>
        </w:rPr>
        <w:t xml:space="preserve">Proposals for amendments to annexes A and B of ADR: </w:t>
      </w:r>
      <w:r w:rsidRPr="00923288">
        <w:rPr>
          <w:b/>
          <w:bCs/>
        </w:rPr>
        <w:br/>
      </w:r>
      <w:r w:rsidRPr="00923288">
        <w:rPr>
          <w:b/>
          <w:bCs/>
          <w:szCs w:val="24"/>
        </w:rPr>
        <w:t>construction and approval of vehicles</w:t>
      </w:r>
    </w:p>
    <w:p w14:paraId="520E4A03" w14:textId="77777777" w:rsidR="00923288" w:rsidRPr="00923288" w:rsidRDefault="00923288" w:rsidP="00923288">
      <w:pPr>
        <w:keepNext/>
        <w:keepLines/>
        <w:tabs>
          <w:tab w:val="right" w:pos="851"/>
        </w:tabs>
        <w:suppressAutoHyphens/>
        <w:spacing w:before="360" w:after="240" w:line="300" w:lineRule="exact"/>
        <w:ind w:left="1134" w:right="1134" w:hanging="1134"/>
        <w:rPr>
          <w:b/>
          <w:sz w:val="28"/>
          <w:highlight w:val="yellow"/>
        </w:rPr>
      </w:pPr>
      <w:r w:rsidRPr="00923288">
        <w:rPr>
          <w:b/>
          <w:sz w:val="28"/>
        </w:rPr>
        <w:tab/>
      </w:r>
      <w:r w:rsidRPr="00923288">
        <w:rPr>
          <w:b/>
          <w:sz w:val="28"/>
        </w:rPr>
        <w:tab/>
        <w:t xml:space="preserve">Section 9.7.6 – Rear protection of </w:t>
      </w:r>
      <w:r w:rsidRPr="00FD0CFE">
        <w:rPr>
          <w:b/>
          <w:sz w:val="28"/>
        </w:rPr>
        <w:t>vehicles</w:t>
      </w:r>
    </w:p>
    <w:p w14:paraId="093A35AD" w14:textId="5CCC9C12" w:rsidR="00923288" w:rsidRPr="00FD0CFE" w:rsidRDefault="00923288" w:rsidP="00923288">
      <w:pPr>
        <w:keepNext/>
        <w:keepLines/>
        <w:tabs>
          <w:tab w:val="right" w:pos="851"/>
        </w:tabs>
        <w:suppressAutoHyphens/>
        <w:spacing w:before="360" w:after="240" w:line="270" w:lineRule="exact"/>
        <w:ind w:left="1134" w:right="1134" w:hanging="1134"/>
        <w:rPr>
          <w:b/>
          <w:sz w:val="24"/>
          <w:lang w:eastAsia="ru-RU"/>
        </w:rPr>
      </w:pPr>
      <w:r w:rsidRPr="00FD0CFE">
        <w:rPr>
          <w:b/>
          <w:sz w:val="24"/>
          <w:lang w:eastAsia="ru-RU"/>
        </w:rPr>
        <w:tab/>
      </w:r>
      <w:r w:rsidRPr="00FD0CFE">
        <w:rPr>
          <w:b/>
          <w:sz w:val="24"/>
          <w:lang w:eastAsia="ru-RU"/>
        </w:rPr>
        <w:tab/>
        <w:t>Transmitted by the Government of the United Kingdom</w:t>
      </w:r>
      <w:r w:rsidR="000C4ADD">
        <w:rPr>
          <w:rStyle w:val="FootnoteReference"/>
          <w:b/>
          <w:lang w:eastAsia="ru-RU"/>
        </w:rPr>
        <w:footnoteReference w:id="2"/>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23288" w:rsidRPr="00923288" w14:paraId="777C55E6" w14:textId="77777777" w:rsidTr="00487E64">
        <w:trPr>
          <w:jc w:val="center"/>
        </w:trPr>
        <w:tc>
          <w:tcPr>
            <w:tcW w:w="9637" w:type="dxa"/>
            <w:shd w:val="clear" w:color="auto" w:fill="auto"/>
          </w:tcPr>
          <w:p w14:paraId="1929E67F" w14:textId="77777777" w:rsidR="00923288" w:rsidRPr="00923288" w:rsidRDefault="00923288" w:rsidP="00923288">
            <w:pPr>
              <w:spacing w:before="240" w:after="120"/>
              <w:ind w:left="255"/>
              <w:rPr>
                <w:i/>
                <w:sz w:val="24"/>
              </w:rPr>
            </w:pPr>
            <w:r w:rsidRPr="00923288">
              <w:rPr>
                <w:i/>
                <w:sz w:val="24"/>
              </w:rPr>
              <w:t>Summary</w:t>
            </w:r>
          </w:p>
        </w:tc>
      </w:tr>
      <w:tr w:rsidR="00923288" w:rsidRPr="00923288" w14:paraId="7D934E4D" w14:textId="77777777" w:rsidTr="00487E64">
        <w:trPr>
          <w:jc w:val="center"/>
        </w:trPr>
        <w:tc>
          <w:tcPr>
            <w:tcW w:w="9637" w:type="dxa"/>
            <w:shd w:val="clear" w:color="auto" w:fill="auto"/>
          </w:tcPr>
          <w:p w14:paraId="77F8487F" w14:textId="0285644A" w:rsidR="00923288" w:rsidRPr="00923288" w:rsidRDefault="00923288" w:rsidP="00923288">
            <w:pPr>
              <w:spacing w:after="120"/>
              <w:ind w:left="3402" w:right="1134" w:hanging="2268"/>
              <w:jc w:val="both"/>
            </w:pPr>
            <w:r w:rsidRPr="00923288">
              <w:rPr>
                <w:b/>
              </w:rPr>
              <w:t xml:space="preserve">Executive summary: </w:t>
            </w:r>
            <w:r w:rsidRPr="00923288">
              <w:tab/>
              <w:t xml:space="preserve">Proposals to clarify the requirements of ADR 9.7.6. in respect to the minimum distance of </w:t>
            </w:r>
            <w:r w:rsidRPr="00FD0CFE">
              <w:t>100</w:t>
            </w:r>
            <w:r w:rsidR="007807D8" w:rsidRPr="00FD0CFE">
              <w:t> </w:t>
            </w:r>
            <w:r w:rsidRPr="00FD0CFE">
              <w:t>mm</w:t>
            </w:r>
            <w:r w:rsidRPr="00923288">
              <w:t xml:space="preserve"> required between the rear of a tank and the rear of the bumper to ensure a uniform interpretation.</w:t>
            </w:r>
          </w:p>
          <w:p w14:paraId="0B02185E" w14:textId="64AC8902" w:rsidR="00923288" w:rsidRPr="00923288" w:rsidRDefault="00923288" w:rsidP="00923288">
            <w:pPr>
              <w:ind w:left="3402" w:right="858" w:hanging="2268"/>
              <w:rPr>
                <w:bCs/>
              </w:rPr>
            </w:pPr>
            <w:r w:rsidRPr="00923288">
              <w:rPr>
                <w:b/>
              </w:rPr>
              <w:t>Action to be taken:</w:t>
            </w:r>
            <w:r w:rsidRPr="00923288">
              <w:rPr>
                <w:b/>
              </w:rPr>
              <w:tab/>
            </w:r>
            <w:r w:rsidRPr="00923288">
              <w:rPr>
                <w:bCs/>
              </w:rPr>
              <w:t xml:space="preserve">Amend </w:t>
            </w:r>
            <w:r w:rsidRPr="00FD0CFE">
              <w:rPr>
                <w:bCs/>
              </w:rPr>
              <w:t>ADR 9.7.6</w:t>
            </w:r>
            <w:r w:rsidRPr="00923288">
              <w:rPr>
                <w:bCs/>
              </w:rPr>
              <w:t>.</w:t>
            </w:r>
          </w:p>
          <w:p w14:paraId="04243F0B" w14:textId="77366022" w:rsidR="00923288" w:rsidRPr="00923288" w:rsidRDefault="00923288" w:rsidP="00271AFD">
            <w:pPr>
              <w:spacing w:before="240"/>
              <w:ind w:left="3402" w:right="856" w:hanging="2268"/>
            </w:pPr>
            <w:r w:rsidRPr="00923288">
              <w:rPr>
                <w:b/>
              </w:rPr>
              <w:t>Related documents:</w:t>
            </w:r>
            <w:r w:rsidRPr="00923288">
              <w:rPr>
                <w:b/>
              </w:rPr>
              <w:tab/>
            </w:r>
            <w:r w:rsidRPr="00923288">
              <w:rPr>
                <w:bCs/>
              </w:rPr>
              <w:t xml:space="preserve">ECE/TRANS/WP.15/2020/5 </w:t>
            </w:r>
            <w:r w:rsidR="007807D8" w:rsidRPr="00FD0CFE">
              <w:rPr>
                <w:bCs/>
              </w:rPr>
              <w:t>and informal document INF.16 of the 108</w:t>
            </w:r>
            <w:r w:rsidR="007807D8" w:rsidRPr="00FD0CFE">
              <w:rPr>
                <w:bCs/>
                <w:vertAlign w:val="superscript"/>
              </w:rPr>
              <w:t>th</w:t>
            </w:r>
            <w:r w:rsidR="007807D8" w:rsidRPr="00FD0CFE">
              <w:rPr>
                <w:bCs/>
              </w:rPr>
              <w:t xml:space="preserve"> </w:t>
            </w:r>
            <w:r w:rsidR="00154304" w:rsidRPr="00FD0CFE">
              <w:rPr>
                <w:bCs/>
              </w:rPr>
              <w:t>session</w:t>
            </w:r>
            <w:r w:rsidR="00154304" w:rsidRPr="00FD0CFE">
              <w:rPr>
                <w:bCs/>
              </w:rPr>
              <w:br/>
            </w:r>
            <w:r w:rsidRPr="00923288">
              <w:rPr>
                <w:bCs/>
              </w:rPr>
              <w:t>ECE</w:t>
            </w:r>
            <w:r w:rsidR="00154304" w:rsidRPr="00FD0CFE">
              <w:rPr>
                <w:bCs/>
              </w:rPr>
              <w:t>/</w:t>
            </w:r>
            <w:r w:rsidRPr="00FD0CFE">
              <w:rPr>
                <w:bCs/>
              </w:rPr>
              <w:t>TRANS</w:t>
            </w:r>
            <w:r w:rsidR="00154304" w:rsidRPr="00FD0CFE">
              <w:rPr>
                <w:bCs/>
              </w:rPr>
              <w:t>/</w:t>
            </w:r>
            <w:r w:rsidRPr="00FD0CFE">
              <w:rPr>
                <w:bCs/>
              </w:rPr>
              <w:t>WP</w:t>
            </w:r>
            <w:r w:rsidR="00271AFD" w:rsidRPr="00FD0CFE">
              <w:rPr>
                <w:bCs/>
              </w:rPr>
              <w:t>.</w:t>
            </w:r>
            <w:r w:rsidRPr="00FD0CFE">
              <w:rPr>
                <w:bCs/>
              </w:rPr>
              <w:t>15</w:t>
            </w:r>
            <w:r w:rsidR="00271AFD" w:rsidRPr="00FD0CFE">
              <w:rPr>
                <w:bCs/>
              </w:rPr>
              <w:t>/</w:t>
            </w:r>
            <w:r w:rsidRPr="00923288">
              <w:rPr>
                <w:bCs/>
              </w:rPr>
              <w:t>2021</w:t>
            </w:r>
            <w:r w:rsidR="00271AFD" w:rsidRPr="00FD0CFE">
              <w:rPr>
                <w:bCs/>
              </w:rPr>
              <w:t>/</w:t>
            </w:r>
            <w:r w:rsidRPr="00923288">
              <w:rPr>
                <w:bCs/>
              </w:rPr>
              <w:t xml:space="preserve">7 </w:t>
            </w:r>
            <w:r w:rsidR="00271AFD" w:rsidRPr="00FD0CFE">
              <w:rPr>
                <w:bCs/>
              </w:rPr>
              <w:t>and informal document INF.</w:t>
            </w:r>
            <w:r w:rsidRPr="00FD0CFE">
              <w:rPr>
                <w:bCs/>
              </w:rPr>
              <w:t xml:space="preserve">5 </w:t>
            </w:r>
            <w:r w:rsidR="00271AFD" w:rsidRPr="00FD0CFE">
              <w:rPr>
                <w:bCs/>
              </w:rPr>
              <w:t>of the 109</w:t>
            </w:r>
            <w:r w:rsidR="00271AFD" w:rsidRPr="00FD0CFE">
              <w:rPr>
                <w:bCs/>
                <w:vertAlign w:val="superscript"/>
              </w:rPr>
              <w:t>th</w:t>
            </w:r>
            <w:r w:rsidR="00271AFD" w:rsidRPr="00FD0CFE">
              <w:rPr>
                <w:bCs/>
              </w:rPr>
              <w:t xml:space="preserve"> session</w:t>
            </w:r>
            <w:r w:rsidR="00271AFD" w:rsidRPr="00FD0CFE">
              <w:rPr>
                <w:bCs/>
              </w:rPr>
              <w:br/>
            </w:r>
            <w:r w:rsidRPr="00923288">
              <w:rPr>
                <w:bCs/>
              </w:rPr>
              <w:t xml:space="preserve">ECE-TRANS/WP.15/253 </w:t>
            </w:r>
            <w:r w:rsidRPr="00FD0CFE">
              <w:rPr>
                <w:bCs/>
              </w:rPr>
              <w:t>para</w:t>
            </w:r>
            <w:r w:rsidR="00271AFD" w:rsidRPr="00FD0CFE">
              <w:rPr>
                <w:bCs/>
              </w:rPr>
              <w:t>graphs</w:t>
            </w:r>
            <w:r w:rsidRPr="00923288">
              <w:rPr>
                <w:bCs/>
              </w:rPr>
              <w:t xml:space="preserve"> 19-22 ECE/TRANS/WP.15/AC.1/158/Add.1 (item 9)</w:t>
            </w:r>
          </w:p>
        </w:tc>
      </w:tr>
      <w:tr w:rsidR="00923288" w:rsidRPr="00923288" w14:paraId="22D1CEDC" w14:textId="77777777" w:rsidTr="00487E64">
        <w:trPr>
          <w:jc w:val="center"/>
        </w:trPr>
        <w:tc>
          <w:tcPr>
            <w:tcW w:w="9637" w:type="dxa"/>
            <w:shd w:val="clear" w:color="auto" w:fill="auto"/>
          </w:tcPr>
          <w:p w14:paraId="172FE0DA" w14:textId="77777777" w:rsidR="00923288" w:rsidRPr="00923288" w:rsidRDefault="00923288" w:rsidP="00923288"/>
        </w:tc>
      </w:tr>
    </w:tbl>
    <w:p w14:paraId="4D1FDE06" w14:textId="77777777" w:rsidR="007C26E2" w:rsidRDefault="007C26E2" w:rsidP="00923288">
      <w:pPr>
        <w:keepNext/>
        <w:keepLines/>
        <w:tabs>
          <w:tab w:val="right" w:pos="851"/>
        </w:tabs>
        <w:suppressAutoHyphens/>
        <w:spacing w:before="360" w:after="240" w:line="300" w:lineRule="exact"/>
        <w:ind w:left="1134" w:right="1134" w:hanging="1134"/>
        <w:rPr>
          <w:b/>
          <w:sz w:val="28"/>
        </w:rPr>
      </w:pPr>
    </w:p>
    <w:p w14:paraId="3266093F" w14:textId="77777777" w:rsidR="007C26E2" w:rsidRDefault="007C26E2">
      <w:pPr>
        <w:rPr>
          <w:b/>
          <w:sz w:val="28"/>
        </w:rPr>
      </w:pPr>
      <w:r>
        <w:rPr>
          <w:b/>
          <w:sz w:val="28"/>
        </w:rPr>
        <w:br w:type="page"/>
      </w:r>
    </w:p>
    <w:p w14:paraId="65F98238" w14:textId="5A9572E8" w:rsidR="00923288" w:rsidRPr="00923288" w:rsidRDefault="00923288" w:rsidP="00923288">
      <w:pPr>
        <w:keepNext/>
        <w:keepLines/>
        <w:tabs>
          <w:tab w:val="right" w:pos="851"/>
        </w:tabs>
        <w:suppressAutoHyphens/>
        <w:spacing w:before="360" w:after="240" w:line="300" w:lineRule="exact"/>
        <w:ind w:left="1134" w:right="1134" w:hanging="1134"/>
        <w:rPr>
          <w:b/>
          <w:sz w:val="28"/>
        </w:rPr>
      </w:pPr>
      <w:r w:rsidRPr="00923288">
        <w:rPr>
          <w:b/>
          <w:sz w:val="28"/>
        </w:rPr>
        <w:lastRenderedPageBreak/>
        <w:tab/>
      </w:r>
      <w:r w:rsidRPr="00923288">
        <w:rPr>
          <w:b/>
          <w:sz w:val="28"/>
        </w:rPr>
        <w:tab/>
        <w:t xml:space="preserve">Background </w:t>
      </w:r>
    </w:p>
    <w:p w14:paraId="3005964E" w14:textId="3C31596A" w:rsidR="00923288" w:rsidRPr="00FD0CFE" w:rsidRDefault="00923288" w:rsidP="00923288">
      <w:pPr>
        <w:suppressAutoHyphens/>
        <w:spacing w:after="120"/>
        <w:ind w:left="1134" w:right="1134"/>
        <w:jc w:val="both"/>
      </w:pPr>
      <w:r w:rsidRPr="00923288">
        <w:tab/>
        <w:t>1.</w:t>
      </w:r>
      <w:r w:rsidRPr="00923288">
        <w:tab/>
        <w:t>Proposals submitted to the 108</w:t>
      </w:r>
      <w:r w:rsidRPr="00923288">
        <w:rPr>
          <w:vertAlign w:val="superscript"/>
        </w:rPr>
        <w:t>th</w:t>
      </w:r>
      <w:r w:rsidRPr="00923288">
        <w:t xml:space="preserve"> and 109</w:t>
      </w:r>
      <w:r w:rsidRPr="00923288">
        <w:rPr>
          <w:vertAlign w:val="superscript"/>
        </w:rPr>
        <w:t>th</w:t>
      </w:r>
      <w:r w:rsidRPr="00923288">
        <w:t xml:space="preserve"> sessions sought to clarify the reference points for measurement of the distance required between the rear of a tank and the rear of the bumper which is set out in ADR 9.7.6. </w:t>
      </w:r>
    </w:p>
    <w:p w14:paraId="616400C1" w14:textId="42E47153" w:rsidR="00923288" w:rsidRPr="00FD0CFE" w:rsidRDefault="00923288" w:rsidP="00923288">
      <w:pPr>
        <w:suppressAutoHyphens/>
        <w:spacing w:after="120"/>
        <w:ind w:left="1134" w:right="1134"/>
        <w:jc w:val="both"/>
      </w:pPr>
      <w:r w:rsidRPr="00923288">
        <w:tab/>
        <w:t>2.</w:t>
      </w:r>
      <w:r w:rsidRPr="00923288">
        <w:tab/>
        <w:t>The report of the 109</w:t>
      </w:r>
      <w:r w:rsidRPr="00923288">
        <w:rPr>
          <w:vertAlign w:val="superscript"/>
        </w:rPr>
        <w:t>th</w:t>
      </w:r>
      <w:r w:rsidRPr="00923288">
        <w:t xml:space="preserve"> session (ECE</w:t>
      </w:r>
      <w:r w:rsidR="00271AFD" w:rsidRPr="00FD0CFE">
        <w:t>/</w:t>
      </w:r>
      <w:r w:rsidRPr="00923288">
        <w:t xml:space="preserve">TRANS/WP.15/253) sets out the key points to those discussions. The relevant section has been reproduced below for convenience: </w:t>
      </w:r>
    </w:p>
    <w:p w14:paraId="547DE4D2" w14:textId="77777777" w:rsidR="00923288" w:rsidRPr="00923288" w:rsidRDefault="00923288" w:rsidP="00923288">
      <w:pPr>
        <w:suppressAutoHyphens/>
        <w:spacing w:after="120"/>
        <w:ind w:left="1134" w:right="1134" w:firstLine="567"/>
        <w:jc w:val="both"/>
      </w:pPr>
      <w:r w:rsidRPr="00923288">
        <w:t xml:space="preserve">“Document: ECE/TRANS/WP.15/2021/7 (France) </w:t>
      </w:r>
    </w:p>
    <w:p w14:paraId="7CC03E07" w14:textId="77777777" w:rsidR="00923288" w:rsidRPr="00923288" w:rsidRDefault="00923288" w:rsidP="00923288">
      <w:pPr>
        <w:suppressAutoHyphens/>
        <w:spacing w:after="120"/>
        <w:ind w:left="1134" w:right="1134" w:firstLine="567"/>
        <w:jc w:val="both"/>
      </w:pPr>
      <w:r w:rsidRPr="00923288">
        <w:t xml:space="preserve">Informal document: INF.5 (Netherlands) </w:t>
      </w:r>
    </w:p>
    <w:p w14:paraId="76188867" w14:textId="77777777" w:rsidR="00923288" w:rsidRPr="00923288" w:rsidRDefault="00923288" w:rsidP="00923288">
      <w:pPr>
        <w:suppressAutoHyphens/>
        <w:spacing w:after="120"/>
        <w:ind w:left="1701" w:right="1134"/>
        <w:jc w:val="both"/>
      </w:pPr>
      <w:r w:rsidRPr="00923288">
        <w:t xml:space="preserve">19. </w:t>
      </w:r>
      <w:r w:rsidRPr="00923288">
        <w:tab/>
        <w:t xml:space="preserve">The proposal contained in ECE/TRANS/WP.15/2021/7 aimed to ensure a uniform interpretation of how to measure the required 100 mm clearance between the rear wall of the tank and the rear bumper. </w:t>
      </w:r>
    </w:p>
    <w:p w14:paraId="2635CCFB" w14:textId="77777777" w:rsidR="00923288" w:rsidRPr="00923288" w:rsidRDefault="00923288" w:rsidP="00923288">
      <w:pPr>
        <w:suppressAutoHyphens/>
        <w:spacing w:after="120"/>
        <w:ind w:left="1701" w:right="1134"/>
        <w:jc w:val="both"/>
      </w:pPr>
      <w:r w:rsidRPr="00923288">
        <w:t xml:space="preserve">20. </w:t>
      </w:r>
      <w:r w:rsidRPr="00923288">
        <w:tab/>
        <w:t xml:space="preserve">The majority of the delegations that expressed their views came down in favour of the proposal. There were some proposals to modify the figure. It was also proposed to extend the envisaged transitional measure to tank-vehicles registered before 1 January 2025 </w:t>
      </w:r>
      <w:proofErr w:type="gramStart"/>
      <w:r w:rsidRPr="00923288">
        <w:t>in order to</w:t>
      </w:r>
      <w:proofErr w:type="gramEnd"/>
      <w:r w:rsidRPr="00923288">
        <w:t xml:space="preserve"> allow sufficient time for manufacturers in countries with a different interpretation to make the adjustment. </w:t>
      </w:r>
    </w:p>
    <w:p w14:paraId="790592DF" w14:textId="77777777" w:rsidR="00923288" w:rsidRPr="00923288" w:rsidRDefault="00923288" w:rsidP="00923288">
      <w:pPr>
        <w:suppressAutoHyphens/>
        <w:spacing w:after="120"/>
        <w:ind w:left="1701" w:right="1134"/>
        <w:jc w:val="both"/>
      </w:pPr>
      <w:r w:rsidRPr="00923288">
        <w:t xml:space="preserve">21. </w:t>
      </w:r>
      <w:r w:rsidRPr="00923288">
        <w:tab/>
        <w:t xml:space="preserve">The representative of France will present a revised proposal at a next session. </w:t>
      </w:r>
    </w:p>
    <w:p w14:paraId="65E05F1C" w14:textId="77777777" w:rsidR="00923288" w:rsidRPr="00923288" w:rsidRDefault="00923288" w:rsidP="00923288">
      <w:pPr>
        <w:suppressAutoHyphens/>
        <w:spacing w:after="120"/>
        <w:ind w:left="1701" w:right="1134"/>
        <w:jc w:val="both"/>
      </w:pPr>
      <w:r w:rsidRPr="00923288">
        <w:t xml:space="preserve">22. </w:t>
      </w:r>
      <w:r w:rsidRPr="00923288">
        <w:tab/>
        <w:t>The Working Party welcomed the comments from the Netherlands and agreed that it might be necessary to define specific requirements for the different types of tank construction and additional equipment and protections in future work.”</w:t>
      </w:r>
    </w:p>
    <w:p w14:paraId="6BAD96CD" w14:textId="776A161C" w:rsidR="00923288" w:rsidRPr="00FD0CFE" w:rsidRDefault="00923288" w:rsidP="00923288">
      <w:pPr>
        <w:suppressAutoHyphens/>
        <w:spacing w:after="120"/>
        <w:ind w:left="1134" w:right="1134"/>
        <w:jc w:val="both"/>
      </w:pPr>
      <w:r w:rsidRPr="00923288">
        <w:t>3.</w:t>
      </w:r>
      <w:r w:rsidRPr="00923288">
        <w:tab/>
        <w:t xml:space="preserve">The United Kingdom believes the text of ADR 9.7.6 should be clarified to remove the existing ambiguity and has therefore submitted this </w:t>
      </w:r>
      <w:r w:rsidR="00271AFD" w:rsidRPr="00FD0CFE">
        <w:t>document</w:t>
      </w:r>
      <w:r w:rsidRPr="00923288">
        <w:t xml:space="preserve"> to propose revisions to the amendments previously submitted to </w:t>
      </w:r>
      <w:r w:rsidR="00271AFD" w:rsidRPr="00FD0CFE">
        <w:t>the Working Party</w:t>
      </w:r>
      <w:r w:rsidRPr="00923288">
        <w:t xml:space="preserve"> at the 108</w:t>
      </w:r>
      <w:r w:rsidRPr="00923288">
        <w:rPr>
          <w:vertAlign w:val="superscript"/>
        </w:rPr>
        <w:t>th</w:t>
      </w:r>
      <w:r w:rsidRPr="00923288">
        <w:t xml:space="preserve"> and 109</w:t>
      </w:r>
      <w:r w:rsidRPr="00923288">
        <w:rPr>
          <w:vertAlign w:val="superscript"/>
        </w:rPr>
        <w:t>th</w:t>
      </w:r>
      <w:r w:rsidRPr="00923288">
        <w:t xml:space="preserve"> sessions to address the points raised during those discussions.  </w:t>
      </w:r>
    </w:p>
    <w:p w14:paraId="7D7F2A4F" w14:textId="77777777" w:rsidR="00923288" w:rsidRPr="00923288" w:rsidRDefault="00923288" w:rsidP="00923288">
      <w:pPr>
        <w:keepNext/>
        <w:keepLines/>
        <w:tabs>
          <w:tab w:val="right" w:pos="851"/>
        </w:tabs>
        <w:suppressAutoHyphens/>
        <w:spacing w:before="360" w:after="240" w:line="300" w:lineRule="exact"/>
        <w:ind w:left="1134" w:right="1134" w:hanging="1134"/>
        <w:rPr>
          <w:b/>
          <w:sz w:val="28"/>
        </w:rPr>
      </w:pPr>
      <w:r w:rsidRPr="00923288">
        <w:rPr>
          <w:b/>
          <w:sz w:val="28"/>
        </w:rPr>
        <w:tab/>
      </w:r>
      <w:r w:rsidRPr="00923288">
        <w:rPr>
          <w:b/>
          <w:sz w:val="28"/>
        </w:rPr>
        <w:tab/>
        <w:t xml:space="preserve">Consideration </w:t>
      </w:r>
    </w:p>
    <w:p w14:paraId="12871203" w14:textId="134176B1" w:rsidR="00923288" w:rsidRPr="00923288" w:rsidRDefault="00923288" w:rsidP="00923288">
      <w:pPr>
        <w:suppressAutoHyphens/>
        <w:spacing w:after="120"/>
        <w:ind w:left="1134" w:right="1134"/>
        <w:jc w:val="both"/>
        <w:rPr>
          <w:color w:val="FF0000"/>
        </w:rPr>
      </w:pPr>
      <w:r w:rsidRPr="00923288">
        <w:tab/>
        <w:t>4.</w:t>
      </w:r>
      <w:r w:rsidRPr="00923288">
        <w:tab/>
        <w:t xml:space="preserve">A </w:t>
      </w:r>
      <w:r w:rsidRPr="00FD0CFE">
        <w:t>100</w:t>
      </w:r>
      <w:r w:rsidR="00271AFD" w:rsidRPr="00FD0CFE">
        <w:t> </w:t>
      </w:r>
      <w:r w:rsidRPr="00FD0CFE">
        <w:t>mm</w:t>
      </w:r>
      <w:r w:rsidRPr="00923288">
        <w:t xml:space="preserve"> gap between the rearmost point of the tank and the foremost face of the bumper as shown in Figure 1 below, is beneficial from a tank protection perspective. Even in the most severe impact situations, such as a rear end collision from another </w:t>
      </w:r>
      <w:r w:rsidR="00BF6592" w:rsidRPr="00FD0CFE">
        <w:t>heavy goods vehicle</w:t>
      </w:r>
      <w:r w:rsidRPr="00923288">
        <w:t xml:space="preserve">, this clearance is of benefit in helping ensure the tank is protected. </w:t>
      </w:r>
      <w:bookmarkStart w:id="0" w:name="_Hlk118384580"/>
    </w:p>
    <w:bookmarkEnd w:id="0"/>
    <w:p w14:paraId="62CAB390" w14:textId="77777777" w:rsidR="00923288" w:rsidRPr="00FD0CFE" w:rsidRDefault="00923288" w:rsidP="00923288">
      <w:pPr>
        <w:suppressAutoHyphens/>
        <w:spacing w:after="120"/>
        <w:ind w:left="1134" w:right="1134"/>
        <w:jc w:val="both"/>
      </w:pPr>
      <w:r w:rsidRPr="00923288">
        <w:tab/>
        <w:t>5.</w:t>
      </w:r>
      <w:r w:rsidRPr="00923288">
        <w:tab/>
        <w:t xml:space="preserve">The maximum volume of product that may be carried is not currently constrained by the maximum vehicle lengths permitted, and the following proposals should not therefore conflict with length limits in such a way that the vehicles payload is reduced. </w:t>
      </w:r>
    </w:p>
    <w:p w14:paraId="1557772D" w14:textId="4171B039" w:rsidR="00923288" w:rsidRPr="00923288" w:rsidRDefault="00923288" w:rsidP="00923288">
      <w:pPr>
        <w:suppressAutoHyphens/>
        <w:spacing w:after="120"/>
        <w:ind w:left="1134" w:right="1134"/>
        <w:jc w:val="both"/>
      </w:pPr>
      <w:r w:rsidRPr="00923288">
        <w:tab/>
        <w:t>6.</w:t>
      </w:r>
      <w:r w:rsidRPr="00923288">
        <w:tab/>
        <w:t xml:space="preserve">The proposed amendments use the term </w:t>
      </w:r>
      <w:r w:rsidR="00FD0CFE">
        <w:t>“</w:t>
      </w:r>
      <w:proofErr w:type="gramStart"/>
      <w:r w:rsidR="00FD0CFE">
        <w:t>tank”</w:t>
      </w:r>
      <w:r w:rsidR="00BF6592" w:rsidRPr="00FD0CFE">
        <w:t> </w:t>
      </w:r>
      <w:r w:rsidRPr="00FD0CFE">
        <w:t xml:space="preserve"> </w:t>
      </w:r>
      <w:r w:rsidRPr="00923288">
        <w:t>in</w:t>
      </w:r>
      <w:proofErr w:type="gramEnd"/>
      <w:r w:rsidRPr="00923288">
        <w:t xml:space="preserve"> describing the reference point, given that this </w:t>
      </w:r>
      <w:r w:rsidRPr="00FD0CFE">
        <w:t>includ</w:t>
      </w:r>
      <w:r w:rsidRPr="00923288">
        <w:t>es both t</w:t>
      </w:r>
      <w:r w:rsidRPr="00FD0CFE">
        <w:t>he</w:t>
      </w:r>
      <w:r w:rsidRPr="00923288">
        <w:t xml:space="preserve"> </w:t>
      </w:r>
      <w:r w:rsidRPr="00FD0CFE">
        <w:t xml:space="preserve">shell and </w:t>
      </w:r>
      <w:r w:rsidRPr="00923288">
        <w:t xml:space="preserve">any </w:t>
      </w:r>
      <w:r w:rsidRPr="00FD0CFE">
        <w:t>service equipment</w:t>
      </w:r>
      <w:r w:rsidRPr="00923288">
        <w:t xml:space="preserve">. In respect to double wall tanks, a note has been included to reflect the interpretation provided by the </w:t>
      </w:r>
      <w:r w:rsidR="00FD0CFE" w:rsidRPr="00FD0CFE">
        <w:t xml:space="preserve">Working Group on </w:t>
      </w:r>
      <w:r w:rsidR="005D63C7">
        <w:t>T</w:t>
      </w:r>
      <w:r w:rsidR="00FD0CFE" w:rsidRPr="00FD0CFE">
        <w:t xml:space="preserve">anks </w:t>
      </w:r>
      <w:r w:rsidR="00FD0CFE">
        <w:t xml:space="preserve">of the Joint Meeting at its </w:t>
      </w:r>
      <w:r w:rsidRPr="00FD0CFE">
        <w:t>Autumn 2020 session</w:t>
      </w:r>
      <w:r w:rsidRPr="00923288">
        <w:t xml:space="preserve">; </w:t>
      </w:r>
      <w:r w:rsidRPr="00FD0CFE">
        <w:t xml:space="preserve">the distance to be considered </w:t>
      </w:r>
      <w:r w:rsidRPr="00923288">
        <w:t xml:space="preserve">for such tanks </w:t>
      </w:r>
      <w:r w:rsidRPr="00FD0CFE">
        <w:t xml:space="preserve">is </w:t>
      </w:r>
      <w:r w:rsidRPr="00923288">
        <w:t xml:space="preserve">from the </w:t>
      </w:r>
      <w:r w:rsidRPr="00FD0CFE">
        <w:t>outer</w:t>
      </w:r>
      <w:r w:rsidRPr="00923288">
        <w:t>most wall of the tank</w:t>
      </w:r>
      <w:r w:rsidRPr="00FD0CFE">
        <w:t xml:space="preserve">. </w:t>
      </w:r>
    </w:p>
    <w:p w14:paraId="5783C759" w14:textId="41825F43" w:rsidR="00923288" w:rsidRPr="00923288" w:rsidRDefault="00923288" w:rsidP="00923288">
      <w:pPr>
        <w:suppressAutoHyphens/>
        <w:spacing w:after="120"/>
        <w:ind w:left="1134" w:right="1134"/>
        <w:jc w:val="both"/>
      </w:pPr>
      <w:r w:rsidRPr="00923288">
        <w:t>7.</w:t>
      </w:r>
      <w:r w:rsidRPr="00923288">
        <w:tab/>
        <w:t xml:space="preserve">For vehicles with a tilting tank and having a </w:t>
      </w:r>
      <w:r w:rsidRPr="00FD0CFE">
        <w:t>rear discharge</w:t>
      </w:r>
      <w:r w:rsidRPr="00923288">
        <w:t xml:space="preserve"> it is accepted that the clearance of </w:t>
      </w:r>
      <w:r w:rsidRPr="00FD0CFE">
        <w:t>100</w:t>
      </w:r>
      <w:r w:rsidR="005D63C7">
        <w:t> </w:t>
      </w:r>
      <w:r w:rsidRPr="00FD0CFE">
        <w:t>mm</w:t>
      </w:r>
      <w:r w:rsidRPr="00923288">
        <w:t xml:space="preserve"> cannot be respected in all cases. To ensure the tank and the rear fittings of these vehicles are protected in the same manner as having a bumper appropriately positioned, requirements for a means of protection compatible with these types of vehicles have been included in the proposals. </w:t>
      </w:r>
    </w:p>
    <w:p w14:paraId="75837E8A" w14:textId="77777777" w:rsidR="00923288" w:rsidRPr="00923288" w:rsidRDefault="00923288" w:rsidP="00923288">
      <w:pPr>
        <w:suppressAutoHyphens/>
        <w:spacing w:after="120"/>
        <w:ind w:left="1134" w:right="1134"/>
        <w:jc w:val="both"/>
      </w:pPr>
      <w:r w:rsidRPr="00923288">
        <w:tab/>
        <w:t>8.</w:t>
      </w:r>
      <w:r w:rsidRPr="00923288">
        <w:tab/>
        <w:t xml:space="preserve">It has been suggested that increasing numbers of heavy goods vehicles being equipped with </w:t>
      </w:r>
      <w:r w:rsidRPr="00FD0CFE">
        <w:t>Advance</w:t>
      </w:r>
      <w:r w:rsidRPr="00923288">
        <w:t>d</w:t>
      </w:r>
      <w:r w:rsidRPr="00FD0CFE">
        <w:t xml:space="preserve"> Emergency Braking System</w:t>
      </w:r>
      <w:r w:rsidRPr="00923288">
        <w:t xml:space="preserve">s may mean that any clearance to </w:t>
      </w:r>
      <w:r w:rsidRPr="00FD0CFE">
        <w:t xml:space="preserve">help </w:t>
      </w:r>
      <w:r w:rsidRPr="00923288">
        <w:t xml:space="preserve">mitigate the effects of a rear end collision may progressively become less beneficial. However, the regulations governing the technical requirements for such systems have a minimum requirement for the impacting vehicle’s speed to be reduced rather than fully stopping before a collision occurs. It is therefore anticipated that rear end collisions will continue to take place. </w:t>
      </w:r>
    </w:p>
    <w:p w14:paraId="509A72D6" w14:textId="77777777" w:rsidR="00923288" w:rsidRPr="00923288" w:rsidRDefault="00923288" w:rsidP="00923288">
      <w:pPr>
        <w:keepNext/>
        <w:keepLines/>
        <w:tabs>
          <w:tab w:val="right" w:pos="851"/>
        </w:tabs>
        <w:suppressAutoHyphens/>
        <w:spacing w:before="360" w:after="240" w:line="270" w:lineRule="exact"/>
        <w:ind w:left="1134" w:right="1134" w:hanging="1134"/>
        <w:rPr>
          <w:b/>
          <w:sz w:val="24"/>
        </w:rPr>
      </w:pPr>
      <w:r w:rsidRPr="00FD0CFE">
        <w:rPr>
          <w:b/>
          <w:sz w:val="24"/>
        </w:rPr>
        <w:tab/>
      </w:r>
      <w:r w:rsidRPr="00FD0CFE">
        <w:rPr>
          <w:b/>
          <w:sz w:val="24"/>
        </w:rPr>
        <w:tab/>
        <w:t>Proposal 1</w:t>
      </w:r>
    </w:p>
    <w:p w14:paraId="50345B93" w14:textId="30A0C514" w:rsidR="00923288" w:rsidRPr="00FD0CFE" w:rsidRDefault="00923288" w:rsidP="00923288">
      <w:pPr>
        <w:suppressAutoHyphens/>
        <w:spacing w:after="120"/>
        <w:ind w:left="1134" w:right="1134"/>
        <w:jc w:val="both"/>
      </w:pPr>
      <w:r w:rsidRPr="00923288">
        <w:t>9.</w:t>
      </w:r>
      <w:r w:rsidRPr="00923288">
        <w:tab/>
      </w:r>
      <w:r w:rsidR="00A717EC">
        <w:t>In</w:t>
      </w:r>
      <w:r w:rsidRPr="00923288">
        <w:t xml:space="preserve"> </w:t>
      </w:r>
      <w:r w:rsidRPr="00923288">
        <w:rPr>
          <w:noProof/>
        </w:rPr>
        <w:t>ADR 9.7.6</w:t>
      </w:r>
      <w:r w:rsidR="00A717EC">
        <w:rPr>
          <w:noProof/>
        </w:rPr>
        <w:t>, amend the text after the heading</w:t>
      </w:r>
      <w:r w:rsidRPr="00923288">
        <w:rPr>
          <w:noProof/>
        </w:rPr>
        <w:t xml:space="preserve"> to read as follows, deleted text struck through and new text in bold:</w:t>
      </w:r>
    </w:p>
    <w:p w14:paraId="03A9FC75" w14:textId="164716E4" w:rsidR="00923288" w:rsidRPr="00923288" w:rsidRDefault="009D4A8E" w:rsidP="009D4A8E">
      <w:pPr>
        <w:suppressAutoHyphens/>
        <w:spacing w:after="120"/>
        <w:ind w:left="1134" w:right="1134"/>
        <w:jc w:val="both"/>
      </w:pPr>
      <w:r>
        <w:t>“</w:t>
      </w:r>
      <w:r w:rsidR="00923288" w:rsidRPr="00923288">
        <w:t xml:space="preserve">A bumper sufficiently resistant to rear impact shall be fitted over the full width of the tank at the rear of the vehicle. There shall be a clearance of at least 100 mm between the rear </w:t>
      </w:r>
      <w:r w:rsidR="00923288" w:rsidRPr="00923288">
        <w:rPr>
          <w:strike/>
        </w:rPr>
        <w:t>wall</w:t>
      </w:r>
      <w:r w:rsidR="00923288" w:rsidRPr="00923288">
        <w:t xml:space="preserve"> of the tank </w:t>
      </w:r>
      <w:r w:rsidR="00923288" w:rsidRPr="00923288">
        <w:rPr>
          <w:strike/>
        </w:rPr>
        <w:t>and the rear of the bumper</w:t>
      </w:r>
      <w:r w:rsidR="00923288" w:rsidRPr="00923288">
        <w:t xml:space="preserve"> </w:t>
      </w:r>
      <w:r w:rsidR="00923288" w:rsidRPr="00923288">
        <w:rPr>
          <w:strike/>
        </w:rPr>
        <w:t>(this clearance being measured from the rearmost point of the tank wall or from projecting fittings or accessories in contact with the substance being carried).</w:t>
      </w:r>
      <w:r w:rsidR="00923288" w:rsidRPr="00923288">
        <w:t xml:space="preserve"> </w:t>
      </w:r>
      <w:r w:rsidR="00923288" w:rsidRPr="00923288">
        <w:rPr>
          <w:b/>
          <w:bCs/>
        </w:rPr>
        <w:t>(</w:t>
      </w:r>
      <w:proofErr w:type="gramStart"/>
      <w:r w:rsidR="00923288" w:rsidRPr="00923288">
        <w:rPr>
          <w:b/>
          <w:bCs/>
        </w:rPr>
        <w:t>or</w:t>
      </w:r>
      <w:proofErr w:type="gramEnd"/>
      <w:r w:rsidR="00923288" w:rsidRPr="00923288">
        <w:rPr>
          <w:b/>
          <w:bCs/>
        </w:rPr>
        <w:t xml:space="preserve"> of its </w:t>
      </w:r>
      <w:r w:rsidR="00923288" w:rsidRPr="00FD0CFE">
        <w:rPr>
          <w:b/>
          <w:bCs/>
        </w:rPr>
        <w:t>projecting fittings in contact with the substance being carried)</w:t>
      </w:r>
      <w:r w:rsidR="00923288" w:rsidRPr="00923288">
        <w:t xml:space="preserve"> </w:t>
      </w:r>
      <w:r w:rsidR="00923288" w:rsidRPr="00FD0CFE">
        <w:rPr>
          <w:b/>
          <w:bCs/>
        </w:rPr>
        <w:t xml:space="preserve">and the </w:t>
      </w:r>
      <w:r w:rsidR="00923288" w:rsidRPr="00923288">
        <w:rPr>
          <w:b/>
          <w:bCs/>
        </w:rPr>
        <w:t xml:space="preserve">foremost </w:t>
      </w:r>
      <w:r w:rsidR="00923288" w:rsidRPr="00FD0CFE">
        <w:rPr>
          <w:b/>
          <w:bCs/>
        </w:rPr>
        <w:t xml:space="preserve">face of the bumper facing the rear wall of the tank. This clearance shall be measured as specified in </w:t>
      </w:r>
      <w:r>
        <w:rPr>
          <w:b/>
          <w:bCs/>
        </w:rPr>
        <w:t>F</w:t>
      </w:r>
      <w:r w:rsidR="00923288" w:rsidRPr="00FD0CFE">
        <w:rPr>
          <w:b/>
          <w:bCs/>
        </w:rPr>
        <w:t>igure </w:t>
      </w:r>
      <w:r w:rsidR="00CA12AC">
        <w:rPr>
          <w:b/>
          <w:bCs/>
        </w:rPr>
        <w:t>9.7.6</w:t>
      </w:r>
      <w:r w:rsidR="00923288" w:rsidRPr="00FD0CFE">
        <w:t xml:space="preserve">. </w:t>
      </w:r>
    </w:p>
    <w:p w14:paraId="5741FAC7" w14:textId="0EFF5486" w:rsidR="00CA12AC" w:rsidRPr="00A717EC" w:rsidRDefault="00CA12AC" w:rsidP="00A717EC">
      <w:pPr>
        <w:suppressAutoHyphens/>
        <w:spacing w:after="120"/>
        <w:ind w:left="1134" w:right="1134"/>
        <w:jc w:val="center"/>
      </w:pPr>
      <w:r w:rsidRPr="00A717EC">
        <w:rPr>
          <w:b/>
          <w:u w:val="single"/>
        </w:rPr>
        <w:t>Figure 9.7.6</w:t>
      </w:r>
    </w:p>
    <w:p w14:paraId="2B46D71E" w14:textId="77777777" w:rsidR="00923288" w:rsidRPr="00FD0CFE" w:rsidRDefault="00923288" w:rsidP="00923288">
      <w:pPr>
        <w:suppressAutoHyphens/>
        <w:spacing w:after="120"/>
        <w:ind w:left="1134" w:right="1134"/>
        <w:jc w:val="center"/>
        <w:rPr>
          <w:sz w:val="22"/>
          <w:szCs w:val="22"/>
        </w:rPr>
      </w:pPr>
      <w:r w:rsidRPr="00FD0CFE">
        <w:rPr>
          <w:noProof/>
          <w:sz w:val="22"/>
          <w:szCs w:val="22"/>
        </w:rPr>
        <w:drawing>
          <wp:inline distT="0" distB="0" distL="0" distR="0" wp14:anchorId="71010D1F" wp14:editId="50615BFE">
            <wp:extent cx="2640788" cy="1953080"/>
            <wp:effectExtent l="0" t="0" r="7620"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stretch>
                      <a:fillRect/>
                    </a:stretch>
                  </pic:blipFill>
                  <pic:spPr>
                    <a:xfrm>
                      <a:off x="0" y="0"/>
                      <a:ext cx="2828578" cy="2091966"/>
                    </a:xfrm>
                    <a:prstGeom prst="rect">
                      <a:avLst/>
                    </a:prstGeom>
                  </pic:spPr>
                </pic:pic>
              </a:graphicData>
            </a:graphic>
          </wp:inline>
        </w:drawing>
      </w:r>
    </w:p>
    <w:p w14:paraId="30E06DDD" w14:textId="77777777" w:rsidR="00923288" w:rsidRPr="00923288" w:rsidRDefault="00923288" w:rsidP="00923288">
      <w:pPr>
        <w:suppressAutoHyphens/>
        <w:spacing w:after="120"/>
        <w:ind w:left="1134" w:right="1134"/>
        <w:jc w:val="both"/>
      </w:pPr>
      <w:r w:rsidRPr="00FD0CFE">
        <w:t xml:space="preserve">Vehicles with a tilting </w:t>
      </w:r>
      <w:r w:rsidRPr="00923288">
        <w:rPr>
          <w:strike/>
        </w:rPr>
        <w:t>shell</w:t>
      </w:r>
      <w:r w:rsidRPr="00923288">
        <w:t xml:space="preserve"> </w:t>
      </w:r>
      <w:r w:rsidRPr="00923288">
        <w:rPr>
          <w:b/>
          <w:bCs/>
        </w:rPr>
        <w:t>tank</w:t>
      </w:r>
      <w:r w:rsidRPr="00FD0CFE">
        <w:t xml:space="preserve"> </w:t>
      </w:r>
      <w:r w:rsidRPr="00923288">
        <w:rPr>
          <w:strike/>
        </w:rPr>
        <w:t xml:space="preserve">for the carriage of powdery or granular substances and a vacuum-operated waste tank with a tilting shell </w:t>
      </w:r>
      <w:r w:rsidRPr="00923288">
        <w:t>with</w:t>
      </w:r>
      <w:r w:rsidRPr="00FD0CFE">
        <w:t xml:space="preserve"> rear discharge </w:t>
      </w:r>
      <w:r w:rsidRPr="00923288">
        <w:rPr>
          <w:b/>
          <w:bCs/>
        </w:rPr>
        <w:t>for which the clearance of 100mm cannot be respected shall have a protective device</w:t>
      </w:r>
      <w:r w:rsidRPr="00923288">
        <w:rPr>
          <w:strike/>
        </w:rPr>
        <w:t xml:space="preserve"> do not require a bumper</w:t>
      </w:r>
      <w:r w:rsidRPr="00923288">
        <w:rPr>
          <w:b/>
          <w:bCs/>
        </w:rPr>
        <w:t xml:space="preserve"> </w:t>
      </w:r>
      <w:r w:rsidRPr="00923288">
        <w:rPr>
          <w:strike/>
        </w:rPr>
        <w:t>if the</w:t>
      </w:r>
      <w:r w:rsidRPr="00923288">
        <w:rPr>
          <w:b/>
          <w:bCs/>
          <w:strike/>
        </w:rPr>
        <w:t xml:space="preserve"> </w:t>
      </w:r>
      <w:r w:rsidRPr="00923288">
        <w:rPr>
          <w:strike/>
        </w:rPr>
        <w:t>rear fittings</w:t>
      </w:r>
      <w:r w:rsidRPr="00923288">
        <w:rPr>
          <w:b/>
          <w:bCs/>
          <w:strike/>
        </w:rPr>
        <w:t xml:space="preserve"> </w:t>
      </w:r>
      <w:r w:rsidRPr="00923288">
        <w:rPr>
          <w:strike/>
        </w:rPr>
        <w:t>of the shell are provided</w:t>
      </w:r>
      <w:r w:rsidRPr="00923288">
        <w:rPr>
          <w:b/>
          <w:bCs/>
          <w:strike/>
        </w:rPr>
        <w:t xml:space="preserve"> </w:t>
      </w:r>
      <w:r w:rsidRPr="00923288">
        <w:rPr>
          <w:strike/>
        </w:rPr>
        <w:t>with a means of protection</w:t>
      </w:r>
      <w:r w:rsidRPr="00923288">
        <w:rPr>
          <w:b/>
          <w:bCs/>
        </w:rPr>
        <w:t xml:space="preserve"> </w:t>
      </w:r>
      <w:r w:rsidRPr="00923288">
        <w:t>which protects</w:t>
      </w:r>
      <w:r w:rsidRPr="00923288">
        <w:rPr>
          <w:b/>
          <w:bCs/>
        </w:rPr>
        <w:t xml:space="preserve"> </w:t>
      </w:r>
      <w:r w:rsidRPr="00923288">
        <w:t xml:space="preserve">the </w:t>
      </w:r>
      <w:r w:rsidRPr="00923288">
        <w:rPr>
          <w:strike/>
        </w:rPr>
        <w:t>shell</w:t>
      </w:r>
      <w:r w:rsidRPr="00923288">
        <w:rPr>
          <w:b/>
          <w:bCs/>
        </w:rPr>
        <w:t xml:space="preserve"> tank</w:t>
      </w:r>
      <w:r w:rsidRPr="00923288">
        <w:t xml:space="preserve"> </w:t>
      </w:r>
      <w:r w:rsidRPr="00923288">
        <w:rPr>
          <w:b/>
          <w:bCs/>
        </w:rPr>
        <w:t>and the rear fittings</w:t>
      </w:r>
      <w:r w:rsidRPr="00923288">
        <w:t xml:space="preserve"> in the same </w:t>
      </w:r>
      <w:r w:rsidRPr="00923288">
        <w:rPr>
          <w:strike/>
        </w:rPr>
        <w:t>way</w:t>
      </w:r>
      <w:r w:rsidRPr="00923288">
        <w:t xml:space="preserve"> </w:t>
      </w:r>
      <w:r w:rsidRPr="00923288">
        <w:rPr>
          <w:b/>
          <w:bCs/>
        </w:rPr>
        <w:t>manner</w:t>
      </w:r>
      <w:r w:rsidRPr="00923288">
        <w:t xml:space="preserve"> as a bumper. </w:t>
      </w:r>
      <w:r w:rsidRPr="00923288">
        <w:rPr>
          <w:b/>
          <w:bCs/>
        </w:rPr>
        <w:t>This protection shall have a section modulus of at least 20 cm</w:t>
      </w:r>
      <w:r w:rsidRPr="00923288">
        <w:rPr>
          <w:b/>
          <w:bCs/>
          <w:vertAlign w:val="superscript"/>
        </w:rPr>
        <w:t>3</w:t>
      </w:r>
      <w:r w:rsidRPr="00923288">
        <w:rPr>
          <w:b/>
          <w:bCs/>
        </w:rPr>
        <w:t xml:space="preserve"> and have a minimum clearance of 100 mm between the rear of the tank and the foremost part of the additional protection in the direction of travel. </w:t>
      </w:r>
    </w:p>
    <w:p w14:paraId="2CE38476" w14:textId="77777777" w:rsidR="00923288" w:rsidRPr="00923288" w:rsidRDefault="00923288" w:rsidP="00923288">
      <w:pPr>
        <w:suppressAutoHyphens/>
        <w:spacing w:after="120"/>
        <w:ind w:left="1134" w:right="1134"/>
        <w:jc w:val="both"/>
        <w:rPr>
          <w:i/>
          <w:iCs/>
        </w:rPr>
      </w:pPr>
      <w:r w:rsidRPr="00923288">
        <w:rPr>
          <w:b/>
          <w:bCs/>
          <w:i/>
          <w:iCs/>
        </w:rPr>
        <w:t>NOTE 1</w:t>
      </w:r>
      <w:r w:rsidRPr="00923288">
        <w:rPr>
          <w:i/>
          <w:iCs/>
        </w:rPr>
        <w:t>: This provision does not apply to vehicles used for the carriage of dangerous goods in tank-containers, MEGCs or portable tanks.</w:t>
      </w:r>
    </w:p>
    <w:p w14:paraId="2F5D8027" w14:textId="77777777" w:rsidR="00923288" w:rsidRPr="00923288" w:rsidRDefault="00923288" w:rsidP="00923288">
      <w:pPr>
        <w:suppressAutoHyphens/>
        <w:spacing w:after="120"/>
        <w:ind w:left="1134" w:right="1134"/>
        <w:jc w:val="both"/>
        <w:rPr>
          <w:i/>
          <w:iCs/>
        </w:rPr>
      </w:pPr>
      <w:r w:rsidRPr="00923288">
        <w:rPr>
          <w:b/>
          <w:bCs/>
          <w:i/>
          <w:iCs/>
        </w:rPr>
        <w:t>NOTE 2:</w:t>
      </w:r>
      <w:r w:rsidRPr="00923288">
        <w:rPr>
          <w:i/>
          <w:iCs/>
        </w:rPr>
        <w:t xml:space="preserve"> For the protection of tanks against damage by lateral impact or overturning, see 6.8.2.1.20 and 6.8.2.1.21 or, for portable tanks, 6.7.2.4.3 and 6.7.2.4.5.</w:t>
      </w:r>
    </w:p>
    <w:p w14:paraId="310A377A" w14:textId="6273B1D5" w:rsidR="00923288" w:rsidRPr="00A717EC" w:rsidRDefault="00923288" w:rsidP="00923288">
      <w:pPr>
        <w:suppressAutoHyphens/>
        <w:spacing w:after="120"/>
        <w:ind w:left="1134" w:right="1134"/>
        <w:jc w:val="both"/>
        <w:rPr>
          <w:b/>
          <w:bCs/>
        </w:rPr>
      </w:pPr>
      <w:r w:rsidRPr="00923288">
        <w:rPr>
          <w:b/>
          <w:bCs/>
          <w:i/>
          <w:iCs/>
        </w:rPr>
        <w:t xml:space="preserve">NOTE 3: For double wall tanks the </w:t>
      </w:r>
      <w:r w:rsidRPr="00FD0CFE">
        <w:rPr>
          <w:b/>
          <w:bCs/>
          <w:i/>
          <w:iCs/>
        </w:rPr>
        <w:t>rear</w:t>
      </w:r>
      <w:r w:rsidRPr="00923288">
        <w:rPr>
          <w:b/>
          <w:bCs/>
          <w:i/>
          <w:iCs/>
        </w:rPr>
        <w:t xml:space="preserve"> </w:t>
      </w:r>
      <w:r w:rsidRPr="00FD0CFE">
        <w:rPr>
          <w:b/>
          <w:bCs/>
          <w:i/>
          <w:iCs/>
        </w:rPr>
        <w:t>of the tank</w:t>
      </w:r>
      <w:r w:rsidRPr="00923288">
        <w:rPr>
          <w:b/>
          <w:bCs/>
          <w:i/>
          <w:iCs/>
        </w:rPr>
        <w:t xml:space="preserve"> shall be taken to be the rear of the </w:t>
      </w:r>
      <w:r w:rsidRPr="00FD0CFE">
        <w:rPr>
          <w:b/>
          <w:bCs/>
          <w:i/>
          <w:iCs/>
        </w:rPr>
        <w:t>outer</w:t>
      </w:r>
      <w:r w:rsidRPr="00923288">
        <w:rPr>
          <w:b/>
          <w:bCs/>
          <w:i/>
          <w:iCs/>
        </w:rPr>
        <w:t>most wall of the tank</w:t>
      </w:r>
      <w:r w:rsidRPr="00FD0CFE">
        <w:rPr>
          <w:b/>
          <w:bCs/>
          <w:i/>
          <w:iCs/>
        </w:rPr>
        <w:t>.</w:t>
      </w:r>
      <w:r w:rsidR="00A717EC">
        <w:rPr>
          <w:b/>
          <w:bCs/>
        </w:rPr>
        <w:t>”</w:t>
      </w:r>
      <w:bookmarkStart w:id="1" w:name="_Hlk118446542"/>
    </w:p>
    <w:p w14:paraId="6FFF1EF4" w14:textId="77777777" w:rsidR="00923288" w:rsidRPr="00923288" w:rsidRDefault="00923288" w:rsidP="00923288">
      <w:pPr>
        <w:keepNext/>
        <w:keepLines/>
        <w:tabs>
          <w:tab w:val="right" w:pos="851"/>
        </w:tabs>
        <w:suppressAutoHyphens/>
        <w:spacing w:before="360" w:after="240" w:line="270" w:lineRule="exact"/>
        <w:ind w:left="1134" w:right="1134" w:hanging="1134"/>
        <w:rPr>
          <w:b/>
          <w:bCs/>
          <w:i/>
          <w:iCs/>
          <w:sz w:val="24"/>
        </w:rPr>
      </w:pPr>
      <w:r w:rsidRPr="00923288">
        <w:rPr>
          <w:b/>
          <w:sz w:val="24"/>
        </w:rPr>
        <w:tab/>
      </w:r>
      <w:r w:rsidRPr="00923288">
        <w:rPr>
          <w:b/>
          <w:sz w:val="24"/>
        </w:rPr>
        <w:tab/>
        <w:t>Proposal 2</w:t>
      </w:r>
    </w:p>
    <w:p w14:paraId="29537C77" w14:textId="4B7D81FF" w:rsidR="00923288" w:rsidRPr="00FD0CFE" w:rsidRDefault="00923288" w:rsidP="00923288">
      <w:pPr>
        <w:suppressAutoHyphens/>
        <w:spacing w:after="120"/>
        <w:ind w:left="1134" w:right="1134"/>
        <w:jc w:val="both"/>
      </w:pPr>
      <w:r w:rsidRPr="00923288">
        <w:tab/>
        <w:t>1</w:t>
      </w:r>
      <w:r w:rsidR="007C26E2">
        <w:t>0</w:t>
      </w:r>
      <w:r w:rsidRPr="00923288">
        <w:t>.</w:t>
      </w:r>
      <w:r w:rsidRPr="00923288">
        <w:tab/>
        <w:t>Provide the following transitional measure in section 1.6.5:</w:t>
      </w:r>
    </w:p>
    <w:p w14:paraId="02DAA498" w14:textId="6EA85118" w:rsidR="00923288" w:rsidRPr="00923288" w:rsidRDefault="00E34EDF" w:rsidP="00923288">
      <w:pPr>
        <w:suppressAutoHyphens/>
        <w:spacing w:after="120"/>
        <w:ind w:left="1134" w:right="1134"/>
        <w:jc w:val="both"/>
      </w:pPr>
      <w:r>
        <w:t>“</w:t>
      </w:r>
      <w:r w:rsidR="00923288" w:rsidRPr="00923288">
        <w:t>Vehicles registered (or entering into service if registration is not mandatory) before 1 July 2025 which do not meet the rear protection requirements of 9.7.6 applicable from 1 January 2025 may continue to be used</w:t>
      </w:r>
      <w:r w:rsidR="00923288" w:rsidRPr="00FD0CFE">
        <w:t>.</w:t>
      </w:r>
      <w:r>
        <w:t>”</w:t>
      </w:r>
    </w:p>
    <w:p w14:paraId="18E91A03" w14:textId="77777777" w:rsidR="00923288" w:rsidRPr="00923288" w:rsidRDefault="00923288" w:rsidP="00923288">
      <w:pPr>
        <w:keepNext/>
        <w:keepLines/>
        <w:tabs>
          <w:tab w:val="right" w:pos="851"/>
        </w:tabs>
        <w:suppressAutoHyphens/>
        <w:spacing w:before="360" w:after="240" w:line="270" w:lineRule="exact"/>
        <w:ind w:left="1134" w:right="1134" w:hanging="1134"/>
        <w:rPr>
          <w:b/>
          <w:sz w:val="24"/>
        </w:rPr>
      </w:pPr>
      <w:r w:rsidRPr="00FD0CFE">
        <w:rPr>
          <w:b/>
          <w:sz w:val="24"/>
        </w:rPr>
        <w:tab/>
      </w:r>
      <w:r w:rsidRPr="00FD0CFE">
        <w:rPr>
          <w:b/>
          <w:sz w:val="24"/>
        </w:rPr>
        <w:tab/>
        <w:t>Justification</w:t>
      </w:r>
    </w:p>
    <w:bookmarkEnd w:id="1"/>
    <w:p w14:paraId="2DC312A1" w14:textId="3F4F67AA" w:rsidR="001C6663" w:rsidRPr="00923288" w:rsidRDefault="005F7AF0" w:rsidP="005F7AF0">
      <w:pPr>
        <w:suppressAutoHyphens/>
        <w:spacing w:after="120"/>
        <w:ind w:left="1134" w:right="1134"/>
        <w:jc w:val="both"/>
        <w:rPr>
          <w:u w:val="single"/>
        </w:rPr>
      </w:pPr>
      <w:r>
        <w:rPr>
          <w:noProof/>
        </w:rPr>
        <mc:AlternateContent>
          <mc:Choice Requires="wps">
            <w:drawing>
              <wp:anchor distT="45720" distB="45720" distL="114300" distR="114300" simplePos="0" relativeHeight="251659264" behindDoc="0" locked="0" layoutInCell="1" allowOverlap="1" wp14:anchorId="56C44443" wp14:editId="2C7E4CEF">
                <wp:simplePos x="0" y="0"/>
                <wp:positionH relativeFrom="column">
                  <wp:posOffset>2738064</wp:posOffset>
                </wp:positionH>
                <wp:positionV relativeFrom="page">
                  <wp:posOffset>9912935</wp:posOffset>
                </wp:positionV>
                <wp:extent cx="1425575" cy="25273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2730"/>
                        </a:xfrm>
                        <a:prstGeom prst="rect">
                          <a:avLst/>
                        </a:prstGeom>
                        <a:solidFill>
                          <a:srgbClr val="FFFFFF"/>
                        </a:solidFill>
                        <a:ln w="9525">
                          <a:solidFill>
                            <a:schemeClr val="bg1"/>
                          </a:solidFill>
                          <a:miter lim="800000"/>
                          <a:headEnd/>
                          <a:tailEnd/>
                        </a:ln>
                      </wps:spPr>
                      <wps:txbx>
                        <w:txbxContent>
                          <w:p w14:paraId="42CC8CBA" w14:textId="6B6DA4E8" w:rsidR="005F7AF0" w:rsidRDefault="005F7AF0">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44443" id="_x0000_t202" coordsize="21600,21600" o:spt="202" path="m,l,21600r21600,l21600,xe">
                <v:stroke joinstyle="miter"/>
                <v:path gradientshapeok="t" o:connecttype="rect"/>
              </v:shapetype>
              <v:shape id="Text Box 2" o:spid="_x0000_s1026" type="#_x0000_t202" style="position:absolute;left:0;text-align:left;margin-left:215.6pt;margin-top:780.55pt;width:112.2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" strokecolor="white [3212]">
                <v:textbox style="mso-fit-shape-to-text:t">
                  <w:txbxContent>
                    <w:p w14:paraId="42CC8CBA" w14:textId="6B6DA4E8" w:rsidR="005F7AF0" w:rsidRDefault="005F7AF0">
                      <w:r>
                        <w:t>_______________</w:t>
                      </w:r>
                    </w:p>
                  </w:txbxContent>
                </v:textbox>
                <w10:wrap type="square" anchory="page"/>
              </v:shape>
            </w:pict>
          </mc:Fallback>
        </mc:AlternateContent>
      </w:r>
      <w:r w:rsidR="002C5BD2">
        <w:t>1</w:t>
      </w:r>
      <w:r w:rsidR="007C26E2">
        <w:t>1</w:t>
      </w:r>
      <w:r w:rsidR="002C5BD2">
        <w:t>.</w:t>
      </w:r>
      <w:r w:rsidR="002C5BD2">
        <w:tab/>
      </w:r>
      <w:r w:rsidR="00923288" w:rsidRPr="00923288">
        <w:t xml:space="preserve">These amendments will ensure a uniform interpretation of the </w:t>
      </w:r>
      <w:r w:rsidR="00923288" w:rsidRPr="00FD0CFE">
        <w:t>100</w:t>
      </w:r>
      <w:r w:rsidR="002C5BD2">
        <w:t> </w:t>
      </w:r>
      <w:r w:rsidR="00923288" w:rsidRPr="00FD0CFE">
        <w:t>mm</w:t>
      </w:r>
      <w:r w:rsidR="00923288" w:rsidRPr="00923288">
        <w:t xml:space="preserve"> clearance that is required between the rear wall of the tank </w:t>
      </w:r>
      <w:r w:rsidR="00923288" w:rsidRPr="00FD0CFE">
        <w:t xml:space="preserve">and the </w:t>
      </w:r>
      <w:r w:rsidR="00923288" w:rsidRPr="00923288">
        <w:t xml:space="preserve">rear </w:t>
      </w:r>
      <w:r w:rsidR="00923288" w:rsidRPr="00FD0CFE">
        <w:t>bumper</w:t>
      </w:r>
      <w:r w:rsidR="00923288" w:rsidRPr="00923288">
        <w:t>. Given that clarification is considered necessary, there is likely to have been misinterpretation, and a transitional measure is therefore proposed to enable existing vehicles to continue to be used.</w:t>
      </w:r>
    </w:p>
    <w:sectPr w:rsidR="001C6663" w:rsidRPr="00923288" w:rsidSect="00E01D4F">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0D81" w14:textId="77777777" w:rsidR="0088369E" w:rsidRDefault="0088369E"/>
  </w:endnote>
  <w:endnote w:type="continuationSeparator" w:id="0">
    <w:p w14:paraId="63FDEBDC" w14:textId="77777777" w:rsidR="0088369E" w:rsidRDefault="0088369E"/>
  </w:endnote>
  <w:endnote w:type="continuationNotice" w:id="1">
    <w:p w14:paraId="19940DC5" w14:textId="77777777" w:rsidR="0088369E" w:rsidRDefault="00883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2237" w14:textId="4096D9D8" w:rsidR="00E01D4F" w:rsidRPr="00E01D4F" w:rsidRDefault="00E01D4F" w:rsidP="00E01D4F">
    <w:pPr>
      <w:pStyle w:val="Footer"/>
      <w:tabs>
        <w:tab w:val="right" w:pos="9638"/>
      </w:tabs>
      <w:rPr>
        <w:sz w:val="18"/>
      </w:rPr>
    </w:pPr>
    <w:r w:rsidRPr="00E01D4F">
      <w:rPr>
        <w:b/>
        <w:sz w:val="18"/>
      </w:rPr>
      <w:fldChar w:fldCharType="begin"/>
    </w:r>
    <w:r w:rsidRPr="00E01D4F">
      <w:rPr>
        <w:b/>
        <w:sz w:val="18"/>
      </w:rPr>
      <w:instrText xml:space="preserve"> PAGE  \* MERGEFORMAT </w:instrText>
    </w:r>
    <w:r w:rsidRPr="00E01D4F">
      <w:rPr>
        <w:b/>
        <w:sz w:val="18"/>
      </w:rPr>
      <w:fldChar w:fldCharType="separate"/>
    </w:r>
    <w:r w:rsidRPr="00E01D4F">
      <w:rPr>
        <w:b/>
        <w:noProof/>
        <w:sz w:val="18"/>
      </w:rPr>
      <w:t>2</w:t>
    </w:r>
    <w:r w:rsidRPr="00E01D4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B176" w14:textId="14B05B92" w:rsidR="00E01D4F" w:rsidRPr="00E01D4F" w:rsidRDefault="00E01D4F" w:rsidP="00E01D4F">
    <w:pPr>
      <w:pStyle w:val="Footer"/>
      <w:tabs>
        <w:tab w:val="right" w:pos="9638"/>
      </w:tabs>
      <w:rPr>
        <w:b/>
        <w:sz w:val="18"/>
      </w:rPr>
    </w:pPr>
    <w:r>
      <w:tab/>
    </w:r>
    <w:r w:rsidRPr="00E01D4F">
      <w:rPr>
        <w:b/>
        <w:sz w:val="18"/>
      </w:rPr>
      <w:fldChar w:fldCharType="begin"/>
    </w:r>
    <w:r w:rsidRPr="00E01D4F">
      <w:rPr>
        <w:b/>
        <w:sz w:val="18"/>
      </w:rPr>
      <w:instrText xml:space="preserve"> PAGE  \* MERGEFORMAT </w:instrText>
    </w:r>
    <w:r w:rsidRPr="00E01D4F">
      <w:rPr>
        <w:b/>
        <w:sz w:val="18"/>
      </w:rPr>
      <w:fldChar w:fldCharType="separate"/>
    </w:r>
    <w:r w:rsidRPr="00E01D4F">
      <w:rPr>
        <w:b/>
        <w:noProof/>
        <w:sz w:val="18"/>
      </w:rPr>
      <w:t>3</w:t>
    </w:r>
    <w:r w:rsidRPr="00E01D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7EBC" w14:textId="77777777" w:rsidR="0035223F" w:rsidRPr="00E01D4F" w:rsidRDefault="00686A48">
    <w:pPr>
      <w:pStyle w:val="Footer"/>
      <w:rPr>
        <w:sz w:val="20"/>
      </w:rPr>
    </w:pPr>
    <w:r>
      <w:rPr>
        <w:noProof/>
        <w:lang w:val="fr-CH" w:eastAsia="fr-CH"/>
      </w:rPr>
      <w:drawing>
        <wp:anchor distT="0" distB="0" distL="114300" distR="114300" simplePos="0" relativeHeight="251658240" behindDoc="0" locked="1" layoutInCell="1" allowOverlap="1" wp14:anchorId="2A194185" wp14:editId="25F35379">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AF21" w14:textId="77777777" w:rsidR="0088369E" w:rsidRPr="000B175B" w:rsidRDefault="0088369E" w:rsidP="000B175B">
      <w:pPr>
        <w:tabs>
          <w:tab w:val="right" w:pos="2155"/>
        </w:tabs>
        <w:spacing w:after="80"/>
        <w:ind w:left="680"/>
        <w:rPr>
          <w:u w:val="single"/>
        </w:rPr>
      </w:pPr>
      <w:r>
        <w:rPr>
          <w:u w:val="single"/>
        </w:rPr>
        <w:tab/>
      </w:r>
    </w:p>
  </w:footnote>
  <w:footnote w:type="continuationSeparator" w:id="0">
    <w:p w14:paraId="571DB44C" w14:textId="77777777" w:rsidR="0088369E" w:rsidRPr="00FC68B7" w:rsidRDefault="0088369E" w:rsidP="00FC68B7">
      <w:pPr>
        <w:tabs>
          <w:tab w:val="left" w:pos="2155"/>
        </w:tabs>
        <w:spacing w:after="80"/>
        <w:ind w:left="680"/>
        <w:rPr>
          <w:u w:val="single"/>
        </w:rPr>
      </w:pPr>
      <w:r>
        <w:rPr>
          <w:u w:val="single"/>
        </w:rPr>
        <w:tab/>
      </w:r>
    </w:p>
  </w:footnote>
  <w:footnote w:type="continuationNotice" w:id="1">
    <w:p w14:paraId="2D38FE8D" w14:textId="77777777" w:rsidR="0088369E" w:rsidRDefault="0088369E"/>
  </w:footnote>
  <w:footnote w:id="2">
    <w:p w14:paraId="308C3B87" w14:textId="636E4602" w:rsidR="000C4ADD" w:rsidRPr="000C4ADD" w:rsidRDefault="000C4ADD" w:rsidP="000C4ADD">
      <w:pPr>
        <w:pStyle w:val="FootnoteText"/>
        <w:ind w:firstLine="0"/>
        <w:rPr>
          <w:lang w:val="fr-CH"/>
        </w:rPr>
      </w:pPr>
      <w:r>
        <w:rPr>
          <w:rStyle w:val="FootnoteReference"/>
        </w:rPr>
        <w:footnoteRef/>
      </w:r>
      <w:r>
        <w:t xml:space="preserve"> </w:t>
      </w:r>
      <w:r w:rsidRPr="00655CB8">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CEA6" w14:textId="649DBF88" w:rsidR="00E01D4F" w:rsidRPr="00E01D4F" w:rsidRDefault="00CE0709">
    <w:pPr>
      <w:pStyle w:val="Header"/>
    </w:pPr>
    <w:fldSimple w:instr=" TITLE  \* MERGEFORMAT ">
      <w:r w:rsidR="00E43D3E">
        <w:t>ECE/TRANS/WP.15/2023/1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ED42" w14:textId="5D49D73A" w:rsidR="00E01D4F" w:rsidRPr="00E01D4F" w:rsidRDefault="00CE0709" w:rsidP="00E01D4F">
    <w:pPr>
      <w:pStyle w:val="Header"/>
      <w:jc w:val="right"/>
    </w:pPr>
    <w:fldSimple w:instr=" TITLE  \* MERGEFORMAT ">
      <w:r w:rsidR="00E43D3E">
        <w:t>ECE/TRANS/WP.15/2023/1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47589560">
    <w:abstractNumId w:val="1"/>
  </w:num>
  <w:num w:numId="2" w16cid:durableId="1813061520">
    <w:abstractNumId w:val="0"/>
  </w:num>
  <w:num w:numId="3" w16cid:durableId="618875955">
    <w:abstractNumId w:val="2"/>
  </w:num>
  <w:num w:numId="4" w16cid:durableId="397288669">
    <w:abstractNumId w:val="3"/>
  </w:num>
  <w:num w:numId="5" w16cid:durableId="1430421485">
    <w:abstractNumId w:val="8"/>
  </w:num>
  <w:num w:numId="6" w16cid:durableId="266471267">
    <w:abstractNumId w:val="9"/>
  </w:num>
  <w:num w:numId="7" w16cid:durableId="604965027">
    <w:abstractNumId w:val="7"/>
  </w:num>
  <w:num w:numId="8" w16cid:durableId="946351445">
    <w:abstractNumId w:val="6"/>
  </w:num>
  <w:num w:numId="9" w16cid:durableId="784007675">
    <w:abstractNumId w:val="5"/>
  </w:num>
  <w:num w:numId="10" w16cid:durableId="1781102323">
    <w:abstractNumId w:val="4"/>
  </w:num>
  <w:num w:numId="11" w16cid:durableId="751312871">
    <w:abstractNumId w:val="15"/>
  </w:num>
  <w:num w:numId="12" w16cid:durableId="1868641777">
    <w:abstractNumId w:val="14"/>
  </w:num>
  <w:num w:numId="13" w16cid:durableId="486093194">
    <w:abstractNumId w:val="10"/>
  </w:num>
  <w:num w:numId="14" w16cid:durableId="545264214">
    <w:abstractNumId w:val="12"/>
  </w:num>
  <w:num w:numId="15" w16cid:durableId="1880972357">
    <w:abstractNumId w:val="16"/>
  </w:num>
  <w:num w:numId="16" w16cid:durableId="430588438">
    <w:abstractNumId w:val="13"/>
  </w:num>
  <w:num w:numId="17" w16cid:durableId="1587570835">
    <w:abstractNumId w:val="17"/>
  </w:num>
  <w:num w:numId="18" w16cid:durableId="330909242">
    <w:abstractNumId w:val="18"/>
  </w:num>
  <w:num w:numId="19" w16cid:durableId="642274086">
    <w:abstractNumId w:val="11"/>
  </w:num>
  <w:num w:numId="20" w16cid:durableId="11902238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4F"/>
    <w:rsid w:val="00002A7D"/>
    <w:rsid w:val="000038A8"/>
    <w:rsid w:val="00006790"/>
    <w:rsid w:val="00027624"/>
    <w:rsid w:val="000438F0"/>
    <w:rsid w:val="00050F6B"/>
    <w:rsid w:val="000678CD"/>
    <w:rsid w:val="00072C8C"/>
    <w:rsid w:val="00080A00"/>
    <w:rsid w:val="00081CE0"/>
    <w:rsid w:val="00084D30"/>
    <w:rsid w:val="00090320"/>
    <w:rsid w:val="000931C0"/>
    <w:rsid w:val="0009732C"/>
    <w:rsid w:val="000A01F9"/>
    <w:rsid w:val="000A2E09"/>
    <w:rsid w:val="000B175B"/>
    <w:rsid w:val="000B3A0F"/>
    <w:rsid w:val="000C4ADD"/>
    <w:rsid w:val="000E0415"/>
    <w:rsid w:val="000F7715"/>
    <w:rsid w:val="00154304"/>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1AFD"/>
    <w:rsid w:val="0027237A"/>
    <w:rsid w:val="002974E9"/>
    <w:rsid w:val="002A7F94"/>
    <w:rsid w:val="002B109A"/>
    <w:rsid w:val="002C5BD2"/>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1540E"/>
    <w:rsid w:val="00430D57"/>
    <w:rsid w:val="004325CB"/>
    <w:rsid w:val="00440A07"/>
    <w:rsid w:val="00462880"/>
    <w:rsid w:val="00476F24"/>
    <w:rsid w:val="004C55B0"/>
    <w:rsid w:val="004F6BA0"/>
    <w:rsid w:val="00503BEA"/>
    <w:rsid w:val="00533616"/>
    <w:rsid w:val="00535ABA"/>
    <w:rsid w:val="0053768B"/>
    <w:rsid w:val="005420F2"/>
    <w:rsid w:val="0054285C"/>
    <w:rsid w:val="00584173"/>
    <w:rsid w:val="0058529F"/>
    <w:rsid w:val="00595520"/>
    <w:rsid w:val="005A44B9"/>
    <w:rsid w:val="005A76D5"/>
    <w:rsid w:val="005B1BA0"/>
    <w:rsid w:val="005B3DB3"/>
    <w:rsid w:val="005D15CA"/>
    <w:rsid w:val="005D63C7"/>
    <w:rsid w:val="005D7969"/>
    <w:rsid w:val="005F08DF"/>
    <w:rsid w:val="005F3066"/>
    <w:rsid w:val="005F3E61"/>
    <w:rsid w:val="005F7AF0"/>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1BF5"/>
    <w:rsid w:val="006E564B"/>
    <w:rsid w:val="006E7154"/>
    <w:rsid w:val="007003CD"/>
    <w:rsid w:val="0070701E"/>
    <w:rsid w:val="007173E0"/>
    <w:rsid w:val="0072632A"/>
    <w:rsid w:val="007358E8"/>
    <w:rsid w:val="00736ECE"/>
    <w:rsid w:val="0074533B"/>
    <w:rsid w:val="007643BC"/>
    <w:rsid w:val="007801C5"/>
    <w:rsid w:val="007807D8"/>
    <w:rsid w:val="00780C68"/>
    <w:rsid w:val="007959FE"/>
    <w:rsid w:val="007A0CF1"/>
    <w:rsid w:val="007A478E"/>
    <w:rsid w:val="007B6BA5"/>
    <w:rsid w:val="007C26E2"/>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369E"/>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3288"/>
    <w:rsid w:val="00926E47"/>
    <w:rsid w:val="00947162"/>
    <w:rsid w:val="009610D0"/>
    <w:rsid w:val="0096375C"/>
    <w:rsid w:val="009662E6"/>
    <w:rsid w:val="0097095E"/>
    <w:rsid w:val="0098592B"/>
    <w:rsid w:val="00985FC4"/>
    <w:rsid w:val="00990766"/>
    <w:rsid w:val="00991261"/>
    <w:rsid w:val="009964C4"/>
    <w:rsid w:val="009A7B81"/>
    <w:rsid w:val="009D01C0"/>
    <w:rsid w:val="009D4A8E"/>
    <w:rsid w:val="009D6A08"/>
    <w:rsid w:val="009E0A16"/>
    <w:rsid w:val="009E6CB7"/>
    <w:rsid w:val="009E7970"/>
    <w:rsid w:val="009F2EAC"/>
    <w:rsid w:val="009F57E3"/>
    <w:rsid w:val="00A10F4F"/>
    <w:rsid w:val="00A11067"/>
    <w:rsid w:val="00A1704A"/>
    <w:rsid w:val="00A425EB"/>
    <w:rsid w:val="00A717EC"/>
    <w:rsid w:val="00A72F22"/>
    <w:rsid w:val="00A733BC"/>
    <w:rsid w:val="00A748A6"/>
    <w:rsid w:val="00A76A69"/>
    <w:rsid w:val="00A879A4"/>
    <w:rsid w:val="00AA0FF8"/>
    <w:rsid w:val="00AC0F2C"/>
    <w:rsid w:val="00AC502A"/>
    <w:rsid w:val="00AD64FD"/>
    <w:rsid w:val="00AF58C1"/>
    <w:rsid w:val="00B04A3F"/>
    <w:rsid w:val="00B06643"/>
    <w:rsid w:val="00B15055"/>
    <w:rsid w:val="00B20551"/>
    <w:rsid w:val="00B23D55"/>
    <w:rsid w:val="00B30179"/>
    <w:rsid w:val="00B33FC7"/>
    <w:rsid w:val="00B37B15"/>
    <w:rsid w:val="00B45C02"/>
    <w:rsid w:val="00B70B63"/>
    <w:rsid w:val="00B72A1E"/>
    <w:rsid w:val="00B81E12"/>
    <w:rsid w:val="00BA339B"/>
    <w:rsid w:val="00BB23CC"/>
    <w:rsid w:val="00BC1E7E"/>
    <w:rsid w:val="00BC5D7C"/>
    <w:rsid w:val="00BC74E9"/>
    <w:rsid w:val="00BE36A9"/>
    <w:rsid w:val="00BE618E"/>
    <w:rsid w:val="00BE7BEC"/>
    <w:rsid w:val="00BF0A5A"/>
    <w:rsid w:val="00BF0E63"/>
    <w:rsid w:val="00BF12A3"/>
    <w:rsid w:val="00BF16D7"/>
    <w:rsid w:val="00BF2373"/>
    <w:rsid w:val="00BF6592"/>
    <w:rsid w:val="00C0294F"/>
    <w:rsid w:val="00C044E2"/>
    <w:rsid w:val="00C048CB"/>
    <w:rsid w:val="00C066F3"/>
    <w:rsid w:val="00C408B7"/>
    <w:rsid w:val="00C411EB"/>
    <w:rsid w:val="00C463DD"/>
    <w:rsid w:val="00C745C3"/>
    <w:rsid w:val="00C978F5"/>
    <w:rsid w:val="00CA12AC"/>
    <w:rsid w:val="00CA24A4"/>
    <w:rsid w:val="00CB348D"/>
    <w:rsid w:val="00CD46F5"/>
    <w:rsid w:val="00CE0709"/>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7CAE"/>
    <w:rsid w:val="00E01D4F"/>
    <w:rsid w:val="00E34EDF"/>
    <w:rsid w:val="00E423C0"/>
    <w:rsid w:val="00E43D3E"/>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0D2A"/>
    <w:rsid w:val="00F41FDB"/>
    <w:rsid w:val="00F50596"/>
    <w:rsid w:val="00F56D63"/>
    <w:rsid w:val="00F609A9"/>
    <w:rsid w:val="00F80C99"/>
    <w:rsid w:val="00F867EC"/>
    <w:rsid w:val="00F91B2B"/>
    <w:rsid w:val="00FC03CD"/>
    <w:rsid w:val="00FC0646"/>
    <w:rsid w:val="00FC68B7"/>
    <w:rsid w:val="00FD0CF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BE315"/>
  <w15:docId w15:val="{3CD36CAF-8AC4-4B03-8BBC-6979CE85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4b4a1c0d-4a69-4996-a84a-fc699b9f49d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9EEE8DFE-2EF1-4A4A-8055-74F2C4894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9</TotalTime>
  <Pages>3</Pages>
  <Words>1070</Words>
  <Characters>6101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dc:title>
  <dc:creator>ST/SG/AC.10/11/Rev.7/Amend.1</dc:creator>
  <cp:lastModifiedBy>Laurence Berthet</cp:lastModifiedBy>
  <cp:revision>11</cp:revision>
  <cp:lastPrinted>2023-02-16T08:13:00Z</cp:lastPrinted>
  <dcterms:created xsi:type="dcterms:W3CDTF">2023-02-14T13:11:00Z</dcterms:created>
  <dcterms:modified xsi:type="dcterms:W3CDTF">2023-02-16T08:13:00Z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ies>
</file>