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3E5C3A" w14:textId="77777777" w:rsidTr="00C97039">
        <w:trPr>
          <w:trHeight w:hRule="exact" w:val="851"/>
        </w:trPr>
        <w:tc>
          <w:tcPr>
            <w:tcW w:w="1276" w:type="dxa"/>
            <w:tcBorders>
              <w:bottom w:val="single" w:sz="4" w:space="0" w:color="auto"/>
            </w:tcBorders>
          </w:tcPr>
          <w:p w14:paraId="6DA71844" w14:textId="77777777" w:rsidR="00F35BAF" w:rsidRPr="00DB58B5" w:rsidRDefault="00F35BAF" w:rsidP="007C14F2"/>
        </w:tc>
        <w:tc>
          <w:tcPr>
            <w:tcW w:w="2268" w:type="dxa"/>
            <w:tcBorders>
              <w:bottom w:val="single" w:sz="4" w:space="0" w:color="auto"/>
            </w:tcBorders>
            <w:vAlign w:val="bottom"/>
          </w:tcPr>
          <w:p w14:paraId="3E5AE01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52C438" w14:textId="618FB94B" w:rsidR="00F35BAF" w:rsidRPr="00DB58B5" w:rsidRDefault="007C14F2" w:rsidP="007C14F2">
            <w:pPr>
              <w:jc w:val="right"/>
            </w:pPr>
            <w:r w:rsidRPr="007C14F2">
              <w:rPr>
                <w:sz w:val="40"/>
              </w:rPr>
              <w:t>ECE</w:t>
            </w:r>
            <w:r>
              <w:t>/TRANS/WP.15/AC.1/166</w:t>
            </w:r>
          </w:p>
        </w:tc>
      </w:tr>
      <w:tr w:rsidR="00F35BAF" w:rsidRPr="00DB58B5" w14:paraId="1789F0F5" w14:textId="77777777" w:rsidTr="00C97039">
        <w:trPr>
          <w:trHeight w:hRule="exact" w:val="2835"/>
        </w:trPr>
        <w:tc>
          <w:tcPr>
            <w:tcW w:w="1276" w:type="dxa"/>
            <w:tcBorders>
              <w:top w:val="single" w:sz="4" w:space="0" w:color="auto"/>
              <w:bottom w:val="single" w:sz="12" w:space="0" w:color="auto"/>
            </w:tcBorders>
          </w:tcPr>
          <w:p w14:paraId="24650CA4" w14:textId="77777777" w:rsidR="00F35BAF" w:rsidRPr="00DB58B5" w:rsidRDefault="00F35BAF" w:rsidP="00C97039">
            <w:pPr>
              <w:spacing w:before="120"/>
              <w:jc w:val="center"/>
            </w:pPr>
            <w:r>
              <w:rPr>
                <w:noProof/>
                <w:lang w:eastAsia="fr-CH"/>
              </w:rPr>
              <w:drawing>
                <wp:inline distT="0" distB="0" distL="0" distR="0" wp14:anchorId="4BAC3938" wp14:editId="291BF6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A2B4D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6DFDFC" w14:textId="77777777" w:rsidR="00F35BAF" w:rsidRDefault="007C14F2" w:rsidP="00C97039">
            <w:pPr>
              <w:spacing w:before="240"/>
            </w:pPr>
            <w:r>
              <w:t xml:space="preserve">Distr. </w:t>
            </w:r>
            <w:proofErr w:type="gramStart"/>
            <w:r>
              <w:t>générale</w:t>
            </w:r>
            <w:proofErr w:type="gramEnd"/>
          </w:p>
          <w:p w14:paraId="24354BC2" w14:textId="77777777" w:rsidR="007C14F2" w:rsidRDefault="007C14F2" w:rsidP="007C14F2">
            <w:pPr>
              <w:spacing w:line="240" w:lineRule="exact"/>
            </w:pPr>
            <w:r>
              <w:t>29 septembre 2022</w:t>
            </w:r>
          </w:p>
          <w:p w14:paraId="0A196BA4" w14:textId="77777777" w:rsidR="007C14F2" w:rsidRDefault="007C14F2" w:rsidP="007C14F2">
            <w:pPr>
              <w:spacing w:line="240" w:lineRule="exact"/>
            </w:pPr>
            <w:r>
              <w:t>Français</w:t>
            </w:r>
          </w:p>
          <w:p w14:paraId="23FF631C" w14:textId="08092DE6" w:rsidR="007C14F2" w:rsidRPr="00DB58B5" w:rsidRDefault="007C14F2" w:rsidP="007C14F2">
            <w:pPr>
              <w:spacing w:line="240" w:lineRule="exact"/>
            </w:pPr>
            <w:r>
              <w:t>Original : anglais</w:t>
            </w:r>
          </w:p>
        </w:tc>
      </w:tr>
    </w:tbl>
    <w:p w14:paraId="21ED9AEE" w14:textId="7EFCC896" w:rsidR="007F20FA" w:rsidRPr="000312C0" w:rsidRDefault="007F20FA" w:rsidP="007F20FA">
      <w:pPr>
        <w:spacing w:before="120"/>
        <w:rPr>
          <w:b/>
          <w:sz w:val="28"/>
          <w:szCs w:val="28"/>
        </w:rPr>
      </w:pPr>
      <w:r w:rsidRPr="000312C0">
        <w:rPr>
          <w:b/>
          <w:sz w:val="28"/>
          <w:szCs w:val="28"/>
        </w:rPr>
        <w:t>Commission économique pour l</w:t>
      </w:r>
      <w:r w:rsidR="000C7353">
        <w:rPr>
          <w:b/>
          <w:sz w:val="28"/>
          <w:szCs w:val="28"/>
        </w:rPr>
        <w:t>’</w:t>
      </w:r>
      <w:r w:rsidRPr="000312C0">
        <w:rPr>
          <w:b/>
          <w:sz w:val="28"/>
          <w:szCs w:val="28"/>
        </w:rPr>
        <w:t>Europe</w:t>
      </w:r>
    </w:p>
    <w:p w14:paraId="335D7195" w14:textId="77777777" w:rsidR="007F20FA" w:rsidRDefault="007F20FA" w:rsidP="007F20FA">
      <w:pPr>
        <w:spacing w:before="120"/>
        <w:rPr>
          <w:sz w:val="28"/>
          <w:szCs w:val="28"/>
        </w:rPr>
      </w:pPr>
      <w:r w:rsidRPr="00685843">
        <w:rPr>
          <w:sz w:val="28"/>
          <w:szCs w:val="28"/>
        </w:rPr>
        <w:t>Comité des transports intérieurs</w:t>
      </w:r>
    </w:p>
    <w:p w14:paraId="62AC67F2" w14:textId="77777777" w:rsidR="007C14F2" w:rsidRPr="009E01B8" w:rsidRDefault="007C14F2" w:rsidP="00AF0CB5">
      <w:pPr>
        <w:spacing w:before="120"/>
        <w:rPr>
          <w:b/>
          <w:sz w:val="24"/>
          <w:szCs w:val="24"/>
        </w:rPr>
      </w:pPr>
      <w:r w:rsidRPr="009E01B8">
        <w:rPr>
          <w:b/>
          <w:sz w:val="24"/>
          <w:szCs w:val="24"/>
        </w:rPr>
        <w:t>Groupe de travail des transports de marchandises dangereuses</w:t>
      </w:r>
    </w:p>
    <w:p w14:paraId="0B1C9BF0" w14:textId="021756DA" w:rsidR="007C14F2" w:rsidRPr="00926E87" w:rsidRDefault="007C14F2" w:rsidP="00AF0CB5">
      <w:pPr>
        <w:spacing w:before="120"/>
        <w:rPr>
          <w:b/>
        </w:rPr>
      </w:pPr>
      <w:r w:rsidRPr="00926E87">
        <w:rPr>
          <w:b/>
        </w:rPr>
        <w:t>Réunion commune de la Commission d</w:t>
      </w:r>
      <w:r w:rsidR="000C7353">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444F2610" w14:textId="283A7CEA" w:rsidR="004821C5" w:rsidRPr="0081507E" w:rsidRDefault="00A53E5F" w:rsidP="00A53E5F">
      <w:pPr>
        <w:pStyle w:val="HChG"/>
      </w:pPr>
      <w:r>
        <w:rPr>
          <w:lang w:val="fr-FR"/>
        </w:rPr>
        <w:tab/>
      </w:r>
      <w:r>
        <w:rPr>
          <w:lang w:val="fr-FR"/>
        </w:rPr>
        <w:tab/>
      </w:r>
      <w:r w:rsidR="004821C5">
        <w:rPr>
          <w:lang w:val="fr-FR"/>
        </w:rPr>
        <w:t>Rapport de la Réunion commune de la Commission d</w:t>
      </w:r>
      <w:r w:rsidR="000C7353">
        <w:rPr>
          <w:lang w:val="fr-FR"/>
        </w:rPr>
        <w:t>’</w:t>
      </w:r>
      <w:r w:rsidR="004821C5">
        <w:rPr>
          <w:lang w:val="fr-FR"/>
        </w:rPr>
        <w:t>experts du RID et du Groupe de travail des transports de</w:t>
      </w:r>
      <w:r>
        <w:rPr>
          <w:lang w:val="fr-FR"/>
        </w:rPr>
        <w:t> </w:t>
      </w:r>
      <w:r w:rsidR="004821C5">
        <w:rPr>
          <w:lang w:val="fr-FR"/>
        </w:rPr>
        <w:t>marchandises dangereuses sur sa session d</w:t>
      </w:r>
      <w:r w:rsidR="000C7353">
        <w:rPr>
          <w:lang w:val="fr-FR"/>
        </w:rPr>
        <w:t>’</w:t>
      </w:r>
      <w:r w:rsidR="004821C5">
        <w:rPr>
          <w:lang w:val="fr-FR"/>
        </w:rPr>
        <w:t>automne 2022</w:t>
      </w:r>
      <w:r w:rsidRPr="00A53E5F">
        <w:rPr>
          <w:rStyle w:val="FootnoteReference"/>
          <w:b w:val="0"/>
          <w:bCs/>
          <w:sz w:val="20"/>
          <w:vertAlign w:val="baseline"/>
        </w:rPr>
        <w:footnoteReference w:customMarkFollows="1" w:id="2"/>
        <w:t>*</w:t>
      </w:r>
    </w:p>
    <w:p w14:paraId="47BF1D15" w14:textId="2888EBA9" w:rsidR="00F9573C" w:rsidRDefault="004821C5" w:rsidP="00A53E5F">
      <w:pPr>
        <w:pStyle w:val="SingleTxtG"/>
        <w:rPr>
          <w:lang w:val="fr-FR"/>
        </w:rPr>
      </w:pPr>
      <w:proofErr w:type="gramStart"/>
      <w:r>
        <w:rPr>
          <w:lang w:val="fr-FR"/>
        </w:rPr>
        <w:t>tenue</w:t>
      </w:r>
      <w:proofErr w:type="gramEnd"/>
      <w:r>
        <w:rPr>
          <w:lang w:val="fr-FR"/>
        </w:rPr>
        <w:t xml:space="preserve"> à Genève du 12 au 16 septembre 2022</w:t>
      </w:r>
    </w:p>
    <w:p w14:paraId="698F679B" w14:textId="5EBAD79F" w:rsidR="004821C5" w:rsidRPr="004821C5" w:rsidRDefault="004821C5" w:rsidP="004821C5">
      <w:pPr>
        <w:spacing w:after="120"/>
        <w:rPr>
          <w:sz w:val="28"/>
        </w:rPr>
      </w:pPr>
      <w:r w:rsidRPr="004821C5">
        <w:rPr>
          <w:sz w:val="28"/>
        </w:rPr>
        <w:t>Table des matières</w:t>
      </w:r>
    </w:p>
    <w:p w14:paraId="40EEC827" w14:textId="7400D1B9" w:rsidR="004821C5" w:rsidRPr="004821C5" w:rsidRDefault="004821C5" w:rsidP="004821C5">
      <w:pPr>
        <w:tabs>
          <w:tab w:val="right" w:pos="8929"/>
          <w:tab w:val="right" w:pos="9638"/>
        </w:tabs>
        <w:spacing w:after="120"/>
        <w:ind w:left="283"/>
        <w:rPr>
          <w:i/>
          <w:sz w:val="18"/>
        </w:rPr>
      </w:pPr>
      <w:r w:rsidRPr="004821C5">
        <w:rPr>
          <w:i/>
          <w:sz w:val="18"/>
        </w:rPr>
        <w:tab/>
        <w:t>Paragraphes</w:t>
      </w:r>
      <w:r w:rsidRPr="004821C5">
        <w:rPr>
          <w:i/>
          <w:sz w:val="18"/>
        </w:rPr>
        <w:tab/>
        <w:t>Page</w:t>
      </w:r>
    </w:p>
    <w:p w14:paraId="22B39565" w14:textId="77DD4A11" w:rsidR="004821C5" w:rsidRDefault="004821C5" w:rsidP="004821C5">
      <w:pPr>
        <w:tabs>
          <w:tab w:val="right" w:pos="850"/>
          <w:tab w:val="right" w:leader="dot" w:pos="7654"/>
          <w:tab w:val="right" w:pos="8929"/>
          <w:tab w:val="right" w:pos="9638"/>
        </w:tabs>
        <w:spacing w:after="120"/>
        <w:ind w:left="1134" w:hanging="1134"/>
      </w:pPr>
      <w:r>
        <w:tab/>
        <w:t>I.</w:t>
      </w:r>
      <w:r>
        <w:tab/>
      </w:r>
      <w:r w:rsidR="005D2727" w:rsidRPr="00323C47">
        <w:t>Participation</w:t>
      </w:r>
      <w:r>
        <w:tab/>
      </w:r>
      <w:r>
        <w:tab/>
      </w:r>
      <w:r w:rsidR="005D2727">
        <w:t>1−3</w:t>
      </w:r>
      <w:r>
        <w:tab/>
      </w:r>
      <w:r w:rsidR="009109D7">
        <w:t>4</w:t>
      </w:r>
    </w:p>
    <w:p w14:paraId="135F9379" w14:textId="5EC8E003" w:rsidR="005D2727" w:rsidRDefault="005D2727" w:rsidP="004821C5">
      <w:pPr>
        <w:tabs>
          <w:tab w:val="right" w:pos="850"/>
          <w:tab w:val="right" w:leader="dot" w:pos="7654"/>
          <w:tab w:val="right" w:pos="8929"/>
          <w:tab w:val="right" w:pos="9638"/>
        </w:tabs>
        <w:spacing w:after="120"/>
        <w:ind w:left="1134" w:hanging="1134"/>
        <w:rPr>
          <w:lang w:val="fr-FR"/>
        </w:rPr>
      </w:pPr>
      <w:r>
        <w:tab/>
        <w:t>II.</w:t>
      </w:r>
      <w:r>
        <w:tab/>
      </w:r>
      <w:r>
        <w:rPr>
          <w:lang w:val="fr-FR"/>
        </w:rPr>
        <w:t>Questions d</w:t>
      </w:r>
      <w:r w:rsidR="000C7353">
        <w:rPr>
          <w:lang w:val="fr-FR"/>
        </w:rPr>
        <w:t>’</w:t>
      </w:r>
      <w:r>
        <w:rPr>
          <w:lang w:val="fr-FR"/>
        </w:rPr>
        <w:t>organisation</w:t>
      </w:r>
      <w:r>
        <w:rPr>
          <w:lang w:val="fr-FR"/>
        </w:rPr>
        <w:tab/>
      </w:r>
      <w:r>
        <w:rPr>
          <w:lang w:val="fr-FR"/>
        </w:rPr>
        <w:tab/>
        <w:t>4</w:t>
      </w:r>
      <w:r>
        <w:t>−5</w:t>
      </w:r>
      <w:r>
        <w:rPr>
          <w:lang w:val="fr-FR"/>
        </w:rPr>
        <w:tab/>
      </w:r>
      <w:r w:rsidR="009109D7">
        <w:rPr>
          <w:lang w:val="fr-FR"/>
        </w:rPr>
        <w:t>4</w:t>
      </w:r>
    </w:p>
    <w:p w14:paraId="0E4CA46C" w14:textId="2496953A" w:rsidR="005D2727" w:rsidRDefault="005D2727" w:rsidP="004821C5">
      <w:pPr>
        <w:tabs>
          <w:tab w:val="right" w:pos="850"/>
          <w:tab w:val="right" w:leader="dot" w:pos="7654"/>
          <w:tab w:val="right" w:pos="8929"/>
          <w:tab w:val="right" w:pos="9638"/>
        </w:tabs>
        <w:spacing w:after="120"/>
        <w:ind w:left="1134" w:hanging="1134"/>
        <w:rPr>
          <w:lang w:val="fr-FR"/>
        </w:rPr>
      </w:pPr>
      <w:r>
        <w:rPr>
          <w:lang w:val="fr-FR"/>
        </w:rPr>
        <w:tab/>
        <w:t>III.</w:t>
      </w:r>
      <w:r>
        <w:rPr>
          <w:lang w:val="fr-FR"/>
        </w:rPr>
        <w:tab/>
      </w:r>
      <w:r w:rsidRPr="00A8603A">
        <w:rPr>
          <w:lang w:val="fr-FR"/>
        </w:rPr>
        <w:t>Adoption de l</w:t>
      </w:r>
      <w:r w:rsidR="000C7353">
        <w:rPr>
          <w:lang w:val="fr-FR"/>
        </w:rPr>
        <w:t>’</w:t>
      </w:r>
      <w:r w:rsidRPr="00A8603A">
        <w:rPr>
          <w:lang w:val="fr-FR"/>
        </w:rPr>
        <w:t>ordre du jour (point 1 de l</w:t>
      </w:r>
      <w:r w:rsidR="000C7353">
        <w:rPr>
          <w:lang w:val="fr-FR"/>
        </w:rPr>
        <w:t>’</w:t>
      </w:r>
      <w:r w:rsidRPr="00A8603A">
        <w:rPr>
          <w:lang w:val="fr-FR"/>
        </w:rPr>
        <w:t>ordre du jour)</w:t>
      </w:r>
      <w:r>
        <w:rPr>
          <w:lang w:val="fr-FR"/>
        </w:rPr>
        <w:tab/>
      </w:r>
      <w:r>
        <w:rPr>
          <w:lang w:val="fr-FR"/>
        </w:rPr>
        <w:tab/>
        <w:t>6</w:t>
      </w:r>
      <w:r>
        <w:rPr>
          <w:lang w:val="fr-FR"/>
        </w:rPr>
        <w:tab/>
      </w:r>
      <w:r w:rsidR="009109D7">
        <w:rPr>
          <w:lang w:val="fr-FR"/>
        </w:rPr>
        <w:t>4</w:t>
      </w:r>
    </w:p>
    <w:p w14:paraId="502D70D9" w14:textId="34CC460D" w:rsidR="005D2727" w:rsidRDefault="005D2727" w:rsidP="004821C5">
      <w:pPr>
        <w:tabs>
          <w:tab w:val="right" w:pos="850"/>
          <w:tab w:val="right" w:leader="dot" w:pos="7654"/>
          <w:tab w:val="right" w:pos="8929"/>
          <w:tab w:val="right" w:pos="9638"/>
        </w:tabs>
        <w:spacing w:after="120"/>
        <w:ind w:left="1134" w:hanging="1134"/>
      </w:pPr>
      <w:r>
        <w:rPr>
          <w:lang w:val="fr-FR"/>
        </w:rPr>
        <w:tab/>
        <w:t>IV.</w:t>
      </w:r>
      <w:r>
        <w:rPr>
          <w:lang w:val="fr-FR"/>
        </w:rPr>
        <w:tab/>
      </w:r>
      <w:r w:rsidR="00921737" w:rsidRPr="00323C47">
        <w:rPr>
          <w:lang w:val="fr-FR"/>
        </w:rPr>
        <w:t>Citernes (point 2 de l</w:t>
      </w:r>
      <w:r w:rsidR="000C7353">
        <w:rPr>
          <w:lang w:val="fr-FR"/>
        </w:rPr>
        <w:t>’</w:t>
      </w:r>
      <w:r w:rsidR="00921737" w:rsidRPr="00323C47">
        <w:rPr>
          <w:lang w:val="fr-FR"/>
        </w:rPr>
        <w:t>ordre du jour)</w:t>
      </w:r>
      <w:r w:rsidR="00921737">
        <w:rPr>
          <w:lang w:val="fr-FR"/>
        </w:rPr>
        <w:tab/>
      </w:r>
      <w:r w:rsidR="00921737">
        <w:rPr>
          <w:lang w:val="fr-FR"/>
        </w:rPr>
        <w:tab/>
        <w:t>7</w:t>
      </w:r>
      <w:r w:rsidR="00026C16">
        <w:t>−12</w:t>
      </w:r>
      <w:r w:rsidR="00026C16">
        <w:tab/>
      </w:r>
      <w:r w:rsidR="009109D7">
        <w:t>5</w:t>
      </w:r>
    </w:p>
    <w:p w14:paraId="13A73E5C" w14:textId="247E902C" w:rsidR="004821C5" w:rsidRDefault="004821C5" w:rsidP="004821C5">
      <w:pPr>
        <w:tabs>
          <w:tab w:val="right" w:leader="dot" w:pos="7654"/>
          <w:tab w:val="right" w:pos="8929"/>
          <w:tab w:val="right" w:pos="9638"/>
        </w:tabs>
        <w:spacing w:after="120"/>
        <w:ind w:left="1559" w:hanging="425"/>
      </w:pPr>
      <w:r>
        <w:t>A.</w:t>
      </w:r>
      <w:r>
        <w:tab/>
      </w:r>
      <w:r w:rsidR="00F60EA6">
        <w:rPr>
          <w:lang w:val="fr-FR"/>
        </w:rPr>
        <w:t>Attestation</w:t>
      </w:r>
      <w:r w:rsidR="00F60EA6" w:rsidRPr="00693D4F">
        <w:rPr>
          <w:lang w:val="fr-FR"/>
        </w:rPr>
        <w:t>s d</w:t>
      </w:r>
      <w:r w:rsidR="00F60EA6">
        <w:rPr>
          <w:lang w:val="fr-FR"/>
        </w:rPr>
        <w:t>e contrôle</w:t>
      </w:r>
      <w:r w:rsidR="00F60EA6" w:rsidRPr="00693D4F">
        <w:rPr>
          <w:lang w:val="fr-FR"/>
        </w:rPr>
        <w:t xml:space="preserve"> numériques ou dossier de citerne électronique</w:t>
      </w:r>
      <w:r>
        <w:tab/>
      </w:r>
      <w:r>
        <w:tab/>
      </w:r>
      <w:r w:rsidR="00F60EA6">
        <w:t>7</w:t>
      </w:r>
      <w:r>
        <w:tab/>
      </w:r>
      <w:r w:rsidR="009109D7">
        <w:t>5</w:t>
      </w:r>
    </w:p>
    <w:p w14:paraId="1C623984" w14:textId="1F4E9E53" w:rsidR="00F60EA6" w:rsidRDefault="00F60EA6" w:rsidP="004821C5">
      <w:pPr>
        <w:tabs>
          <w:tab w:val="right" w:leader="dot" w:pos="7654"/>
          <w:tab w:val="right" w:pos="8929"/>
          <w:tab w:val="right" w:pos="9638"/>
        </w:tabs>
        <w:spacing w:after="120"/>
        <w:ind w:left="1559" w:hanging="425"/>
        <w:rPr>
          <w:lang w:val="fr-FR"/>
        </w:rPr>
      </w:pPr>
      <w:r>
        <w:t>B.</w:t>
      </w:r>
      <w:r>
        <w:tab/>
      </w:r>
      <w:r w:rsidRPr="00693D4F">
        <w:rPr>
          <w:lang w:val="fr-FR"/>
        </w:rPr>
        <w:t>Prescriptions du 6.8.2.2.11 du RID ou de l</w:t>
      </w:r>
      <w:r w:rsidR="000C7353">
        <w:rPr>
          <w:lang w:val="fr-FR"/>
        </w:rPr>
        <w:t>’</w:t>
      </w:r>
      <w:r w:rsidRPr="00693D4F">
        <w:rPr>
          <w:lang w:val="fr-FR"/>
        </w:rPr>
        <w:t xml:space="preserve">ADR </w:t>
      </w:r>
      <w:r w:rsidRPr="00693D4F">
        <w:rPr>
          <w:lang w:val="fr-FR"/>
        </w:rPr>
        <w:br/>
        <w:t>relatif aux jauges de niveau</w:t>
      </w:r>
      <w:r>
        <w:rPr>
          <w:lang w:val="fr-FR"/>
        </w:rPr>
        <w:tab/>
      </w:r>
      <w:r>
        <w:rPr>
          <w:lang w:val="fr-FR"/>
        </w:rPr>
        <w:tab/>
        <w:t>8</w:t>
      </w:r>
      <w:r>
        <w:rPr>
          <w:lang w:val="fr-FR"/>
        </w:rPr>
        <w:tab/>
      </w:r>
      <w:r w:rsidR="009109D7">
        <w:rPr>
          <w:lang w:val="fr-FR"/>
        </w:rPr>
        <w:t>5</w:t>
      </w:r>
    </w:p>
    <w:p w14:paraId="35263555" w14:textId="3F4A3912" w:rsidR="00F60EA6" w:rsidRDefault="00F60EA6" w:rsidP="004821C5">
      <w:pPr>
        <w:tabs>
          <w:tab w:val="right" w:leader="dot" w:pos="7654"/>
          <w:tab w:val="right" w:pos="8929"/>
          <w:tab w:val="right" w:pos="9638"/>
        </w:tabs>
        <w:spacing w:after="120"/>
        <w:ind w:left="1559" w:hanging="425"/>
        <w:rPr>
          <w:lang w:val="fr-FR"/>
        </w:rPr>
      </w:pPr>
      <w:r>
        <w:rPr>
          <w:lang w:val="fr-FR"/>
        </w:rPr>
        <w:t>C.</w:t>
      </w:r>
      <w:r>
        <w:rPr>
          <w:lang w:val="fr-FR"/>
        </w:rPr>
        <w:tab/>
      </w:r>
      <w:r w:rsidRPr="00F12D0E">
        <w:rPr>
          <w:lang w:val="fr-FR"/>
        </w:rPr>
        <w:t xml:space="preserve">Proposition visant à élaborer une norme relative aux soupapes </w:t>
      </w:r>
      <w:r w:rsidRPr="00F12D0E">
        <w:rPr>
          <w:lang w:val="fr-FR"/>
        </w:rPr>
        <w:br/>
      </w:r>
      <w:proofErr w:type="gramStart"/>
      <w:r w:rsidRPr="00F12D0E">
        <w:rPr>
          <w:lang w:val="fr-FR"/>
        </w:rPr>
        <w:t>de</w:t>
      </w:r>
      <w:proofErr w:type="gramEnd"/>
      <w:r w:rsidRPr="00F12D0E">
        <w:rPr>
          <w:lang w:val="fr-FR"/>
        </w:rPr>
        <w:t xml:space="preserve"> décompression sur les véhicules-citernes transportant </w:t>
      </w:r>
      <w:r w:rsidRPr="00F12D0E">
        <w:rPr>
          <w:lang w:val="fr-FR"/>
        </w:rPr>
        <w:br/>
        <w:t xml:space="preserve">des marchandises dangereuses autres que les produits </w:t>
      </w:r>
      <w:r w:rsidRPr="00F12D0E">
        <w:rPr>
          <w:lang w:val="fr-FR"/>
        </w:rPr>
        <w:br/>
        <w:t>pétroliers et le gaz de pétrole liquéfié</w:t>
      </w:r>
      <w:r>
        <w:rPr>
          <w:lang w:val="fr-FR"/>
        </w:rPr>
        <w:tab/>
      </w:r>
      <w:r>
        <w:rPr>
          <w:lang w:val="fr-FR"/>
        </w:rPr>
        <w:tab/>
        <w:t>9</w:t>
      </w:r>
      <w:r>
        <w:rPr>
          <w:lang w:val="fr-FR"/>
        </w:rPr>
        <w:tab/>
      </w:r>
      <w:r w:rsidR="009109D7">
        <w:rPr>
          <w:lang w:val="fr-FR"/>
        </w:rPr>
        <w:t>5</w:t>
      </w:r>
    </w:p>
    <w:p w14:paraId="723DD7DA" w14:textId="4488A507" w:rsidR="00F60EA6" w:rsidRDefault="00F60EA6" w:rsidP="004821C5">
      <w:pPr>
        <w:tabs>
          <w:tab w:val="right" w:leader="dot" w:pos="7654"/>
          <w:tab w:val="right" w:pos="8929"/>
          <w:tab w:val="right" w:pos="9638"/>
        </w:tabs>
        <w:spacing w:after="120"/>
        <w:ind w:left="1559" w:hanging="425"/>
        <w:rPr>
          <w:lang w:val="fr-FR"/>
        </w:rPr>
      </w:pPr>
      <w:r>
        <w:rPr>
          <w:lang w:val="fr-FR"/>
        </w:rPr>
        <w:t>D.</w:t>
      </w:r>
      <w:r>
        <w:rPr>
          <w:lang w:val="fr-FR"/>
        </w:rPr>
        <w:tab/>
        <w:t>Réunion du Groupe de travail des citernes</w:t>
      </w:r>
      <w:r>
        <w:rPr>
          <w:lang w:val="fr-FR"/>
        </w:rPr>
        <w:tab/>
      </w:r>
      <w:r>
        <w:rPr>
          <w:lang w:val="fr-FR"/>
        </w:rPr>
        <w:tab/>
        <w:t>10</w:t>
      </w:r>
      <w:r>
        <w:rPr>
          <w:lang w:val="fr-FR"/>
        </w:rPr>
        <w:tab/>
      </w:r>
      <w:r w:rsidR="009109D7">
        <w:rPr>
          <w:lang w:val="fr-FR"/>
        </w:rPr>
        <w:t>6</w:t>
      </w:r>
    </w:p>
    <w:p w14:paraId="18330A10" w14:textId="314B867A" w:rsidR="00F60EA6" w:rsidRDefault="00F60EA6" w:rsidP="004821C5">
      <w:pPr>
        <w:tabs>
          <w:tab w:val="right" w:leader="dot" w:pos="7654"/>
          <w:tab w:val="right" w:pos="8929"/>
          <w:tab w:val="right" w:pos="9638"/>
        </w:tabs>
        <w:spacing w:after="120"/>
        <w:ind w:left="1559" w:hanging="425"/>
        <w:rPr>
          <w:lang w:val="fr-FR"/>
        </w:rPr>
      </w:pPr>
      <w:r>
        <w:rPr>
          <w:lang w:val="fr-FR"/>
        </w:rPr>
        <w:t>E.</w:t>
      </w:r>
      <w:r>
        <w:rPr>
          <w:lang w:val="fr-FR"/>
        </w:rPr>
        <w:tab/>
        <w:t>Calcul de l</w:t>
      </w:r>
      <w:r w:rsidR="000C7353">
        <w:rPr>
          <w:lang w:val="fr-FR"/>
        </w:rPr>
        <w:t>’</w:t>
      </w:r>
      <w:r>
        <w:rPr>
          <w:lang w:val="fr-FR"/>
        </w:rPr>
        <w:t xml:space="preserve">épaisseur du réservoir pour les citernes portant </w:t>
      </w:r>
      <w:r>
        <w:rPr>
          <w:lang w:val="fr-FR"/>
        </w:rPr>
        <w:br/>
        <w:t>le code P22DH (N</w:t>
      </w:r>
      <w:r w:rsidRPr="00B46497">
        <w:rPr>
          <w:vertAlign w:val="superscript"/>
          <w:lang w:val="fr-FR"/>
        </w:rPr>
        <w:t>os</w:t>
      </w:r>
      <w:r>
        <w:rPr>
          <w:lang w:val="fr-FR"/>
        </w:rPr>
        <w:t> ONU 1017 CHLORE et 1076 PHOSGÈNE)</w:t>
      </w:r>
      <w:r>
        <w:rPr>
          <w:lang w:val="fr-FR"/>
        </w:rPr>
        <w:tab/>
      </w:r>
      <w:r>
        <w:rPr>
          <w:lang w:val="fr-FR"/>
        </w:rPr>
        <w:tab/>
        <w:t>11</w:t>
      </w:r>
      <w:r>
        <w:rPr>
          <w:lang w:val="fr-FR"/>
        </w:rPr>
        <w:tab/>
      </w:r>
      <w:r w:rsidR="009109D7">
        <w:rPr>
          <w:lang w:val="fr-FR"/>
        </w:rPr>
        <w:t>6</w:t>
      </w:r>
    </w:p>
    <w:p w14:paraId="650B874B" w14:textId="02CF51FE" w:rsidR="00F60EA6" w:rsidRDefault="00F60EA6" w:rsidP="004821C5">
      <w:pPr>
        <w:tabs>
          <w:tab w:val="right" w:leader="dot" w:pos="7654"/>
          <w:tab w:val="right" w:pos="8929"/>
          <w:tab w:val="right" w:pos="9638"/>
        </w:tabs>
        <w:spacing w:after="120"/>
        <w:ind w:left="1559" w:hanging="425"/>
        <w:rPr>
          <w:lang w:val="fr-FR"/>
        </w:rPr>
      </w:pPr>
      <w:r>
        <w:rPr>
          <w:lang w:val="fr-FR"/>
        </w:rPr>
        <w:t>F.</w:t>
      </w:r>
      <w:r>
        <w:rPr>
          <w:lang w:val="fr-FR"/>
        </w:rPr>
        <w:tab/>
        <w:t>Accréditation des organismes de contrôle aux fins de l</w:t>
      </w:r>
      <w:r w:rsidR="000C7353">
        <w:rPr>
          <w:lang w:val="fr-FR"/>
        </w:rPr>
        <w:t>’</w:t>
      </w:r>
      <w:r>
        <w:rPr>
          <w:lang w:val="fr-FR"/>
        </w:rPr>
        <w:t xml:space="preserve">autorisation </w:t>
      </w:r>
      <w:r>
        <w:rPr>
          <w:lang w:val="fr-FR"/>
        </w:rPr>
        <w:br/>
        <w:t>et de la surveillance des services internes d</w:t>
      </w:r>
      <w:r w:rsidR="000C7353">
        <w:rPr>
          <w:lang w:val="fr-FR"/>
        </w:rPr>
        <w:t>’</w:t>
      </w:r>
      <w:r>
        <w:rPr>
          <w:lang w:val="fr-FR"/>
        </w:rPr>
        <w:t>inspection</w:t>
      </w:r>
      <w:r>
        <w:rPr>
          <w:lang w:val="fr-FR"/>
        </w:rPr>
        <w:tab/>
      </w:r>
      <w:r>
        <w:rPr>
          <w:lang w:val="fr-FR"/>
        </w:rPr>
        <w:tab/>
        <w:t>12</w:t>
      </w:r>
      <w:r>
        <w:rPr>
          <w:lang w:val="fr-FR"/>
        </w:rPr>
        <w:tab/>
      </w:r>
      <w:r w:rsidR="009109D7">
        <w:rPr>
          <w:lang w:val="fr-FR"/>
        </w:rPr>
        <w:t>6</w:t>
      </w:r>
    </w:p>
    <w:p w14:paraId="4C673BCF" w14:textId="352649B2" w:rsidR="00E303FA" w:rsidRDefault="00E303FA" w:rsidP="00045822">
      <w:pPr>
        <w:keepNext/>
        <w:tabs>
          <w:tab w:val="right" w:pos="850"/>
          <w:tab w:val="right" w:leader="dot" w:pos="7654"/>
          <w:tab w:val="right" w:pos="8929"/>
          <w:tab w:val="right" w:pos="9638"/>
        </w:tabs>
        <w:spacing w:after="120"/>
        <w:ind w:left="1134" w:hanging="1134"/>
        <w:rPr>
          <w:lang w:val="fr-FR"/>
        </w:rPr>
      </w:pPr>
      <w:r>
        <w:lastRenderedPageBreak/>
        <w:tab/>
        <w:t>V.</w:t>
      </w:r>
      <w:r>
        <w:tab/>
      </w:r>
      <w:r>
        <w:rPr>
          <w:lang w:val="fr-FR"/>
        </w:rPr>
        <w:t>Normes (point 3 de l</w:t>
      </w:r>
      <w:r w:rsidR="000C7353">
        <w:rPr>
          <w:lang w:val="fr-FR"/>
        </w:rPr>
        <w:t>’</w:t>
      </w:r>
      <w:r>
        <w:rPr>
          <w:lang w:val="fr-FR"/>
        </w:rPr>
        <w:t>ordre du jour)</w:t>
      </w:r>
      <w:r>
        <w:rPr>
          <w:lang w:val="fr-FR"/>
        </w:rPr>
        <w:tab/>
      </w:r>
      <w:r>
        <w:rPr>
          <w:lang w:val="fr-FR"/>
        </w:rPr>
        <w:tab/>
        <w:t>13</w:t>
      </w:r>
      <w:r>
        <w:t>−17</w:t>
      </w:r>
      <w:r>
        <w:rPr>
          <w:lang w:val="fr-FR"/>
        </w:rPr>
        <w:tab/>
      </w:r>
      <w:r w:rsidR="009109D7">
        <w:rPr>
          <w:lang w:val="fr-FR"/>
        </w:rPr>
        <w:t>6</w:t>
      </w:r>
    </w:p>
    <w:p w14:paraId="3637FEF9" w14:textId="3EE73631" w:rsidR="00E303FA" w:rsidRDefault="00E303FA" w:rsidP="00045822">
      <w:pPr>
        <w:keepNext/>
        <w:tabs>
          <w:tab w:val="right" w:leader="dot" w:pos="7654"/>
          <w:tab w:val="right" w:pos="8929"/>
          <w:tab w:val="right" w:pos="9638"/>
        </w:tabs>
        <w:spacing w:after="120"/>
        <w:ind w:left="1559" w:hanging="425"/>
      </w:pPr>
      <w:r>
        <w:t>A.</w:t>
      </w:r>
      <w:r>
        <w:tab/>
      </w:r>
      <w:r>
        <w:rPr>
          <w:lang w:val="fr-FR"/>
        </w:rPr>
        <w:t>Informations sur les activités du Groupe de travail des normes</w:t>
      </w:r>
      <w:r>
        <w:rPr>
          <w:lang w:val="fr-FR"/>
        </w:rPr>
        <w:tab/>
      </w:r>
      <w:r>
        <w:rPr>
          <w:lang w:val="fr-FR"/>
        </w:rPr>
        <w:tab/>
        <w:t>14</w:t>
      </w:r>
      <w:r>
        <w:t>−</w:t>
      </w:r>
      <w:r w:rsidR="00C414B9">
        <w:t>15</w:t>
      </w:r>
      <w:r w:rsidR="00C414B9">
        <w:tab/>
      </w:r>
      <w:r w:rsidR="009109D7">
        <w:t>6</w:t>
      </w:r>
    </w:p>
    <w:p w14:paraId="7502EE2D" w14:textId="4F9BEA19" w:rsidR="00C414B9" w:rsidRDefault="00C414B9" w:rsidP="00E303FA">
      <w:pPr>
        <w:tabs>
          <w:tab w:val="right" w:leader="dot" w:pos="7654"/>
          <w:tab w:val="right" w:pos="8929"/>
          <w:tab w:val="right" w:pos="9638"/>
        </w:tabs>
        <w:spacing w:after="120"/>
        <w:ind w:left="1559" w:hanging="425"/>
        <w:rPr>
          <w:lang w:val="fr-FR"/>
        </w:rPr>
      </w:pPr>
      <w:r>
        <w:t>B.</w:t>
      </w:r>
      <w:r>
        <w:tab/>
      </w:r>
      <w:r>
        <w:rPr>
          <w:lang w:val="fr-FR"/>
        </w:rPr>
        <w:t xml:space="preserve">Références à la norme EN 14841 dans les notas du 1.4.3.3 </w:t>
      </w:r>
      <w:r>
        <w:rPr>
          <w:lang w:val="fr-FR"/>
        </w:rPr>
        <w:br/>
        <w:t>et du 1.4.3.7.1 du RID</w:t>
      </w:r>
      <w:r>
        <w:rPr>
          <w:lang w:val="fr-FR"/>
        </w:rPr>
        <w:tab/>
      </w:r>
      <w:r>
        <w:rPr>
          <w:lang w:val="fr-FR"/>
        </w:rPr>
        <w:tab/>
        <w:t>16</w:t>
      </w:r>
      <w:r>
        <w:rPr>
          <w:lang w:val="fr-FR"/>
        </w:rPr>
        <w:tab/>
      </w:r>
      <w:r w:rsidR="009109D7">
        <w:rPr>
          <w:lang w:val="fr-FR"/>
        </w:rPr>
        <w:t>7</w:t>
      </w:r>
    </w:p>
    <w:p w14:paraId="653D060C" w14:textId="6F5402CB" w:rsidR="00C414B9" w:rsidRDefault="00C414B9" w:rsidP="00E303FA">
      <w:pPr>
        <w:tabs>
          <w:tab w:val="right" w:leader="dot" w:pos="7654"/>
          <w:tab w:val="right" w:pos="8929"/>
          <w:tab w:val="right" w:pos="9638"/>
        </w:tabs>
        <w:spacing w:after="120"/>
        <w:ind w:left="1559" w:hanging="425"/>
        <w:rPr>
          <w:lang w:val="fr-FR"/>
        </w:rPr>
      </w:pPr>
      <w:r>
        <w:rPr>
          <w:lang w:val="fr-FR"/>
        </w:rPr>
        <w:t>C.</w:t>
      </w:r>
      <w:r>
        <w:rPr>
          <w:lang w:val="fr-FR"/>
        </w:rPr>
        <w:tab/>
        <w:t>Informations sur les difficultés d</w:t>
      </w:r>
      <w:r w:rsidR="000C7353">
        <w:rPr>
          <w:lang w:val="fr-FR"/>
        </w:rPr>
        <w:t>’</w:t>
      </w:r>
      <w:r>
        <w:rPr>
          <w:lang w:val="fr-FR"/>
        </w:rPr>
        <w:t>application d</w:t>
      </w:r>
      <w:r w:rsidR="000C7353">
        <w:rPr>
          <w:lang w:val="fr-FR"/>
        </w:rPr>
        <w:t>’</w:t>
      </w:r>
      <w:r>
        <w:rPr>
          <w:lang w:val="fr-FR"/>
        </w:rPr>
        <w:t xml:space="preserve">une norme </w:t>
      </w:r>
      <w:r>
        <w:rPr>
          <w:lang w:val="fr-FR"/>
        </w:rPr>
        <w:br/>
        <w:t>mentionnée au chapitre 6.2</w:t>
      </w:r>
      <w:r>
        <w:rPr>
          <w:lang w:val="fr-FR"/>
        </w:rPr>
        <w:tab/>
      </w:r>
      <w:r>
        <w:rPr>
          <w:lang w:val="fr-FR"/>
        </w:rPr>
        <w:tab/>
        <w:t>17</w:t>
      </w:r>
      <w:r>
        <w:rPr>
          <w:lang w:val="fr-FR"/>
        </w:rPr>
        <w:tab/>
      </w:r>
      <w:r w:rsidR="009109D7">
        <w:rPr>
          <w:lang w:val="fr-FR"/>
        </w:rPr>
        <w:t>7</w:t>
      </w:r>
    </w:p>
    <w:p w14:paraId="06371939" w14:textId="58A4A8E2" w:rsidR="00C414B9" w:rsidRDefault="00C414B9" w:rsidP="00C414B9">
      <w:pPr>
        <w:tabs>
          <w:tab w:val="right" w:pos="850"/>
          <w:tab w:val="right" w:leader="dot" w:pos="7654"/>
          <w:tab w:val="right" w:pos="8929"/>
          <w:tab w:val="right" w:pos="9638"/>
        </w:tabs>
        <w:spacing w:after="120"/>
        <w:ind w:left="1134" w:hanging="1134"/>
        <w:rPr>
          <w:lang w:val="fr-FR"/>
        </w:rPr>
      </w:pPr>
      <w:r>
        <w:tab/>
        <w:t>VI.</w:t>
      </w:r>
      <w:r>
        <w:tab/>
      </w:r>
      <w:r w:rsidRPr="00B93BE1">
        <w:rPr>
          <w:lang w:val="fr-FR"/>
        </w:rPr>
        <w:t xml:space="preserve">Harmonisation avec les Recommandations relatives au transport </w:t>
      </w:r>
      <w:r>
        <w:rPr>
          <w:lang w:val="fr-FR"/>
        </w:rPr>
        <w:br/>
      </w:r>
      <w:r w:rsidRPr="00B93BE1">
        <w:rPr>
          <w:lang w:val="fr-FR"/>
        </w:rPr>
        <w:t>des marchandises dangereuses (Nations Unies) (point 4 de l</w:t>
      </w:r>
      <w:r w:rsidR="000C7353">
        <w:rPr>
          <w:lang w:val="fr-FR"/>
        </w:rPr>
        <w:t>’</w:t>
      </w:r>
      <w:r w:rsidRPr="00B93BE1">
        <w:rPr>
          <w:lang w:val="fr-FR"/>
        </w:rPr>
        <w:t>ordre du jour)</w:t>
      </w:r>
      <w:r>
        <w:rPr>
          <w:lang w:val="fr-FR"/>
        </w:rPr>
        <w:tab/>
      </w:r>
      <w:r>
        <w:rPr>
          <w:lang w:val="fr-FR"/>
        </w:rPr>
        <w:tab/>
        <w:t>18</w:t>
      </w:r>
      <w:r>
        <w:rPr>
          <w:lang w:val="fr-FR"/>
        </w:rPr>
        <w:tab/>
      </w:r>
      <w:r w:rsidR="009109D7">
        <w:rPr>
          <w:lang w:val="fr-FR"/>
        </w:rPr>
        <w:t>7</w:t>
      </w:r>
    </w:p>
    <w:p w14:paraId="5D76C7C7" w14:textId="1D98E98B" w:rsidR="00C414B9" w:rsidRDefault="00C414B9" w:rsidP="00C414B9">
      <w:pPr>
        <w:tabs>
          <w:tab w:val="right" w:pos="850"/>
          <w:tab w:val="right" w:leader="dot" w:pos="7654"/>
          <w:tab w:val="right" w:pos="8929"/>
          <w:tab w:val="right" w:pos="9638"/>
        </w:tabs>
        <w:spacing w:after="120"/>
        <w:ind w:left="1134" w:hanging="1134"/>
        <w:rPr>
          <w:lang w:val="fr-FR"/>
        </w:rPr>
      </w:pPr>
      <w:r>
        <w:rPr>
          <w:lang w:val="fr-FR"/>
        </w:rPr>
        <w:tab/>
        <w:t>VII.</w:t>
      </w:r>
      <w:r>
        <w:rPr>
          <w:lang w:val="fr-FR"/>
        </w:rPr>
        <w:tab/>
      </w:r>
      <w:r w:rsidRPr="00B93BE1">
        <w:rPr>
          <w:lang w:val="fr-FR"/>
        </w:rPr>
        <w:t>Propositions d</w:t>
      </w:r>
      <w:r w:rsidR="000C7353">
        <w:rPr>
          <w:lang w:val="fr-FR"/>
        </w:rPr>
        <w:t>’</w:t>
      </w:r>
      <w:r w:rsidRPr="00B93BE1">
        <w:rPr>
          <w:lang w:val="fr-FR"/>
        </w:rPr>
        <w:t>amendements au RID, à l</w:t>
      </w:r>
      <w:r w:rsidR="000C7353">
        <w:rPr>
          <w:lang w:val="fr-FR"/>
        </w:rPr>
        <w:t>’</w:t>
      </w:r>
      <w:r w:rsidRPr="00B93BE1">
        <w:rPr>
          <w:lang w:val="fr-FR"/>
        </w:rPr>
        <w:t>ADR et à l</w:t>
      </w:r>
      <w:r w:rsidR="000C7353">
        <w:rPr>
          <w:lang w:val="fr-FR"/>
        </w:rPr>
        <w:t>’</w:t>
      </w:r>
      <w:r w:rsidRPr="00B93BE1">
        <w:rPr>
          <w:lang w:val="fr-FR"/>
        </w:rPr>
        <w:t xml:space="preserve">ADN </w:t>
      </w:r>
      <w:r>
        <w:rPr>
          <w:lang w:val="fr-FR"/>
        </w:rPr>
        <w:br/>
      </w:r>
      <w:r w:rsidRPr="00B93BE1">
        <w:rPr>
          <w:lang w:val="fr-FR"/>
        </w:rPr>
        <w:t>(point 5 de l</w:t>
      </w:r>
      <w:r w:rsidR="000C7353">
        <w:rPr>
          <w:lang w:val="fr-FR"/>
        </w:rPr>
        <w:t>’</w:t>
      </w:r>
      <w:r w:rsidRPr="00B93BE1">
        <w:rPr>
          <w:lang w:val="fr-FR"/>
        </w:rPr>
        <w:t>ordre du jour)</w:t>
      </w:r>
      <w:r>
        <w:rPr>
          <w:lang w:val="fr-FR"/>
        </w:rPr>
        <w:tab/>
      </w:r>
      <w:r>
        <w:rPr>
          <w:lang w:val="fr-FR"/>
        </w:rPr>
        <w:tab/>
        <w:t>19</w:t>
      </w:r>
      <w:r>
        <w:t>−32</w:t>
      </w:r>
      <w:r>
        <w:rPr>
          <w:lang w:val="fr-FR"/>
        </w:rPr>
        <w:tab/>
      </w:r>
      <w:r w:rsidR="009109D7">
        <w:rPr>
          <w:lang w:val="fr-FR"/>
        </w:rPr>
        <w:t>7</w:t>
      </w:r>
    </w:p>
    <w:p w14:paraId="30629B00" w14:textId="461ADE26" w:rsidR="00C414B9" w:rsidRDefault="00C414B9" w:rsidP="00C414B9">
      <w:pPr>
        <w:tabs>
          <w:tab w:val="right" w:leader="dot" w:pos="7654"/>
          <w:tab w:val="right" w:pos="8929"/>
          <w:tab w:val="right" w:pos="9638"/>
        </w:tabs>
        <w:spacing w:after="120"/>
        <w:ind w:left="1559" w:hanging="425"/>
      </w:pPr>
      <w:r>
        <w:t>A.</w:t>
      </w:r>
      <w:r>
        <w:tab/>
      </w:r>
      <w:r w:rsidRPr="00B93BE1">
        <w:rPr>
          <w:lang w:val="fr-FR"/>
        </w:rPr>
        <w:t>Questions en suspens</w:t>
      </w:r>
      <w:r>
        <w:rPr>
          <w:lang w:val="fr-FR"/>
        </w:rPr>
        <w:tab/>
      </w:r>
      <w:r>
        <w:rPr>
          <w:lang w:val="fr-FR"/>
        </w:rPr>
        <w:tab/>
        <w:t>19</w:t>
      </w:r>
      <w:r>
        <w:t>−20</w:t>
      </w:r>
      <w:r>
        <w:rPr>
          <w:lang w:val="fr-FR"/>
        </w:rPr>
        <w:tab/>
      </w:r>
      <w:r w:rsidR="009109D7">
        <w:rPr>
          <w:lang w:val="fr-FR"/>
        </w:rPr>
        <w:t>7</w:t>
      </w:r>
    </w:p>
    <w:p w14:paraId="2EC8ED05" w14:textId="32CD6C46" w:rsidR="004821C5" w:rsidRDefault="004821C5" w:rsidP="004821C5">
      <w:pPr>
        <w:tabs>
          <w:tab w:val="right" w:leader="dot" w:pos="7654"/>
          <w:tab w:val="right" w:pos="8929"/>
          <w:tab w:val="right" w:pos="9638"/>
        </w:tabs>
        <w:spacing w:after="120"/>
        <w:ind w:left="1984" w:hanging="425"/>
      </w:pPr>
      <w:r>
        <w:t>1.</w:t>
      </w:r>
      <w:r>
        <w:tab/>
      </w:r>
      <w:r w:rsidR="00C414B9" w:rsidRPr="00483AF5">
        <w:rPr>
          <w:lang w:val="fr-FR"/>
        </w:rPr>
        <w:t xml:space="preserve">Informations sur la catégorie de transport applicable aux piles </w:t>
      </w:r>
      <w:r w:rsidR="00C414B9">
        <w:rPr>
          <w:lang w:val="fr-FR"/>
        </w:rPr>
        <w:br/>
      </w:r>
      <w:r w:rsidR="00C414B9" w:rsidRPr="00483AF5">
        <w:rPr>
          <w:lang w:val="fr-FR"/>
        </w:rPr>
        <w:t xml:space="preserve">et batteries au lithium ionique ou au lithium métal </w:t>
      </w:r>
      <w:r w:rsidR="00C414B9">
        <w:rPr>
          <w:lang w:val="fr-FR"/>
        </w:rPr>
        <w:br/>
      </w:r>
      <w:r w:rsidR="00C414B9" w:rsidRPr="00483AF5">
        <w:rPr>
          <w:lang w:val="fr-FR"/>
        </w:rPr>
        <w:t>endommagées ou défectueuses</w:t>
      </w:r>
      <w:r>
        <w:tab/>
      </w:r>
      <w:r>
        <w:tab/>
      </w:r>
      <w:r w:rsidR="00C414B9">
        <w:rPr>
          <w:lang w:val="fr-FR"/>
        </w:rPr>
        <w:t>19</w:t>
      </w:r>
      <w:r w:rsidR="00C414B9">
        <w:t>−20</w:t>
      </w:r>
      <w:r>
        <w:tab/>
      </w:r>
      <w:r w:rsidR="009109D7">
        <w:t>7</w:t>
      </w:r>
    </w:p>
    <w:p w14:paraId="11B49466" w14:textId="05937D02" w:rsidR="00C414B9" w:rsidRDefault="00C414B9" w:rsidP="00C414B9">
      <w:pPr>
        <w:tabs>
          <w:tab w:val="right" w:leader="dot" w:pos="7654"/>
          <w:tab w:val="right" w:pos="8929"/>
          <w:tab w:val="right" w:pos="9638"/>
        </w:tabs>
        <w:spacing w:after="120"/>
        <w:ind w:left="1559" w:hanging="425"/>
        <w:rPr>
          <w:lang w:val="fr-FR"/>
        </w:rPr>
      </w:pPr>
      <w:r>
        <w:t>B.</w:t>
      </w:r>
      <w:r>
        <w:tab/>
      </w:r>
      <w:r w:rsidRPr="00B93BE1">
        <w:rPr>
          <w:lang w:val="fr-FR"/>
        </w:rPr>
        <w:t>Nouvelles propositions</w:t>
      </w:r>
      <w:r>
        <w:rPr>
          <w:lang w:val="fr-FR"/>
        </w:rPr>
        <w:tab/>
      </w:r>
      <w:r>
        <w:rPr>
          <w:lang w:val="fr-FR"/>
        </w:rPr>
        <w:tab/>
        <w:t>21</w:t>
      </w:r>
      <w:r>
        <w:t>−32</w:t>
      </w:r>
      <w:r>
        <w:rPr>
          <w:lang w:val="fr-FR"/>
        </w:rPr>
        <w:tab/>
      </w:r>
      <w:r w:rsidR="009109D7">
        <w:rPr>
          <w:lang w:val="fr-FR"/>
        </w:rPr>
        <w:t>8</w:t>
      </w:r>
    </w:p>
    <w:p w14:paraId="2A24EC04" w14:textId="4DF70D4C" w:rsidR="00C414B9" w:rsidRDefault="00C414B9" w:rsidP="00C414B9">
      <w:pPr>
        <w:tabs>
          <w:tab w:val="right" w:leader="dot" w:pos="7654"/>
          <w:tab w:val="right" w:pos="8929"/>
          <w:tab w:val="right" w:pos="9638"/>
        </w:tabs>
        <w:spacing w:after="120"/>
        <w:ind w:left="1984" w:hanging="425"/>
        <w:rPr>
          <w:lang w:val="fr-FR"/>
        </w:rPr>
      </w:pPr>
      <w:r>
        <w:t>1.</w:t>
      </w:r>
      <w:r>
        <w:tab/>
      </w:r>
      <w:r w:rsidRPr="00D95CFB">
        <w:rPr>
          <w:lang w:val="fr-FR"/>
        </w:rPr>
        <w:t>Tableau A du RID et de l</w:t>
      </w:r>
      <w:r w:rsidR="000C7353">
        <w:rPr>
          <w:lang w:val="fr-FR"/>
        </w:rPr>
        <w:t>’</w:t>
      </w:r>
      <w:r w:rsidRPr="00D95CFB">
        <w:rPr>
          <w:lang w:val="fr-FR"/>
        </w:rPr>
        <w:t>ADR</w:t>
      </w:r>
      <w:r w:rsidR="00853105">
        <w:rPr>
          <w:lang w:val="fr-FR"/>
        </w:rPr>
        <w:t> </w:t>
      </w:r>
      <w:r w:rsidRPr="00D95CFB">
        <w:rPr>
          <w:lang w:val="fr-FR"/>
        </w:rPr>
        <w:t xml:space="preserve">: No ONU 1308, </w:t>
      </w:r>
      <w:r w:rsidR="00BC7807">
        <w:rPr>
          <w:lang w:val="fr-FR"/>
        </w:rPr>
        <w:br/>
      </w:r>
      <w:r w:rsidRPr="00D95CFB">
        <w:rPr>
          <w:lang w:val="fr-FR"/>
        </w:rPr>
        <w:t>groupe d</w:t>
      </w:r>
      <w:r w:rsidR="000C7353">
        <w:rPr>
          <w:lang w:val="fr-FR"/>
        </w:rPr>
        <w:t>’</w:t>
      </w:r>
      <w:r w:rsidRPr="00D95CFB">
        <w:rPr>
          <w:lang w:val="fr-FR"/>
        </w:rPr>
        <w:t>emballage II</w:t>
      </w:r>
      <w:r>
        <w:rPr>
          <w:lang w:val="fr-FR"/>
        </w:rPr>
        <w:tab/>
      </w:r>
      <w:r w:rsidR="00BC7807">
        <w:rPr>
          <w:lang w:val="fr-FR"/>
        </w:rPr>
        <w:tab/>
      </w:r>
      <w:r>
        <w:rPr>
          <w:lang w:val="fr-FR"/>
        </w:rPr>
        <w:t>21</w:t>
      </w:r>
      <w:r>
        <w:rPr>
          <w:lang w:val="fr-FR"/>
        </w:rPr>
        <w:tab/>
      </w:r>
      <w:r w:rsidR="009109D7">
        <w:rPr>
          <w:lang w:val="fr-FR"/>
        </w:rPr>
        <w:t>8</w:t>
      </w:r>
    </w:p>
    <w:p w14:paraId="04447B44" w14:textId="69F47EA1" w:rsidR="00C414B9" w:rsidRDefault="00C414B9" w:rsidP="00C414B9">
      <w:pPr>
        <w:tabs>
          <w:tab w:val="right" w:leader="dot" w:pos="7654"/>
          <w:tab w:val="right" w:pos="8929"/>
          <w:tab w:val="right" w:pos="9638"/>
        </w:tabs>
        <w:spacing w:after="120"/>
        <w:ind w:left="1984" w:hanging="425"/>
        <w:rPr>
          <w:lang w:val="fr-FR"/>
        </w:rPr>
      </w:pPr>
      <w:r>
        <w:rPr>
          <w:lang w:val="fr-FR"/>
        </w:rPr>
        <w:t>2.</w:t>
      </w:r>
      <w:r>
        <w:rPr>
          <w:lang w:val="fr-FR"/>
        </w:rPr>
        <w:tab/>
      </w:r>
      <w:r w:rsidR="00BC7807" w:rsidRPr="00D95CFB">
        <w:rPr>
          <w:lang w:val="fr-FR"/>
        </w:rPr>
        <w:t xml:space="preserve">Services en ligne de livraison de produits </w:t>
      </w:r>
      <w:r w:rsidR="002B5E9F">
        <w:rPr>
          <w:lang w:val="fr-FR"/>
        </w:rPr>
        <w:br/>
      </w:r>
      <w:r w:rsidR="00BC7807" w:rsidRPr="00D95CFB">
        <w:rPr>
          <w:lang w:val="fr-FR"/>
        </w:rPr>
        <w:t>de consommation courante</w:t>
      </w:r>
      <w:r w:rsidR="002B5E9F">
        <w:rPr>
          <w:lang w:val="fr-FR"/>
        </w:rPr>
        <w:tab/>
      </w:r>
      <w:r w:rsidR="002B5E9F">
        <w:rPr>
          <w:lang w:val="fr-FR"/>
        </w:rPr>
        <w:tab/>
        <w:t>22</w:t>
      </w:r>
      <w:r w:rsidR="002B5E9F">
        <w:t>−23</w:t>
      </w:r>
      <w:r w:rsidR="002B5E9F">
        <w:rPr>
          <w:lang w:val="fr-FR"/>
        </w:rPr>
        <w:tab/>
      </w:r>
      <w:r w:rsidR="009109D7">
        <w:rPr>
          <w:lang w:val="fr-FR"/>
        </w:rPr>
        <w:t>8</w:t>
      </w:r>
    </w:p>
    <w:p w14:paraId="59450B32" w14:textId="292B21FB" w:rsidR="002B5E9F" w:rsidRDefault="002B5E9F" w:rsidP="00C414B9">
      <w:pPr>
        <w:tabs>
          <w:tab w:val="right" w:leader="dot" w:pos="7654"/>
          <w:tab w:val="right" w:pos="8929"/>
          <w:tab w:val="right" w:pos="9638"/>
        </w:tabs>
        <w:spacing w:after="120"/>
        <w:ind w:left="1984" w:hanging="425"/>
      </w:pPr>
      <w:r>
        <w:rPr>
          <w:lang w:val="fr-FR"/>
        </w:rPr>
        <w:t>3.</w:t>
      </w:r>
      <w:r>
        <w:rPr>
          <w:lang w:val="fr-FR"/>
        </w:rPr>
        <w:tab/>
      </w:r>
      <w:r w:rsidRPr="00DE3B04">
        <w:rPr>
          <w:lang w:val="fr-FR"/>
        </w:rPr>
        <w:t xml:space="preserve">Livraison directe de marchandises dangereuses </w:t>
      </w:r>
      <w:r>
        <w:rPr>
          <w:lang w:val="fr-FR"/>
        </w:rPr>
        <w:br/>
      </w:r>
      <w:r w:rsidRPr="00DE3B04">
        <w:rPr>
          <w:lang w:val="fr-FR"/>
        </w:rPr>
        <w:t>aux consommateurs finaux (suremballages)</w:t>
      </w:r>
      <w:r>
        <w:rPr>
          <w:lang w:val="fr-FR"/>
        </w:rPr>
        <w:tab/>
      </w:r>
      <w:r>
        <w:rPr>
          <w:lang w:val="fr-FR"/>
        </w:rPr>
        <w:tab/>
        <w:t>24</w:t>
      </w:r>
      <w:r>
        <w:t>−25</w:t>
      </w:r>
      <w:r w:rsidR="00F80055">
        <w:tab/>
      </w:r>
      <w:r w:rsidR="009109D7">
        <w:t>8</w:t>
      </w:r>
    </w:p>
    <w:p w14:paraId="52300C74" w14:textId="5A12200D" w:rsidR="00F80055" w:rsidRDefault="00F80055" w:rsidP="00C414B9">
      <w:pPr>
        <w:tabs>
          <w:tab w:val="right" w:leader="dot" w:pos="7654"/>
          <w:tab w:val="right" w:pos="8929"/>
          <w:tab w:val="right" w:pos="9638"/>
        </w:tabs>
        <w:spacing w:after="120"/>
        <w:ind w:left="1984" w:hanging="425"/>
        <w:rPr>
          <w:lang w:val="fr-FR"/>
        </w:rPr>
      </w:pPr>
      <w:r>
        <w:t>4.</w:t>
      </w:r>
      <w:r>
        <w:tab/>
      </w:r>
      <w:r w:rsidRPr="009D5887">
        <w:rPr>
          <w:lang w:val="fr-FR"/>
        </w:rPr>
        <w:t>Exemption de la désignation d</w:t>
      </w:r>
      <w:r w:rsidR="000C7353">
        <w:rPr>
          <w:lang w:val="fr-FR"/>
        </w:rPr>
        <w:t>’</w:t>
      </w:r>
      <w:r w:rsidRPr="009D5887">
        <w:rPr>
          <w:lang w:val="fr-FR"/>
        </w:rPr>
        <w:t xml:space="preserve">un conseiller </w:t>
      </w:r>
      <w:r>
        <w:rPr>
          <w:lang w:val="fr-FR"/>
        </w:rPr>
        <w:br/>
      </w:r>
      <w:r w:rsidRPr="009D5887">
        <w:rPr>
          <w:lang w:val="fr-FR"/>
        </w:rPr>
        <w:t>à la sécurité − 1.8.3.2 b) et c) de l</w:t>
      </w:r>
      <w:r w:rsidR="000C7353">
        <w:rPr>
          <w:lang w:val="fr-FR"/>
        </w:rPr>
        <w:t>’</w:t>
      </w:r>
      <w:r w:rsidRPr="009D5887">
        <w:rPr>
          <w:lang w:val="fr-FR"/>
        </w:rPr>
        <w:t>ADR ou du RID</w:t>
      </w:r>
      <w:r>
        <w:rPr>
          <w:lang w:val="fr-FR"/>
        </w:rPr>
        <w:tab/>
      </w:r>
      <w:r>
        <w:rPr>
          <w:lang w:val="fr-FR"/>
        </w:rPr>
        <w:tab/>
        <w:t>26</w:t>
      </w:r>
      <w:r>
        <w:rPr>
          <w:lang w:val="fr-FR"/>
        </w:rPr>
        <w:tab/>
      </w:r>
      <w:r w:rsidR="009109D7">
        <w:rPr>
          <w:lang w:val="fr-FR"/>
        </w:rPr>
        <w:t>9</w:t>
      </w:r>
    </w:p>
    <w:p w14:paraId="53BDAC4B" w14:textId="27F23E48" w:rsidR="00F80055" w:rsidRDefault="00F80055" w:rsidP="00C414B9">
      <w:pPr>
        <w:tabs>
          <w:tab w:val="right" w:leader="dot" w:pos="7654"/>
          <w:tab w:val="right" w:pos="8929"/>
          <w:tab w:val="right" w:pos="9638"/>
        </w:tabs>
        <w:spacing w:after="120"/>
        <w:ind w:left="1984" w:hanging="425"/>
        <w:rPr>
          <w:lang w:val="fr-FR"/>
        </w:rPr>
      </w:pPr>
      <w:r>
        <w:rPr>
          <w:lang w:val="fr-FR"/>
        </w:rPr>
        <w:t>5.</w:t>
      </w:r>
      <w:r>
        <w:rPr>
          <w:lang w:val="fr-FR"/>
        </w:rPr>
        <w:tab/>
      </w:r>
      <w:r w:rsidRPr="009D5887">
        <w:rPr>
          <w:lang w:val="fr-FR"/>
        </w:rPr>
        <w:t xml:space="preserve">Définition révisée </w:t>
      </w:r>
      <w:r>
        <w:rPr>
          <w:lang w:val="fr-FR"/>
        </w:rPr>
        <w:t>du</w:t>
      </w:r>
      <w:r w:rsidRPr="009D5887">
        <w:rPr>
          <w:lang w:val="fr-FR"/>
        </w:rPr>
        <w:t xml:space="preserve"> terme</w:t>
      </w:r>
      <w:proofErr w:type="gramStart"/>
      <w:r w:rsidRPr="009D5887">
        <w:rPr>
          <w:lang w:val="fr-FR"/>
        </w:rPr>
        <w:t xml:space="preserve"> «gaz</w:t>
      </w:r>
      <w:proofErr w:type="gramEnd"/>
      <w:r w:rsidRPr="009D5887">
        <w:rPr>
          <w:lang w:val="fr-FR"/>
        </w:rPr>
        <w:t xml:space="preserve"> de pétrole </w:t>
      </w:r>
      <w:r>
        <w:rPr>
          <w:lang w:val="fr-FR"/>
        </w:rPr>
        <w:br/>
      </w:r>
      <w:r w:rsidRPr="009D5887">
        <w:rPr>
          <w:lang w:val="fr-FR"/>
        </w:rPr>
        <w:t>liquéfié </w:t>
      </w:r>
      <w:r>
        <w:rPr>
          <w:lang w:val="fr-FR"/>
        </w:rPr>
        <w:t>(GPL)</w:t>
      </w:r>
      <w:r w:rsidRPr="009D5887">
        <w:rPr>
          <w:lang w:val="fr-FR"/>
        </w:rPr>
        <w:t>» − Échange de vues informel</w:t>
      </w:r>
      <w:r>
        <w:rPr>
          <w:lang w:val="fr-FR"/>
        </w:rPr>
        <w:tab/>
      </w:r>
      <w:r>
        <w:rPr>
          <w:lang w:val="fr-FR"/>
        </w:rPr>
        <w:tab/>
        <w:t>27</w:t>
      </w:r>
      <w:r>
        <w:t>−28</w:t>
      </w:r>
      <w:r>
        <w:rPr>
          <w:lang w:val="fr-FR"/>
        </w:rPr>
        <w:tab/>
      </w:r>
      <w:r w:rsidR="009109D7">
        <w:rPr>
          <w:lang w:val="fr-FR"/>
        </w:rPr>
        <w:t>9</w:t>
      </w:r>
    </w:p>
    <w:p w14:paraId="66966070" w14:textId="1E26A526" w:rsidR="00F80055" w:rsidRDefault="00F80055" w:rsidP="00C414B9">
      <w:pPr>
        <w:tabs>
          <w:tab w:val="right" w:leader="dot" w:pos="7654"/>
          <w:tab w:val="right" w:pos="8929"/>
          <w:tab w:val="right" w:pos="9638"/>
        </w:tabs>
        <w:spacing w:after="120"/>
        <w:ind w:left="1984" w:hanging="425"/>
        <w:rPr>
          <w:lang w:val="fr-FR"/>
        </w:rPr>
      </w:pPr>
      <w:r>
        <w:rPr>
          <w:lang w:val="fr-FR"/>
        </w:rPr>
        <w:t>6.</w:t>
      </w:r>
      <w:r>
        <w:rPr>
          <w:lang w:val="fr-FR"/>
        </w:rPr>
        <w:tab/>
      </w:r>
      <w:r w:rsidRPr="00CE507F">
        <w:rPr>
          <w:lang w:val="fr-FR"/>
        </w:rPr>
        <w:t xml:space="preserve">Marchandises dangereuses contenues dans des machines, </w:t>
      </w:r>
      <w:r>
        <w:rPr>
          <w:lang w:val="fr-FR"/>
        </w:rPr>
        <w:br/>
      </w:r>
      <w:r w:rsidRPr="00CE507F">
        <w:rPr>
          <w:lang w:val="fr-FR"/>
        </w:rPr>
        <w:t xml:space="preserve">des appareils ou des objets − Suppression du 1.1.3.1 b) et expiration </w:t>
      </w:r>
      <w:r>
        <w:rPr>
          <w:lang w:val="fr-FR"/>
        </w:rPr>
        <w:br/>
      </w:r>
      <w:r w:rsidRPr="00CE507F">
        <w:rPr>
          <w:lang w:val="fr-FR"/>
        </w:rPr>
        <w:t>de la période transitoire du 1.6.1.46 de l</w:t>
      </w:r>
      <w:r w:rsidR="000C7353">
        <w:rPr>
          <w:lang w:val="fr-FR"/>
        </w:rPr>
        <w:t>’</w:t>
      </w:r>
      <w:r w:rsidRPr="00CE507F">
        <w:rPr>
          <w:lang w:val="fr-FR"/>
        </w:rPr>
        <w:t>ADR et du RID</w:t>
      </w:r>
      <w:r>
        <w:rPr>
          <w:lang w:val="fr-FR"/>
        </w:rPr>
        <w:tab/>
      </w:r>
      <w:r>
        <w:rPr>
          <w:lang w:val="fr-FR"/>
        </w:rPr>
        <w:tab/>
        <w:t>29</w:t>
      </w:r>
      <w:r>
        <w:rPr>
          <w:lang w:val="fr-FR"/>
        </w:rPr>
        <w:tab/>
      </w:r>
      <w:r w:rsidR="009109D7">
        <w:rPr>
          <w:lang w:val="fr-FR"/>
        </w:rPr>
        <w:t>9</w:t>
      </w:r>
    </w:p>
    <w:p w14:paraId="345ADE35" w14:textId="2A827483" w:rsidR="00F80055" w:rsidRDefault="00F80055" w:rsidP="00C414B9">
      <w:pPr>
        <w:tabs>
          <w:tab w:val="right" w:leader="dot" w:pos="7654"/>
          <w:tab w:val="right" w:pos="8929"/>
          <w:tab w:val="right" w:pos="9638"/>
        </w:tabs>
        <w:spacing w:after="120"/>
        <w:ind w:left="1984" w:hanging="425"/>
        <w:rPr>
          <w:lang w:val="fr-FR"/>
        </w:rPr>
      </w:pPr>
      <w:r>
        <w:rPr>
          <w:lang w:val="fr-FR"/>
        </w:rPr>
        <w:t>7.</w:t>
      </w:r>
      <w:r>
        <w:rPr>
          <w:lang w:val="fr-FR"/>
        </w:rPr>
        <w:tab/>
      </w:r>
      <w:r w:rsidRPr="00FF4BEB">
        <w:rPr>
          <w:lang w:val="fr-FR"/>
        </w:rPr>
        <w:t xml:space="preserve">Compatibilité chimique des emballages en matières plastiques </w:t>
      </w:r>
      <w:r>
        <w:rPr>
          <w:lang w:val="fr-FR"/>
        </w:rPr>
        <w:br/>
      </w:r>
      <w:r w:rsidRPr="00FF4BEB">
        <w:rPr>
          <w:lang w:val="fr-FR"/>
        </w:rPr>
        <w:t>contenant des déchets liquides</w:t>
      </w:r>
      <w:r>
        <w:rPr>
          <w:lang w:val="fr-FR"/>
        </w:rPr>
        <w:tab/>
      </w:r>
      <w:r>
        <w:rPr>
          <w:lang w:val="fr-FR"/>
        </w:rPr>
        <w:tab/>
        <w:t>30</w:t>
      </w:r>
      <w:r>
        <w:rPr>
          <w:lang w:val="fr-FR"/>
        </w:rPr>
        <w:tab/>
      </w:r>
      <w:r w:rsidR="009109D7">
        <w:rPr>
          <w:lang w:val="fr-FR"/>
        </w:rPr>
        <w:t>9</w:t>
      </w:r>
    </w:p>
    <w:p w14:paraId="2E7BD036" w14:textId="1C3FACC6" w:rsidR="00F80055" w:rsidRDefault="00F80055" w:rsidP="00C414B9">
      <w:pPr>
        <w:tabs>
          <w:tab w:val="right" w:leader="dot" w:pos="7654"/>
          <w:tab w:val="right" w:pos="8929"/>
          <w:tab w:val="right" w:pos="9638"/>
        </w:tabs>
        <w:spacing w:after="120"/>
        <w:ind w:left="1984" w:hanging="425"/>
        <w:rPr>
          <w:lang w:val="fr-FR"/>
        </w:rPr>
      </w:pPr>
      <w:r>
        <w:rPr>
          <w:lang w:val="fr-FR"/>
        </w:rPr>
        <w:t>8.</w:t>
      </w:r>
      <w:r>
        <w:rPr>
          <w:lang w:val="fr-FR"/>
        </w:rPr>
        <w:tab/>
      </w:r>
      <w:r w:rsidRPr="00FF4BEB">
        <w:rPr>
          <w:lang w:val="fr-FR"/>
        </w:rPr>
        <w:t>Transport de déchets dans un emballage combiné</w:t>
      </w:r>
      <w:r>
        <w:rPr>
          <w:lang w:val="fr-FR"/>
        </w:rPr>
        <w:tab/>
      </w:r>
      <w:r>
        <w:rPr>
          <w:lang w:val="fr-FR"/>
        </w:rPr>
        <w:tab/>
        <w:t>31</w:t>
      </w:r>
      <w:r>
        <w:rPr>
          <w:lang w:val="fr-FR"/>
        </w:rPr>
        <w:tab/>
      </w:r>
      <w:r w:rsidR="009109D7">
        <w:rPr>
          <w:lang w:val="fr-FR"/>
        </w:rPr>
        <w:t>10</w:t>
      </w:r>
    </w:p>
    <w:p w14:paraId="6320F0F7" w14:textId="01ABF324" w:rsidR="00F80055" w:rsidRDefault="00F80055" w:rsidP="00C414B9">
      <w:pPr>
        <w:tabs>
          <w:tab w:val="right" w:leader="dot" w:pos="7654"/>
          <w:tab w:val="right" w:pos="8929"/>
          <w:tab w:val="right" w:pos="9638"/>
        </w:tabs>
        <w:spacing w:after="120"/>
        <w:ind w:left="1984" w:hanging="425"/>
        <w:rPr>
          <w:lang w:val="fr-FR"/>
        </w:rPr>
      </w:pPr>
      <w:r>
        <w:rPr>
          <w:lang w:val="fr-FR"/>
        </w:rPr>
        <w:t>9.</w:t>
      </w:r>
      <w:r>
        <w:rPr>
          <w:lang w:val="fr-FR"/>
        </w:rPr>
        <w:tab/>
      </w:r>
      <w:r w:rsidRPr="00B14B4B">
        <w:rPr>
          <w:lang w:val="fr-FR"/>
        </w:rPr>
        <w:t xml:space="preserve">Transport par des particuliers de marchandises dangereuses </w:t>
      </w:r>
      <w:r>
        <w:rPr>
          <w:lang w:val="fr-FR"/>
        </w:rPr>
        <w:br/>
      </w:r>
      <w:r w:rsidRPr="00B14B4B">
        <w:rPr>
          <w:lang w:val="fr-FR"/>
        </w:rPr>
        <w:t>en tant que déchets et</w:t>
      </w:r>
      <w:r>
        <w:rPr>
          <w:lang w:val="fr-FR"/>
        </w:rPr>
        <w:t> </w:t>
      </w:r>
      <w:r w:rsidRPr="00B14B4B">
        <w:rPr>
          <w:lang w:val="fr-FR"/>
        </w:rPr>
        <w:t xml:space="preserve">présence de déchets dangereux produits </w:t>
      </w:r>
      <w:r>
        <w:rPr>
          <w:lang w:val="fr-FR"/>
        </w:rPr>
        <w:br/>
      </w:r>
      <w:r w:rsidRPr="00B14B4B">
        <w:rPr>
          <w:lang w:val="fr-FR"/>
        </w:rPr>
        <w:t>par les ménages dans les déchets non dangereux collectés à part</w:t>
      </w:r>
      <w:r>
        <w:rPr>
          <w:lang w:val="fr-FR"/>
        </w:rPr>
        <w:tab/>
      </w:r>
      <w:r>
        <w:rPr>
          <w:lang w:val="fr-FR"/>
        </w:rPr>
        <w:tab/>
        <w:t>32</w:t>
      </w:r>
      <w:r>
        <w:rPr>
          <w:lang w:val="fr-FR"/>
        </w:rPr>
        <w:tab/>
      </w:r>
      <w:r w:rsidR="009109D7">
        <w:rPr>
          <w:lang w:val="fr-FR"/>
        </w:rPr>
        <w:t>10</w:t>
      </w:r>
    </w:p>
    <w:p w14:paraId="22E912A4" w14:textId="4AE1FADA" w:rsidR="00F80055" w:rsidRDefault="00F80055" w:rsidP="00F80055">
      <w:pPr>
        <w:tabs>
          <w:tab w:val="right" w:pos="850"/>
          <w:tab w:val="right" w:leader="dot" w:pos="7654"/>
          <w:tab w:val="right" w:pos="8929"/>
          <w:tab w:val="right" w:pos="9638"/>
        </w:tabs>
        <w:spacing w:after="120"/>
        <w:ind w:left="1134" w:hanging="1134"/>
        <w:rPr>
          <w:lang w:val="fr-FR"/>
        </w:rPr>
      </w:pPr>
      <w:r>
        <w:tab/>
        <w:t>VIII.</w:t>
      </w:r>
      <w:r>
        <w:tab/>
      </w:r>
      <w:r w:rsidRPr="00AD4041">
        <w:rPr>
          <w:lang w:val="fr-FR"/>
        </w:rPr>
        <w:t>Interprétation du RID, de l</w:t>
      </w:r>
      <w:r w:rsidR="000C7353">
        <w:rPr>
          <w:lang w:val="fr-FR"/>
        </w:rPr>
        <w:t>’</w:t>
      </w:r>
      <w:r w:rsidRPr="00AD4041">
        <w:rPr>
          <w:lang w:val="fr-FR"/>
        </w:rPr>
        <w:t>ADR et de l</w:t>
      </w:r>
      <w:r w:rsidR="000C7353">
        <w:rPr>
          <w:lang w:val="fr-FR"/>
        </w:rPr>
        <w:t>’</w:t>
      </w:r>
      <w:r w:rsidRPr="00AD4041">
        <w:rPr>
          <w:lang w:val="fr-FR"/>
        </w:rPr>
        <w:t>ADN (point 6 de l</w:t>
      </w:r>
      <w:r w:rsidR="000C7353">
        <w:rPr>
          <w:lang w:val="fr-FR"/>
        </w:rPr>
        <w:t>’</w:t>
      </w:r>
      <w:r w:rsidRPr="00AD4041">
        <w:rPr>
          <w:lang w:val="fr-FR"/>
        </w:rPr>
        <w:t>ordre du jour)</w:t>
      </w:r>
      <w:r>
        <w:rPr>
          <w:lang w:val="fr-FR"/>
        </w:rPr>
        <w:tab/>
      </w:r>
      <w:r>
        <w:rPr>
          <w:lang w:val="fr-FR"/>
        </w:rPr>
        <w:tab/>
        <w:t>33</w:t>
      </w:r>
      <w:r>
        <w:rPr>
          <w:lang w:val="fr-FR"/>
        </w:rPr>
        <w:tab/>
      </w:r>
      <w:r w:rsidR="009109D7">
        <w:rPr>
          <w:lang w:val="fr-FR"/>
        </w:rPr>
        <w:t>10</w:t>
      </w:r>
    </w:p>
    <w:p w14:paraId="6DE6BBC4" w14:textId="6385A3BE" w:rsidR="00F80055" w:rsidRDefault="00F80055" w:rsidP="00F80055">
      <w:pPr>
        <w:tabs>
          <w:tab w:val="right" w:pos="850"/>
          <w:tab w:val="right" w:leader="dot" w:pos="7654"/>
          <w:tab w:val="right" w:pos="8929"/>
          <w:tab w:val="right" w:pos="9638"/>
        </w:tabs>
        <w:spacing w:after="120"/>
        <w:ind w:left="1134" w:hanging="1134"/>
        <w:rPr>
          <w:lang w:val="fr-FR"/>
        </w:rPr>
      </w:pPr>
      <w:r>
        <w:rPr>
          <w:lang w:val="fr-FR"/>
        </w:rPr>
        <w:tab/>
        <w:t>IX.</w:t>
      </w:r>
      <w:r>
        <w:rPr>
          <w:lang w:val="fr-FR"/>
        </w:rPr>
        <w:tab/>
      </w:r>
      <w:r w:rsidRPr="00B93BE1">
        <w:rPr>
          <w:lang w:val="fr-FR"/>
        </w:rPr>
        <w:t>Rapports des groupes de travail informels (point 7 de l</w:t>
      </w:r>
      <w:r w:rsidR="000C7353">
        <w:rPr>
          <w:lang w:val="fr-FR"/>
        </w:rPr>
        <w:t>’</w:t>
      </w:r>
      <w:r w:rsidRPr="00B93BE1">
        <w:rPr>
          <w:lang w:val="fr-FR"/>
        </w:rPr>
        <w:t>ordre du jour)</w:t>
      </w:r>
      <w:r>
        <w:rPr>
          <w:lang w:val="fr-FR"/>
        </w:rPr>
        <w:tab/>
      </w:r>
      <w:r>
        <w:rPr>
          <w:lang w:val="fr-FR"/>
        </w:rPr>
        <w:tab/>
        <w:t>34</w:t>
      </w:r>
      <w:r>
        <w:t>−37</w:t>
      </w:r>
      <w:r>
        <w:rPr>
          <w:lang w:val="fr-FR"/>
        </w:rPr>
        <w:tab/>
      </w:r>
      <w:r w:rsidR="009109D7">
        <w:rPr>
          <w:lang w:val="fr-FR"/>
        </w:rPr>
        <w:t>10</w:t>
      </w:r>
    </w:p>
    <w:p w14:paraId="38AF8EA0" w14:textId="068F4A3A" w:rsidR="00F80055" w:rsidRDefault="00E90101" w:rsidP="00E90101">
      <w:pPr>
        <w:tabs>
          <w:tab w:val="right" w:leader="dot" w:pos="7654"/>
          <w:tab w:val="right" w:pos="8929"/>
          <w:tab w:val="right" w:pos="9638"/>
        </w:tabs>
        <w:spacing w:after="120"/>
        <w:ind w:left="1559" w:hanging="425"/>
        <w:rPr>
          <w:lang w:val="fr-FR"/>
        </w:rPr>
      </w:pPr>
      <w:r w:rsidRPr="00E90101">
        <w:rPr>
          <w:lang w:val="fr-FR"/>
        </w:rPr>
        <w:t>A.</w:t>
      </w:r>
      <w:r>
        <w:rPr>
          <w:lang w:val="fr-FR"/>
        </w:rPr>
        <w:tab/>
      </w:r>
      <w:r w:rsidRPr="00B93BE1">
        <w:rPr>
          <w:lang w:val="fr-FR"/>
        </w:rPr>
        <w:t>Ajout de dispositions relatives au transport d</w:t>
      </w:r>
      <w:r w:rsidR="000C7353">
        <w:rPr>
          <w:lang w:val="fr-FR"/>
        </w:rPr>
        <w:t>’</w:t>
      </w:r>
      <w:r w:rsidRPr="00B93BE1">
        <w:rPr>
          <w:lang w:val="fr-FR"/>
        </w:rPr>
        <w:t xml:space="preserve">aluminium fondu </w:t>
      </w:r>
      <w:r>
        <w:rPr>
          <w:lang w:val="fr-FR"/>
        </w:rPr>
        <w:br/>
      </w:r>
      <w:r w:rsidRPr="00B93BE1">
        <w:rPr>
          <w:lang w:val="fr-FR"/>
        </w:rPr>
        <w:t>sous le No ONU 3257</w:t>
      </w:r>
      <w:r>
        <w:rPr>
          <w:lang w:val="fr-FR"/>
        </w:rPr>
        <w:tab/>
      </w:r>
      <w:r>
        <w:rPr>
          <w:lang w:val="fr-FR"/>
        </w:rPr>
        <w:tab/>
        <w:t>34</w:t>
      </w:r>
      <w:r>
        <w:rPr>
          <w:lang w:val="fr-FR"/>
        </w:rPr>
        <w:tab/>
      </w:r>
      <w:r w:rsidR="009109D7">
        <w:rPr>
          <w:lang w:val="fr-FR"/>
        </w:rPr>
        <w:t>10</w:t>
      </w:r>
    </w:p>
    <w:p w14:paraId="391D7694" w14:textId="454C95BF" w:rsidR="00E90101" w:rsidRDefault="00E90101" w:rsidP="00E90101">
      <w:pPr>
        <w:tabs>
          <w:tab w:val="right" w:leader="dot" w:pos="7654"/>
          <w:tab w:val="right" w:pos="8929"/>
          <w:tab w:val="right" w:pos="9638"/>
        </w:tabs>
        <w:spacing w:after="120"/>
        <w:ind w:left="1559" w:hanging="425"/>
      </w:pPr>
      <w:r>
        <w:rPr>
          <w:lang w:val="fr-FR"/>
        </w:rPr>
        <w:t>B.</w:t>
      </w:r>
      <w:r>
        <w:rPr>
          <w:lang w:val="fr-FR"/>
        </w:rPr>
        <w:tab/>
      </w:r>
      <w:r w:rsidRPr="00FF4BEB">
        <w:rPr>
          <w:lang w:val="fr-FR"/>
        </w:rPr>
        <w:t xml:space="preserve">Rapport sur la première réunion du groupe </w:t>
      </w:r>
      <w:r>
        <w:rPr>
          <w:lang w:val="fr-FR"/>
        </w:rPr>
        <w:br/>
      </w:r>
      <w:r w:rsidRPr="00FF4BEB">
        <w:rPr>
          <w:lang w:val="fr-FR"/>
        </w:rPr>
        <w:t>de travail informel de l</w:t>
      </w:r>
      <w:r w:rsidR="000C7353">
        <w:rPr>
          <w:lang w:val="fr-FR"/>
        </w:rPr>
        <w:t>’</w:t>
      </w:r>
      <w:r w:rsidRPr="00FF4BEB">
        <w:rPr>
          <w:lang w:val="fr-FR"/>
        </w:rPr>
        <w:t>apprentissage en ligne</w:t>
      </w:r>
      <w:r>
        <w:rPr>
          <w:lang w:val="fr-FR"/>
        </w:rPr>
        <w:tab/>
      </w:r>
      <w:r>
        <w:rPr>
          <w:lang w:val="fr-FR"/>
        </w:rPr>
        <w:tab/>
        <w:t>35</w:t>
      </w:r>
      <w:r>
        <w:t>−36</w:t>
      </w:r>
      <w:r>
        <w:tab/>
        <w:t>1</w:t>
      </w:r>
      <w:r w:rsidR="009109D7">
        <w:t>1</w:t>
      </w:r>
    </w:p>
    <w:p w14:paraId="325EF3FA" w14:textId="20B0D0B2" w:rsidR="00E90101" w:rsidRDefault="00E90101" w:rsidP="00E90101">
      <w:pPr>
        <w:tabs>
          <w:tab w:val="right" w:leader="dot" w:pos="7654"/>
          <w:tab w:val="right" w:pos="8929"/>
          <w:tab w:val="right" w:pos="9638"/>
        </w:tabs>
        <w:spacing w:after="120"/>
        <w:ind w:left="1559" w:hanging="425"/>
        <w:rPr>
          <w:lang w:val="fr-FR"/>
        </w:rPr>
      </w:pPr>
      <w:r>
        <w:t>C.</w:t>
      </w:r>
      <w:r>
        <w:tab/>
      </w:r>
      <w:r w:rsidRPr="00FF4BEB">
        <w:rPr>
          <w:lang w:val="fr-FR"/>
        </w:rPr>
        <w:t xml:space="preserve">Compte rendu de la cinquième réunion du groupe de travail informel </w:t>
      </w:r>
      <w:r>
        <w:rPr>
          <w:lang w:val="fr-FR"/>
        </w:rPr>
        <w:br/>
      </w:r>
      <w:r w:rsidRPr="00FF4BEB">
        <w:rPr>
          <w:lang w:val="fr-FR"/>
        </w:rPr>
        <w:t>du transport des déchets dangereux</w:t>
      </w:r>
      <w:r>
        <w:rPr>
          <w:lang w:val="fr-FR"/>
        </w:rPr>
        <w:tab/>
      </w:r>
      <w:r>
        <w:rPr>
          <w:lang w:val="fr-FR"/>
        </w:rPr>
        <w:tab/>
        <w:t>37</w:t>
      </w:r>
      <w:r>
        <w:rPr>
          <w:lang w:val="fr-FR"/>
        </w:rPr>
        <w:tab/>
        <w:t>1</w:t>
      </w:r>
      <w:r w:rsidR="009109D7">
        <w:rPr>
          <w:lang w:val="fr-FR"/>
        </w:rPr>
        <w:t>1</w:t>
      </w:r>
    </w:p>
    <w:p w14:paraId="64E2D1FD" w14:textId="3F5293D6" w:rsidR="00E90101" w:rsidRDefault="00E90101" w:rsidP="00E90101">
      <w:pPr>
        <w:tabs>
          <w:tab w:val="right" w:pos="850"/>
          <w:tab w:val="right" w:leader="dot" w:pos="7654"/>
          <w:tab w:val="right" w:pos="8929"/>
          <w:tab w:val="right" w:pos="9638"/>
        </w:tabs>
        <w:spacing w:after="120"/>
        <w:ind w:left="1134" w:hanging="1134"/>
        <w:rPr>
          <w:lang w:val="fr-FR"/>
        </w:rPr>
      </w:pPr>
      <w:r>
        <w:rPr>
          <w:lang w:val="fr-FR"/>
        </w:rPr>
        <w:tab/>
        <w:t>X.</w:t>
      </w:r>
      <w:r>
        <w:rPr>
          <w:lang w:val="fr-FR"/>
        </w:rPr>
        <w:tab/>
        <w:t>Accidents et gestion des risques (point 8 de l</w:t>
      </w:r>
      <w:r w:rsidR="000C7353">
        <w:rPr>
          <w:lang w:val="fr-FR"/>
        </w:rPr>
        <w:t>’</w:t>
      </w:r>
      <w:r>
        <w:rPr>
          <w:lang w:val="fr-FR"/>
        </w:rPr>
        <w:t>ordre du jour)</w:t>
      </w:r>
      <w:r>
        <w:rPr>
          <w:lang w:val="fr-FR"/>
        </w:rPr>
        <w:tab/>
      </w:r>
      <w:r>
        <w:rPr>
          <w:lang w:val="fr-FR"/>
        </w:rPr>
        <w:tab/>
        <w:t>38</w:t>
      </w:r>
      <w:r>
        <w:t>−39</w:t>
      </w:r>
      <w:r>
        <w:rPr>
          <w:lang w:val="fr-FR"/>
        </w:rPr>
        <w:tab/>
        <w:t>1</w:t>
      </w:r>
      <w:r w:rsidR="009109D7">
        <w:rPr>
          <w:lang w:val="fr-FR"/>
        </w:rPr>
        <w:t>1</w:t>
      </w:r>
    </w:p>
    <w:p w14:paraId="71297A46" w14:textId="67256023" w:rsidR="00E90101" w:rsidRDefault="00E90101" w:rsidP="00E90101">
      <w:pPr>
        <w:tabs>
          <w:tab w:val="right" w:leader="dot" w:pos="7654"/>
          <w:tab w:val="right" w:pos="8929"/>
          <w:tab w:val="right" w:pos="9638"/>
        </w:tabs>
        <w:spacing w:after="120"/>
        <w:ind w:left="1559" w:hanging="425"/>
        <w:rPr>
          <w:lang w:val="fr-FR"/>
        </w:rPr>
      </w:pPr>
      <w:r>
        <w:rPr>
          <w:lang w:val="fr-FR"/>
        </w:rPr>
        <w:t>A.</w:t>
      </w:r>
      <w:r>
        <w:rPr>
          <w:lang w:val="fr-FR"/>
        </w:rPr>
        <w:tab/>
      </w:r>
      <w:r w:rsidRPr="00E90101">
        <w:rPr>
          <w:lang w:val="fr-FR"/>
        </w:rPr>
        <w:t>Publication des conclusions issues de la réunion bilatérale</w:t>
      </w:r>
      <w:r>
        <w:rPr>
          <w:lang w:val="fr-FR"/>
        </w:rPr>
        <w:t xml:space="preserve"> </w:t>
      </w:r>
      <w:r>
        <w:rPr>
          <w:lang w:val="fr-FR"/>
        </w:rPr>
        <w:br/>
        <w:t>du 17 décembre 2019</w:t>
      </w:r>
      <w:r>
        <w:rPr>
          <w:lang w:val="fr-FR"/>
        </w:rPr>
        <w:tab/>
      </w:r>
      <w:r>
        <w:rPr>
          <w:lang w:val="fr-FR"/>
        </w:rPr>
        <w:tab/>
        <w:t>38</w:t>
      </w:r>
      <w:r>
        <w:rPr>
          <w:lang w:val="fr-FR"/>
        </w:rPr>
        <w:tab/>
        <w:t>1</w:t>
      </w:r>
      <w:r w:rsidR="009109D7">
        <w:rPr>
          <w:lang w:val="fr-FR"/>
        </w:rPr>
        <w:t>1</w:t>
      </w:r>
    </w:p>
    <w:p w14:paraId="759A8752" w14:textId="788A290B" w:rsidR="00E90101" w:rsidRDefault="00E90101" w:rsidP="00E90101">
      <w:pPr>
        <w:tabs>
          <w:tab w:val="right" w:leader="dot" w:pos="7654"/>
          <w:tab w:val="right" w:pos="8929"/>
          <w:tab w:val="right" w:pos="9638"/>
        </w:tabs>
        <w:spacing w:after="120"/>
        <w:ind w:left="1559" w:hanging="425"/>
        <w:rPr>
          <w:lang w:val="fr-FR"/>
        </w:rPr>
      </w:pPr>
      <w:r>
        <w:rPr>
          <w:lang w:val="fr-FR"/>
        </w:rPr>
        <w:lastRenderedPageBreak/>
        <w:t>B.</w:t>
      </w:r>
      <w:r>
        <w:rPr>
          <w:lang w:val="fr-FR"/>
        </w:rPr>
        <w:tab/>
      </w:r>
      <w:r w:rsidRPr="00781F9D">
        <w:rPr>
          <w:lang w:val="fr-FR"/>
        </w:rPr>
        <w:t>Contribution</w:t>
      </w:r>
      <w:r>
        <w:rPr>
          <w:bCs/>
          <w:lang w:val="fr-FR"/>
        </w:rPr>
        <w:t xml:space="preserve"> aux travaux du groupe de travail informel </w:t>
      </w:r>
      <w:r>
        <w:rPr>
          <w:bCs/>
          <w:lang w:val="fr-FR"/>
        </w:rPr>
        <w:br/>
        <w:t>de l</w:t>
      </w:r>
      <w:r w:rsidR="000C7353">
        <w:rPr>
          <w:bCs/>
          <w:lang w:val="fr-FR"/>
        </w:rPr>
        <w:t>’</w:t>
      </w:r>
      <w:r>
        <w:rPr>
          <w:bCs/>
          <w:lang w:val="fr-FR"/>
        </w:rPr>
        <w:t>amélioration des signalements d</w:t>
      </w:r>
      <w:r w:rsidR="000C7353">
        <w:rPr>
          <w:bCs/>
          <w:lang w:val="fr-FR"/>
        </w:rPr>
        <w:t>’</w:t>
      </w:r>
      <w:r>
        <w:rPr>
          <w:bCs/>
          <w:lang w:val="fr-FR"/>
        </w:rPr>
        <w:t xml:space="preserve">accidents </w:t>
      </w:r>
      <w:r>
        <w:rPr>
          <w:bCs/>
          <w:lang w:val="fr-FR"/>
        </w:rPr>
        <w:br/>
        <w:t>de transport de marchandises dangereuses</w:t>
      </w:r>
      <w:r>
        <w:rPr>
          <w:bCs/>
          <w:lang w:val="fr-FR"/>
        </w:rPr>
        <w:tab/>
      </w:r>
      <w:r>
        <w:rPr>
          <w:bCs/>
          <w:lang w:val="fr-FR"/>
        </w:rPr>
        <w:tab/>
        <w:t>39</w:t>
      </w:r>
      <w:r>
        <w:rPr>
          <w:bCs/>
          <w:lang w:val="fr-FR"/>
        </w:rPr>
        <w:tab/>
        <w:t>1</w:t>
      </w:r>
      <w:r w:rsidR="009109D7">
        <w:rPr>
          <w:bCs/>
          <w:lang w:val="fr-FR"/>
        </w:rPr>
        <w:t>1</w:t>
      </w:r>
    </w:p>
    <w:p w14:paraId="792ECC5A" w14:textId="588190FC" w:rsidR="00F80055" w:rsidRDefault="00160060" w:rsidP="00F80055">
      <w:pPr>
        <w:tabs>
          <w:tab w:val="right" w:pos="850"/>
          <w:tab w:val="right" w:leader="dot" w:pos="7654"/>
          <w:tab w:val="right" w:pos="8929"/>
          <w:tab w:val="right" w:pos="9638"/>
        </w:tabs>
        <w:spacing w:after="120"/>
        <w:ind w:left="1134" w:hanging="1134"/>
        <w:rPr>
          <w:lang w:val="fr-FR"/>
        </w:rPr>
      </w:pPr>
      <w:r>
        <w:tab/>
        <w:t>XI.</w:t>
      </w:r>
      <w:r>
        <w:tab/>
      </w:r>
      <w:r>
        <w:rPr>
          <w:lang w:val="fr-FR"/>
        </w:rPr>
        <w:t>Élection du Bureau pour 2023 (point 9 de l</w:t>
      </w:r>
      <w:r w:rsidR="000C7353">
        <w:rPr>
          <w:lang w:val="fr-FR"/>
        </w:rPr>
        <w:t>’</w:t>
      </w:r>
      <w:r>
        <w:rPr>
          <w:lang w:val="fr-FR"/>
        </w:rPr>
        <w:t>ordre du jour)</w:t>
      </w:r>
      <w:r>
        <w:rPr>
          <w:lang w:val="fr-FR"/>
        </w:rPr>
        <w:tab/>
      </w:r>
      <w:r>
        <w:rPr>
          <w:lang w:val="fr-FR"/>
        </w:rPr>
        <w:tab/>
        <w:t>40</w:t>
      </w:r>
      <w:r>
        <w:rPr>
          <w:lang w:val="fr-FR"/>
        </w:rPr>
        <w:tab/>
        <w:t>12</w:t>
      </w:r>
    </w:p>
    <w:p w14:paraId="3BC80231" w14:textId="163850BC" w:rsidR="00160060" w:rsidRDefault="00160060" w:rsidP="00F80055">
      <w:pPr>
        <w:tabs>
          <w:tab w:val="right" w:pos="850"/>
          <w:tab w:val="right" w:leader="dot" w:pos="7654"/>
          <w:tab w:val="right" w:pos="8929"/>
          <w:tab w:val="right" w:pos="9638"/>
        </w:tabs>
        <w:spacing w:after="120"/>
        <w:ind w:left="1134" w:hanging="1134"/>
        <w:rPr>
          <w:lang w:val="fr-FR"/>
        </w:rPr>
      </w:pPr>
      <w:r>
        <w:tab/>
        <w:t>XII.</w:t>
      </w:r>
      <w:r>
        <w:tab/>
      </w:r>
      <w:r>
        <w:rPr>
          <w:lang w:val="fr-FR"/>
        </w:rPr>
        <w:t>Travaux futurs (point 10 de l</w:t>
      </w:r>
      <w:r w:rsidR="000C7353">
        <w:rPr>
          <w:lang w:val="fr-FR"/>
        </w:rPr>
        <w:t>’</w:t>
      </w:r>
      <w:r>
        <w:rPr>
          <w:lang w:val="fr-FR"/>
        </w:rPr>
        <w:t>ordre du jour)</w:t>
      </w:r>
      <w:r>
        <w:rPr>
          <w:lang w:val="fr-FR"/>
        </w:rPr>
        <w:tab/>
      </w:r>
      <w:r>
        <w:rPr>
          <w:lang w:val="fr-FR"/>
        </w:rPr>
        <w:tab/>
        <w:t>41</w:t>
      </w:r>
      <w:r>
        <w:rPr>
          <w:lang w:val="fr-FR"/>
        </w:rPr>
        <w:tab/>
        <w:t>12</w:t>
      </w:r>
    </w:p>
    <w:p w14:paraId="1D2D0DEA" w14:textId="3E1C9F58" w:rsidR="00160060" w:rsidRDefault="00160060" w:rsidP="00F80055">
      <w:pPr>
        <w:tabs>
          <w:tab w:val="right" w:pos="850"/>
          <w:tab w:val="right" w:leader="dot" w:pos="7654"/>
          <w:tab w:val="right" w:pos="8929"/>
          <w:tab w:val="right" w:pos="9638"/>
        </w:tabs>
        <w:spacing w:after="120"/>
        <w:ind w:left="1134" w:hanging="1134"/>
        <w:rPr>
          <w:lang w:val="fr-FR"/>
        </w:rPr>
      </w:pPr>
      <w:r>
        <w:rPr>
          <w:lang w:val="fr-FR"/>
        </w:rPr>
        <w:tab/>
        <w:t>XIII.</w:t>
      </w:r>
      <w:r>
        <w:rPr>
          <w:lang w:val="fr-FR"/>
        </w:rPr>
        <w:tab/>
      </w:r>
      <w:r w:rsidRPr="00C050A5">
        <w:rPr>
          <w:lang w:val="fr-FR"/>
        </w:rPr>
        <w:t>Questions diverses (point 11 de l</w:t>
      </w:r>
      <w:r w:rsidR="000C7353">
        <w:rPr>
          <w:lang w:val="fr-FR"/>
        </w:rPr>
        <w:t>’</w:t>
      </w:r>
      <w:r w:rsidRPr="00C050A5">
        <w:rPr>
          <w:lang w:val="fr-FR"/>
        </w:rPr>
        <w:t>ordre du jour)</w:t>
      </w:r>
      <w:r>
        <w:rPr>
          <w:lang w:val="fr-FR"/>
        </w:rPr>
        <w:tab/>
      </w:r>
      <w:r>
        <w:rPr>
          <w:lang w:val="fr-FR"/>
        </w:rPr>
        <w:tab/>
        <w:t>42−49</w:t>
      </w:r>
      <w:r>
        <w:rPr>
          <w:lang w:val="fr-FR"/>
        </w:rPr>
        <w:tab/>
        <w:t>12</w:t>
      </w:r>
    </w:p>
    <w:p w14:paraId="55A29588" w14:textId="30E091D2" w:rsidR="00160060" w:rsidRDefault="00160060" w:rsidP="00160060">
      <w:pPr>
        <w:tabs>
          <w:tab w:val="right" w:leader="dot" w:pos="7654"/>
          <w:tab w:val="right" w:pos="8929"/>
          <w:tab w:val="right" w:pos="9638"/>
        </w:tabs>
        <w:spacing w:after="120"/>
        <w:ind w:left="1559" w:hanging="425"/>
        <w:rPr>
          <w:lang w:val="fr-FR"/>
        </w:rPr>
      </w:pPr>
      <w:r>
        <w:t>A.</w:t>
      </w:r>
      <w:r>
        <w:tab/>
      </w:r>
      <w:r w:rsidRPr="00C050A5">
        <w:rPr>
          <w:lang w:val="fr-FR"/>
        </w:rPr>
        <w:t>Lignes directrices pour l</w:t>
      </w:r>
      <w:r w:rsidR="000C7353">
        <w:rPr>
          <w:lang w:val="fr-FR"/>
        </w:rPr>
        <w:t>’</w:t>
      </w:r>
      <w:r w:rsidRPr="00C050A5">
        <w:rPr>
          <w:lang w:val="fr-FR"/>
        </w:rPr>
        <w:t>application du 5.4.0.2 du RID, de l</w:t>
      </w:r>
      <w:r w:rsidR="000C7353">
        <w:rPr>
          <w:lang w:val="fr-FR"/>
        </w:rPr>
        <w:t>’</w:t>
      </w:r>
      <w:r w:rsidRPr="00C050A5">
        <w:rPr>
          <w:lang w:val="fr-FR"/>
        </w:rPr>
        <w:t xml:space="preserve">ADR </w:t>
      </w:r>
      <w:r>
        <w:rPr>
          <w:lang w:val="fr-FR"/>
        </w:rPr>
        <w:br/>
      </w:r>
      <w:r w:rsidRPr="00C050A5">
        <w:rPr>
          <w:lang w:val="fr-FR"/>
        </w:rPr>
        <w:t>et de l</w:t>
      </w:r>
      <w:r w:rsidR="000C7353">
        <w:rPr>
          <w:lang w:val="fr-FR"/>
        </w:rPr>
        <w:t>’</w:t>
      </w:r>
      <w:r w:rsidRPr="00C050A5">
        <w:rPr>
          <w:lang w:val="fr-FR"/>
        </w:rPr>
        <w:t xml:space="preserve">ADN </w:t>
      </w:r>
      <w:r>
        <w:rPr>
          <w:lang w:val="fr-FR"/>
        </w:rPr>
        <w:t>−</w:t>
      </w:r>
      <w:r w:rsidRPr="00C050A5">
        <w:rPr>
          <w:lang w:val="fr-FR"/>
        </w:rPr>
        <w:t xml:space="preserve"> utilisation du modèle de données dans le contexte </w:t>
      </w:r>
      <w:r>
        <w:rPr>
          <w:lang w:val="fr-FR"/>
        </w:rPr>
        <w:br/>
      </w:r>
      <w:r w:rsidRPr="00C050A5">
        <w:rPr>
          <w:lang w:val="fr-FR"/>
        </w:rPr>
        <w:t>du</w:t>
      </w:r>
      <w:r>
        <w:rPr>
          <w:lang w:val="fr-FR"/>
        </w:rPr>
        <w:t> </w:t>
      </w:r>
      <w:r w:rsidRPr="00C050A5">
        <w:rPr>
          <w:lang w:val="fr-FR"/>
        </w:rPr>
        <w:t xml:space="preserve">règlement concernant les informations électroniques relatives </w:t>
      </w:r>
      <w:r>
        <w:rPr>
          <w:lang w:val="fr-FR"/>
        </w:rPr>
        <w:br/>
      </w:r>
      <w:r w:rsidRPr="00C050A5">
        <w:rPr>
          <w:lang w:val="fr-FR"/>
        </w:rPr>
        <w:t>au</w:t>
      </w:r>
      <w:r>
        <w:rPr>
          <w:lang w:val="fr-FR"/>
        </w:rPr>
        <w:t> </w:t>
      </w:r>
      <w:r w:rsidRPr="00C050A5">
        <w:rPr>
          <w:lang w:val="fr-FR"/>
        </w:rPr>
        <w:t xml:space="preserve">transport de marchandises </w:t>
      </w:r>
      <w:r>
        <w:rPr>
          <w:lang w:val="fr-FR"/>
        </w:rPr>
        <w:t>−</w:t>
      </w:r>
      <w:r w:rsidRPr="00C050A5">
        <w:rPr>
          <w:lang w:val="fr-FR"/>
        </w:rPr>
        <w:t xml:space="preserve"> informations actualisées </w:t>
      </w:r>
      <w:r>
        <w:rPr>
          <w:lang w:val="fr-FR"/>
        </w:rPr>
        <w:br/>
      </w:r>
      <w:r w:rsidRPr="00C050A5">
        <w:rPr>
          <w:lang w:val="fr-FR"/>
        </w:rPr>
        <w:t>sur les travaux réalisés dans le</w:t>
      </w:r>
      <w:r>
        <w:rPr>
          <w:lang w:val="fr-FR"/>
        </w:rPr>
        <w:t xml:space="preserve"> cadre du</w:t>
      </w:r>
      <w:r w:rsidRPr="00C050A5">
        <w:rPr>
          <w:lang w:val="fr-FR"/>
        </w:rPr>
        <w:t xml:space="preserve"> forum DTLF</w:t>
      </w:r>
      <w:r>
        <w:rPr>
          <w:lang w:val="fr-FR"/>
        </w:rPr>
        <w:tab/>
      </w:r>
      <w:r>
        <w:rPr>
          <w:lang w:val="fr-FR"/>
        </w:rPr>
        <w:tab/>
        <w:t>42−46</w:t>
      </w:r>
      <w:r>
        <w:rPr>
          <w:lang w:val="fr-FR"/>
        </w:rPr>
        <w:tab/>
        <w:t>12</w:t>
      </w:r>
    </w:p>
    <w:p w14:paraId="7B9FA222" w14:textId="3F717A06" w:rsidR="00BB3A56" w:rsidRDefault="00BB3A56" w:rsidP="00160060">
      <w:pPr>
        <w:tabs>
          <w:tab w:val="right" w:leader="dot" w:pos="7654"/>
          <w:tab w:val="right" w:pos="8929"/>
          <w:tab w:val="right" w:pos="9638"/>
        </w:tabs>
        <w:spacing w:after="120"/>
        <w:ind w:left="1559" w:hanging="425"/>
      </w:pPr>
      <w:r>
        <w:rPr>
          <w:lang w:val="fr-FR"/>
        </w:rPr>
        <w:t>B.</w:t>
      </w:r>
      <w:r>
        <w:rPr>
          <w:lang w:val="fr-FR"/>
        </w:rPr>
        <w:tab/>
      </w:r>
      <w:r w:rsidRPr="0097332A">
        <w:t>Économie circulaire et objectifs de développement durable</w:t>
      </w:r>
      <w:r>
        <w:tab/>
      </w:r>
      <w:r>
        <w:tab/>
        <w:t>47</w:t>
      </w:r>
      <w:r>
        <w:rPr>
          <w:lang w:val="fr-FR"/>
        </w:rPr>
        <w:t>−48</w:t>
      </w:r>
      <w:r>
        <w:tab/>
        <w:t>13</w:t>
      </w:r>
    </w:p>
    <w:p w14:paraId="13582BB0" w14:textId="2F9E70A6" w:rsidR="00BB3A56" w:rsidRDefault="00BB3A56" w:rsidP="00160060">
      <w:pPr>
        <w:tabs>
          <w:tab w:val="right" w:leader="dot" w:pos="7654"/>
          <w:tab w:val="right" w:pos="8929"/>
          <w:tab w:val="right" w:pos="9638"/>
        </w:tabs>
        <w:spacing w:after="120"/>
        <w:ind w:left="1559" w:hanging="425"/>
        <w:rPr>
          <w:lang w:val="fr-FR"/>
        </w:rPr>
      </w:pPr>
      <w:r>
        <w:t>C.</w:t>
      </w:r>
      <w:r>
        <w:tab/>
      </w:r>
      <w:r w:rsidRPr="0097332A">
        <w:rPr>
          <w:lang w:val="fr-FR"/>
        </w:rPr>
        <w:t>Modification d</w:t>
      </w:r>
      <w:r w:rsidR="000C7353">
        <w:rPr>
          <w:lang w:val="fr-FR"/>
        </w:rPr>
        <w:t>’</w:t>
      </w:r>
      <w:r w:rsidRPr="0097332A">
        <w:rPr>
          <w:lang w:val="fr-FR"/>
        </w:rPr>
        <w:t>ordre rédactionnel dans l</w:t>
      </w:r>
      <w:r w:rsidR="000C7353">
        <w:rPr>
          <w:lang w:val="fr-FR"/>
        </w:rPr>
        <w:t>’</w:t>
      </w:r>
      <w:r w:rsidRPr="0097332A">
        <w:rPr>
          <w:lang w:val="fr-FR"/>
        </w:rPr>
        <w:t>ADR 2023</w:t>
      </w:r>
      <w:r>
        <w:rPr>
          <w:lang w:val="fr-FR"/>
        </w:rPr>
        <w:tab/>
      </w:r>
      <w:r>
        <w:rPr>
          <w:lang w:val="fr-FR"/>
        </w:rPr>
        <w:tab/>
        <w:t>49</w:t>
      </w:r>
      <w:r>
        <w:rPr>
          <w:lang w:val="fr-FR"/>
        </w:rPr>
        <w:tab/>
        <w:t>13</w:t>
      </w:r>
    </w:p>
    <w:p w14:paraId="67145777" w14:textId="791D914A" w:rsidR="00BB3A56" w:rsidRDefault="00BB3A56" w:rsidP="00BB3A56">
      <w:pPr>
        <w:tabs>
          <w:tab w:val="right" w:pos="850"/>
          <w:tab w:val="right" w:leader="dot" w:pos="7654"/>
          <w:tab w:val="right" w:pos="8929"/>
          <w:tab w:val="right" w:pos="9638"/>
        </w:tabs>
        <w:spacing w:after="120"/>
        <w:ind w:left="1134" w:hanging="1134"/>
      </w:pPr>
      <w:r>
        <w:tab/>
        <w:t>XIV.</w:t>
      </w:r>
      <w:r>
        <w:tab/>
      </w:r>
      <w:r>
        <w:rPr>
          <w:lang w:val="fr-FR"/>
        </w:rPr>
        <w:t>Adoption du rapport (point 12 de l</w:t>
      </w:r>
      <w:r w:rsidR="000C7353">
        <w:rPr>
          <w:lang w:val="fr-FR"/>
        </w:rPr>
        <w:t>’</w:t>
      </w:r>
      <w:r>
        <w:rPr>
          <w:lang w:val="fr-FR"/>
        </w:rPr>
        <w:t>ordre du jour)</w:t>
      </w:r>
      <w:r>
        <w:rPr>
          <w:lang w:val="fr-FR"/>
        </w:rPr>
        <w:tab/>
      </w:r>
      <w:r>
        <w:rPr>
          <w:lang w:val="fr-FR"/>
        </w:rPr>
        <w:tab/>
        <w:t>50</w:t>
      </w:r>
      <w:r>
        <w:rPr>
          <w:lang w:val="fr-FR"/>
        </w:rPr>
        <w:tab/>
        <w:t>14</w:t>
      </w:r>
    </w:p>
    <w:p w14:paraId="4C77DF9D" w14:textId="296C09CC" w:rsidR="004821C5" w:rsidRPr="004821C5" w:rsidRDefault="004821C5" w:rsidP="004821C5">
      <w:pPr>
        <w:tabs>
          <w:tab w:val="right" w:pos="850"/>
        </w:tabs>
        <w:spacing w:after="120"/>
      </w:pPr>
      <w:r>
        <w:tab/>
        <w:t>Annexes</w:t>
      </w:r>
    </w:p>
    <w:p w14:paraId="47FBFED5" w14:textId="7759D8CE" w:rsidR="004821C5" w:rsidRDefault="004821C5" w:rsidP="004821C5">
      <w:pPr>
        <w:tabs>
          <w:tab w:val="right" w:pos="850"/>
          <w:tab w:val="right" w:leader="dot" w:pos="8929"/>
          <w:tab w:val="right" w:pos="9638"/>
        </w:tabs>
        <w:spacing w:after="120"/>
        <w:ind w:left="1134" w:hanging="1134"/>
      </w:pPr>
      <w:r>
        <w:tab/>
      </w:r>
      <w:r>
        <w:tab/>
      </w:r>
      <w:r w:rsidR="001F5AA4">
        <w:t>Textes adoptés</w:t>
      </w:r>
      <w:r>
        <w:tab/>
      </w:r>
      <w:r>
        <w:tab/>
      </w:r>
      <w:r w:rsidR="001F5AA4">
        <w:t>15</w:t>
      </w:r>
    </w:p>
    <w:p w14:paraId="2E8B3FD8" w14:textId="074CC699" w:rsidR="004821C5" w:rsidRDefault="004821C5" w:rsidP="004821C5">
      <w:r>
        <w:br w:type="page"/>
      </w:r>
    </w:p>
    <w:p w14:paraId="61C19C29" w14:textId="5E7AADAE" w:rsidR="004821C5" w:rsidRPr="00323C47" w:rsidRDefault="004821C5" w:rsidP="00A53E5F">
      <w:pPr>
        <w:pStyle w:val="HChG"/>
      </w:pPr>
      <w:r w:rsidRPr="00323C47">
        <w:lastRenderedPageBreak/>
        <w:tab/>
        <w:t>I.</w:t>
      </w:r>
      <w:r w:rsidRPr="00323C47">
        <w:tab/>
        <w:t>Participation</w:t>
      </w:r>
    </w:p>
    <w:p w14:paraId="5B90C721" w14:textId="1B2B9531" w:rsidR="004821C5" w:rsidRPr="00962B20" w:rsidRDefault="004821C5" w:rsidP="00A53E5F">
      <w:pPr>
        <w:pStyle w:val="SingleTxtG"/>
        <w:rPr>
          <w:lang w:val="fr-FR"/>
        </w:rPr>
      </w:pPr>
      <w:r w:rsidRPr="00962B20">
        <w:t>1.</w:t>
      </w:r>
      <w:r w:rsidRPr="00962B20">
        <w:tab/>
      </w:r>
      <w:r w:rsidRPr="00962B20">
        <w:rPr>
          <w:lang w:val="fr-FR"/>
        </w:rPr>
        <w:t>La session d</w:t>
      </w:r>
      <w:r w:rsidR="000C7353">
        <w:rPr>
          <w:lang w:val="fr-FR"/>
        </w:rPr>
        <w:t>’</w:t>
      </w:r>
      <w:r w:rsidRPr="00962B20">
        <w:rPr>
          <w:lang w:val="fr-FR"/>
        </w:rPr>
        <w:t>automne de la Réunion commune de la Commission d</w:t>
      </w:r>
      <w:r w:rsidR="000C7353">
        <w:rPr>
          <w:lang w:val="fr-FR"/>
        </w:rPr>
        <w:t>’</w:t>
      </w:r>
      <w:r w:rsidRPr="00962B20">
        <w:rPr>
          <w:lang w:val="fr-FR"/>
        </w:rPr>
        <w:t>experts du RID et du Groupe de travail des transports de marchandises dangereuses de la Commission économique pour l</w:t>
      </w:r>
      <w:r w:rsidR="000C7353">
        <w:rPr>
          <w:lang w:val="fr-FR"/>
        </w:rPr>
        <w:t>’</w:t>
      </w:r>
      <w:r w:rsidRPr="00962B20">
        <w:rPr>
          <w:lang w:val="fr-FR"/>
        </w:rPr>
        <w:t>Europe s</w:t>
      </w:r>
      <w:r w:rsidR="000C7353">
        <w:rPr>
          <w:lang w:val="fr-FR"/>
        </w:rPr>
        <w:t>’</w:t>
      </w:r>
      <w:r w:rsidRPr="00962B20">
        <w:rPr>
          <w:lang w:val="fr-FR"/>
        </w:rPr>
        <w:t>est tenue à Genève du 12 au 16 septembre 2022, sous la présidence de M. C. Pfauvadel (France) et la vice-présidence de M</w:t>
      </w:r>
      <w:r w:rsidRPr="00962B20">
        <w:rPr>
          <w:vertAlign w:val="superscript"/>
          <w:lang w:val="fr-FR"/>
        </w:rPr>
        <w:t>me</w:t>
      </w:r>
      <w:r w:rsidRPr="00962B20">
        <w:rPr>
          <w:lang w:val="fr-FR"/>
        </w:rPr>
        <w:t> Garcia Wolfrum (Espagne).</w:t>
      </w:r>
    </w:p>
    <w:p w14:paraId="5C342EF4" w14:textId="3F1C6E4A" w:rsidR="004821C5" w:rsidRPr="00962B20" w:rsidRDefault="004821C5" w:rsidP="00A53E5F">
      <w:pPr>
        <w:pStyle w:val="SingleTxtG"/>
        <w:rPr>
          <w:lang w:val="fr-FR"/>
        </w:rPr>
      </w:pPr>
      <w:r w:rsidRPr="00962B20">
        <w:rPr>
          <w:lang w:val="fr-FR"/>
        </w:rPr>
        <w:t>2.</w:t>
      </w:r>
      <w:r w:rsidRPr="00962B20">
        <w:rPr>
          <w:lang w:val="fr-FR"/>
        </w:rPr>
        <w:tab/>
        <w:t>Conformément à l</w:t>
      </w:r>
      <w:r w:rsidR="000C7353">
        <w:rPr>
          <w:lang w:val="fr-FR"/>
        </w:rPr>
        <w:t>’</w:t>
      </w:r>
      <w:r w:rsidRPr="00962B20">
        <w:rPr>
          <w:lang w:val="fr-FR"/>
        </w:rPr>
        <w:t>alinéa a) de l</w:t>
      </w:r>
      <w:r w:rsidR="000C7353">
        <w:rPr>
          <w:lang w:val="fr-FR"/>
        </w:rPr>
        <w:t>’</w:t>
      </w:r>
      <w:r w:rsidRPr="00962B20">
        <w:rPr>
          <w:lang w:val="fr-FR"/>
        </w:rPr>
        <w:t>article premier du Règlement intérieur de la Réunion commune (ECE/TRANS/WP.15/AC.1/112/Add.2), des représentants des pays suivants ont participé de plein droit à la session</w:t>
      </w:r>
      <w:r w:rsidR="00853105">
        <w:rPr>
          <w:lang w:val="fr-FR"/>
        </w:rPr>
        <w:t> </w:t>
      </w:r>
      <w:r w:rsidRPr="00962B20">
        <w:rPr>
          <w:lang w:val="fr-FR"/>
        </w:rPr>
        <w:t>: Allemagne, Autriche, Belgique, Danemark, Espagne, Fédération de Russie, Finlande, France, Géorgie, Grèce, Italie, Lettonie, Luxembourg, Pays</w:t>
      </w:r>
      <w:r w:rsidR="007A07B6">
        <w:rPr>
          <w:lang w:val="fr-FR"/>
        </w:rPr>
        <w:noBreakHyphen/>
      </w:r>
      <w:r w:rsidRPr="00962B20">
        <w:rPr>
          <w:lang w:val="fr-FR"/>
        </w:rPr>
        <w:t>Bas, Pologne, Portugal, Roumanie, Royaume-Uni, Slovénie, Suède, Suisse, Tchéquie et Türkiye.</w:t>
      </w:r>
    </w:p>
    <w:p w14:paraId="58FA2B0B" w14:textId="5D218DB4" w:rsidR="004821C5" w:rsidRPr="00962B20" w:rsidRDefault="004821C5" w:rsidP="00A53E5F">
      <w:pPr>
        <w:pStyle w:val="SingleTxtG"/>
        <w:rPr>
          <w:lang w:val="fr-FR"/>
        </w:rPr>
      </w:pPr>
      <w:r w:rsidRPr="00962B20">
        <w:rPr>
          <w:lang w:val="fr-FR"/>
        </w:rPr>
        <w:t>3.</w:t>
      </w:r>
      <w:r w:rsidRPr="00962B20">
        <w:rPr>
          <w:lang w:val="fr-FR"/>
        </w:rPr>
        <w:tab/>
        <w:t>Conformément aux alinéas c) et d) de l</w:t>
      </w:r>
      <w:r w:rsidR="000C7353">
        <w:rPr>
          <w:lang w:val="fr-FR"/>
        </w:rPr>
        <w:t>’</w:t>
      </w:r>
      <w:r w:rsidRPr="00962B20">
        <w:rPr>
          <w:lang w:val="fr-FR"/>
        </w:rPr>
        <w:t>article premier du Règlement intérieur, les entités suivantes étaient représentées à titre consultatif</w:t>
      </w:r>
      <w:r w:rsidR="00853105">
        <w:rPr>
          <w:lang w:val="fr-FR"/>
        </w:rPr>
        <w:t> </w:t>
      </w:r>
      <w:r w:rsidRPr="00962B20">
        <w:rPr>
          <w:lang w:val="fr-FR"/>
        </w:rPr>
        <w:t>:</w:t>
      </w:r>
    </w:p>
    <w:p w14:paraId="10522E20" w14:textId="51C30026" w:rsidR="004821C5" w:rsidRPr="00A53E5F" w:rsidRDefault="004821C5" w:rsidP="00A53E5F">
      <w:pPr>
        <w:pStyle w:val="SingleTxtG"/>
        <w:ind w:firstLine="567"/>
        <w:rPr>
          <w:lang w:val="fr-FR"/>
        </w:rPr>
      </w:pPr>
      <w:r w:rsidRPr="00A53E5F">
        <w:rPr>
          <w:lang w:val="fr-FR"/>
        </w:rPr>
        <w:t>a)</w:t>
      </w:r>
      <w:r w:rsidRPr="00A53E5F">
        <w:rPr>
          <w:lang w:val="fr-FR"/>
        </w:rPr>
        <w:tab/>
        <w:t>L</w:t>
      </w:r>
      <w:r w:rsidR="000C7353">
        <w:rPr>
          <w:lang w:val="fr-FR"/>
        </w:rPr>
        <w:t>’</w:t>
      </w:r>
      <w:r w:rsidRPr="00A53E5F">
        <w:rPr>
          <w:lang w:val="fr-FR"/>
        </w:rPr>
        <w:t>Union européenne (Commission européenne et Agence de l</w:t>
      </w:r>
      <w:r w:rsidR="000C7353">
        <w:rPr>
          <w:lang w:val="fr-FR"/>
        </w:rPr>
        <w:t>’</w:t>
      </w:r>
      <w:r w:rsidRPr="00A53E5F">
        <w:rPr>
          <w:lang w:val="fr-FR"/>
        </w:rPr>
        <w:t>Union européenne pour les chemins de fer (ERA))</w:t>
      </w:r>
      <w:r w:rsidR="00853105">
        <w:rPr>
          <w:lang w:val="fr-FR"/>
        </w:rPr>
        <w:t> </w:t>
      </w:r>
      <w:r w:rsidRPr="00A53E5F">
        <w:rPr>
          <w:lang w:val="fr-FR"/>
        </w:rPr>
        <w:t>;</w:t>
      </w:r>
    </w:p>
    <w:p w14:paraId="3BC02F08" w14:textId="1CB544E1" w:rsidR="004821C5" w:rsidRPr="00A53E5F" w:rsidRDefault="004821C5" w:rsidP="00A53E5F">
      <w:pPr>
        <w:pStyle w:val="SingleTxtG"/>
        <w:ind w:firstLine="567"/>
        <w:rPr>
          <w:lang w:val="fr-FR"/>
        </w:rPr>
      </w:pPr>
      <w:r w:rsidRPr="00A53E5F">
        <w:rPr>
          <w:lang w:val="fr-FR"/>
        </w:rPr>
        <w:t>b)</w:t>
      </w:r>
      <w:r w:rsidRPr="00A53E5F">
        <w:rPr>
          <w:lang w:val="fr-FR"/>
        </w:rPr>
        <w:tab/>
        <w:t>Les organisations non gouvernementales internationales suivantes : Association européenne des gaz industriels (EIGA), Association internationale de la construction de carrosseries et de remorques (CLCCR), Association internationale des marchandises dangereuses et des conteneurs (IDGCA), Comité européen de normalisation (CEN), Conférence européenne des négociants en combustibles et carburants (ECFD), Council on Safe Transportation of Hazardous Articles (COSTHA), European Association for Advanced Rechargeable Batteries (RECHARGE), European Chemical Industry Council (Cefic), Fédération européenne des activités de la dépollution et de l</w:t>
      </w:r>
      <w:r w:rsidR="000C7353">
        <w:rPr>
          <w:lang w:val="fr-FR"/>
        </w:rPr>
        <w:t>’</w:t>
      </w:r>
      <w:r w:rsidRPr="00A53E5F">
        <w:rPr>
          <w:lang w:val="fr-FR"/>
        </w:rPr>
        <w:t>environnement (FEAD), Fédération européenne des aérosols (FEA</w:t>
      </w:r>
      <w:r w:rsidRPr="00860C1B">
        <w:rPr>
          <w:lang w:val="fr-FR"/>
        </w:rPr>
        <w:t>), Fédération routière internationale, FuelsEurope</w:t>
      </w:r>
      <w:r w:rsidRPr="00A53E5F">
        <w:rPr>
          <w:lang w:val="fr-FR"/>
        </w:rPr>
        <w:t>, International Association of Dangerous Goods Safety Advisers (IASA), International Union of Wagon Keepers (UIP), Liquid Gas Europe (Association européenne des gaz de pétrole liquéfiés), Organisation internationale des constructeurs d</w:t>
      </w:r>
      <w:r w:rsidR="000C7353">
        <w:rPr>
          <w:lang w:val="fr-FR"/>
        </w:rPr>
        <w:t>’</w:t>
      </w:r>
      <w:r w:rsidRPr="00A53E5F">
        <w:rPr>
          <w:lang w:val="fr-FR"/>
        </w:rPr>
        <w:t>automobiles (OICA), Organisation internationale des conteneurs-citernes (ITCO), Union internationale des chemins de fer (UIC) et Union internationale des transports routiers (IRU).</w:t>
      </w:r>
    </w:p>
    <w:p w14:paraId="6310EF24" w14:textId="7D08FCB8" w:rsidR="004821C5" w:rsidRPr="0081507E" w:rsidRDefault="004821C5" w:rsidP="00A53E5F">
      <w:pPr>
        <w:pStyle w:val="HChG"/>
      </w:pPr>
      <w:r>
        <w:rPr>
          <w:lang w:val="fr-FR"/>
        </w:rPr>
        <w:tab/>
        <w:t>II.</w:t>
      </w:r>
      <w:r>
        <w:rPr>
          <w:lang w:val="fr-FR"/>
        </w:rPr>
        <w:tab/>
        <w:t>Questions d</w:t>
      </w:r>
      <w:r w:rsidR="000C7353">
        <w:rPr>
          <w:lang w:val="fr-FR"/>
        </w:rPr>
        <w:t>’</w:t>
      </w:r>
      <w:r>
        <w:rPr>
          <w:lang w:val="fr-FR"/>
        </w:rPr>
        <w:t>organisation</w:t>
      </w:r>
    </w:p>
    <w:p w14:paraId="1BB334B0" w14:textId="6B461704" w:rsidR="004821C5" w:rsidRPr="0090503C" w:rsidRDefault="004821C5" w:rsidP="00F86021">
      <w:pPr>
        <w:pStyle w:val="SingleTxtG"/>
        <w:ind w:left="3402" w:hanging="2268"/>
      </w:pPr>
      <w:r w:rsidRPr="0090503C">
        <w:rPr>
          <w:i/>
          <w:iCs/>
        </w:rPr>
        <w:t>Document informel</w:t>
      </w:r>
      <w:r w:rsidR="00853105">
        <w:rPr>
          <w:i/>
          <w:iCs/>
        </w:rPr>
        <w:t> </w:t>
      </w:r>
      <w:r w:rsidRPr="0090503C">
        <w:t>:</w:t>
      </w:r>
      <w:r w:rsidRPr="0090503C">
        <w:tab/>
        <w:t>INF.10 (secrétariat)</w:t>
      </w:r>
    </w:p>
    <w:p w14:paraId="44F8FA09" w14:textId="3D8CF501" w:rsidR="004821C5" w:rsidRPr="000A5F11" w:rsidRDefault="004821C5" w:rsidP="000A5F11">
      <w:pPr>
        <w:pStyle w:val="SingleTxtG"/>
        <w:rPr>
          <w:lang w:val="fr-FR"/>
        </w:rPr>
      </w:pPr>
      <w:r w:rsidRPr="000A5F11">
        <w:rPr>
          <w:lang w:val="fr-FR"/>
        </w:rPr>
        <w:t>4.</w:t>
      </w:r>
      <w:r w:rsidRPr="000A5F11">
        <w:rPr>
          <w:lang w:val="fr-FR"/>
        </w:rPr>
        <w:tab/>
        <w:t>La session s</w:t>
      </w:r>
      <w:r w:rsidR="000C7353">
        <w:rPr>
          <w:lang w:val="fr-FR"/>
        </w:rPr>
        <w:t>’</w:t>
      </w:r>
      <w:r w:rsidRPr="000A5F11">
        <w:rPr>
          <w:lang w:val="fr-FR"/>
        </w:rPr>
        <w:t>est tenue en présentiel et en ligne, selon les modalités indiquées dans le document informel INF.10. Au lendemain de la pandémie de COVID-19, l</w:t>
      </w:r>
      <w:r w:rsidR="000C7353">
        <w:rPr>
          <w:lang w:val="fr-FR"/>
        </w:rPr>
        <w:t>’</w:t>
      </w:r>
      <w:r w:rsidRPr="000A5F11">
        <w:rPr>
          <w:lang w:val="fr-FR"/>
        </w:rPr>
        <w:t>Office des Nations Unies à Genève souhaite reprendre le cours normal de ses activités. Ainsi, les sessions de 2023 de la Réunion commune seront organisées en présentiel uniquement.</w:t>
      </w:r>
    </w:p>
    <w:p w14:paraId="1E9D0AA8" w14:textId="58DD62DF" w:rsidR="004821C5" w:rsidRPr="000A5F11" w:rsidRDefault="004821C5" w:rsidP="000A5F11">
      <w:pPr>
        <w:pStyle w:val="SingleTxtG"/>
        <w:rPr>
          <w:lang w:val="fr-FR"/>
        </w:rPr>
      </w:pPr>
      <w:r w:rsidRPr="000A5F11">
        <w:rPr>
          <w:lang w:val="fr-FR"/>
        </w:rPr>
        <w:t>5.</w:t>
      </w:r>
      <w:r w:rsidRPr="000A5F11">
        <w:rPr>
          <w:lang w:val="fr-FR"/>
        </w:rPr>
        <w:tab/>
        <w:t>La Réunion commune a noté que les éditions 2023 du RID, de l</w:t>
      </w:r>
      <w:r w:rsidR="000C7353">
        <w:rPr>
          <w:lang w:val="fr-FR"/>
        </w:rPr>
        <w:t>’</w:t>
      </w:r>
      <w:r w:rsidRPr="000A5F11">
        <w:rPr>
          <w:lang w:val="fr-FR"/>
        </w:rPr>
        <w:t>ADR et de l</w:t>
      </w:r>
      <w:r w:rsidR="000C7353">
        <w:rPr>
          <w:lang w:val="fr-FR"/>
        </w:rPr>
        <w:t>’</w:t>
      </w:r>
      <w:r w:rsidRPr="000A5F11">
        <w:rPr>
          <w:lang w:val="fr-FR"/>
        </w:rPr>
        <w:t>ADN allaient être annoncées et que les différentes versions linguistiques seraient publiées au plus tard à la fin de l</w:t>
      </w:r>
      <w:r w:rsidR="000C7353">
        <w:rPr>
          <w:lang w:val="fr-FR"/>
        </w:rPr>
        <w:t>’</w:t>
      </w:r>
      <w:r w:rsidRPr="000A5F11">
        <w:rPr>
          <w:lang w:val="fr-FR"/>
        </w:rPr>
        <w:t>année.</w:t>
      </w:r>
    </w:p>
    <w:p w14:paraId="09AE8B47" w14:textId="57152454" w:rsidR="004821C5" w:rsidRPr="00A8603A" w:rsidRDefault="004821C5" w:rsidP="00F86021">
      <w:pPr>
        <w:pStyle w:val="HChG"/>
        <w:rPr>
          <w:lang w:val="fr-FR"/>
        </w:rPr>
      </w:pPr>
      <w:r w:rsidRPr="00A8603A">
        <w:rPr>
          <w:bCs/>
        </w:rPr>
        <w:tab/>
      </w:r>
      <w:r w:rsidRPr="00A8603A">
        <w:rPr>
          <w:lang w:val="fr-FR"/>
        </w:rPr>
        <w:t>III.</w:t>
      </w:r>
      <w:r w:rsidRPr="00A8603A">
        <w:rPr>
          <w:lang w:val="fr-FR"/>
        </w:rPr>
        <w:tab/>
        <w:t>Adoption de l</w:t>
      </w:r>
      <w:r w:rsidR="000C7353">
        <w:rPr>
          <w:lang w:val="fr-FR"/>
        </w:rPr>
        <w:t>’</w:t>
      </w:r>
      <w:r w:rsidRPr="00A8603A">
        <w:rPr>
          <w:lang w:val="fr-FR"/>
        </w:rPr>
        <w:t>ordre du jour (point 1 de l</w:t>
      </w:r>
      <w:r w:rsidR="000C7353">
        <w:rPr>
          <w:lang w:val="fr-FR"/>
        </w:rPr>
        <w:t>’</w:t>
      </w:r>
      <w:r w:rsidRPr="00A8603A">
        <w:rPr>
          <w:lang w:val="fr-FR"/>
        </w:rPr>
        <w:t>ordre du jour)</w:t>
      </w:r>
    </w:p>
    <w:p w14:paraId="0821D7C5" w14:textId="77777777" w:rsidR="004821C5" w:rsidRPr="00F86021" w:rsidRDefault="004821C5" w:rsidP="00F86021">
      <w:pPr>
        <w:pStyle w:val="SingleTxtG"/>
        <w:ind w:left="3402" w:hanging="2268"/>
      </w:pPr>
      <w:r w:rsidRPr="00F86021">
        <w:rPr>
          <w:i/>
          <w:iCs/>
        </w:rPr>
        <w:t>Documents :</w:t>
      </w:r>
      <w:r w:rsidRPr="00F86021">
        <w:tab/>
        <w:t xml:space="preserve">ECE/TRANS/WP.15/AC.1/165 </w:t>
      </w:r>
      <w:r w:rsidRPr="00F86021">
        <w:br/>
        <w:t xml:space="preserve">ECE/TRANS/WP.15/AC.1/165/Add.1 </w:t>
      </w:r>
      <w:r w:rsidRPr="00F86021">
        <w:br/>
        <w:t>RID-22007-RC</w:t>
      </w:r>
    </w:p>
    <w:p w14:paraId="155F6428" w14:textId="77777777" w:rsidR="004821C5" w:rsidRPr="00F86021" w:rsidRDefault="004821C5" w:rsidP="00F86021">
      <w:pPr>
        <w:pStyle w:val="SingleTxtG"/>
        <w:ind w:left="3402" w:hanging="2268"/>
      </w:pPr>
      <w:r w:rsidRPr="00F86021">
        <w:rPr>
          <w:i/>
          <w:iCs/>
        </w:rPr>
        <w:t>Documents informels :</w:t>
      </w:r>
      <w:r w:rsidRPr="00F86021">
        <w:t xml:space="preserve"> </w:t>
      </w:r>
      <w:r w:rsidRPr="00F86021">
        <w:tab/>
        <w:t>INF.1, INF.2 et INF.10 (secrétariat)</w:t>
      </w:r>
    </w:p>
    <w:p w14:paraId="0791FFDE" w14:textId="7C4518B4" w:rsidR="004821C5" w:rsidRPr="00F86021" w:rsidRDefault="004821C5" w:rsidP="00F86021">
      <w:pPr>
        <w:pStyle w:val="SingleTxtG"/>
        <w:rPr>
          <w:lang w:val="fr-FR"/>
        </w:rPr>
      </w:pPr>
      <w:r w:rsidRPr="00F86021">
        <w:rPr>
          <w:lang w:val="fr-FR"/>
        </w:rPr>
        <w:t>6.</w:t>
      </w:r>
      <w:r w:rsidRPr="00F86021">
        <w:rPr>
          <w:lang w:val="fr-FR"/>
        </w:rPr>
        <w:tab/>
        <w:t>La Réunion commune a adopté l</w:t>
      </w:r>
      <w:r w:rsidR="000C7353">
        <w:rPr>
          <w:lang w:val="fr-FR"/>
        </w:rPr>
        <w:t>’</w:t>
      </w:r>
      <w:r w:rsidRPr="00F86021">
        <w:rPr>
          <w:lang w:val="fr-FR"/>
        </w:rPr>
        <w:t>ordre du jour proposé par le secrétariat dans les documents ECE/TRANS/WP.15/AC.1/165 et Add.</w:t>
      </w:r>
      <w:r w:rsidRPr="00860C1B">
        <w:rPr>
          <w:lang w:val="fr-FR"/>
        </w:rPr>
        <w:t xml:space="preserve">1 </w:t>
      </w:r>
      <w:r w:rsidR="00860C1B" w:rsidRPr="00860C1B">
        <w:rPr>
          <w:lang w:val="fr-FR"/>
        </w:rPr>
        <w:t xml:space="preserve">(RID-22007-RC de l’OTIF) </w:t>
      </w:r>
      <w:r w:rsidRPr="00860C1B">
        <w:rPr>
          <w:lang w:val="fr-FR"/>
        </w:rPr>
        <w:t>tels</w:t>
      </w:r>
      <w:r w:rsidRPr="00F86021">
        <w:rPr>
          <w:lang w:val="fr-FR"/>
        </w:rPr>
        <w:t xml:space="preserve"> qu</w:t>
      </w:r>
      <w:r w:rsidR="000C7353">
        <w:rPr>
          <w:lang w:val="fr-FR"/>
        </w:rPr>
        <w:t>’</w:t>
      </w:r>
      <w:r w:rsidRPr="00F86021">
        <w:rPr>
          <w:lang w:val="fr-FR"/>
        </w:rPr>
        <w:t>actualisés par le document informel INF.2, après l</w:t>
      </w:r>
      <w:r w:rsidR="000C7353">
        <w:rPr>
          <w:lang w:val="fr-FR"/>
        </w:rPr>
        <w:t>’</w:t>
      </w:r>
      <w:r w:rsidRPr="00F86021">
        <w:rPr>
          <w:lang w:val="fr-FR"/>
        </w:rPr>
        <w:t>avoir modifié afin de prendre en compte les documents informels INF.1 à INF 36.</w:t>
      </w:r>
    </w:p>
    <w:p w14:paraId="07119702" w14:textId="49BE79DE" w:rsidR="004821C5" w:rsidRPr="00323C47" w:rsidRDefault="004821C5" w:rsidP="00F86021">
      <w:pPr>
        <w:pStyle w:val="HChG"/>
      </w:pPr>
      <w:r w:rsidRPr="00693D4F">
        <w:rPr>
          <w:sz w:val="24"/>
          <w:szCs w:val="24"/>
          <w:lang w:val="fr-FR"/>
        </w:rPr>
        <w:lastRenderedPageBreak/>
        <w:tab/>
      </w:r>
      <w:r w:rsidRPr="00323C47">
        <w:rPr>
          <w:lang w:val="fr-FR"/>
        </w:rPr>
        <w:t>IV.</w:t>
      </w:r>
      <w:r w:rsidRPr="00323C47">
        <w:rPr>
          <w:lang w:val="fr-FR"/>
        </w:rPr>
        <w:tab/>
        <w:t>Citernes (point 2 de l</w:t>
      </w:r>
      <w:r w:rsidR="000C7353">
        <w:rPr>
          <w:lang w:val="fr-FR"/>
        </w:rPr>
        <w:t>’</w:t>
      </w:r>
      <w:r w:rsidRPr="00323C47">
        <w:rPr>
          <w:lang w:val="fr-FR"/>
        </w:rPr>
        <w:t>ordre du jour)</w:t>
      </w:r>
    </w:p>
    <w:p w14:paraId="48DAD369" w14:textId="77777777" w:rsidR="004821C5" w:rsidRPr="00693D4F" w:rsidRDefault="004821C5" w:rsidP="00F86021">
      <w:pPr>
        <w:pStyle w:val="H1G"/>
      </w:pPr>
      <w:r w:rsidRPr="00693D4F">
        <w:rPr>
          <w:lang w:val="fr-FR"/>
        </w:rPr>
        <w:tab/>
        <w:t>A.</w:t>
      </w:r>
      <w:r w:rsidRPr="00693D4F">
        <w:rPr>
          <w:lang w:val="fr-FR"/>
        </w:rPr>
        <w:tab/>
      </w:r>
      <w:r>
        <w:rPr>
          <w:lang w:val="fr-FR"/>
        </w:rPr>
        <w:t>Attestation</w:t>
      </w:r>
      <w:r w:rsidRPr="00693D4F">
        <w:rPr>
          <w:lang w:val="fr-FR"/>
        </w:rPr>
        <w:t>s d</w:t>
      </w:r>
      <w:r>
        <w:rPr>
          <w:lang w:val="fr-FR"/>
        </w:rPr>
        <w:t>e contrôle</w:t>
      </w:r>
      <w:r w:rsidRPr="00693D4F">
        <w:rPr>
          <w:lang w:val="fr-FR"/>
        </w:rPr>
        <w:t xml:space="preserve"> numériques ou dossier de citerne électronique</w:t>
      </w:r>
    </w:p>
    <w:p w14:paraId="0DED3904" w14:textId="77777777" w:rsidR="004821C5" w:rsidRPr="00F86021" w:rsidRDefault="004821C5" w:rsidP="00F86021">
      <w:pPr>
        <w:pStyle w:val="SingleTxtG"/>
        <w:ind w:left="3402" w:hanging="2268"/>
      </w:pPr>
      <w:r w:rsidRPr="00F86021">
        <w:rPr>
          <w:i/>
          <w:iCs/>
        </w:rPr>
        <w:t>Document :</w:t>
      </w:r>
      <w:r w:rsidRPr="00F86021">
        <w:tab/>
        <w:t>ECE/TRANS/WP.15/AC.1/2022/22 (UIP)</w:t>
      </w:r>
    </w:p>
    <w:p w14:paraId="60B10812" w14:textId="7CD47ACF" w:rsidR="004821C5" w:rsidRPr="00F86021" w:rsidRDefault="004821C5" w:rsidP="00F86021">
      <w:pPr>
        <w:pStyle w:val="SingleTxtG"/>
        <w:rPr>
          <w:lang w:val="fr-FR"/>
        </w:rPr>
      </w:pPr>
      <w:r w:rsidRPr="00F86021">
        <w:rPr>
          <w:lang w:val="fr-FR"/>
        </w:rPr>
        <w:t>7.</w:t>
      </w:r>
      <w:r w:rsidRPr="00F86021">
        <w:rPr>
          <w:lang w:val="fr-FR"/>
        </w:rPr>
        <w:tab/>
        <w:t>La plupart des représentants qui ont pris la parole estimaient qu</w:t>
      </w:r>
      <w:r w:rsidR="000C7353">
        <w:rPr>
          <w:lang w:val="fr-FR"/>
        </w:rPr>
        <w:t>’</w:t>
      </w:r>
      <w:r w:rsidRPr="00F86021">
        <w:rPr>
          <w:lang w:val="fr-FR"/>
        </w:rPr>
        <w:t>un dossier de citerne pouvait être conservé sous forme électronique plutôt que sur papier. D</w:t>
      </w:r>
      <w:r w:rsidR="000C7353">
        <w:rPr>
          <w:lang w:val="fr-FR"/>
        </w:rPr>
        <w:t>’</w:t>
      </w:r>
      <w:r w:rsidRPr="00F86021">
        <w:rPr>
          <w:lang w:val="fr-FR"/>
        </w:rPr>
        <w:t xml:space="preserve">autres se sont </w:t>
      </w:r>
      <w:proofErr w:type="gramStart"/>
      <w:r w:rsidRPr="00F86021">
        <w:rPr>
          <w:lang w:val="fr-FR"/>
        </w:rPr>
        <w:t>dits</w:t>
      </w:r>
      <w:proofErr w:type="gramEnd"/>
      <w:r w:rsidRPr="00F86021">
        <w:rPr>
          <w:lang w:val="fr-FR"/>
        </w:rPr>
        <w:t xml:space="preserve"> inquiets de l</w:t>
      </w:r>
      <w:r w:rsidR="000C7353">
        <w:rPr>
          <w:lang w:val="fr-FR"/>
        </w:rPr>
        <w:t>’</w:t>
      </w:r>
      <w:r w:rsidRPr="00F86021">
        <w:rPr>
          <w:lang w:val="fr-FR"/>
        </w:rPr>
        <w:t>ambiguïté des mots « suitable » (appropriée) et « secure » (dans des conditions de sécurité) figurant dans la proposition. La Réunion commune a adopté à la majorité le texte proposé au paragraphe 8 du document ECE/TRANS/WP.15/AC.1/2022/22, tel que modifié (voir annexe).</w:t>
      </w:r>
    </w:p>
    <w:p w14:paraId="028F8E88" w14:textId="6B058D6B" w:rsidR="004821C5" w:rsidRPr="00693D4F" w:rsidRDefault="004821C5" w:rsidP="00F86021">
      <w:pPr>
        <w:pStyle w:val="H1G"/>
      </w:pPr>
      <w:r w:rsidRPr="00693D4F">
        <w:rPr>
          <w:lang w:val="fr-FR"/>
        </w:rPr>
        <w:tab/>
        <w:t>B.</w:t>
      </w:r>
      <w:r w:rsidRPr="00693D4F">
        <w:rPr>
          <w:lang w:val="fr-FR"/>
        </w:rPr>
        <w:tab/>
        <w:t>Prescriptions du 6.8.2.2.11 du RID ou de l</w:t>
      </w:r>
      <w:r w:rsidR="000C7353">
        <w:rPr>
          <w:lang w:val="fr-FR"/>
        </w:rPr>
        <w:t>’</w:t>
      </w:r>
      <w:r w:rsidRPr="00693D4F">
        <w:rPr>
          <w:lang w:val="fr-FR"/>
        </w:rPr>
        <w:t xml:space="preserve">ADR </w:t>
      </w:r>
      <w:r w:rsidRPr="00693D4F">
        <w:rPr>
          <w:lang w:val="fr-FR"/>
        </w:rPr>
        <w:br/>
        <w:t>relatif aux jauges de niveau</w:t>
      </w:r>
    </w:p>
    <w:p w14:paraId="585BB1C6" w14:textId="77777777" w:rsidR="004821C5" w:rsidRPr="00F86021" w:rsidRDefault="004821C5" w:rsidP="00F86021">
      <w:pPr>
        <w:pStyle w:val="SingleTxtG"/>
        <w:ind w:left="3402" w:hanging="2268"/>
      </w:pPr>
      <w:r w:rsidRPr="00F86021">
        <w:rPr>
          <w:i/>
          <w:iCs/>
        </w:rPr>
        <w:t>Document :</w:t>
      </w:r>
      <w:r w:rsidRPr="00F86021">
        <w:tab/>
        <w:t>ECE/TRANS/WP.15/AC.1/2022/29 (Royaume-Uni)</w:t>
      </w:r>
    </w:p>
    <w:p w14:paraId="50BFE5E1" w14:textId="77777777" w:rsidR="004821C5" w:rsidRPr="00F86021" w:rsidRDefault="004821C5" w:rsidP="00F86021">
      <w:pPr>
        <w:pStyle w:val="SingleTxtG"/>
        <w:ind w:left="3402" w:hanging="2268"/>
        <w:jc w:val="left"/>
      </w:pPr>
      <w:r w:rsidRPr="00F86021">
        <w:rPr>
          <w:i/>
          <w:iCs/>
        </w:rPr>
        <w:t>Documents informels :</w:t>
      </w:r>
      <w:r w:rsidRPr="00F86021">
        <w:t xml:space="preserve"> </w:t>
      </w:r>
      <w:r w:rsidRPr="00F86021">
        <w:tab/>
        <w:t>INF.31 (France)</w:t>
      </w:r>
      <w:r w:rsidRPr="00F86021">
        <w:br/>
        <w:t>INF.32 (Royaume-Uni)</w:t>
      </w:r>
    </w:p>
    <w:p w14:paraId="6CE2B743" w14:textId="04AFA5A4" w:rsidR="004821C5" w:rsidRPr="00F86021" w:rsidRDefault="004821C5" w:rsidP="00F86021">
      <w:pPr>
        <w:pStyle w:val="SingleTxtG"/>
        <w:rPr>
          <w:lang w:val="fr-FR"/>
        </w:rPr>
      </w:pPr>
      <w:r w:rsidRPr="00F86021">
        <w:rPr>
          <w:lang w:val="fr-FR"/>
        </w:rPr>
        <w:t>8.</w:t>
      </w:r>
      <w:r w:rsidRPr="00F86021">
        <w:rPr>
          <w:lang w:val="fr-FR"/>
        </w:rPr>
        <w:tab/>
        <w:t>Après un échange de vues sur la proposition dont il est question dans le document ECE/TRANS/WP.15/AC.1/2022/29 et les documents informels INF.31 et INF.32, dont le but est de lever l</w:t>
      </w:r>
      <w:r w:rsidR="000C7353">
        <w:rPr>
          <w:lang w:val="fr-FR"/>
        </w:rPr>
        <w:t>’</w:t>
      </w:r>
      <w:r w:rsidRPr="00F86021">
        <w:rPr>
          <w:lang w:val="fr-FR"/>
        </w:rPr>
        <w:t>incertitude concernant les dispositions relatives à certaines jauges de niveau du 6.8.2, la Réunion commune a convenu de la nécessité de mettre au clair les dispositions du 6.8.2.2.11, sans pour autant parvenir à un accord. Étant donné la diversité des technologies existantes pour les jauges de niveau de la citerne concernées, il a été décidé de reporter la discussion à la session de mars 2023. Le Groupe de travail des citernes a été invité à examiner ce sujet en détail lors d</w:t>
      </w:r>
      <w:r w:rsidR="000C7353">
        <w:rPr>
          <w:lang w:val="fr-FR"/>
        </w:rPr>
        <w:t>’</w:t>
      </w:r>
      <w:r w:rsidRPr="00F86021">
        <w:rPr>
          <w:lang w:val="fr-FR"/>
        </w:rPr>
        <w:t>une prochaine réunion, en prenant en compte les jauges de niveau de citerne disponibles sur le marché et les observations reçues.</w:t>
      </w:r>
    </w:p>
    <w:p w14:paraId="509D6CF7" w14:textId="77777777" w:rsidR="004821C5" w:rsidRPr="00F12D0E" w:rsidRDefault="004821C5" w:rsidP="00175AEC">
      <w:pPr>
        <w:pStyle w:val="H1G"/>
      </w:pPr>
      <w:r>
        <w:rPr>
          <w:lang w:val="fr-FR"/>
        </w:rPr>
        <w:tab/>
      </w:r>
      <w:r w:rsidRPr="00F12D0E">
        <w:rPr>
          <w:lang w:val="fr-FR"/>
        </w:rPr>
        <w:t>C.</w:t>
      </w:r>
      <w:r w:rsidRPr="00F12D0E">
        <w:rPr>
          <w:lang w:val="fr-FR"/>
        </w:rPr>
        <w:tab/>
        <w:t xml:space="preserve">Proposition visant à élaborer une norme relative aux soupapes </w:t>
      </w:r>
      <w:r w:rsidRPr="00F12D0E">
        <w:rPr>
          <w:lang w:val="fr-FR"/>
        </w:rPr>
        <w:br/>
        <w:t xml:space="preserve">de décompression sur les véhicules-citernes transportant </w:t>
      </w:r>
      <w:r w:rsidRPr="00F12D0E">
        <w:rPr>
          <w:lang w:val="fr-FR"/>
        </w:rPr>
        <w:br/>
        <w:t xml:space="preserve">des marchandises dangereuses autres que les produits </w:t>
      </w:r>
      <w:r w:rsidRPr="00F12D0E">
        <w:rPr>
          <w:lang w:val="fr-FR"/>
        </w:rPr>
        <w:br/>
        <w:t>pétroliers et le gaz de pétrole liquéfié</w:t>
      </w:r>
      <w:bookmarkStart w:id="0" w:name="_Hlk113965873"/>
      <w:bookmarkEnd w:id="0"/>
    </w:p>
    <w:p w14:paraId="426A21A9" w14:textId="77777777" w:rsidR="004821C5" w:rsidRPr="00175AEC" w:rsidRDefault="004821C5" w:rsidP="00175AEC">
      <w:pPr>
        <w:pStyle w:val="SingleTxtG"/>
        <w:ind w:left="3402" w:hanging="2268"/>
        <w:jc w:val="left"/>
      </w:pPr>
      <w:r w:rsidRPr="00175AEC">
        <w:rPr>
          <w:i/>
          <w:iCs/>
        </w:rPr>
        <w:t>Document :</w:t>
      </w:r>
      <w:r w:rsidRPr="00175AEC">
        <w:tab/>
        <w:t>ECE/TRANS/WP.15/AC.1/2022/31 (Royaume-Uni)</w:t>
      </w:r>
    </w:p>
    <w:p w14:paraId="7C9A39BE" w14:textId="77777777" w:rsidR="004821C5" w:rsidRPr="00175AEC" w:rsidRDefault="004821C5" w:rsidP="00175AEC">
      <w:pPr>
        <w:pStyle w:val="SingleTxtG"/>
        <w:ind w:left="3402" w:hanging="2268"/>
        <w:jc w:val="left"/>
      </w:pPr>
      <w:r w:rsidRPr="00175AEC">
        <w:rPr>
          <w:i/>
          <w:iCs/>
        </w:rPr>
        <w:t>Document informel :</w:t>
      </w:r>
      <w:r w:rsidRPr="00175AEC">
        <w:t xml:space="preserve"> </w:t>
      </w:r>
      <w:r w:rsidRPr="00175AEC">
        <w:tab/>
        <w:t>INF.26 (Royaume-Uni)</w:t>
      </w:r>
    </w:p>
    <w:p w14:paraId="43A616B3" w14:textId="01D19952" w:rsidR="004821C5" w:rsidRPr="00716031" w:rsidRDefault="004821C5" w:rsidP="00175AEC">
      <w:pPr>
        <w:pStyle w:val="SingleTxtG"/>
        <w:rPr>
          <w:sz w:val="24"/>
          <w:szCs w:val="24"/>
        </w:rPr>
      </w:pPr>
      <w:r w:rsidRPr="00175AEC">
        <w:rPr>
          <w:lang w:val="fr-FR"/>
        </w:rPr>
        <w:t>9.</w:t>
      </w:r>
      <w:r w:rsidRPr="00175AEC">
        <w:rPr>
          <w:lang w:val="fr-FR"/>
        </w:rPr>
        <w:tab/>
        <w:t>La Réunion commune a accueilli favorablement le document ECE/TRANS/</w:t>
      </w:r>
      <w:r w:rsidR="00DA451C">
        <w:rPr>
          <w:lang w:val="fr-FR"/>
        </w:rPr>
        <w:br/>
      </w:r>
      <w:r w:rsidRPr="00175AEC">
        <w:rPr>
          <w:lang w:val="fr-FR"/>
        </w:rPr>
        <w:t>WP.15/AC.1/2022/31 et le document informel INF.29, dans lesquels il est question de la nécessité d</w:t>
      </w:r>
      <w:r w:rsidR="000C7353">
        <w:rPr>
          <w:lang w:val="fr-FR"/>
        </w:rPr>
        <w:t>’</w:t>
      </w:r>
      <w:r w:rsidRPr="00175AEC">
        <w:rPr>
          <w:lang w:val="fr-FR"/>
        </w:rPr>
        <w:t xml:space="preserve">élaborer des prescriptions relatives aux performances des soupapes de sécurité des véhicules-citernes transportant des matières dangereuses autres que les produits pétroliers et le gaz de pétrole liquéfié, en particulier les soupapes de sécurité et les soupapes de dépression prescrites </w:t>
      </w:r>
      <w:r w:rsidRPr="00860C1B">
        <w:rPr>
          <w:lang w:val="fr-FR"/>
        </w:rPr>
        <w:t xml:space="preserve">aux </w:t>
      </w:r>
      <w:r w:rsidRPr="00175AEC">
        <w:rPr>
          <w:lang w:val="fr-FR"/>
        </w:rPr>
        <w:t>6.8.2.2.3, 6.8.2.2.7 et 6.8.2.2.8 pour les citernes visées au chapitre</w:t>
      </w:r>
      <w:r w:rsidR="00DA451C">
        <w:rPr>
          <w:lang w:val="fr-FR"/>
        </w:rPr>
        <w:t> </w:t>
      </w:r>
      <w:r w:rsidRPr="00175AEC">
        <w:rPr>
          <w:lang w:val="fr-FR"/>
        </w:rPr>
        <w:t>6.8 et aux 6.10.2.1 et 6.10.2.2 pour les citernes visées au chapitre 6.10. La Réunion a relevé que la préférence allait en général à l</w:t>
      </w:r>
      <w:r w:rsidR="000C7353">
        <w:rPr>
          <w:lang w:val="fr-FR"/>
        </w:rPr>
        <w:t>’</w:t>
      </w:r>
      <w:r w:rsidRPr="00175AEC">
        <w:rPr>
          <w:lang w:val="fr-FR"/>
        </w:rPr>
        <w:t>insertion dans le chapitre 6.8 d</w:t>
      </w:r>
      <w:r w:rsidR="000C7353">
        <w:rPr>
          <w:lang w:val="fr-FR"/>
        </w:rPr>
        <w:t>’</w:t>
      </w:r>
      <w:r w:rsidRPr="00175AEC">
        <w:rPr>
          <w:lang w:val="fr-FR"/>
        </w:rPr>
        <w:t>une référence à une norme existante ou à la reprise des parties utiles d</w:t>
      </w:r>
      <w:r w:rsidR="000C7353">
        <w:rPr>
          <w:lang w:val="fr-FR"/>
        </w:rPr>
        <w:t>’</w:t>
      </w:r>
      <w:r w:rsidRPr="00175AEC">
        <w:rPr>
          <w:lang w:val="fr-FR"/>
        </w:rPr>
        <w:t>une telle norme, plutôt qu</w:t>
      </w:r>
      <w:r w:rsidR="000C7353">
        <w:rPr>
          <w:lang w:val="fr-FR"/>
        </w:rPr>
        <w:t>’</w:t>
      </w:r>
      <w:r w:rsidRPr="00175AEC">
        <w:rPr>
          <w:lang w:val="fr-FR"/>
        </w:rPr>
        <w:t>à l</w:t>
      </w:r>
      <w:r w:rsidR="000C7353">
        <w:rPr>
          <w:lang w:val="fr-FR"/>
        </w:rPr>
        <w:t>’</w:t>
      </w:r>
      <w:r w:rsidRPr="00175AEC">
        <w:rPr>
          <w:lang w:val="fr-FR"/>
        </w:rPr>
        <w:t>élaboration de nouvelles dispositions pour les soupapes de sécurité de ces véhicules</w:t>
      </w:r>
      <w:r w:rsidRPr="00175AEC">
        <w:rPr>
          <w:lang w:val="fr-FR"/>
        </w:rPr>
        <w:noBreakHyphen/>
        <w:t>citernes. Elle a invité le TC 296 du CEN à déterminer s</w:t>
      </w:r>
      <w:r w:rsidR="000C7353">
        <w:rPr>
          <w:lang w:val="fr-FR"/>
        </w:rPr>
        <w:t>’</w:t>
      </w:r>
      <w:r w:rsidRPr="00175AEC">
        <w:rPr>
          <w:lang w:val="fr-FR"/>
        </w:rPr>
        <w:t>il convenait d</w:t>
      </w:r>
      <w:r w:rsidR="000C7353">
        <w:rPr>
          <w:lang w:val="fr-FR"/>
        </w:rPr>
        <w:t>’</w:t>
      </w:r>
      <w:r w:rsidRPr="00175AEC">
        <w:rPr>
          <w:lang w:val="fr-FR"/>
        </w:rPr>
        <w:t>élaborer une telle nouvelle norme. Le document informel INF.26 indique également la possibilité que la norme EN 14596 sur les soupapes de surpression d</w:t>
      </w:r>
      <w:r w:rsidR="000C7353">
        <w:rPr>
          <w:lang w:val="fr-FR"/>
        </w:rPr>
        <w:t>’</w:t>
      </w:r>
      <w:r w:rsidRPr="00175AEC">
        <w:rPr>
          <w:lang w:val="fr-FR"/>
        </w:rPr>
        <w:t xml:space="preserve">urgence soit référencée au 6.8.2.6.1 </w:t>
      </w:r>
      <w:proofErr w:type="gramStart"/>
      <w:r w:rsidRPr="00175AEC">
        <w:rPr>
          <w:lang w:val="fr-FR"/>
        </w:rPr>
        <w:t>suite à</w:t>
      </w:r>
      <w:proofErr w:type="gramEnd"/>
      <w:r w:rsidRPr="00175AEC">
        <w:rPr>
          <w:lang w:val="fr-FR"/>
        </w:rPr>
        <w:t xml:space="preserve"> la décision d</w:t>
      </w:r>
      <w:r w:rsidR="000C7353">
        <w:rPr>
          <w:lang w:val="fr-FR"/>
        </w:rPr>
        <w:t>’</w:t>
      </w:r>
      <w:r w:rsidRPr="00175AEC">
        <w:rPr>
          <w:lang w:val="fr-FR"/>
        </w:rPr>
        <w:t>exiger des soupapes de sûreté sur les citernes destinées au transport de gaz liquéfié inflammable, pour lesquelles la norme EN 14129 sur les soupapes de surpression pour GPL est référencée. Le représentant de Liquid Gas Europe a attiré l</w:t>
      </w:r>
      <w:r w:rsidR="000C7353">
        <w:rPr>
          <w:lang w:val="fr-FR"/>
        </w:rPr>
        <w:t>’</w:t>
      </w:r>
      <w:r w:rsidRPr="00175AEC">
        <w:rPr>
          <w:lang w:val="fr-FR"/>
        </w:rPr>
        <w:t>attention de la Réunion commune sur sa proposition concernant l</w:t>
      </w:r>
      <w:r w:rsidR="000C7353">
        <w:rPr>
          <w:lang w:val="fr-FR"/>
        </w:rPr>
        <w:t>’</w:t>
      </w:r>
      <w:r w:rsidRPr="00175AEC">
        <w:rPr>
          <w:lang w:val="fr-FR"/>
        </w:rPr>
        <w:t>éther diméthylique (DME) dans le document informel INF.11 (voir paragraphe 27) et a suggéré qu</w:t>
      </w:r>
      <w:r w:rsidR="000C7353">
        <w:rPr>
          <w:lang w:val="fr-FR"/>
        </w:rPr>
        <w:t>’</w:t>
      </w:r>
      <w:r w:rsidRPr="00175AEC">
        <w:rPr>
          <w:lang w:val="fr-FR"/>
        </w:rPr>
        <w:t>il pourrait être utile d</w:t>
      </w:r>
      <w:r w:rsidR="000C7353">
        <w:rPr>
          <w:lang w:val="fr-FR"/>
        </w:rPr>
        <w:t>’</w:t>
      </w:r>
      <w:r w:rsidRPr="00175AEC">
        <w:rPr>
          <w:lang w:val="fr-FR"/>
        </w:rPr>
        <w:t>adapter le champ d</w:t>
      </w:r>
      <w:r w:rsidR="000C7353">
        <w:rPr>
          <w:lang w:val="fr-FR"/>
        </w:rPr>
        <w:t>’</w:t>
      </w:r>
      <w:r w:rsidRPr="00175AEC">
        <w:rPr>
          <w:lang w:val="fr-FR"/>
        </w:rPr>
        <w:t>application en conséquence.</w:t>
      </w:r>
    </w:p>
    <w:p w14:paraId="55C1A16D" w14:textId="77777777" w:rsidR="004821C5" w:rsidRPr="00F12D0E" w:rsidRDefault="004821C5" w:rsidP="006010C3">
      <w:pPr>
        <w:pStyle w:val="H1G"/>
        <w:rPr>
          <w:szCs w:val="24"/>
        </w:rPr>
      </w:pPr>
      <w:r w:rsidRPr="00716031">
        <w:lastRenderedPageBreak/>
        <w:tab/>
      </w:r>
      <w:r>
        <w:rPr>
          <w:lang w:val="fr-FR"/>
        </w:rPr>
        <w:t>D.</w:t>
      </w:r>
      <w:r>
        <w:rPr>
          <w:lang w:val="fr-FR"/>
        </w:rPr>
        <w:tab/>
        <w:t>Réunion du Groupe de travail des citernes</w:t>
      </w:r>
    </w:p>
    <w:p w14:paraId="005AA89F" w14:textId="57A0874B" w:rsidR="004821C5" w:rsidRPr="006010C3" w:rsidRDefault="004821C5" w:rsidP="006010C3">
      <w:pPr>
        <w:pStyle w:val="SingleTxtG"/>
        <w:ind w:left="3402" w:hanging="2268"/>
        <w:jc w:val="left"/>
      </w:pPr>
      <w:r w:rsidRPr="00C170AB">
        <w:rPr>
          <w:i/>
          <w:iCs/>
        </w:rPr>
        <w:t>Documents :</w:t>
      </w:r>
      <w:r w:rsidRPr="006010C3">
        <w:tab/>
        <w:t xml:space="preserve">ECE/TRANS/WP.15/AC.1/2022/21 (Fédération de Russie) </w:t>
      </w:r>
      <w:r w:rsidR="00DA451C">
        <w:br/>
      </w:r>
      <w:r w:rsidRPr="006010C3">
        <w:t>ECE/TRANS/WP.15/AC.1/2022/30 (Royaume-Uni)</w:t>
      </w:r>
    </w:p>
    <w:p w14:paraId="31037CF5" w14:textId="77777777" w:rsidR="004821C5" w:rsidRPr="00DA451C" w:rsidRDefault="004821C5" w:rsidP="006010C3">
      <w:pPr>
        <w:pStyle w:val="SingleTxtG"/>
        <w:ind w:left="3402" w:hanging="2268"/>
        <w:jc w:val="left"/>
      </w:pPr>
      <w:r w:rsidRPr="00C170AB">
        <w:rPr>
          <w:i/>
          <w:iCs/>
        </w:rPr>
        <w:t>Documents informels :</w:t>
      </w:r>
      <w:r w:rsidRPr="006010C3">
        <w:t xml:space="preserve"> </w:t>
      </w:r>
      <w:r w:rsidRPr="006010C3">
        <w:tab/>
        <w:t>INF.6 (Pays-Bas)</w:t>
      </w:r>
      <w:r w:rsidRPr="006010C3">
        <w:br/>
      </w:r>
      <w:r w:rsidRPr="00DA451C">
        <w:t>INF.14 (Royaume-Uni)</w:t>
      </w:r>
      <w:r w:rsidRPr="00DA451C">
        <w:br/>
        <w:t>INF.30 (France)</w:t>
      </w:r>
      <w:r w:rsidRPr="00DA451C">
        <w:br/>
        <w:t>INF.36 (Groupe de travail des citernes)</w:t>
      </w:r>
    </w:p>
    <w:p w14:paraId="6DDD8863" w14:textId="0217EFC9" w:rsidR="004821C5" w:rsidRPr="00F12D0E" w:rsidRDefault="004821C5" w:rsidP="00C170AB">
      <w:pPr>
        <w:pStyle w:val="SingleTxtG"/>
        <w:rPr>
          <w:b/>
          <w:bCs/>
        </w:rPr>
      </w:pPr>
      <w:r w:rsidRPr="00F12D0E">
        <w:rPr>
          <w:lang w:val="fr-FR"/>
        </w:rPr>
        <w:t>10.</w:t>
      </w:r>
      <w:r w:rsidRPr="00F12D0E">
        <w:rPr>
          <w:lang w:val="fr-FR"/>
        </w:rPr>
        <w:tab/>
        <w:t>L</w:t>
      </w:r>
      <w:r w:rsidR="000C7353">
        <w:rPr>
          <w:lang w:val="fr-FR"/>
        </w:rPr>
        <w:t>’</w:t>
      </w:r>
      <w:r w:rsidRPr="00F12D0E">
        <w:rPr>
          <w:lang w:val="fr-FR"/>
        </w:rPr>
        <w:t>examen des autres documents soumis au titre du point 2 de l</w:t>
      </w:r>
      <w:r w:rsidR="000C7353">
        <w:rPr>
          <w:lang w:val="fr-FR"/>
        </w:rPr>
        <w:t>’</w:t>
      </w:r>
      <w:r w:rsidRPr="00F12D0E">
        <w:rPr>
          <w:lang w:val="fr-FR"/>
        </w:rPr>
        <w:t>ordre du jour a été confié au Groupe de travail des citernes, qui a tenu le 14 septembre, sous la présidence de M. A. Bale (Royaume-Uni), une réunion hybride dont il a rendu compte à la session plénière.</w:t>
      </w:r>
    </w:p>
    <w:p w14:paraId="5BD9258F" w14:textId="74F577DF" w:rsidR="004821C5" w:rsidRPr="00037348" w:rsidRDefault="004821C5" w:rsidP="00C170AB">
      <w:pPr>
        <w:pStyle w:val="H1G"/>
        <w:rPr>
          <w:szCs w:val="24"/>
        </w:rPr>
      </w:pPr>
      <w:r>
        <w:rPr>
          <w:lang w:val="fr-FR"/>
        </w:rPr>
        <w:tab/>
        <w:t>E.</w:t>
      </w:r>
      <w:r>
        <w:rPr>
          <w:lang w:val="fr-FR"/>
        </w:rPr>
        <w:tab/>
        <w:t>Calcul de l</w:t>
      </w:r>
      <w:r w:rsidR="000C7353">
        <w:rPr>
          <w:lang w:val="fr-FR"/>
        </w:rPr>
        <w:t>’</w:t>
      </w:r>
      <w:r>
        <w:rPr>
          <w:lang w:val="fr-FR"/>
        </w:rPr>
        <w:t>épaisseur du réservoir pour les citernes portant le code P22DH (N</w:t>
      </w:r>
      <w:r w:rsidRPr="00B46497">
        <w:rPr>
          <w:vertAlign w:val="superscript"/>
          <w:lang w:val="fr-FR"/>
        </w:rPr>
        <w:t>os</w:t>
      </w:r>
      <w:r>
        <w:rPr>
          <w:lang w:val="fr-FR"/>
        </w:rPr>
        <w:t> ONU 1017 CHLORE et 1076 PHOSGÈNE)</w:t>
      </w:r>
    </w:p>
    <w:p w14:paraId="3482CF58" w14:textId="77777777" w:rsidR="004821C5" w:rsidRPr="00037348" w:rsidRDefault="004821C5" w:rsidP="00C170AB">
      <w:pPr>
        <w:pStyle w:val="SingleTxtG"/>
        <w:ind w:left="3402" w:hanging="2268"/>
        <w:jc w:val="left"/>
      </w:pPr>
      <w:r w:rsidRPr="00C170AB">
        <w:rPr>
          <w:i/>
          <w:iCs/>
        </w:rPr>
        <w:t>Document :</w:t>
      </w:r>
      <w:r w:rsidRPr="00C170AB">
        <w:tab/>
        <w:t>ECE/TRANS/WP.15/AC.1/2022/21 (Fédération de Russie).</w:t>
      </w:r>
    </w:p>
    <w:p w14:paraId="19592821" w14:textId="77777777" w:rsidR="004821C5" w:rsidRPr="00037348" w:rsidRDefault="004821C5" w:rsidP="00C170AB">
      <w:pPr>
        <w:pStyle w:val="SingleTxtG"/>
        <w:ind w:left="3402" w:hanging="2268"/>
        <w:jc w:val="left"/>
      </w:pPr>
      <w:r>
        <w:rPr>
          <w:i/>
          <w:iCs/>
          <w:lang w:val="fr-FR"/>
        </w:rPr>
        <w:t>Documents informels</w:t>
      </w:r>
      <w:r>
        <w:rPr>
          <w:lang w:val="fr-FR"/>
        </w:rPr>
        <w:t> </w:t>
      </w:r>
      <w:r w:rsidRPr="00853105">
        <w:rPr>
          <w:i/>
          <w:iCs/>
          <w:lang w:val="fr-FR"/>
        </w:rPr>
        <w:t>:</w:t>
      </w:r>
      <w:r>
        <w:rPr>
          <w:lang w:val="fr-FR"/>
        </w:rPr>
        <w:tab/>
        <w:t>INF.6 (</w:t>
      </w:r>
      <w:r w:rsidRPr="00C170AB">
        <w:t>Pays</w:t>
      </w:r>
      <w:r>
        <w:rPr>
          <w:lang w:val="fr-FR"/>
        </w:rPr>
        <w:t xml:space="preserve">-Bas), </w:t>
      </w:r>
      <w:r>
        <w:rPr>
          <w:lang w:val="fr-FR"/>
        </w:rPr>
        <w:br/>
        <w:t xml:space="preserve">INF.30 (France), </w:t>
      </w:r>
      <w:r>
        <w:rPr>
          <w:lang w:val="fr-FR"/>
        </w:rPr>
        <w:br/>
        <w:t>INF.36 (Groupe de travail des citernes).</w:t>
      </w:r>
    </w:p>
    <w:p w14:paraId="2450F495" w14:textId="322D82F9" w:rsidR="004821C5" w:rsidRPr="00C170AB" w:rsidRDefault="004821C5" w:rsidP="00C170AB">
      <w:pPr>
        <w:pStyle w:val="SingleTxtG"/>
        <w:rPr>
          <w:lang w:val="fr-FR"/>
        </w:rPr>
      </w:pPr>
      <w:r w:rsidRPr="00C170AB">
        <w:rPr>
          <w:lang w:val="fr-FR"/>
        </w:rPr>
        <w:t>11.</w:t>
      </w:r>
      <w:r w:rsidRPr="00C170AB">
        <w:rPr>
          <w:lang w:val="fr-FR"/>
        </w:rPr>
        <w:tab/>
        <w:t>La Réunion commune a pris note des résultats obtenus à la réunion du Groupe de travail des citernes, qui s</w:t>
      </w:r>
      <w:r w:rsidR="000C7353">
        <w:rPr>
          <w:lang w:val="fr-FR"/>
        </w:rPr>
        <w:t>’</w:t>
      </w:r>
      <w:r w:rsidRPr="00C170AB">
        <w:rPr>
          <w:lang w:val="fr-FR"/>
        </w:rPr>
        <w:t>est tenue à Genève le 14 septembre 2022 en marge de la session plénière Elle a adopté les amendements au 6.8.2.1.17 tels que proposés dans le document informel INF.36 (voir annexe).</w:t>
      </w:r>
    </w:p>
    <w:p w14:paraId="7D9E0AD9" w14:textId="37B1CC3D" w:rsidR="004821C5" w:rsidRPr="00E454BF" w:rsidRDefault="004821C5" w:rsidP="00C170AB">
      <w:pPr>
        <w:pStyle w:val="H1G"/>
        <w:rPr>
          <w:szCs w:val="24"/>
        </w:rPr>
      </w:pPr>
      <w:r>
        <w:rPr>
          <w:lang w:val="fr-FR"/>
        </w:rPr>
        <w:tab/>
        <w:t>F.</w:t>
      </w:r>
      <w:r>
        <w:rPr>
          <w:lang w:val="fr-FR"/>
        </w:rPr>
        <w:tab/>
        <w:t>Accréditation des organismes de contrôle aux fins de l</w:t>
      </w:r>
      <w:r w:rsidR="000C7353">
        <w:rPr>
          <w:lang w:val="fr-FR"/>
        </w:rPr>
        <w:t>’</w:t>
      </w:r>
      <w:r>
        <w:rPr>
          <w:lang w:val="fr-FR"/>
        </w:rPr>
        <w:t>autorisation et de la surveillance des services internes d</w:t>
      </w:r>
      <w:r w:rsidR="000C7353">
        <w:rPr>
          <w:lang w:val="fr-FR"/>
        </w:rPr>
        <w:t>’</w:t>
      </w:r>
      <w:r>
        <w:rPr>
          <w:lang w:val="fr-FR"/>
        </w:rPr>
        <w:t>inspection</w:t>
      </w:r>
    </w:p>
    <w:p w14:paraId="33132277" w14:textId="58FFC8BD" w:rsidR="004821C5" w:rsidRPr="00C170AB" w:rsidRDefault="004821C5" w:rsidP="00C170AB">
      <w:pPr>
        <w:pStyle w:val="SingleTxtG"/>
        <w:ind w:left="3402" w:hanging="2268"/>
        <w:jc w:val="left"/>
        <w:rPr>
          <w:lang w:val="fr-FR"/>
        </w:rPr>
      </w:pPr>
      <w:r w:rsidRPr="00C170AB">
        <w:rPr>
          <w:i/>
          <w:iCs/>
          <w:lang w:val="fr-FR"/>
        </w:rPr>
        <w:t>Document :</w:t>
      </w:r>
      <w:r w:rsidRPr="00C170AB">
        <w:rPr>
          <w:lang w:val="fr-FR"/>
        </w:rPr>
        <w:tab/>
        <w:t>ECE/TRANS/WP.15/AC.1/2022/30 (Royaume-Uni)</w:t>
      </w:r>
    </w:p>
    <w:p w14:paraId="001DFDFC" w14:textId="67C4D10D" w:rsidR="004821C5" w:rsidRPr="00C170AB" w:rsidRDefault="004821C5" w:rsidP="00C170AB">
      <w:pPr>
        <w:pStyle w:val="SingleTxtG"/>
        <w:ind w:left="3402" w:hanging="2268"/>
        <w:jc w:val="left"/>
        <w:rPr>
          <w:lang w:val="fr-FR"/>
        </w:rPr>
      </w:pPr>
      <w:r w:rsidRPr="00C170AB">
        <w:rPr>
          <w:i/>
          <w:iCs/>
          <w:lang w:val="fr-FR"/>
        </w:rPr>
        <w:t>Document informel :</w:t>
      </w:r>
      <w:r w:rsidRPr="00C170AB">
        <w:rPr>
          <w:lang w:val="fr-FR"/>
        </w:rPr>
        <w:tab/>
        <w:t>INF.14 (Royaume-Uni)</w:t>
      </w:r>
    </w:p>
    <w:p w14:paraId="19A55C5B" w14:textId="0174E3E4" w:rsidR="004821C5" w:rsidRPr="00C170AB" w:rsidRDefault="004821C5" w:rsidP="00C170AB">
      <w:pPr>
        <w:pStyle w:val="SingleTxtG"/>
        <w:rPr>
          <w:lang w:val="fr-FR"/>
        </w:rPr>
      </w:pPr>
      <w:r w:rsidRPr="00C170AB">
        <w:rPr>
          <w:lang w:val="fr-FR"/>
        </w:rPr>
        <w:t>12.</w:t>
      </w:r>
      <w:r w:rsidRPr="00C170AB">
        <w:rPr>
          <w:lang w:val="fr-FR"/>
        </w:rPr>
        <w:tab/>
        <w:t>En prolongement de la discussion qui a eu lieu à la réunion du Groupe de travail des citernes, le Royaume-Uni s</w:t>
      </w:r>
      <w:r w:rsidR="000C7353">
        <w:rPr>
          <w:lang w:val="fr-FR"/>
        </w:rPr>
        <w:t>’</w:t>
      </w:r>
      <w:r w:rsidRPr="00C170AB">
        <w:rPr>
          <w:lang w:val="fr-FR"/>
        </w:rPr>
        <w:t>est porté volontaire pour élaborer une brève proposition visant à mieux définir ce qui est exigé d</w:t>
      </w:r>
      <w:r w:rsidR="000C7353">
        <w:rPr>
          <w:lang w:val="fr-FR"/>
        </w:rPr>
        <w:t>’</w:t>
      </w:r>
      <w:r w:rsidRPr="00C170AB">
        <w:rPr>
          <w:lang w:val="fr-FR"/>
        </w:rPr>
        <w:t>un organisme de contrôle, lorsqu</w:t>
      </w:r>
      <w:r w:rsidR="000C7353">
        <w:rPr>
          <w:lang w:val="fr-FR"/>
        </w:rPr>
        <w:t>’</w:t>
      </w:r>
      <w:r w:rsidRPr="00C170AB">
        <w:rPr>
          <w:lang w:val="fr-FR"/>
        </w:rPr>
        <w:t>il évalue et s</w:t>
      </w:r>
      <w:r w:rsidR="000C7353">
        <w:rPr>
          <w:lang w:val="fr-FR"/>
        </w:rPr>
        <w:t>’</w:t>
      </w:r>
      <w:r w:rsidRPr="00C170AB">
        <w:rPr>
          <w:lang w:val="fr-FR"/>
        </w:rPr>
        <w:t>assure de la compétence et des performances d</w:t>
      </w:r>
      <w:r w:rsidR="000C7353">
        <w:rPr>
          <w:lang w:val="fr-FR"/>
        </w:rPr>
        <w:t>’</w:t>
      </w:r>
      <w:r w:rsidRPr="00C170AB">
        <w:rPr>
          <w:lang w:val="fr-FR"/>
        </w:rPr>
        <w:t>un service interne d</w:t>
      </w:r>
      <w:r w:rsidR="000C7353">
        <w:rPr>
          <w:lang w:val="fr-FR"/>
        </w:rPr>
        <w:t>’</w:t>
      </w:r>
      <w:r w:rsidRPr="00C170AB">
        <w:rPr>
          <w:lang w:val="fr-FR"/>
        </w:rPr>
        <w:t>inspection, pour confirmer que les contrôles et les épreuves effectués à ce titre sont conformes aux prescriptions du RID ou de l</w:t>
      </w:r>
      <w:r w:rsidR="000C7353">
        <w:rPr>
          <w:lang w:val="fr-FR"/>
        </w:rPr>
        <w:t>’</w:t>
      </w:r>
      <w:r w:rsidRPr="00C170AB">
        <w:rPr>
          <w:lang w:val="fr-FR"/>
        </w:rPr>
        <w:t>ADR, comme prescrit au 1.8.7.7.2 a).</w:t>
      </w:r>
    </w:p>
    <w:p w14:paraId="77D4BE30" w14:textId="3D5C43EA" w:rsidR="004821C5" w:rsidRPr="00192815" w:rsidRDefault="004821C5" w:rsidP="00C170AB">
      <w:pPr>
        <w:pStyle w:val="HChG"/>
      </w:pPr>
      <w:r w:rsidRPr="00E454BF">
        <w:rPr>
          <w:bCs/>
        </w:rPr>
        <w:tab/>
      </w:r>
      <w:r>
        <w:rPr>
          <w:lang w:val="fr-FR"/>
        </w:rPr>
        <w:t>V.</w:t>
      </w:r>
      <w:r>
        <w:rPr>
          <w:lang w:val="fr-FR"/>
        </w:rPr>
        <w:tab/>
        <w:t>Normes (point 3 de l</w:t>
      </w:r>
      <w:r w:rsidR="000C7353">
        <w:rPr>
          <w:lang w:val="fr-FR"/>
        </w:rPr>
        <w:t>’</w:t>
      </w:r>
      <w:r>
        <w:rPr>
          <w:lang w:val="fr-FR"/>
        </w:rPr>
        <w:t>ordre du jour)</w:t>
      </w:r>
    </w:p>
    <w:p w14:paraId="37912950" w14:textId="5B1ADE67" w:rsidR="004821C5" w:rsidRPr="00C170AB" w:rsidRDefault="004821C5" w:rsidP="00C170AB">
      <w:pPr>
        <w:pStyle w:val="SingleTxtG"/>
        <w:rPr>
          <w:lang w:val="fr-FR"/>
        </w:rPr>
      </w:pPr>
      <w:r w:rsidRPr="00C170AB">
        <w:rPr>
          <w:lang w:val="fr-FR"/>
        </w:rPr>
        <w:t>13.</w:t>
      </w:r>
      <w:r w:rsidRPr="00C170AB">
        <w:rPr>
          <w:lang w:val="fr-FR"/>
        </w:rPr>
        <w:tab/>
        <w:t>Le représentant des Pays-Bas a retiré le document ECE/TRANS/WP.15/</w:t>
      </w:r>
      <w:r w:rsidR="004E1C74">
        <w:rPr>
          <w:lang w:val="fr-FR"/>
        </w:rPr>
        <w:br/>
      </w:r>
      <w:r w:rsidRPr="00C170AB">
        <w:rPr>
          <w:lang w:val="fr-FR"/>
        </w:rPr>
        <w:t>AC.1/2022/24.</w:t>
      </w:r>
    </w:p>
    <w:p w14:paraId="56EAA113" w14:textId="77777777" w:rsidR="004821C5" w:rsidRPr="00192815" w:rsidRDefault="004821C5" w:rsidP="00C170AB">
      <w:pPr>
        <w:pStyle w:val="H1G"/>
        <w:rPr>
          <w:szCs w:val="24"/>
        </w:rPr>
      </w:pPr>
      <w:r>
        <w:rPr>
          <w:lang w:val="fr-FR"/>
        </w:rPr>
        <w:tab/>
        <w:t>A.</w:t>
      </w:r>
      <w:r>
        <w:rPr>
          <w:lang w:val="fr-FR"/>
        </w:rPr>
        <w:tab/>
        <w:t>Informations sur les activités du Groupe de travail des normes</w:t>
      </w:r>
    </w:p>
    <w:p w14:paraId="02324CE4" w14:textId="77777777" w:rsidR="004821C5" w:rsidRPr="00C170AB" w:rsidRDefault="004821C5" w:rsidP="00C170AB">
      <w:pPr>
        <w:pStyle w:val="SingleTxtG"/>
        <w:ind w:left="3402" w:hanging="2268"/>
        <w:jc w:val="left"/>
        <w:rPr>
          <w:lang w:val="fr-FR"/>
        </w:rPr>
      </w:pPr>
      <w:r w:rsidRPr="00C170AB">
        <w:rPr>
          <w:i/>
          <w:iCs/>
          <w:lang w:val="fr-FR"/>
        </w:rPr>
        <w:t>Documents :</w:t>
      </w:r>
      <w:r w:rsidRPr="00C170AB">
        <w:rPr>
          <w:lang w:val="fr-FR"/>
        </w:rPr>
        <w:tab/>
        <w:t>ECE/TRANS/WP.15/AC.1/2022/23 (CEN) ECE/TRANS/WP.15/AC.1/2022/32 (secrétariat)</w:t>
      </w:r>
    </w:p>
    <w:p w14:paraId="5EBC8B63" w14:textId="77777777" w:rsidR="004821C5" w:rsidRPr="00C170AB" w:rsidRDefault="004821C5" w:rsidP="00C170AB">
      <w:pPr>
        <w:pStyle w:val="SingleTxtG"/>
        <w:ind w:left="3402" w:hanging="2268"/>
        <w:jc w:val="left"/>
        <w:rPr>
          <w:lang w:val="fr-FR"/>
        </w:rPr>
      </w:pPr>
      <w:r w:rsidRPr="00C170AB">
        <w:rPr>
          <w:i/>
          <w:iCs/>
          <w:lang w:val="fr-FR"/>
        </w:rPr>
        <w:t>Documents informels :</w:t>
      </w:r>
      <w:r w:rsidRPr="00C170AB">
        <w:rPr>
          <w:lang w:val="fr-FR"/>
        </w:rPr>
        <w:tab/>
        <w:t>INF.18 et INF.19 (CEN)</w:t>
      </w:r>
    </w:p>
    <w:p w14:paraId="5B049030" w14:textId="289E983A" w:rsidR="004821C5" w:rsidRPr="00C170AB" w:rsidRDefault="004821C5" w:rsidP="00C170AB">
      <w:pPr>
        <w:pStyle w:val="SingleTxtG"/>
        <w:rPr>
          <w:lang w:val="fr-FR"/>
        </w:rPr>
      </w:pPr>
      <w:r w:rsidRPr="00C170AB">
        <w:rPr>
          <w:lang w:val="fr-FR"/>
        </w:rPr>
        <w:t>14.</w:t>
      </w:r>
      <w:r w:rsidRPr="00C170AB">
        <w:rPr>
          <w:lang w:val="fr-FR"/>
        </w:rPr>
        <w:tab/>
        <w:t xml:space="preserve">La Réunion commune a pris note des résultats de la récente réunion du Groupe de travail des normes et des décisions prises, dont il est question dans le document informel INF.18 </w:t>
      </w:r>
      <w:proofErr w:type="gramStart"/>
      <w:r w:rsidRPr="00C170AB">
        <w:rPr>
          <w:lang w:val="fr-FR"/>
        </w:rPr>
        <w:t>relatif</w:t>
      </w:r>
      <w:proofErr w:type="gramEnd"/>
      <w:r w:rsidRPr="00C170AB">
        <w:rPr>
          <w:lang w:val="fr-FR"/>
        </w:rPr>
        <w:t xml:space="preserve"> à l</w:t>
      </w:r>
      <w:r w:rsidR="000C7353">
        <w:rPr>
          <w:lang w:val="fr-FR"/>
        </w:rPr>
        <w:t>’</w:t>
      </w:r>
      <w:r w:rsidRPr="00C170AB">
        <w:rPr>
          <w:lang w:val="fr-FR"/>
        </w:rPr>
        <w:t>examen des normes énumérées dans le document ECE/TRANS/</w:t>
      </w:r>
      <w:r w:rsidR="004E1C74">
        <w:rPr>
          <w:lang w:val="fr-FR"/>
        </w:rPr>
        <w:br/>
      </w:r>
      <w:r w:rsidRPr="00C170AB">
        <w:rPr>
          <w:lang w:val="fr-FR"/>
        </w:rPr>
        <w:t>WP.15/AC.1/2022/23.</w:t>
      </w:r>
    </w:p>
    <w:p w14:paraId="591C75A7" w14:textId="6A47F14C" w:rsidR="004821C5" w:rsidRPr="00C170AB" w:rsidRDefault="004821C5" w:rsidP="004E1C74">
      <w:pPr>
        <w:pStyle w:val="SingleTxtG"/>
        <w:keepNext/>
        <w:keepLines/>
        <w:rPr>
          <w:lang w:val="fr-FR"/>
        </w:rPr>
      </w:pPr>
      <w:r w:rsidRPr="00C170AB">
        <w:rPr>
          <w:lang w:val="fr-FR"/>
        </w:rPr>
        <w:lastRenderedPageBreak/>
        <w:t>15.</w:t>
      </w:r>
      <w:r w:rsidRPr="00C170AB">
        <w:rPr>
          <w:lang w:val="fr-FR"/>
        </w:rPr>
        <w:tab/>
        <w:t>En ce qui concerne les propositions figurant dans le document informel INF.19, la Réunion commune a adopté les modifications proposées au point 3 mais a préféré maintenir entre crochets les deux normes des points 3.1 et 3.2, sous réserve d</w:t>
      </w:r>
      <w:r w:rsidR="000C7353">
        <w:rPr>
          <w:lang w:val="fr-FR"/>
        </w:rPr>
        <w:t>’</w:t>
      </w:r>
      <w:r w:rsidRPr="00C170AB">
        <w:rPr>
          <w:lang w:val="fr-FR"/>
        </w:rPr>
        <w:t>un dernier examen à la session suivante. La Réunion commune a également adopté les amendements proposés dans le document ECE/TRANS/WP.15/AC.1/2022/32 (voir annexe).</w:t>
      </w:r>
    </w:p>
    <w:p w14:paraId="5DB8B46E" w14:textId="77777777" w:rsidR="004821C5" w:rsidRPr="000659F8" w:rsidRDefault="004821C5" w:rsidP="00C90B21">
      <w:pPr>
        <w:pStyle w:val="H1G"/>
        <w:rPr>
          <w:szCs w:val="24"/>
        </w:rPr>
      </w:pPr>
      <w:r>
        <w:rPr>
          <w:lang w:val="fr-FR"/>
        </w:rPr>
        <w:tab/>
        <w:t>B.</w:t>
      </w:r>
      <w:r>
        <w:rPr>
          <w:lang w:val="fr-FR"/>
        </w:rPr>
        <w:tab/>
        <w:t xml:space="preserve">Références à la norme EN 14841 dans les notas du 1.4.3.3 </w:t>
      </w:r>
      <w:r>
        <w:rPr>
          <w:lang w:val="fr-FR"/>
        </w:rPr>
        <w:br/>
        <w:t>et du 1.4.3.7.1 du RID</w:t>
      </w:r>
    </w:p>
    <w:p w14:paraId="11EEBFCC" w14:textId="6DEFC694" w:rsidR="004821C5" w:rsidRPr="00C90B21" w:rsidRDefault="004821C5" w:rsidP="00C90B21">
      <w:pPr>
        <w:pStyle w:val="SingleTxtG"/>
        <w:ind w:left="3402" w:hanging="2268"/>
        <w:jc w:val="left"/>
        <w:rPr>
          <w:lang w:val="fr-FR"/>
        </w:rPr>
      </w:pPr>
      <w:r w:rsidRPr="00C90B21">
        <w:rPr>
          <w:i/>
          <w:iCs/>
          <w:lang w:val="fr-FR"/>
        </w:rPr>
        <w:t>Document informel :</w:t>
      </w:r>
      <w:r w:rsidRPr="00C90B21">
        <w:rPr>
          <w:lang w:val="fr-FR"/>
        </w:rPr>
        <w:tab/>
        <w:t>INF.3 (secrétariat de l</w:t>
      </w:r>
      <w:r w:rsidR="000C7353">
        <w:rPr>
          <w:lang w:val="fr-FR"/>
        </w:rPr>
        <w:t>’</w:t>
      </w:r>
      <w:r w:rsidRPr="00C90B21">
        <w:rPr>
          <w:lang w:val="fr-FR"/>
        </w:rPr>
        <w:t>OTIF)</w:t>
      </w:r>
    </w:p>
    <w:p w14:paraId="0F40B4CD" w14:textId="61723D99" w:rsidR="004821C5" w:rsidRPr="00C90B21" w:rsidRDefault="004821C5" w:rsidP="00C90B21">
      <w:pPr>
        <w:pStyle w:val="SingleTxtG"/>
        <w:rPr>
          <w:lang w:val="fr-FR"/>
        </w:rPr>
      </w:pPr>
      <w:r w:rsidRPr="00C90B21">
        <w:rPr>
          <w:lang w:val="fr-FR"/>
        </w:rPr>
        <w:t>16.</w:t>
      </w:r>
      <w:r w:rsidRPr="00C90B21">
        <w:rPr>
          <w:lang w:val="fr-FR"/>
        </w:rPr>
        <w:tab/>
        <w:t>La Réunion commune a accueilli favorablement les informations communiquées par le groupe de travail permanent de la Commission d</w:t>
      </w:r>
      <w:r w:rsidR="000C7353">
        <w:rPr>
          <w:lang w:val="fr-FR"/>
        </w:rPr>
        <w:t>’</w:t>
      </w:r>
      <w:r w:rsidRPr="00C90B21">
        <w:rPr>
          <w:lang w:val="fr-FR"/>
        </w:rPr>
        <w:t>experts du RID sur les références à la norme EN 14841 et a fait observer qu</w:t>
      </w:r>
      <w:r w:rsidR="000C7353">
        <w:rPr>
          <w:lang w:val="fr-FR"/>
        </w:rPr>
        <w:t>’</w:t>
      </w:r>
      <w:r w:rsidRPr="00C90B21">
        <w:rPr>
          <w:lang w:val="fr-FR"/>
        </w:rPr>
        <w:t>une référence à cette norme ne serait pas intégrée dans le RID 2023, même en tant que référence pour une application volontaire, car le groupe de travail a estimé que le projet actuel de cette norme n</w:t>
      </w:r>
      <w:r w:rsidR="000C7353">
        <w:rPr>
          <w:lang w:val="fr-FR"/>
        </w:rPr>
        <w:t>’</w:t>
      </w:r>
      <w:r w:rsidRPr="00C90B21">
        <w:rPr>
          <w:lang w:val="fr-FR"/>
        </w:rPr>
        <w:t>était pas prêt à être référencé dans le RID. Le groupe de travail permanent reviendrait sur cette question après la publication de la norme.</w:t>
      </w:r>
    </w:p>
    <w:p w14:paraId="4064DF16" w14:textId="6E16053A" w:rsidR="004821C5" w:rsidRPr="00EE5926" w:rsidRDefault="004821C5" w:rsidP="00EE5926">
      <w:pPr>
        <w:pStyle w:val="H1G"/>
        <w:rPr>
          <w:lang w:val="fr-FR"/>
        </w:rPr>
      </w:pPr>
      <w:r w:rsidRPr="00EE5926">
        <w:rPr>
          <w:lang w:val="fr-FR"/>
        </w:rPr>
        <w:tab/>
      </w:r>
      <w:r>
        <w:rPr>
          <w:lang w:val="fr-FR"/>
        </w:rPr>
        <w:t>C.</w:t>
      </w:r>
      <w:r>
        <w:rPr>
          <w:lang w:val="fr-FR"/>
        </w:rPr>
        <w:tab/>
        <w:t>Informations sur les difficultés d</w:t>
      </w:r>
      <w:r w:rsidR="000C7353">
        <w:rPr>
          <w:lang w:val="fr-FR"/>
        </w:rPr>
        <w:t>’</w:t>
      </w:r>
      <w:r>
        <w:rPr>
          <w:lang w:val="fr-FR"/>
        </w:rPr>
        <w:t>application d</w:t>
      </w:r>
      <w:r w:rsidR="000C7353">
        <w:rPr>
          <w:lang w:val="fr-FR"/>
        </w:rPr>
        <w:t>’</w:t>
      </w:r>
      <w:r>
        <w:rPr>
          <w:lang w:val="fr-FR"/>
        </w:rPr>
        <w:t xml:space="preserve">une norme </w:t>
      </w:r>
      <w:r>
        <w:rPr>
          <w:lang w:val="fr-FR"/>
        </w:rPr>
        <w:br/>
        <w:t>mentionnée au chapitre 6.2</w:t>
      </w:r>
    </w:p>
    <w:p w14:paraId="78CF14D2" w14:textId="77777777" w:rsidR="004821C5" w:rsidRPr="00EE5926" w:rsidRDefault="004821C5" w:rsidP="00EE5926">
      <w:pPr>
        <w:pStyle w:val="SingleTxtG"/>
        <w:ind w:left="3402" w:hanging="2268"/>
        <w:jc w:val="left"/>
        <w:rPr>
          <w:lang w:val="fr-FR"/>
        </w:rPr>
      </w:pPr>
      <w:r w:rsidRPr="00EE5926">
        <w:rPr>
          <w:i/>
          <w:iCs/>
          <w:lang w:val="fr-FR"/>
        </w:rPr>
        <w:t>Document informel :</w:t>
      </w:r>
      <w:r w:rsidRPr="00EE5926">
        <w:rPr>
          <w:lang w:val="fr-FR"/>
        </w:rPr>
        <w:tab/>
        <w:t>INF.15 (CEN)</w:t>
      </w:r>
    </w:p>
    <w:p w14:paraId="3B5EC795" w14:textId="4E609E63" w:rsidR="004821C5" w:rsidRPr="00C90B21" w:rsidRDefault="004821C5" w:rsidP="00C90B21">
      <w:pPr>
        <w:pStyle w:val="SingleTxtG"/>
        <w:rPr>
          <w:lang w:val="fr-FR"/>
        </w:rPr>
      </w:pPr>
      <w:r w:rsidRPr="00C90B21">
        <w:rPr>
          <w:lang w:val="fr-FR"/>
        </w:rPr>
        <w:t>17.</w:t>
      </w:r>
      <w:r w:rsidRPr="00C90B21">
        <w:rPr>
          <w:lang w:val="fr-FR"/>
        </w:rPr>
        <w:tab/>
        <w:t>Le représentant du CEN a fait référence à l</w:t>
      </w:r>
      <w:r w:rsidR="000C7353">
        <w:rPr>
          <w:lang w:val="fr-FR"/>
        </w:rPr>
        <w:t>’</w:t>
      </w:r>
      <w:r w:rsidRPr="00C90B21">
        <w:rPr>
          <w:lang w:val="fr-FR"/>
        </w:rPr>
        <w:t>échange de vues de la session de septembre 2021 et informé la Réunion commune des résultats des réflexions du Comité technique TC58/SC3 de l</w:t>
      </w:r>
      <w:r w:rsidR="000C7353">
        <w:rPr>
          <w:lang w:val="fr-FR"/>
        </w:rPr>
        <w:t>’</w:t>
      </w:r>
      <w:r w:rsidRPr="00C90B21">
        <w:rPr>
          <w:lang w:val="fr-FR"/>
        </w:rPr>
        <w:t>ISO et du résumé des travaux de cet organe, qui figure en annexe au document informel INF.15.</w:t>
      </w:r>
    </w:p>
    <w:p w14:paraId="3E1B6C61" w14:textId="522640F4" w:rsidR="004821C5" w:rsidRPr="000659F8" w:rsidRDefault="004821C5" w:rsidP="00EE5926">
      <w:pPr>
        <w:pStyle w:val="HChG"/>
      </w:pPr>
      <w:r>
        <w:rPr>
          <w:lang w:val="fr-FR"/>
        </w:rPr>
        <w:tab/>
      </w:r>
      <w:r w:rsidRPr="00B93BE1">
        <w:rPr>
          <w:lang w:val="fr-FR"/>
        </w:rPr>
        <w:t>VI.</w:t>
      </w:r>
      <w:r w:rsidRPr="00B93BE1">
        <w:rPr>
          <w:lang w:val="fr-FR"/>
        </w:rPr>
        <w:tab/>
        <w:t>Harmonisation avec les Recommandations relatives au transport des marchandises dangereuses (Nations Unies) (point 4 de l</w:t>
      </w:r>
      <w:r w:rsidR="000C7353">
        <w:rPr>
          <w:lang w:val="fr-FR"/>
        </w:rPr>
        <w:t>’</w:t>
      </w:r>
      <w:r w:rsidRPr="00B93BE1">
        <w:rPr>
          <w:lang w:val="fr-FR"/>
        </w:rPr>
        <w:t>ordre du jour)</w:t>
      </w:r>
    </w:p>
    <w:p w14:paraId="3D19A97E" w14:textId="0EA68126" w:rsidR="004821C5" w:rsidRPr="00C90B21" w:rsidRDefault="004821C5" w:rsidP="00C90B21">
      <w:pPr>
        <w:pStyle w:val="SingleTxtG"/>
        <w:rPr>
          <w:lang w:val="fr-FR"/>
        </w:rPr>
      </w:pPr>
      <w:r w:rsidRPr="00C90B21">
        <w:rPr>
          <w:lang w:val="fr-FR"/>
        </w:rPr>
        <w:t>18.</w:t>
      </w:r>
      <w:r w:rsidRPr="00C90B21">
        <w:rPr>
          <w:lang w:val="fr-FR"/>
        </w:rPr>
        <w:tab/>
        <w:t>La Réunion commune a noté que la prochaine session du Groupe de travail spécial de l</w:t>
      </w:r>
      <w:r w:rsidR="000C7353">
        <w:rPr>
          <w:lang w:val="fr-FR"/>
        </w:rPr>
        <w:t>’</w:t>
      </w:r>
      <w:r w:rsidRPr="00C90B21">
        <w:rPr>
          <w:lang w:val="fr-FR"/>
        </w:rPr>
        <w:t>harmonisation des Règlements RID/ADR/ADN avec les Recommandations de l</w:t>
      </w:r>
      <w:r w:rsidR="000C7353">
        <w:rPr>
          <w:lang w:val="fr-FR"/>
        </w:rPr>
        <w:t>’</w:t>
      </w:r>
      <w:r w:rsidRPr="00C90B21">
        <w:rPr>
          <w:lang w:val="fr-FR"/>
        </w:rPr>
        <w:t>ONU relatives au transport des marchandises dangereuses se tiendrait à Genève du 26 au 28 avril 2023.</w:t>
      </w:r>
    </w:p>
    <w:p w14:paraId="1C8821F7" w14:textId="00194B8C" w:rsidR="004821C5" w:rsidRPr="00EE5926" w:rsidRDefault="004821C5" w:rsidP="00EE5926">
      <w:pPr>
        <w:pStyle w:val="HChG"/>
        <w:rPr>
          <w:lang w:val="fr-FR"/>
        </w:rPr>
      </w:pPr>
      <w:r>
        <w:rPr>
          <w:lang w:val="fr-FR"/>
        </w:rPr>
        <w:tab/>
      </w:r>
      <w:r w:rsidRPr="00B93BE1">
        <w:rPr>
          <w:lang w:val="fr-FR"/>
        </w:rPr>
        <w:t>VII.</w:t>
      </w:r>
      <w:r w:rsidRPr="00B93BE1">
        <w:rPr>
          <w:lang w:val="fr-FR"/>
        </w:rPr>
        <w:tab/>
        <w:t>Propositions d</w:t>
      </w:r>
      <w:r w:rsidR="000C7353">
        <w:rPr>
          <w:lang w:val="fr-FR"/>
        </w:rPr>
        <w:t>’</w:t>
      </w:r>
      <w:r w:rsidRPr="00B93BE1">
        <w:rPr>
          <w:lang w:val="fr-FR"/>
        </w:rPr>
        <w:t>amendements au RID, à l</w:t>
      </w:r>
      <w:r w:rsidR="000C7353">
        <w:rPr>
          <w:lang w:val="fr-FR"/>
        </w:rPr>
        <w:t>’</w:t>
      </w:r>
      <w:r w:rsidRPr="00B93BE1">
        <w:rPr>
          <w:lang w:val="fr-FR"/>
        </w:rPr>
        <w:t>ADR et à l</w:t>
      </w:r>
      <w:r w:rsidR="000C7353">
        <w:rPr>
          <w:lang w:val="fr-FR"/>
        </w:rPr>
        <w:t>’</w:t>
      </w:r>
      <w:r w:rsidRPr="00B93BE1">
        <w:rPr>
          <w:lang w:val="fr-FR"/>
        </w:rPr>
        <w:t>ADN (point 5 de l</w:t>
      </w:r>
      <w:r w:rsidR="000C7353">
        <w:rPr>
          <w:lang w:val="fr-FR"/>
        </w:rPr>
        <w:t>’</w:t>
      </w:r>
      <w:r w:rsidRPr="00B93BE1">
        <w:rPr>
          <w:lang w:val="fr-FR"/>
        </w:rPr>
        <w:t>ordre du jour)</w:t>
      </w:r>
    </w:p>
    <w:p w14:paraId="2D8BB661" w14:textId="77777777" w:rsidR="004821C5" w:rsidRPr="00172BF7" w:rsidRDefault="004821C5" w:rsidP="00EE5926">
      <w:pPr>
        <w:pStyle w:val="H1G"/>
      </w:pPr>
      <w:bookmarkStart w:id="1" w:name="_Hlk50472439"/>
      <w:r>
        <w:rPr>
          <w:lang w:val="fr-FR"/>
        </w:rPr>
        <w:tab/>
      </w:r>
      <w:r w:rsidRPr="00B93BE1">
        <w:rPr>
          <w:lang w:val="fr-FR"/>
        </w:rPr>
        <w:t>A.</w:t>
      </w:r>
      <w:r w:rsidRPr="00B93BE1">
        <w:rPr>
          <w:lang w:val="fr-FR"/>
        </w:rPr>
        <w:tab/>
        <w:t>Questions en suspens</w:t>
      </w:r>
    </w:p>
    <w:p w14:paraId="63E0832C" w14:textId="77777777" w:rsidR="004821C5" w:rsidRPr="00483AF5" w:rsidRDefault="004821C5" w:rsidP="00076FF5">
      <w:pPr>
        <w:pStyle w:val="H23G"/>
      </w:pPr>
      <w:bookmarkStart w:id="2" w:name="_Hlk50725266"/>
      <w:r>
        <w:rPr>
          <w:lang w:val="fr-FR"/>
        </w:rPr>
        <w:tab/>
      </w:r>
      <w:r w:rsidRPr="00483AF5">
        <w:rPr>
          <w:lang w:val="fr-FR"/>
        </w:rPr>
        <w:t>1.</w:t>
      </w:r>
      <w:r w:rsidRPr="00483AF5">
        <w:rPr>
          <w:lang w:val="fr-FR"/>
        </w:rPr>
        <w:tab/>
        <w:t>Informations sur la catégorie de transport applicable aux piles et batteries au lithium ionique ou au lithium métal endommagées ou défectueuses</w:t>
      </w:r>
      <w:bookmarkEnd w:id="2"/>
    </w:p>
    <w:p w14:paraId="37152A51" w14:textId="77777777" w:rsidR="004821C5" w:rsidRPr="00076FF5" w:rsidRDefault="004821C5" w:rsidP="00076FF5">
      <w:pPr>
        <w:pStyle w:val="SingleTxtG"/>
        <w:ind w:left="3402" w:hanging="2268"/>
        <w:jc w:val="left"/>
        <w:rPr>
          <w:lang w:val="fr-FR"/>
        </w:rPr>
      </w:pPr>
      <w:r w:rsidRPr="00076FF5">
        <w:rPr>
          <w:i/>
          <w:iCs/>
          <w:lang w:val="fr-FR"/>
        </w:rPr>
        <w:t>Document :</w:t>
      </w:r>
      <w:r w:rsidRPr="00076FF5">
        <w:rPr>
          <w:lang w:val="fr-FR"/>
        </w:rPr>
        <w:tab/>
        <w:t>ECE/TRANS/WP.15/AC.1/2022/26 (Allemagne)</w:t>
      </w:r>
    </w:p>
    <w:p w14:paraId="42053E84" w14:textId="4767594F" w:rsidR="004821C5" w:rsidRPr="00C90B21" w:rsidRDefault="004821C5" w:rsidP="00C90B21">
      <w:pPr>
        <w:pStyle w:val="SingleTxtG"/>
        <w:rPr>
          <w:lang w:val="fr-FR"/>
        </w:rPr>
      </w:pPr>
      <w:r w:rsidRPr="00C90B21">
        <w:rPr>
          <w:lang w:val="fr-FR"/>
        </w:rPr>
        <w:t>19.</w:t>
      </w:r>
      <w:r w:rsidRPr="00C90B21">
        <w:rPr>
          <w:lang w:val="fr-FR"/>
        </w:rPr>
        <w:tab/>
        <w:t>Rappelant sa discussion précédente sur le document ECE/TRANS/WP.15/</w:t>
      </w:r>
      <w:r w:rsidR="004E1C74">
        <w:rPr>
          <w:lang w:val="fr-FR"/>
        </w:rPr>
        <w:br/>
      </w:r>
      <w:r w:rsidRPr="00C90B21">
        <w:rPr>
          <w:lang w:val="fr-FR"/>
        </w:rPr>
        <w:t>AC.1/2022/1, la Réunion commune a accueilli favorablement les trois solutions proposées par l</w:t>
      </w:r>
      <w:r w:rsidR="000C7353">
        <w:rPr>
          <w:lang w:val="fr-FR"/>
        </w:rPr>
        <w:t>’</w:t>
      </w:r>
      <w:r w:rsidRPr="00C90B21">
        <w:rPr>
          <w:lang w:val="fr-FR"/>
        </w:rPr>
        <w:t>Allemagne. La plupart des représentants qui ont pris la parole étaient favorables à l</w:t>
      </w:r>
      <w:r w:rsidR="000C7353">
        <w:rPr>
          <w:lang w:val="fr-FR"/>
        </w:rPr>
        <w:t>’</w:t>
      </w:r>
      <w:r w:rsidRPr="00C90B21">
        <w:rPr>
          <w:lang w:val="fr-FR"/>
        </w:rPr>
        <w:t>option 2, à savoir l</w:t>
      </w:r>
      <w:r w:rsidR="000C7353">
        <w:rPr>
          <w:lang w:val="fr-FR"/>
        </w:rPr>
        <w:t>’</w:t>
      </w:r>
      <w:r w:rsidRPr="00C90B21">
        <w:rPr>
          <w:lang w:val="fr-FR"/>
        </w:rPr>
        <w:t>ajout d</w:t>
      </w:r>
      <w:r w:rsidR="000C7353">
        <w:rPr>
          <w:lang w:val="fr-FR"/>
        </w:rPr>
        <w:t>’</w:t>
      </w:r>
      <w:r w:rsidRPr="00C90B21">
        <w:rPr>
          <w:lang w:val="fr-FR"/>
        </w:rPr>
        <w:t>une disposition spéciale dans le chapitre 3.3. D</w:t>
      </w:r>
      <w:r w:rsidR="000C7353">
        <w:rPr>
          <w:lang w:val="fr-FR"/>
        </w:rPr>
        <w:t>’</w:t>
      </w:r>
      <w:r w:rsidRPr="00C90B21">
        <w:rPr>
          <w:lang w:val="fr-FR"/>
        </w:rPr>
        <w:t>autres représentants penchaient en faveur de la modification des instructions d</w:t>
      </w:r>
      <w:r w:rsidR="000C7353">
        <w:rPr>
          <w:lang w:val="fr-FR"/>
        </w:rPr>
        <w:t>’</w:t>
      </w:r>
      <w:r w:rsidRPr="00C90B21">
        <w:rPr>
          <w:lang w:val="fr-FR"/>
        </w:rPr>
        <w:t>emballage du chapitre 4.1. La Réunion commune a finalement adopté à la majorité les modifications correspondant à l</w:t>
      </w:r>
      <w:r w:rsidR="000C7353">
        <w:rPr>
          <w:lang w:val="fr-FR"/>
        </w:rPr>
        <w:t>’</w:t>
      </w:r>
      <w:r w:rsidRPr="00C90B21">
        <w:rPr>
          <w:lang w:val="fr-FR"/>
        </w:rPr>
        <w:t>option 2 présentée dans le document ECE/TRANS/WP.15/AC.1/2022/26 tel que modifié (voir annexe).</w:t>
      </w:r>
    </w:p>
    <w:p w14:paraId="5E3C26AB" w14:textId="42303383" w:rsidR="004821C5" w:rsidRPr="00C90B21" w:rsidRDefault="004821C5" w:rsidP="00C90B21">
      <w:pPr>
        <w:pStyle w:val="SingleTxtG"/>
        <w:rPr>
          <w:lang w:val="fr-FR"/>
        </w:rPr>
      </w:pPr>
      <w:r w:rsidRPr="00C90B21">
        <w:rPr>
          <w:lang w:val="fr-FR"/>
        </w:rPr>
        <w:lastRenderedPageBreak/>
        <w:t>20.</w:t>
      </w:r>
      <w:r w:rsidRPr="00C90B21">
        <w:rPr>
          <w:lang w:val="fr-FR"/>
        </w:rPr>
        <w:tab/>
        <w:t>Il a été noté que la disposition spéciale 376 contient des variations par rapport au Règlement type et qu</w:t>
      </w:r>
      <w:r w:rsidR="000C7353">
        <w:rPr>
          <w:lang w:val="fr-FR"/>
        </w:rPr>
        <w:t>’</w:t>
      </w:r>
      <w:r w:rsidRPr="00C90B21">
        <w:rPr>
          <w:lang w:val="fr-FR"/>
        </w:rPr>
        <w:t>il faudrait également envisager l</w:t>
      </w:r>
      <w:r w:rsidR="000C7353">
        <w:rPr>
          <w:lang w:val="fr-FR"/>
        </w:rPr>
        <w:t>’</w:t>
      </w:r>
      <w:r w:rsidRPr="00C90B21">
        <w:rPr>
          <w:lang w:val="fr-FR"/>
        </w:rPr>
        <w:t>idée d</w:t>
      </w:r>
      <w:r w:rsidR="000C7353">
        <w:rPr>
          <w:lang w:val="fr-FR"/>
        </w:rPr>
        <w:t>’</w:t>
      </w:r>
      <w:r w:rsidRPr="00C90B21">
        <w:rPr>
          <w:lang w:val="fr-FR"/>
        </w:rPr>
        <w:t>inclure toutes ces variations par rapport à la disposition spéciale 376 du Règlement type dans la disposition spéciale 677 nouvellement créée. Les délégations ont été encouragées à soumettre des propositions à une prochaine session de la Réunion commune.</w:t>
      </w:r>
    </w:p>
    <w:bookmarkEnd w:id="1"/>
    <w:p w14:paraId="44A44A5C" w14:textId="77777777" w:rsidR="004821C5" w:rsidRPr="0091501A" w:rsidRDefault="004821C5" w:rsidP="004F2274">
      <w:pPr>
        <w:pStyle w:val="H1G"/>
      </w:pPr>
      <w:r w:rsidRPr="00E84037">
        <w:tab/>
      </w:r>
      <w:r w:rsidRPr="00B93BE1">
        <w:rPr>
          <w:lang w:val="fr-FR"/>
        </w:rPr>
        <w:t>B.</w:t>
      </w:r>
      <w:r w:rsidRPr="00B93BE1">
        <w:rPr>
          <w:lang w:val="fr-FR"/>
        </w:rPr>
        <w:tab/>
        <w:t>Nouvelles propositions</w:t>
      </w:r>
    </w:p>
    <w:p w14:paraId="6DC575E6" w14:textId="40E98FEA" w:rsidR="004821C5" w:rsidRPr="00D95CFB" w:rsidRDefault="004821C5" w:rsidP="004F2274">
      <w:pPr>
        <w:pStyle w:val="H23G"/>
      </w:pPr>
      <w:r>
        <w:rPr>
          <w:lang w:val="fr-FR"/>
        </w:rPr>
        <w:tab/>
      </w:r>
      <w:r w:rsidRPr="00D95CFB">
        <w:rPr>
          <w:lang w:val="fr-FR"/>
        </w:rPr>
        <w:t>1.</w:t>
      </w:r>
      <w:r w:rsidRPr="00D95CFB">
        <w:rPr>
          <w:lang w:val="fr-FR"/>
        </w:rPr>
        <w:tab/>
        <w:t>Tableau A du RID et de l</w:t>
      </w:r>
      <w:r w:rsidR="000C7353">
        <w:rPr>
          <w:lang w:val="fr-FR"/>
        </w:rPr>
        <w:t>’</w:t>
      </w:r>
      <w:r w:rsidRPr="00D95CFB">
        <w:rPr>
          <w:lang w:val="fr-FR"/>
        </w:rPr>
        <w:t>ADR</w:t>
      </w:r>
      <w:r w:rsidR="00853105">
        <w:rPr>
          <w:lang w:val="fr-FR"/>
        </w:rPr>
        <w:t> </w:t>
      </w:r>
      <w:r w:rsidRPr="00D95CFB">
        <w:rPr>
          <w:lang w:val="fr-FR"/>
        </w:rPr>
        <w:t>: No ONU 1308, groupe d</w:t>
      </w:r>
      <w:r w:rsidR="000C7353">
        <w:rPr>
          <w:lang w:val="fr-FR"/>
        </w:rPr>
        <w:t>’</w:t>
      </w:r>
      <w:r w:rsidRPr="00D95CFB">
        <w:rPr>
          <w:lang w:val="fr-FR"/>
        </w:rPr>
        <w:t>emballage II</w:t>
      </w:r>
    </w:p>
    <w:p w14:paraId="4B48E786" w14:textId="77777777" w:rsidR="004821C5" w:rsidRPr="004F2274" w:rsidRDefault="004821C5" w:rsidP="004F2274">
      <w:pPr>
        <w:pStyle w:val="SingleTxtG"/>
        <w:ind w:left="3402" w:hanging="2268"/>
        <w:jc w:val="left"/>
        <w:rPr>
          <w:lang w:val="fr-FR"/>
        </w:rPr>
      </w:pPr>
      <w:r w:rsidRPr="004F2274">
        <w:rPr>
          <w:i/>
          <w:iCs/>
          <w:lang w:val="fr-FR"/>
        </w:rPr>
        <w:t>Document :</w:t>
      </w:r>
      <w:r w:rsidRPr="004F2274">
        <w:rPr>
          <w:lang w:val="fr-FR"/>
        </w:rPr>
        <w:tab/>
        <w:t>ECE/TRANS/WP.15/AC.1/2022/25 (Allemagne)</w:t>
      </w:r>
    </w:p>
    <w:p w14:paraId="46E6D9F8" w14:textId="56350175" w:rsidR="004821C5" w:rsidRPr="00C90B21" w:rsidRDefault="004821C5" w:rsidP="00C90B21">
      <w:pPr>
        <w:pStyle w:val="SingleTxtG"/>
        <w:rPr>
          <w:lang w:val="fr-FR"/>
        </w:rPr>
      </w:pPr>
      <w:r w:rsidRPr="00C90B21">
        <w:rPr>
          <w:lang w:val="fr-FR"/>
        </w:rPr>
        <w:t>21.</w:t>
      </w:r>
      <w:r w:rsidRPr="00C90B21">
        <w:rPr>
          <w:lang w:val="fr-FR"/>
        </w:rPr>
        <w:tab/>
        <w:t>En ce qui concerne la proposition visant à supprimer l</w:t>
      </w:r>
      <w:r w:rsidR="000C7353">
        <w:rPr>
          <w:lang w:val="fr-FR"/>
        </w:rPr>
        <w:t>’</w:t>
      </w:r>
      <w:r w:rsidRPr="00C90B21">
        <w:rPr>
          <w:lang w:val="fr-FR"/>
        </w:rPr>
        <w:t>instruction d</w:t>
      </w:r>
      <w:r w:rsidR="000C7353">
        <w:rPr>
          <w:lang w:val="fr-FR"/>
        </w:rPr>
        <w:t>’</w:t>
      </w:r>
      <w:r w:rsidRPr="00C90B21">
        <w:rPr>
          <w:lang w:val="fr-FR"/>
        </w:rPr>
        <w:t>emballage R001 des deux rubriques du numéro ONU 1308, groupe d</w:t>
      </w:r>
      <w:r w:rsidR="000C7353">
        <w:rPr>
          <w:lang w:val="fr-FR"/>
        </w:rPr>
        <w:t>’</w:t>
      </w:r>
      <w:r w:rsidRPr="00C90B21">
        <w:rPr>
          <w:lang w:val="fr-FR"/>
        </w:rPr>
        <w:t>emballage II, la Réunion commune a approuvé la justification du premier des deux amendements. Le représentant du Cefic s</w:t>
      </w:r>
      <w:r w:rsidR="000C7353">
        <w:rPr>
          <w:lang w:val="fr-FR"/>
        </w:rPr>
        <w:t>’</w:t>
      </w:r>
      <w:r w:rsidRPr="00C90B21">
        <w:rPr>
          <w:lang w:val="fr-FR"/>
        </w:rPr>
        <w:t>est porté volontaire pour effectuer des recherches sur les raisons de la présence de l</w:t>
      </w:r>
      <w:r w:rsidR="000C7353">
        <w:rPr>
          <w:lang w:val="fr-FR"/>
        </w:rPr>
        <w:t>’</w:t>
      </w:r>
      <w:r w:rsidRPr="00C90B21">
        <w:rPr>
          <w:lang w:val="fr-FR"/>
        </w:rPr>
        <w:t>instruction d</w:t>
      </w:r>
      <w:r w:rsidR="000C7353">
        <w:rPr>
          <w:lang w:val="fr-FR"/>
        </w:rPr>
        <w:t>’</w:t>
      </w:r>
      <w:r w:rsidRPr="00C90B21">
        <w:rPr>
          <w:lang w:val="fr-FR"/>
        </w:rPr>
        <w:t>emballage R001 et sur son utilisation actuelle dans la deuxième rubrique du groupe d</w:t>
      </w:r>
      <w:r w:rsidR="000C7353">
        <w:rPr>
          <w:lang w:val="fr-FR"/>
        </w:rPr>
        <w:t>’</w:t>
      </w:r>
      <w:r w:rsidRPr="00C90B21">
        <w:rPr>
          <w:lang w:val="fr-FR"/>
        </w:rPr>
        <w:t>emballage II et pour donner à la Réunion commune de plus amples informations à ce sujet. Il a été convenu de reprendre l</w:t>
      </w:r>
      <w:r w:rsidR="000C7353">
        <w:rPr>
          <w:lang w:val="fr-FR"/>
        </w:rPr>
        <w:t>’</w:t>
      </w:r>
      <w:r w:rsidRPr="00C90B21">
        <w:rPr>
          <w:lang w:val="fr-FR"/>
        </w:rPr>
        <w:t>examen de cette question à la session suivante, en mars 2023.</w:t>
      </w:r>
    </w:p>
    <w:p w14:paraId="2144D437" w14:textId="77777777" w:rsidR="004821C5" w:rsidRPr="00D95CFB" w:rsidRDefault="004821C5" w:rsidP="004F2274">
      <w:pPr>
        <w:pStyle w:val="H23G"/>
      </w:pPr>
      <w:r w:rsidRPr="00DE3B04">
        <w:tab/>
      </w:r>
      <w:r w:rsidRPr="00D95CFB">
        <w:rPr>
          <w:lang w:val="fr-FR"/>
        </w:rPr>
        <w:t>2.</w:t>
      </w:r>
      <w:r w:rsidRPr="00D95CFB">
        <w:rPr>
          <w:lang w:val="fr-FR"/>
        </w:rPr>
        <w:tab/>
        <w:t>Services en ligne de livraison de produits de consommation courante</w:t>
      </w:r>
    </w:p>
    <w:p w14:paraId="688E02A4" w14:textId="77777777" w:rsidR="004821C5" w:rsidRPr="004F2274" w:rsidRDefault="004821C5" w:rsidP="004F2274">
      <w:pPr>
        <w:pStyle w:val="SingleTxtG"/>
        <w:ind w:left="3402" w:hanging="2268"/>
        <w:jc w:val="left"/>
        <w:rPr>
          <w:lang w:val="fr-FR"/>
        </w:rPr>
      </w:pPr>
      <w:r w:rsidRPr="004F2274">
        <w:rPr>
          <w:i/>
          <w:iCs/>
          <w:lang w:val="fr-FR"/>
        </w:rPr>
        <w:t>Document :</w:t>
      </w:r>
      <w:r w:rsidRPr="004F2274">
        <w:rPr>
          <w:lang w:val="fr-FR"/>
        </w:rPr>
        <w:tab/>
        <w:t>ECE/TRANS/WP.15/AC.1/2022/27 (COSTHA)</w:t>
      </w:r>
    </w:p>
    <w:p w14:paraId="2B08446A" w14:textId="77777777" w:rsidR="004821C5" w:rsidRPr="004F2274" w:rsidRDefault="004821C5" w:rsidP="004F2274">
      <w:pPr>
        <w:pStyle w:val="SingleTxtG"/>
        <w:ind w:left="3402" w:hanging="2268"/>
        <w:jc w:val="left"/>
        <w:rPr>
          <w:lang w:val="fr-FR"/>
        </w:rPr>
      </w:pPr>
      <w:r w:rsidRPr="004F2274">
        <w:rPr>
          <w:i/>
          <w:iCs/>
          <w:lang w:val="fr-FR"/>
        </w:rPr>
        <w:t>Documents informels :</w:t>
      </w:r>
      <w:r w:rsidRPr="004F2274">
        <w:rPr>
          <w:lang w:val="fr-FR"/>
        </w:rPr>
        <w:tab/>
        <w:t>INF.16 (FEA)</w:t>
      </w:r>
      <w:r w:rsidRPr="004F2274">
        <w:rPr>
          <w:lang w:val="fr-FR"/>
        </w:rPr>
        <w:br/>
        <w:t xml:space="preserve">INF.28 (France) </w:t>
      </w:r>
      <w:r w:rsidRPr="004F2274">
        <w:rPr>
          <w:lang w:val="fr-FR"/>
        </w:rPr>
        <w:br/>
        <w:t>INF.29 (RECHARGE)</w:t>
      </w:r>
    </w:p>
    <w:p w14:paraId="7735737E" w14:textId="56539F51" w:rsidR="004821C5" w:rsidRPr="00C90B21" w:rsidRDefault="004821C5" w:rsidP="00C90B21">
      <w:pPr>
        <w:pStyle w:val="SingleTxtG"/>
        <w:rPr>
          <w:lang w:val="fr-FR"/>
        </w:rPr>
      </w:pPr>
      <w:r w:rsidRPr="00C90B21">
        <w:rPr>
          <w:lang w:val="fr-FR"/>
        </w:rPr>
        <w:t>22.</w:t>
      </w:r>
      <w:r w:rsidRPr="00C90B21">
        <w:rPr>
          <w:lang w:val="fr-FR"/>
        </w:rPr>
        <w:tab/>
        <w:t>La Réunion commune a constaté que les amendements proposés dans le document ECE/TRANS/WP.15/AC.1/2022/27 recueillaient une certaine adhésion et pris note des propositions de modifications supplémentaires contenues dans les documents informels INF.16, INF.28 et INF.29. Certaines délégations ont toutefois exprimé des inquiétudes quant à la vaste portée des amendements proposés. Elles ont dit qu</w:t>
      </w:r>
      <w:r w:rsidR="000C7353">
        <w:rPr>
          <w:lang w:val="fr-FR"/>
        </w:rPr>
        <w:t>’</w:t>
      </w:r>
      <w:r w:rsidRPr="00C90B21">
        <w:rPr>
          <w:lang w:val="fr-FR"/>
        </w:rPr>
        <w:t>elles préféraient examiner attentivement le document afin d</w:t>
      </w:r>
      <w:r w:rsidR="000C7353">
        <w:rPr>
          <w:lang w:val="fr-FR"/>
        </w:rPr>
        <w:t>’</w:t>
      </w:r>
      <w:r w:rsidRPr="00C90B21">
        <w:rPr>
          <w:lang w:val="fr-FR"/>
        </w:rPr>
        <w:t>éviter d</w:t>
      </w:r>
      <w:r w:rsidR="000C7353">
        <w:rPr>
          <w:lang w:val="fr-FR"/>
        </w:rPr>
        <w:t>’</w:t>
      </w:r>
      <w:r w:rsidRPr="00C90B21">
        <w:rPr>
          <w:lang w:val="fr-FR"/>
        </w:rPr>
        <w:t>éventuelles lacunes dans les prescriptions relatives aux transports de marchandises dangereuses. Certaines délégations ont remis en question l</w:t>
      </w:r>
      <w:r w:rsidR="000C7353">
        <w:rPr>
          <w:lang w:val="fr-FR"/>
        </w:rPr>
        <w:t>’</w:t>
      </w:r>
      <w:r w:rsidRPr="00C90B21">
        <w:rPr>
          <w:lang w:val="fr-FR"/>
        </w:rPr>
        <w:t>augmentation des quantités limitées et d</w:t>
      </w:r>
      <w:r w:rsidR="000C7353">
        <w:rPr>
          <w:lang w:val="fr-FR"/>
        </w:rPr>
        <w:t>’</w:t>
      </w:r>
      <w:r w:rsidRPr="00C90B21">
        <w:rPr>
          <w:lang w:val="fr-FR"/>
        </w:rPr>
        <w:t>autres ont souligné la nécessité de préciser la signification des termes « last mile delivery » (logistique du dernier kilomètre) et « road vehicle » (véhicule routier), tandis que d</w:t>
      </w:r>
      <w:r w:rsidR="000C7353">
        <w:rPr>
          <w:lang w:val="fr-FR"/>
        </w:rPr>
        <w:t>’</w:t>
      </w:r>
      <w:r w:rsidRPr="00C90B21">
        <w:rPr>
          <w:lang w:val="fr-FR"/>
        </w:rPr>
        <w:t>autres encore estimaient que cette question devait plutôt être traitée au niveau national.</w:t>
      </w:r>
    </w:p>
    <w:p w14:paraId="589C9292" w14:textId="1C41DA40" w:rsidR="004821C5" w:rsidRPr="00C90B21" w:rsidRDefault="004821C5" w:rsidP="00C90B21">
      <w:pPr>
        <w:pStyle w:val="SingleTxtG"/>
        <w:rPr>
          <w:lang w:val="fr-FR"/>
        </w:rPr>
      </w:pPr>
      <w:r w:rsidRPr="00C90B21">
        <w:rPr>
          <w:lang w:val="fr-FR"/>
        </w:rPr>
        <w:t>23.</w:t>
      </w:r>
      <w:r w:rsidRPr="00C90B21">
        <w:rPr>
          <w:lang w:val="fr-FR"/>
        </w:rPr>
        <w:tab/>
        <w:t>La Réunion commune a décidé de reprendre l</w:t>
      </w:r>
      <w:r w:rsidR="000C7353">
        <w:rPr>
          <w:lang w:val="fr-FR"/>
        </w:rPr>
        <w:t>’</w:t>
      </w:r>
      <w:r w:rsidRPr="00C90B21">
        <w:rPr>
          <w:lang w:val="fr-FR"/>
        </w:rPr>
        <w:t>examen de cette question à la session suivante, en mars 2023. La représentante du COSTHA a invité tous les représentants à lui faire parvenir par courrier électronique d</w:t>
      </w:r>
      <w:r w:rsidR="000C7353">
        <w:rPr>
          <w:lang w:val="fr-FR"/>
        </w:rPr>
        <w:t>’</w:t>
      </w:r>
      <w:r w:rsidRPr="00C90B21">
        <w:rPr>
          <w:lang w:val="fr-FR"/>
        </w:rPr>
        <w:t>autres observations, et dit qu</w:t>
      </w:r>
      <w:r w:rsidR="000C7353">
        <w:rPr>
          <w:lang w:val="fr-FR"/>
        </w:rPr>
        <w:t>’</w:t>
      </w:r>
      <w:r w:rsidRPr="00C90B21">
        <w:rPr>
          <w:lang w:val="fr-FR"/>
        </w:rPr>
        <w:t>elle pourrait élaborer pour la session suivante un nouveau document tenant compte de ces apports.</w:t>
      </w:r>
    </w:p>
    <w:p w14:paraId="09AFD72A" w14:textId="77777777" w:rsidR="004821C5" w:rsidRPr="00DE3B04" w:rsidRDefault="004821C5" w:rsidP="004F2274">
      <w:pPr>
        <w:pStyle w:val="H23G"/>
      </w:pPr>
      <w:r w:rsidRPr="00D95CFB">
        <w:tab/>
      </w:r>
      <w:r w:rsidRPr="00DE3B04">
        <w:rPr>
          <w:lang w:val="fr-FR"/>
        </w:rPr>
        <w:t>3.</w:t>
      </w:r>
      <w:r w:rsidRPr="00DE3B04">
        <w:rPr>
          <w:lang w:val="fr-FR"/>
        </w:rPr>
        <w:tab/>
        <w:t>Livraison directe de marchandises dangereuses aux consommateurs finaux (suremballages)</w:t>
      </w:r>
    </w:p>
    <w:p w14:paraId="39DE1DDB" w14:textId="62D9F50D" w:rsidR="004821C5" w:rsidRPr="004F2274" w:rsidRDefault="004821C5" w:rsidP="004F2274">
      <w:pPr>
        <w:pStyle w:val="SingleTxtG"/>
        <w:ind w:left="3402" w:hanging="2268"/>
        <w:jc w:val="left"/>
        <w:rPr>
          <w:lang w:val="fr-FR"/>
        </w:rPr>
      </w:pPr>
      <w:r w:rsidRPr="004F2274">
        <w:rPr>
          <w:i/>
          <w:iCs/>
          <w:lang w:val="fr-FR"/>
        </w:rPr>
        <w:t>Document :</w:t>
      </w:r>
      <w:r w:rsidRPr="004F2274">
        <w:rPr>
          <w:lang w:val="fr-FR"/>
        </w:rPr>
        <w:tab/>
        <w:t>ECE/TRANS/WP.15/AC.1/2022/28 (COSTHA)</w:t>
      </w:r>
    </w:p>
    <w:p w14:paraId="192C2BDC" w14:textId="5E9AED41" w:rsidR="004821C5" w:rsidRPr="004F2274" w:rsidRDefault="004821C5" w:rsidP="004F2274">
      <w:pPr>
        <w:pStyle w:val="SingleTxtG"/>
        <w:ind w:left="3402" w:hanging="2268"/>
        <w:jc w:val="left"/>
        <w:rPr>
          <w:lang w:val="fr-FR"/>
        </w:rPr>
      </w:pPr>
      <w:r w:rsidRPr="004F2274">
        <w:rPr>
          <w:i/>
          <w:iCs/>
          <w:lang w:val="fr-FR"/>
        </w:rPr>
        <w:t>Document informel :</w:t>
      </w:r>
      <w:r w:rsidRPr="004F2274">
        <w:rPr>
          <w:lang w:val="fr-FR"/>
        </w:rPr>
        <w:tab/>
        <w:t>INF.20 (COSTHA)</w:t>
      </w:r>
    </w:p>
    <w:p w14:paraId="4E9B4D78" w14:textId="49F00A26" w:rsidR="004821C5" w:rsidRPr="00C90B21" w:rsidRDefault="004821C5" w:rsidP="00C90B21">
      <w:pPr>
        <w:pStyle w:val="SingleTxtG"/>
        <w:rPr>
          <w:lang w:val="fr-FR"/>
        </w:rPr>
      </w:pPr>
      <w:r w:rsidRPr="00C90B21">
        <w:rPr>
          <w:lang w:val="fr-FR"/>
        </w:rPr>
        <w:t>24.</w:t>
      </w:r>
      <w:r w:rsidRPr="00C90B21">
        <w:rPr>
          <w:lang w:val="fr-FR"/>
        </w:rPr>
        <w:tab/>
        <w:t>En ce qui concerne la proposition d</w:t>
      </w:r>
      <w:r w:rsidR="000C7353">
        <w:rPr>
          <w:lang w:val="fr-FR"/>
        </w:rPr>
        <w:t>’</w:t>
      </w:r>
      <w:r w:rsidRPr="00C90B21">
        <w:rPr>
          <w:lang w:val="fr-FR"/>
        </w:rPr>
        <w:t>éclaircissements à donner à propos des suremballages utilisés pour la livraison directe de marchandises dangereuses aux consommateurs finaux, certains représentants ont souligné que les différences constatées avec le RID, l</w:t>
      </w:r>
      <w:r w:rsidR="000C7353">
        <w:rPr>
          <w:lang w:val="fr-FR"/>
        </w:rPr>
        <w:t>’</w:t>
      </w:r>
      <w:r w:rsidRPr="00C90B21">
        <w:rPr>
          <w:lang w:val="fr-FR"/>
        </w:rPr>
        <w:t>ADR et l</w:t>
      </w:r>
      <w:r w:rsidR="000C7353">
        <w:rPr>
          <w:lang w:val="fr-FR"/>
        </w:rPr>
        <w:t>’</w:t>
      </w:r>
      <w:r w:rsidRPr="00C90B21">
        <w:rPr>
          <w:lang w:val="fr-FR"/>
        </w:rPr>
        <w:t>ADN dans l</w:t>
      </w:r>
      <w:r w:rsidR="000C7353">
        <w:rPr>
          <w:lang w:val="fr-FR"/>
        </w:rPr>
        <w:t>’</w:t>
      </w:r>
      <w:r w:rsidRPr="00C90B21">
        <w:rPr>
          <w:lang w:val="fr-FR"/>
        </w:rPr>
        <w:t>acception du terme « suremballage » étaient délibérées dans la mesure où, dans le domaine des transports intérieurs, les suremballages étaient utilisés pour des expéditeurs différents. D</w:t>
      </w:r>
      <w:r w:rsidR="000C7353">
        <w:rPr>
          <w:lang w:val="fr-FR"/>
        </w:rPr>
        <w:t>’</w:t>
      </w:r>
      <w:r w:rsidRPr="00C90B21">
        <w:rPr>
          <w:lang w:val="fr-FR"/>
        </w:rPr>
        <w:t>autres estimaient que les modifications proposées dans l</w:t>
      </w:r>
      <w:r w:rsidR="000C7353">
        <w:rPr>
          <w:lang w:val="fr-FR"/>
        </w:rPr>
        <w:t>’</w:t>
      </w:r>
      <w:r w:rsidRPr="00C90B21">
        <w:rPr>
          <w:lang w:val="fr-FR"/>
        </w:rPr>
        <w:t>option 2 étaient d</w:t>
      </w:r>
      <w:r w:rsidR="000C7353">
        <w:rPr>
          <w:lang w:val="fr-FR"/>
        </w:rPr>
        <w:t>’</w:t>
      </w:r>
      <w:r w:rsidRPr="00C90B21">
        <w:rPr>
          <w:lang w:val="fr-FR"/>
        </w:rPr>
        <w:t>une trop grande ampleur et qu</w:t>
      </w:r>
      <w:r w:rsidR="000C7353">
        <w:rPr>
          <w:lang w:val="fr-FR"/>
        </w:rPr>
        <w:t>’</w:t>
      </w:r>
      <w:r w:rsidRPr="00C90B21">
        <w:rPr>
          <w:lang w:val="fr-FR"/>
        </w:rPr>
        <w:t>elles devaient être clarifiées. La Réunion commune a également discuté de la question de l</w:t>
      </w:r>
      <w:r w:rsidR="000C7353">
        <w:rPr>
          <w:lang w:val="fr-FR"/>
        </w:rPr>
        <w:t>’</w:t>
      </w:r>
      <w:r w:rsidRPr="00C90B21">
        <w:rPr>
          <w:lang w:val="fr-FR"/>
        </w:rPr>
        <w:t>applicabilité de l</w:t>
      </w:r>
      <w:r w:rsidR="000C7353">
        <w:rPr>
          <w:lang w:val="fr-FR"/>
        </w:rPr>
        <w:t>’</w:t>
      </w:r>
      <w:r w:rsidRPr="00C90B21">
        <w:rPr>
          <w:lang w:val="fr-FR"/>
        </w:rPr>
        <w:t>ADR aux véhicules à deux ou trois roues.</w:t>
      </w:r>
    </w:p>
    <w:p w14:paraId="36F7D76D" w14:textId="40F934B1" w:rsidR="004821C5" w:rsidRPr="00C90B21" w:rsidRDefault="004821C5" w:rsidP="00C90B21">
      <w:pPr>
        <w:pStyle w:val="SingleTxtG"/>
        <w:rPr>
          <w:lang w:val="fr-FR"/>
        </w:rPr>
      </w:pPr>
      <w:r w:rsidRPr="00C90B21">
        <w:rPr>
          <w:lang w:val="fr-FR"/>
        </w:rPr>
        <w:lastRenderedPageBreak/>
        <w:t>25.</w:t>
      </w:r>
      <w:r w:rsidRPr="00C90B21">
        <w:rPr>
          <w:lang w:val="fr-FR"/>
        </w:rPr>
        <w:tab/>
        <w:t>La Réunion commune a décidé de poursuivre l</w:t>
      </w:r>
      <w:r w:rsidR="000C7353">
        <w:rPr>
          <w:lang w:val="fr-FR"/>
        </w:rPr>
        <w:t>’</w:t>
      </w:r>
      <w:r w:rsidRPr="00C90B21">
        <w:rPr>
          <w:lang w:val="fr-FR"/>
        </w:rPr>
        <w:t>examen de cette question à la session suivante. La représentante du COSTHA a dit qu</w:t>
      </w:r>
      <w:r w:rsidR="000C7353">
        <w:rPr>
          <w:lang w:val="fr-FR"/>
        </w:rPr>
        <w:t>’</w:t>
      </w:r>
      <w:r w:rsidRPr="00C90B21">
        <w:rPr>
          <w:lang w:val="fr-FR"/>
        </w:rPr>
        <w:t>elle pourrait si nécessaire présenter un nouveau document à une autre session. Il a également été estimé qu</w:t>
      </w:r>
      <w:r w:rsidR="000C7353">
        <w:rPr>
          <w:lang w:val="fr-FR"/>
        </w:rPr>
        <w:t>’</w:t>
      </w:r>
      <w:r w:rsidRPr="00C90B21">
        <w:rPr>
          <w:lang w:val="fr-FR"/>
        </w:rPr>
        <w:t>une clarification concernant l</w:t>
      </w:r>
      <w:r w:rsidR="000C7353">
        <w:rPr>
          <w:lang w:val="fr-FR"/>
        </w:rPr>
        <w:t>’</w:t>
      </w:r>
      <w:r w:rsidRPr="00C90B21">
        <w:rPr>
          <w:lang w:val="fr-FR"/>
        </w:rPr>
        <w:t>applicabilité aux véhicules à deux ou trois roues serait utile et le secrétariat a proposé de soumettre un document pour examiner cette question lors des prochaines sessions du Groupe de travail des transports de marchandises dangereuses (WP.15) et de la Réunion commune.</w:t>
      </w:r>
    </w:p>
    <w:p w14:paraId="5D103A7A" w14:textId="1B211117" w:rsidR="004821C5" w:rsidRPr="009D5887" w:rsidRDefault="004821C5" w:rsidP="004F2274">
      <w:pPr>
        <w:pStyle w:val="H23G"/>
      </w:pPr>
      <w:r w:rsidRPr="00440193">
        <w:tab/>
      </w:r>
      <w:r w:rsidRPr="009D5887">
        <w:rPr>
          <w:lang w:val="fr-FR"/>
        </w:rPr>
        <w:t>4.</w:t>
      </w:r>
      <w:r w:rsidRPr="009D5887">
        <w:rPr>
          <w:lang w:val="fr-FR"/>
        </w:rPr>
        <w:tab/>
        <w:t>Exemption de la désignation d</w:t>
      </w:r>
      <w:r w:rsidR="000C7353">
        <w:rPr>
          <w:lang w:val="fr-FR"/>
        </w:rPr>
        <w:t>’</w:t>
      </w:r>
      <w:r w:rsidRPr="009D5887">
        <w:rPr>
          <w:lang w:val="fr-FR"/>
        </w:rPr>
        <w:t xml:space="preserve">un conseiller à la sécurité </w:t>
      </w:r>
      <w:r w:rsidR="007A1B0F">
        <w:rPr>
          <w:lang w:val="fr-FR"/>
        </w:rPr>
        <w:t>−</w:t>
      </w:r>
      <w:r w:rsidRPr="009D5887">
        <w:rPr>
          <w:lang w:val="fr-FR"/>
        </w:rPr>
        <w:t xml:space="preserve"> 1.8.3.2 b) et c) de l</w:t>
      </w:r>
      <w:r w:rsidR="000C7353">
        <w:rPr>
          <w:lang w:val="fr-FR"/>
        </w:rPr>
        <w:t>’</w:t>
      </w:r>
      <w:r w:rsidRPr="009D5887">
        <w:rPr>
          <w:lang w:val="fr-FR"/>
        </w:rPr>
        <w:t>ADR ou du RID</w:t>
      </w:r>
    </w:p>
    <w:p w14:paraId="52A037E8" w14:textId="15D34803" w:rsidR="004821C5" w:rsidRPr="004F2274" w:rsidRDefault="004821C5" w:rsidP="004F2274">
      <w:pPr>
        <w:pStyle w:val="SingleTxtG"/>
        <w:ind w:left="3402" w:hanging="2268"/>
        <w:jc w:val="left"/>
        <w:rPr>
          <w:lang w:val="fr-FR"/>
        </w:rPr>
      </w:pPr>
      <w:r w:rsidRPr="004F2274">
        <w:rPr>
          <w:i/>
          <w:iCs/>
          <w:lang w:val="fr-FR"/>
        </w:rPr>
        <w:t>Document informel :</w:t>
      </w:r>
      <w:r w:rsidRPr="004F2274">
        <w:rPr>
          <w:lang w:val="fr-FR"/>
        </w:rPr>
        <w:tab/>
        <w:t>INF.7 (Royaume-Uni)</w:t>
      </w:r>
    </w:p>
    <w:p w14:paraId="678D9419" w14:textId="5F8BE75A" w:rsidR="004821C5" w:rsidRPr="00C90B21" w:rsidRDefault="004821C5" w:rsidP="00C90B21">
      <w:pPr>
        <w:pStyle w:val="SingleTxtG"/>
        <w:rPr>
          <w:lang w:val="fr-FR"/>
        </w:rPr>
      </w:pPr>
      <w:r w:rsidRPr="00C90B21">
        <w:rPr>
          <w:lang w:val="fr-FR"/>
        </w:rPr>
        <w:t>26.</w:t>
      </w:r>
      <w:r w:rsidRPr="00C90B21">
        <w:rPr>
          <w:lang w:val="fr-FR"/>
        </w:rPr>
        <w:tab/>
        <w:t>Concernant les éclaircissements à donner à propos de l</w:t>
      </w:r>
      <w:r w:rsidR="000C7353">
        <w:rPr>
          <w:lang w:val="fr-FR"/>
        </w:rPr>
        <w:t>’</w:t>
      </w:r>
      <w:r w:rsidRPr="00C90B21">
        <w:rPr>
          <w:lang w:val="fr-FR"/>
        </w:rPr>
        <w:t>exemption de la désignation d</w:t>
      </w:r>
      <w:r w:rsidR="000C7353">
        <w:rPr>
          <w:lang w:val="fr-FR"/>
        </w:rPr>
        <w:t>’</w:t>
      </w:r>
      <w:r w:rsidRPr="00C90B21">
        <w:rPr>
          <w:lang w:val="fr-FR"/>
        </w:rPr>
        <w:t>un conseiller à la sécurité, la Réunion commune n</w:t>
      </w:r>
      <w:r w:rsidR="000C7353">
        <w:rPr>
          <w:lang w:val="fr-FR"/>
        </w:rPr>
        <w:t>’</w:t>
      </w:r>
      <w:r w:rsidRPr="00C90B21">
        <w:rPr>
          <w:lang w:val="fr-FR"/>
        </w:rPr>
        <w:t>a relevé aucune objection. Elle a adopté les amendements proposés tels que modifiés (voir annexe).</w:t>
      </w:r>
    </w:p>
    <w:p w14:paraId="3D777499" w14:textId="4779D6F5" w:rsidR="004821C5" w:rsidRPr="009D5887" w:rsidRDefault="004821C5" w:rsidP="004F2274">
      <w:pPr>
        <w:pStyle w:val="H23G"/>
      </w:pPr>
      <w:r>
        <w:rPr>
          <w:lang w:val="fr-FR"/>
        </w:rPr>
        <w:tab/>
      </w:r>
      <w:r w:rsidRPr="009D5887">
        <w:rPr>
          <w:lang w:val="fr-FR"/>
        </w:rPr>
        <w:t>5.</w:t>
      </w:r>
      <w:r w:rsidRPr="009D5887">
        <w:rPr>
          <w:lang w:val="fr-FR"/>
        </w:rPr>
        <w:tab/>
        <w:t xml:space="preserve">Définition révisée </w:t>
      </w:r>
      <w:r>
        <w:rPr>
          <w:lang w:val="fr-FR"/>
        </w:rPr>
        <w:t>du</w:t>
      </w:r>
      <w:r w:rsidRPr="009D5887">
        <w:rPr>
          <w:lang w:val="fr-FR"/>
        </w:rPr>
        <w:t xml:space="preserve"> terme </w:t>
      </w:r>
      <w:r w:rsidR="007A1B0F">
        <w:rPr>
          <w:lang w:val="fr-FR"/>
        </w:rPr>
        <w:t>« </w:t>
      </w:r>
      <w:r w:rsidRPr="009D5887">
        <w:rPr>
          <w:lang w:val="fr-FR"/>
        </w:rPr>
        <w:t>gaz de pétrole liquéfié </w:t>
      </w:r>
      <w:r>
        <w:rPr>
          <w:lang w:val="fr-FR"/>
        </w:rPr>
        <w:t>(GPL)</w:t>
      </w:r>
      <w:r w:rsidR="007A1B0F">
        <w:rPr>
          <w:lang w:val="fr-FR"/>
        </w:rPr>
        <w:t> »</w:t>
      </w:r>
      <w:r w:rsidRPr="009D5887">
        <w:rPr>
          <w:lang w:val="fr-FR"/>
        </w:rPr>
        <w:t xml:space="preserve"> − Échange de vues informel</w:t>
      </w:r>
    </w:p>
    <w:p w14:paraId="2AC0F28A" w14:textId="2838604E" w:rsidR="004821C5" w:rsidRPr="004F2274" w:rsidRDefault="004821C5" w:rsidP="004F2274">
      <w:pPr>
        <w:pStyle w:val="SingleTxtG"/>
        <w:ind w:left="3402" w:hanging="2268"/>
        <w:jc w:val="left"/>
        <w:rPr>
          <w:lang w:val="fr-FR"/>
        </w:rPr>
      </w:pPr>
      <w:r w:rsidRPr="004F2274">
        <w:rPr>
          <w:i/>
          <w:iCs/>
          <w:lang w:val="fr-FR"/>
        </w:rPr>
        <w:t>Document informel :</w:t>
      </w:r>
      <w:r w:rsidRPr="004F2274">
        <w:rPr>
          <w:lang w:val="fr-FR"/>
        </w:rPr>
        <w:tab/>
        <w:t>INF.11 (Liquid Gas Europe)</w:t>
      </w:r>
    </w:p>
    <w:p w14:paraId="4725739F" w14:textId="505BAE15" w:rsidR="004821C5" w:rsidRPr="00C90B21" w:rsidRDefault="004821C5" w:rsidP="00C90B21">
      <w:pPr>
        <w:pStyle w:val="SingleTxtG"/>
        <w:rPr>
          <w:lang w:val="fr-FR"/>
        </w:rPr>
      </w:pPr>
      <w:r w:rsidRPr="00C90B21">
        <w:rPr>
          <w:lang w:val="fr-FR"/>
        </w:rPr>
        <w:t>27.</w:t>
      </w:r>
      <w:r w:rsidRPr="00C90B21">
        <w:rPr>
          <w:lang w:val="fr-FR"/>
        </w:rPr>
        <w:tab/>
        <w:t>La Réunion commune a accueilli favorablement les informations contenues dans le document informel INF.11 et elle a estimé que la révision de la définition du terme « gaz de pétrole liquéfié » était nécessaire. Elle a fait observer qu</w:t>
      </w:r>
      <w:r w:rsidR="000C7353">
        <w:rPr>
          <w:lang w:val="fr-FR"/>
        </w:rPr>
        <w:t>’</w:t>
      </w:r>
      <w:r w:rsidRPr="00C90B21">
        <w:rPr>
          <w:lang w:val="fr-FR"/>
        </w:rPr>
        <w:t>il était question d</w:t>
      </w:r>
      <w:r w:rsidR="000C7353">
        <w:rPr>
          <w:lang w:val="fr-FR"/>
        </w:rPr>
        <w:t>’</w:t>
      </w:r>
      <w:r w:rsidRPr="00C90B21">
        <w:rPr>
          <w:lang w:val="fr-FR"/>
        </w:rPr>
        <w:t>un document similaire dans l</w:t>
      </w:r>
      <w:r w:rsidR="000C7353">
        <w:rPr>
          <w:lang w:val="fr-FR"/>
        </w:rPr>
        <w:t>’</w:t>
      </w:r>
      <w:r w:rsidRPr="00C90B21">
        <w:rPr>
          <w:lang w:val="fr-FR"/>
        </w:rPr>
        <w:t>ordre du jour de la prochaine session du Sous-Comité d</w:t>
      </w:r>
      <w:r w:rsidR="000C7353">
        <w:rPr>
          <w:lang w:val="fr-FR"/>
        </w:rPr>
        <w:t>’</w:t>
      </w:r>
      <w:r w:rsidRPr="00C90B21">
        <w:rPr>
          <w:lang w:val="fr-FR"/>
        </w:rPr>
        <w:t>experts du transport des marchandises dangereuses (document ST/SG/AC.10/C.3/2022/53) et souligné la nécessité de coordonner les modifications à apporter au Règlement type et celles concernant le RID, l</w:t>
      </w:r>
      <w:r w:rsidR="000C7353">
        <w:rPr>
          <w:lang w:val="fr-FR"/>
        </w:rPr>
        <w:t>’</w:t>
      </w:r>
      <w:r w:rsidRPr="00C90B21">
        <w:rPr>
          <w:lang w:val="fr-FR"/>
        </w:rPr>
        <w:t>ADR et l</w:t>
      </w:r>
      <w:r w:rsidR="000C7353">
        <w:rPr>
          <w:lang w:val="fr-FR"/>
        </w:rPr>
        <w:t>’</w:t>
      </w:r>
      <w:r w:rsidRPr="00C90B21">
        <w:rPr>
          <w:lang w:val="fr-FR"/>
        </w:rPr>
        <w:t>ADN. La plupart des représentants qui ont pris la parole se sont prononcés en faveur de l</w:t>
      </w:r>
      <w:r w:rsidR="000C7353">
        <w:rPr>
          <w:lang w:val="fr-FR"/>
        </w:rPr>
        <w:t>’</w:t>
      </w:r>
      <w:r w:rsidRPr="00C90B21">
        <w:rPr>
          <w:lang w:val="fr-FR"/>
        </w:rPr>
        <w:t>initiative dans son principe et ont dit souhaiter en savoir plus à l</w:t>
      </w:r>
      <w:r w:rsidR="000C7353">
        <w:rPr>
          <w:lang w:val="fr-FR"/>
        </w:rPr>
        <w:t>’</w:t>
      </w:r>
      <w:r w:rsidRPr="00C90B21">
        <w:rPr>
          <w:lang w:val="fr-FR"/>
        </w:rPr>
        <w:t>avenir sur le pourcentage de mélanges comprenant de l</w:t>
      </w:r>
      <w:r w:rsidR="000C7353">
        <w:rPr>
          <w:lang w:val="fr-FR"/>
        </w:rPr>
        <w:t>’</w:t>
      </w:r>
      <w:r w:rsidRPr="00C90B21">
        <w:rPr>
          <w:lang w:val="fr-FR"/>
        </w:rPr>
        <w:t>éther méthylique. Le représentant de l</w:t>
      </w:r>
      <w:r w:rsidR="000C7353">
        <w:rPr>
          <w:lang w:val="fr-FR"/>
        </w:rPr>
        <w:t>’</w:t>
      </w:r>
      <w:r w:rsidRPr="00C90B21">
        <w:rPr>
          <w:lang w:val="fr-FR"/>
        </w:rPr>
        <w:t>Allemagne estimait qu</w:t>
      </w:r>
      <w:r w:rsidR="000C7353">
        <w:rPr>
          <w:lang w:val="fr-FR"/>
        </w:rPr>
        <w:t>’</w:t>
      </w:r>
      <w:r w:rsidRPr="00C90B21">
        <w:rPr>
          <w:lang w:val="fr-FR"/>
        </w:rPr>
        <w:t>une nouvelle disposition spéciale serait une solution plus élégante. Le représentant de Liquid Gas Europe s</w:t>
      </w:r>
      <w:r w:rsidR="000C7353">
        <w:rPr>
          <w:lang w:val="fr-FR"/>
        </w:rPr>
        <w:t>’</w:t>
      </w:r>
      <w:r w:rsidRPr="00C90B21">
        <w:rPr>
          <w:lang w:val="fr-FR"/>
        </w:rPr>
        <w:t>est porté volontaire pour étudier cette solution et pour compléter le document ST/SG/AC.10/C.3/2022/53 par un document informel.</w:t>
      </w:r>
    </w:p>
    <w:p w14:paraId="02D16C4A" w14:textId="70FE20E5" w:rsidR="004821C5" w:rsidRPr="00C90B21" w:rsidRDefault="004821C5" w:rsidP="00C90B21">
      <w:pPr>
        <w:pStyle w:val="SingleTxtG"/>
        <w:rPr>
          <w:lang w:val="fr-FR"/>
        </w:rPr>
      </w:pPr>
      <w:r w:rsidRPr="00C90B21">
        <w:rPr>
          <w:lang w:val="fr-FR"/>
        </w:rPr>
        <w:t>28.</w:t>
      </w:r>
      <w:r w:rsidRPr="00C90B21">
        <w:rPr>
          <w:lang w:val="fr-FR"/>
        </w:rPr>
        <w:tab/>
        <w:t>La Réunion commune a décidé de reprendre l</w:t>
      </w:r>
      <w:r w:rsidR="000C7353">
        <w:rPr>
          <w:lang w:val="fr-FR"/>
        </w:rPr>
        <w:t>’</w:t>
      </w:r>
      <w:r w:rsidRPr="00C90B21">
        <w:rPr>
          <w:lang w:val="fr-FR"/>
        </w:rPr>
        <w:t>examen de cette question à la session suivante, sur la base d</w:t>
      </w:r>
      <w:r w:rsidR="000C7353">
        <w:rPr>
          <w:lang w:val="fr-FR"/>
        </w:rPr>
        <w:t>’</w:t>
      </w:r>
      <w:r w:rsidRPr="00C90B21">
        <w:rPr>
          <w:lang w:val="fr-FR"/>
        </w:rPr>
        <w:t>un document officiel actualisé.</w:t>
      </w:r>
    </w:p>
    <w:p w14:paraId="3733F7F9" w14:textId="757D1F53" w:rsidR="004821C5" w:rsidRPr="00CE507F" w:rsidRDefault="004821C5" w:rsidP="00FF4BEB">
      <w:pPr>
        <w:pStyle w:val="H23G"/>
      </w:pPr>
      <w:r>
        <w:rPr>
          <w:lang w:val="fr-FR"/>
        </w:rPr>
        <w:tab/>
      </w:r>
      <w:r w:rsidRPr="00CE507F">
        <w:rPr>
          <w:lang w:val="fr-FR"/>
        </w:rPr>
        <w:t>6.</w:t>
      </w:r>
      <w:r w:rsidRPr="00CE507F">
        <w:rPr>
          <w:lang w:val="fr-FR"/>
        </w:rPr>
        <w:tab/>
        <w:t xml:space="preserve">Marchandises dangereuses contenues dans des machines, des appareils ou des objets − Suppression du 1.1.3.1 b) et expiration de la période transitoire </w:t>
      </w:r>
      <w:r w:rsidR="00694745">
        <w:rPr>
          <w:lang w:val="fr-FR"/>
        </w:rPr>
        <w:br/>
      </w:r>
      <w:r w:rsidRPr="00CE507F">
        <w:rPr>
          <w:lang w:val="fr-FR"/>
        </w:rPr>
        <w:t>du 1.6.1.46 de l</w:t>
      </w:r>
      <w:r w:rsidR="000C7353">
        <w:rPr>
          <w:lang w:val="fr-FR"/>
        </w:rPr>
        <w:t>’</w:t>
      </w:r>
      <w:r w:rsidRPr="00CE507F">
        <w:rPr>
          <w:lang w:val="fr-FR"/>
        </w:rPr>
        <w:t>ADR et du RID</w:t>
      </w:r>
    </w:p>
    <w:p w14:paraId="5FBCE1ED" w14:textId="5C27B035" w:rsidR="004821C5" w:rsidRPr="00FF4BEB" w:rsidRDefault="004821C5" w:rsidP="00FF4BEB">
      <w:pPr>
        <w:pStyle w:val="SingleTxtG"/>
        <w:ind w:left="3402" w:hanging="2268"/>
        <w:jc w:val="left"/>
        <w:rPr>
          <w:lang w:val="fr-FR"/>
        </w:rPr>
      </w:pPr>
      <w:r w:rsidRPr="00FF4BEB">
        <w:rPr>
          <w:i/>
          <w:iCs/>
          <w:lang w:val="fr-FR"/>
        </w:rPr>
        <w:t>Document informel :</w:t>
      </w:r>
      <w:r w:rsidRPr="00FF4BEB">
        <w:rPr>
          <w:lang w:val="fr-FR"/>
        </w:rPr>
        <w:tab/>
        <w:t>INF.21 (Cefic)</w:t>
      </w:r>
    </w:p>
    <w:p w14:paraId="6C34231A" w14:textId="7110C47D" w:rsidR="004821C5" w:rsidRPr="00C90B21" w:rsidRDefault="004821C5" w:rsidP="00C90B21">
      <w:pPr>
        <w:pStyle w:val="SingleTxtG"/>
        <w:rPr>
          <w:lang w:val="fr-FR"/>
        </w:rPr>
      </w:pPr>
      <w:r w:rsidRPr="00C90B21">
        <w:rPr>
          <w:lang w:val="fr-FR"/>
        </w:rPr>
        <w:t>29.</w:t>
      </w:r>
      <w:r w:rsidRPr="00C90B21">
        <w:rPr>
          <w:lang w:val="fr-FR"/>
        </w:rPr>
        <w:tab/>
        <w:t>Certains représentants ont estimé qu</w:t>
      </w:r>
      <w:r w:rsidR="000C7353">
        <w:rPr>
          <w:lang w:val="fr-FR"/>
        </w:rPr>
        <w:t>’</w:t>
      </w:r>
      <w:r w:rsidRPr="00C90B21">
        <w:rPr>
          <w:lang w:val="fr-FR"/>
        </w:rPr>
        <w:t>il était urgent de revoir les prescriptions relatives aux marchandises dangereuses contenues dans des machines, des appareils ou des objets. Une nouvelle disposition spéciale pourrait être une bonne solution et, en attendant, un accord multilatéral devrait être trouvé pour répondre à l</w:t>
      </w:r>
      <w:r w:rsidR="000C7353">
        <w:rPr>
          <w:lang w:val="fr-FR"/>
        </w:rPr>
        <w:t>’</w:t>
      </w:r>
      <w:r w:rsidRPr="00C90B21">
        <w:rPr>
          <w:lang w:val="fr-FR"/>
        </w:rPr>
        <w:t>urgence de cette question.</w:t>
      </w:r>
    </w:p>
    <w:p w14:paraId="27338CC4" w14:textId="44283E64" w:rsidR="004821C5" w:rsidRPr="00FF4BEB" w:rsidRDefault="004821C5" w:rsidP="00FF4BEB">
      <w:pPr>
        <w:pStyle w:val="H23G"/>
        <w:rPr>
          <w:lang w:val="fr-FR"/>
        </w:rPr>
      </w:pPr>
      <w:r>
        <w:rPr>
          <w:lang w:val="fr-FR"/>
        </w:rPr>
        <w:tab/>
      </w:r>
      <w:r w:rsidRPr="00FF4BEB">
        <w:rPr>
          <w:lang w:val="fr-FR"/>
        </w:rPr>
        <w:t>7.</w:t>
      </w:r>
      <w:r w:rsidRPr="00FF4BEB">
        <w:rPr>
          <w:lang w:val="fr-FR"/>
        </w:rPr>
        <w:tab/>
        <w:t xml:space="preserve">Compatibilité chimique des emballages en matières plastiques </w:t>
      </w:r>
      <w:r w:rsidR="00FF4BEB">
        <w:rPr>
          <w:lang w:val="fr-FR"/>
        </w:rPr>
        <w:br/>
      </w:r>
      <w:r w:rsidRPr="00FF4BEB">
        <w:rPr>
          <w:lang w:val="fr-FR"/>
        </w:rPr>
        <w:t>contenant des déchets liquides</w:t>
      </w:r>
    </w:p>
    <w:p w14:paraId="7FABF977" w14:textId="063512B0" w:rsidR="004821C5" w:rsidRPr="00FF4BEB" w:rsidRDefault="004821C5" w:rsidP="00FF4BEB">
      <w:pPr>
        <w:pStyle w:val="SingleTxtG"/>
        <w:ind w:left="3402" w:hanging="2268"/>
        <w:jc w:val="left"/>
        <w:rPr>
          <w:lang w:val="fr-FR"/>
        </w:rPr>
      </w:pPr>
      <w:r w:rsidRPr="00FF4BEB">
        <w:rPr>
          <w:i/>
          <w:iCs/>
          <w:lang w:val="fr-FR"/>
        </w:rPr>
        <w:t>Document informel</w:t>
      </w:r>
      <w:r w:rsidR="00FF4BEB">
        <w:rPr>
          <w:i/>
          <w:iCs/>
          <w:lang w:val="fr-FR"/>
        </w:rPr>
        <w:t> </w:t>
      </w:r>
      <w:r w:rsidRPr="00FF4BEB">
        <w:rPr>
          <w:i/>
          <w:iCs/>
          <w:lang w:val="fr-FR"/>
        </w:rPr>
        <w:t>:</w:t>
      </w:r>
      <w:r w:rsidRPr="00FF4BEB">
        <w:rPr>
          <w:lang w:val="fr-FR"/>
        </w:rPr>
        <w:tab/>
        <w:t>INF.22 (FEAD)</w:t>
      </w:r>
    </w:p>
    <w:p w14:paraId="038E4844" w14:textId="1B988B38" w:rsidR="004821C5" w:rsidRPr="009F1D3D" w:rsidRDefault="004821C5" w:rsidP="00C90B21">
      <w:pPr>
        <w:pStyle w:val="SingleTxtG"/>
        <w:rPr>
          <w:lang w:val="fr-FR"/>
        </w:rPr>
      </w:pPr>
      <w:r w:rsidRPr="00C90B21">
        <w:rPr>
          <w:lang w:val="fr-FR"/>
        </w:rPr>
        <w:t>30.</w:t>
      </w:r>
      <w:r w:rsidRPr="00C90B21">
        <w:rPr>
          <w:lang w:val="fr-FR"/>
        </w:rPr>
        <w:tab/>
        <w:t>En ce qui concerne la proposition d</w:t>
      </w:r>
      <w:r w:rsidR="000C7353">
        <w:rPr>
          <w:lang w:val="fr-FR"/>
        </w:rPr>
        <w:t>’</w:t>
      </w:r>
      <w:r w:rsidRPr="00C90B21">
        <w:rPr>
          <w:lang w:val="fr-FR"/>
        </w:rPr>
        <w:t>ajouter au 4.1.1.22 un paragraphe relatif à l</w:t>
      </w:r>
      <w:r w:rsidR="000C7353">
        <w:rPr>
          <w:lang w:val="fr-FR"/>
        </w:rPr>
        <w:t>’</w:t>
      </w:r>
      <w:r w:rsidRPr="00C90B21">
        <w:rPr>
          <w:lang w:val="fr-FR"/>
        </w:rPr>
        <w:t>utilisation d</w:t>
      </w:r>
      <w:r w:rsidR="000C7353">
        <w:rPr>
          <w:lang w:val="fr-FR"/>
        </w:rPr>
        <w:t>’</w:t>
      </w:r>
      <w:r w:rsidRPr="00C90B21">
        <w:rPr>
          <w:lang w:val="fr-FR"/>
        </w:rPr>
        <w:t>emballages en matières plastiques compatibles avec les déchets liquides, la Réunion commune a constaté que la préférence allait plutôt à la modification du 4.1.1.21. La</w:t>
      </w:r>
      <w:r w:rsidR="00694745">
        <w:rPr>
          <w:lang w:val="fr-FR"/>
        </w:rPr>
        <w:t> </w:t>
      </w:r>
      <w:r w:rsidRPr="00C90B21">
        <w:rPr>
          <w:lang w:val="fr-FR"/>
        </w:rPr>
        <w:t>représentante de la FEAD a invité tous ses collègues à lui envoyer leurs observations par courrier électronique (</w:t>
      </w:r>
      <w:hyperlink r:id="rId8" w:history="1">
        <w:r w:rsidRPr="00694745">
          <w:rPr>
            <w:rStyle w:val="Hyperlink"/>
            <w:lang w:val="fr-FR"/>
          </w:rPr>
          <w:t>aizea.astorhoschen@fead.be</w:t>
        </w:r>
      </w:hyperlink>
      <w:r w:rsidRPr="00C90B21">
        <w:rPr>
          <w:lang w:val="fr-FR"/>
        </w:rPr>
        <w:t>) et dit qu</w:t>
      </w:r>
      <w:r w:rsidR="000C7353">
        <w:rPr>
          <w:lang w:val="fr-FR"/>
        </w:rPr>
        <w:t>’</w:t>
      </w:r>
      <w:r w:rsidRPr="00C90B21">
        <w:rPr>
          <w:lang w:val="fr-FR"/>
        </w:rPr>
        <w:t>elle pourrait élaborer pour la session suivante un nouveau document qui en tiendrait compte.</w:t>
      </w:r>
    </w:p>
    <w:p w14:paraId="0476F9E6" w14:textId="77777777" w:rsidR="004821C5" w:rsidRPr="00FF4BEB" w:rsidRDefault="004821C5" w:rsidP="00FF4BEB">
      <w:pPr>
        <w:pStyle w:val="H23G"/>
        <w:rPr>
          <w:lang w:val="fr-FR"/>
        </w:rPr>
      </w:pPr>
      <w:r w:rsidRPr="00FF4BEB">
        <w:rPr>
          <w:lang w:val="fr-FR"/>
        </w:rPr>
        <w:lastRenderedPageBreak/>
        <w:tab/>
        <w:t>8.</w:t>
      </w:r>
      <w:r w:rsidRPr="00FF4BEB">
        <w:rPr>
          <w:lang w:val="fr-FR"/>
        </w:rPr>
        <w:tab/>
        <w:t>Transport de déchets dans un emballage combiné</w:t>
      </w:r>
    </w:p>
    <w:p w14:paraId="635DB1F0" w14:textId="078E41D6" w:rsidR="004821C5" w:rsidRPr="00FF4BEB" w:rsidRDefault="004821C5" w:rsidP="00FF4BEB">
      <w:pPr>
        <w:pStyle w:val="SingleTxtG"/>
        <w:keepNext/>
        <w:ind w:left="3402" w:hanging="2268"/>
        <w:jc w:val="left"/>
        <w:rPr>
          <w:lang w:val="fr-FR"/>
        </w:rPr>
      </w:pPr>
      <w:r w:rsidRPr="00FF4BEB">
        <w:rPr>
          <w:i/>
          <w:iCs/>
          <w:lang w:val="fr-FR"/>
        </w:rPr>
        <w:t>Document informel</w:t>
      </w:r>
      <w:r w:rsidR="00FF4BEB" w:rsidRPr="00FF4BEB">
        <w:rPr>
          <w:i/>
          <w:iCs/>
          <w:lang w:val="fr-FR"/>
        </w:rPr>
        <w:t> </w:t>
      </w:r>
      <w:r w:rsidRPr="00FF4BEB">
        <w:rPr>
          <w:i/>
          <w:iCs/>
          <w:lang w:val="fr-FR"/>
        </w:rPr>
        <w:t>:</w:t>
      </w:r>
      <w:r w:rsidRPr="00FF4BEB">
        <w:rPr>
          <w:lang w:val="fr-FR"/>
        </w:rPr>
        <w:tab/>
        <w:t>INF.23 (FEAD)</w:t>
      </w:r>
    </w:p>
    <w:p w14:paraId="1C8025AC" w14:textId="520EC9E7" w:rsidR="004821C5" w:rsidRPr="00C90B21" w:rsidRDefault="00C90B21" w:rsidP="00FF4BEB">
      <w:pPr>
        <w:pStyle w:val="SingleTxtG"/>
        <w:keepNext/>
        <w:rPr>
          <w:lang w:val="fr-FR"/>
        </w:rPr>
      </w:pPr>
      <w:r w:rsidRPr="00C90B21">
        <w:rPr>
          <w:lang w:val="fr-FR"/>
        </w:rPr>
        <w:t>31</w:t>
      </w:r>
      <w:r w:rsidR="004821C5" w:rsidRPr="00C90B21">
        <w:rPr>
          <w:lang w:val="fr-FR"/>
        </w:rPr>
        <w:t>.</w:t>
      </w:r>
      <w:r w:rsidR="004821C5" w:rsidRPr="00C90B21">
        <w:rPr>
          <w:lang w:val="fr-FR"/>
        </w:rPr>
        <w:tab/>
        <w:t>Le représentant du Royaume-Uni a exprimé sa préoccupation à propos des propositions contenues dans le document informel INF.23. Le temps étant compté, il a proposé de faire part de ses observations à la FEAD par écrit. Les représentants ont été à nouveau invités à faire part de leurs observations à la FEAD par écrit. La représentante de cet organisme a proposé d</w:t>
      </w:r>
      <w:r w:rsidR="000C7353">
        <w:rPr>
          <w:lang w:val="fr-FR"/>
        </w:rPr>
        <w:t>’</w:t>
      </w:r>
      <w:r w:rsidR="004821C5" w:rsidRPr="00C90B21">
        <w:rPr>
          <w:lang w:val="fr-FR"/>
        </w:rPr>
        <w:t>élaborer pour la session suivante un nouveau document qui tiendrait compte des observations reçues.</w:t>
      </w:r>
    </w:p>
    <w:p w14:paraId="7B31F705" w14:textId="175A8C44" w:rsidR="004821C5" w:rsidRPr="00B14B4B" w:rsidRDefault="004821C5" w:rsidP="00FF4BEB">
      <w:pPr>
        <w:pStyle w:val="H23G"/>
      </w:pPr>
      <w:r>
        <w:rPr>
          <w:lang w:val="fr-FR"/>
        </w:rPr>
        <w:tab/>
      </w:r>
      <w:r w:rsidRPr="00B14B4B">
        <w:rPr>
          <w:lang w:val="fr-FR"/>
        </w:rPr>
        <w:t>9.</w:t>
      </w:r>
      <w:r w:rsidRPr="00B14B4B">
        <w:rPr>
          <w:lang w:val="fr-FR"/>
        </w:rPr>
        <w:tab/>
        <w:t>Transport par des particuliers de marchandises dangereuses en tant que déchets et</w:t>
      </w:r>
      <w:r w:rsidR="00FF4BEB">
        <w:rPr>
          <w:lang w:val="fr-FR"/>
        </w:rPr>
        <w:t> </w:t>
      </w:r>
      <w:r w:rsidRPr="00B14B4B">
        <w:rPr>
          <w:lang w:val="fr-FR"/>
        </w:rPr>
        <w:t xml:space="preserve">présence de déchets dangereux produits par les ménages </w:t>
      </w:r>
      <w:r w:rsidR="00FF4BEB">
        <w:rPr>
          <w:lang w:val="fr-FR"/>
        </w:rPr>
        <w:br/>
      </w:r>
      <w:r w:rsidRPr="00B14B4B">
        <w:rPr>
          <w:lang w:val="fr-FR"/>
        </w:rPr>
        <w:t>dans les déchets non dangereux collectés à part</w:t>
      </w:r>
    </w:p>
    <w:p w14:paraId="46DE7C38" w14:textId="4A46F7BD" w:rsidR="004821C5" w:rsidRPr="00FF4BEB" w:rsidRDefault="004821C5" w:rsidP="00FF4BEB">
      <w:pPr>
        <w:pStyle w:val="SingleTxtG"/>
        <w:ind w:left="3402" w:hanging="2268"/>
        <w:jc w:val="left"/>
        <w:rPr>
          <w:lang w:val="fr-FR"/>
        </w:rPr>
      </w:pPr>
      <w:r w:rsidRPr="00FF4BEB">
        <w:rPr>
          <w:i/>
          <w:iCs/>
          <w:lang w:val="fr-FR"/>
        </w:rPr>
        <w:t>Document informel</w:t>
      </w:r>
      <w:r w:rsidR="00FF4BEB">
        <w:rPr>
          <w:i/>
          <w:iCs/>
          <w:lang w:val="fr-FR"/>
        </w:rPr>
        <w:t> </w:t>
      </w:r>
      <w:r w:rsidRPr="00FF4BEB">
        <w:rPr>
          <w:i/>
          <w:iCs/>
          <w:lang w:val="fr-FR"/>
        </w:rPr>
        <w:t>:</w:t>
      </w:r>
      <w:r w:rsidRPr="00FF4BEB">
        <w:rPr>
          <w:lang w:val="fr-FR"/>
        </w:rPr>
        <w:tab/>
        <w:t>INF.24 (FEAD)</w:t>
      </w:r>
    </w:p>
    <w:p w14:paraId="60503E7E" w14:textId="62417DF7" w:rsidR="004821C5" w:rsidRPr="00FF4BEB" w:rsidRDefault="004821C5" w:rsidP="00FF4BEB">
      <w:pPr>
        <w:pStyle w:val="SingleTxtG"/>
        <w:rPr>
          <w:lang w:val="fr-FR"/>
        </w:rPr>
      </w:pPr>
      <w:r w:rsidRPr="00FF4BEB">
        <w:rPr>
          <w:lang w:val="fr-FR"/>
        </w:rPr>
        <w:t>32.</w:t>
      </w:r>
      <w:r w:rsidRPr="00FF4BEB">
        <w:rPr>
          <w:lang w:val="fr-FR"/>
        </w:rPr>
        <w:tab/>
        <w:t>Les représentants qui ont pris la parole étaient d</w:t>
      </w:r>
      <w:r w:rsidR="000C7353">
        <w:rPr>
          <w:lang w:val="fr-FR"/>
        </w:rPr>
        <w:t>’</w:t>
      </w:r>
      <w:r w:rsidRPr="00FF4BEB">
        <w:rPr>
          <w:lang w:val="fr-FR"/>
        </w:rPr>
        <w:t>avis qu</w:t>
      </w:r>
      <w:r w:rsidR="000C7353">
        <w:rPr>
          <w:lang w:val="fr-FR"/>
        </w:rPr>
        <w:t>’</w:t>
      </w:r>
      <w:r w:rsidRPr="00FF4BEB">
        <w:rPr>
          <w:lang w:val="fr-FR"/>
        </w:rPr>
        <w:t>il était encore nécessaire, en ce qui concerne la proposition, de préciser le champ d</w:t>
      </w:r>
      <w:r w:rsidR="000C7353">
        <w:rPr>
          <w:lang w:val="fr-FR"/>
        </w:rPr>
        <w:t>’</w:t>
      </w:r>
      <w:r w:rsidRPr="00FF4BEB">
        <w:rPr>
          <w:lang w:val="fr-FR"/>
        </w:rPr>
        <w:t>application et les quantités exemptées. Le représentant du Luxembourg a suggéré de vérifier la possibilité d</w:t>
      </w:r>
      <w:r w:rsidR="000C7353">
        <w:rPr>
          <w:lang w:val="fr-FR"/>
        </w:rPr>
        <w:t>’</w:t>
      </w:r>
      <w:r w:rsidRPr="00FF4BEB">
        <w:rPr>
          <w:lang w:val="fr-FR"/>
        </w:rPr>
        <w:t>étendre cette exemption au 1.1.3.1 c). Les représentants ont été à nouveau invités à faire part de leurs observations à la FEAD par écrit. La Réunion commune a décidé de reprendre l</w:t>
      </w:r>
      <w:r w:rsidR="000C7353">
        <w:rPr>
          <w:lang w:val="fr-FR"/>
        </w:rPr>
        <w:t>’</w:t>
      </w:r>
      <w:r w:rsidRPr="00FF4BEB">
        <w:rPr>
          <w:lang w:val="fr-FR"/>
        </w:rPr>
        <w:t>examen de cette question à la session suivante, sur la base d</w:t>
      </w:r>
      <w:r w:rsidR="000C7353">
        <w:rPr>
          <w:lang w:val="fr-FR"/>
        </w:rPr>
        <w:t>’</w:t>
      </w:r>
      <w:r w:rsidRPr="00FF4BEB">
        <w:rPr>
          <w:lang w:val="fr-FR"/>
        </w:rPr>
        <w:t>un document officiel actualisé.</w:t>
      </w:r>
    </w:p>
    <w:p w14:paraId="017A52ED" w14:textId="2E02E117" w:rsidR="004821C5" w:rsidRPr="00AD4041" w:rsidRDefault="004821C5" w:rsidP="00FF4BEB">
      <w:pPr>
        <w:pStyle w:val="HChG"/>
      </w:pPr>
      <w:r w:rsidRPr="00AA2020">
        <w:rPr>
          <w:bCs/>
        </w:rPr>
        <w:tab/>
      </w:r>
      <w:r w:rsidRPr="00AD4041">
        <w:rPr>
          <w:lang w:val="fr-FR"/>
        </w:rPr>
        <w:t>VIII.</w:t>
      </w:r>
      <w:r w:rsidRPr="00AD4041">
        <w:rPr>
          <w:lang w:val="fr-FR"/>
        </w:rPr>
        <w:tab/>
        <w:t>Interprétation du RID, de l</w:t>
      </w:r>
      <w:r w:rsidR="000C7353">
        <w:rPr>
          <w:lang w:val="fr-FR"/>
        </w:rPr>
        <w:t>’</w:t>
      </w:r>
      <w:r w:rsidRPr="00AD4041">
        <w:rPr>
          <w:lang w:val="fr-FR"/>
        </w:rPr>
        <w:t>ADR et de l</w:t>
      </w:r>
      <w:r w:rsidR="000C7353">
        <w:rPr>
          <w:lang w:val="fr-FR"/>
        </w:rPr>
        <w:t>’</w:t>
      </w:r>
      <w:r w:rsidRPr="00AD4041">
        <w:rPr>
          <w:lang w:val="fr-FR"/>
        </w:rPr>
        <w:t xml:space="preserve">ADN </w:t>
      </w:r>
      <w:r w:rsidRPr="00AD4041">
        <w:rPr>
          <w:lang w:val="fr-FR"/>
        </w:rPr>
        <w:br/>
        <w:t>(point 6 de l</w:t>
      </w:r>
      <w:r w:rsidR="000C7353">
        <w:rPr>
          <w:lang w:val="fr-FR"/>
        </w:rPr>
        <w:t>’</w:t>
      </w:r>
      <w:r w:rsidRPr="00AD4041">
        <w:rPr>
          <w:lang w:val="fr-FR"/>
        </w:rPr>
        <w:t>ordre du jour)</w:t>
      </w:r>
    </w:p>
    <w:p w14:paraId="4CCBF7D5" w14:textId="5E7C9E10" w:rsidR="004821C5" w:rsidRPr="00FF4BEB" w:rsidRDefault="004821C5" w:rsidP="00FF4BEB">
      <w:pPr>
        <w:pStyle w:val="SingleTxtG"/>
        <w:ind w:left="3402" w:hanging="2268"/>
        <w:jc w:val="left"/>
        <w:rPr>
          <w:lang w:val="fr-FR"/>
        </w:rPr>
      </w:pPr>
      <w:r w:rsidRPr="00FF4BEB">
        <w:rPr>
          <w:i/>
          <w:iCs/>
          <w:lang w:val="fr-FR"/>
        </w:rPr>
        <w:t>Document informel</w:t>
      </w:r>
      <w:r w:rsidR="00FF4BEB">
        <w:rPr>
          <w:i/>
          <w:iCs/>
          <w:lang w:val="fr-FR"/>
        </w:rPr>
        <w:t> </w:t>
      </w:r>
      <w:r w:rsidRPr="00FF4BEB">
        <w:rPr>
          <w:i/>
          <w:iCs/>
          <w:lang w:val="fr-FR"/>
        </w:rPr>
        <w:t>:</w:t>
      </w:r>
      <w:r w:rsidRPr="00FF4BEB">
        <w:rPr>
          <w:lang w:val="fr-FR"/>
        </w:rPr>
        <w:tab/>
        <w:t>INF.17 (France)</w:t>
      </w:r>
    </w:p>
    <w:p w14:paraId="47EF86E3" w14:textId="2F11B0F9" w:rsidR="004821C5" w:rsidRPr="00FF4BEB" w:rsidRDefault="004821C5" w:rsidP="00FF4BEB">
      <w:pPr>
        <w:pStyle w:val="SingleTxtG"/>
        <w:rPr>
          <w:lang w:val="fr-FR"/>
        </w:rPr>
      </w:pPr>
      <w:r w:rsidRPr="00FF4BEB">
        <w:rPr>
          <w:lang w:val="fr-FR"/>
        </w:rPr>
        <w:t>33.</w:t>
      </w:r>
      <w:r w:rsidRPr="00FF4BEB">
        <w:rPr>
          <w:lang w:val="fr-FR"/>
        </w:rPr>
        <w:tab/>
        <w:t>La plupart des représentants qui ont pris la parole estimaient que les « domiciles privés » ou les « petites entreprises » devaient être considérés comme des destinataires conformément aux dispositions du chapitre 1.4. Pour d</w:t>
      </w:r>
      <w:r w:rsidR="000C7353">
        <w:rPr>
          <w:lang w:val="fr-FR"/>
        </w:rPr>
        <w:t>’</w:t>
      </w:r>
      <w:r w:rsidRPr="00FF4BEB">
        <w:rPr>
          <w:lang w:val="fr-FR"/>
        </w:rPr>
        <w:t>autres, il était nécessaire d</w:t>
      </w:r>
      <w:r w:rsidR="000C7353">
        <w:rPr>
          <w:lang w:val="fr-FR"/>
        </w:rPr>
        <w:t>’</w:t>
      </w:r>
      <w:r w:rsidRPr="00FF4BEB">
        <w:rPr>
          <w:lang w:val="fr-FR"/>
        </w:rPr>
        <w:t>établir une distinction entre les particuliers se trouvant à leur domicile et les personnes employées par de petites entreprises. Il a été rappelé que la définition de l</w:t>
      </w:r>
      <w:r w:rsidR="000C7353">
        <w:rPr>
          <w:lang w:val="fr-FR"/>
        </w:rPr>
        <w:t>’</w:t>
      </w:r>
      <w:r w:rsidRPr="00FF4BEB">
        <w:rPr>
          <w:lang w:val="fr-FR"/>
        </w:rPr>
        <w:t>entreprise dans le RID, l</w:t>
      </w:r>
      <w:r w:rsidR="000C7353">
        <w:rPr>
          <w:lang w:val="fr-FR"/>
        </w:rPr>
        <w:t>’</w:t>
      </w:r>
      <w:r w:rsidRPr="00FF4BEB">
        <w:rPr>
          <w:lang w:val="fr-FR"/>
        </w:rPr>
        <w:t>ADR et l</w:t>
      </w:r>
      <w:r w:rsidR="000C7353">
        <w:rPr>
          <w:lang w:val="fr-FR"/>
        </w:rPr>
        <w:t>’</w:t>
      </w:r>
      <w:r w:rsidRPr="00FF4BEB">
        <w:rPr>
          <w:lang w:val="fr-FR"/>
        </w:rPr>
        <w:t xml:space="preserve">ADN peut même inclure des personnes seules. Certains délégués ont également fait remarquer que certains de ces </w:t>
      </w:r>
      <w:r w:rsidR="00242805">
        <w:rPr>
          <w:lang w:val="fr-FR"/>
        </w:rPr>
        <w:t>« </w:t>
      </w:r>
      <w:r w:rsidRPr="00FF4BEB">
        <w:rPr>
          <w:lang w:val="fr-FR"/>
        </w:rPr>
        <w:t>destinataires</w:t>
      </w:r>
      <w:r w:rsidR="00242805">
        <w:rPr>
          <w:lang w:val="fr-FR"/>
        </w:rPr>
        <w:t> »</w:t>
      </w:r>
      <w:r w:rsidRPr="00FF4BEB">
        <w:rPr>
          <w:lang w:val="fr-FR"/>
        </w:rPr>
        <w:t xml:space="preserve"> ne seraient pas en mesure de remplir toutes les exigences. La Réunion commune a pris note de cette divergence de vues et s</w:t>
      </w:r>
      <w:r w:rsidR="000C7353">
        <w:rPr>
          <w:lang w:val="fr-FR"/>
        </w:rPr>
        <w:t>’</w:t>
      </w:r>
      <w:r w:rsidRPr="00FF4BEB">
        <w:rPr>
          <w:lang w:val="fr-FR"/>
        </w:rPr>
        <w:t>est félicitée de la proposition, faite par la France, d</w:t>
      </w:r>
      <w:r w:rsidR="000C7353">
        <w:rPr>
          <w:lang w:val="fr-FR"/>
        </w:rPr>
        <w:t>’</w:t>
      </w:r>
      <w:r w:rsidRPr="00FF4BEB">
        <w:rPr>
          <w:lang w:val="fr-FR"/>
        </w:rPr>
        <w:t>élaborer un document plus détaillé comprenant des exemples, pour examen à la session suivante.</w:t>
      </w:r>
    </w:p>
    <w:p w14:paraId="4B1695F8" w14:textId="4CD14779" w:rsidR="004821C5" w:rsidRPr="0035136E" w:rsidRDefault="004821C5" w:rsidP="00FF4BEB">
      <w:pPr>
        <w:pStyle w:val="HChG"/>
      </w:pPr>
      <w:r>
        <w:rPr>
          <w:bCs/>
        </w:rPr>
        <w:tab/>
      </w:r>
      <w:r w:rsidRPr="00B93BE1">
        <w:rPr>
          <w:lang w:val="fr-FR"/>
        </w:rPr>
        <w:t>IX.</w:t>
      </w:r>
      <w:r w:rsidRPr="00B93BE1">
        <w:rPr>
          <w:lang w:val="fr-FR"/>
        </w:rPr>
        <w:tab/>
        <w:t xml:space="preserve">Rapports des groupes de travail informels </w:t>
      </w:r>
      <w:r>
        <w:rPr>
          <w:lang w:val="fr-FR"/>
        </w:rPr>
        <w:br/>
      </w:r>
      <w:r w:rsidRPr="00B93BE1">
        <w:rPr>
          <w:lang w:val="fr-FR"/>
        </w:rPr>
        <w:t>(point 7 de l</w:t>
      </w:r>
      <w:r w:rsidR="000C7353">
        <w:rPr>
          <w:lang w:val="fr-FR"/>
        </w:rPr>
        <w:t>’</w:t>
      </w:r>
      <w:r w:rsidRPr="00B93BE1">
        <w:rPr>
          <w:lang w:val="fr-FR"/>
        </w:rPr>
        <w:t>ordre du jour)</w:t>
      </w:r>
      <w:bookmarkStart w:id="3" w:name="_Hlk51257359"/>
      <w:bookmarkEnd w:id="3"/>
    </w:p>
    <w:p w14:paraId="3C842D53" w14:textId="30178A00" w:rsidR="004821C5" w:rsidRPr="0035136E" w:rsidRDefault="004821C5" w:rsidP="00FF4BEB">
      <w:pPr>
        <w:pStyle w:val="H1G"/>
      </w:pPr>
      <w:r>
        <w:rPr>
          <w:lang w:val="fr-FR"/>
        </w:rPr>
        <w:tab/>
      </w:r>
      <w:r w:rsidRPr="00B93BE1">
        <w:rPr>
          <w:lang w:val="fr-FR"/>
        </w:rPr>
        <w:t>A.</w:t>
      </w:r>
      <w:r w:rsidRPr="00B93BE1">
        <w:rPr>
          <w:lang w:val="fr-FR"/>
        </w:rPr>
        <w:tab/>
        <w:t>Ajout de dispositions relatives au transport d</w:t>
      </w:r>
      <w:r w:rsidR="000C7353">
        <w:rPr>
          <w:lang w:val="fr-FR"/>
        </w:rPr>
        <w:t>’</w:t>
      </w:r>
      <w:r w:rsidRPr="00B93BE1">
        <w:rPr>
          <w:lang w:val="fr-FR"/>
        </w:rPr>
        <w:t xml:space="preserve">aluminium fondu </w:t>
      </w:r>
      <w:r>
        <w:rPr>
          <w:lang w:val="fr-FR"/>
        </w:rPr>
        <w:br/>
      </w:r>
      <w:r w:rsidRPr="00B93BE1">
        <w:rPr>
          <w:lang w:val="fr-FR"/>
        </w:rPr>
        <w:t xml:space="preserve">sous le </w:t>
      </w:r>
      <w:r w:rsidR="00242805">
        <w:rPr>
          <w:lang w:val="fr-FR"/>
        </w:rPr>
        <w:t>n</w:t>
      </w:r>
      <w:r w:rsidR="00242805" w:rsidRPr="00242805">
        <w:rPr>
          <w:vertAlign w:val="superscript"/>
          <w:lang w:val="fr-FR"/>
        </w:rPr>
        <w:t>o</w:t>
      </w:r>
      <w:r w:rsidR="00242805">
        <w:rPr>
          <w:lang w:val="fr-FR"/>
        </w:rPr>
        <w:t> </w:t>
      </w:r>
      <w:r w:rsidRPr="00B93BE1">
        <w:rPr>
          <w:lang w:val="fr-FR"/>
        </w:rPr>
        <w:t>ONU 3257</w:t>
      </w:r>
    </w:p>
    <w:p w14:paraId="35CBA803" w14:textId="77777777" w:rsidR="004821C5" w:rsidRPr="0035136E" w:rsidRDefault="004821C5" w:rsidP="00FF4BEB">
      <w:pPr>
        <w:pStyle w:val="SingleTxtG"/>
        <w:ind w:left="3402" w:hanging="2268"/>
        <w:jc w:val="left"/>
      </w:pPr>
      <w:r w:rsidRPr="00FF4BEB">
        <w:rPr>
          <w:i/>
          <w:iCs/>
          <w:lang w:val="fr-FR"/>
        </w:rPr>
        <w:t>Document informel :</w:t>
      </w:r>
      <w:r w:rsidRPr="0035136E">
        <w:rPr>
          <w:lang w:val="fr-FR"/>
        </w:rPr>
        <w:tab/>
        <w:t>INF.27 (Allemagne)</w:t>
      </w:r>
    </w:p>
    <w:p w14:paraId="60F95347" w14:textId="11C43FCA" w:rsidR="004821C5" w:rsidRPr="00FF4BEB" w:rsidRDefault="004821C5" w:rsidP="00FF4BEB">
      <w:pPr>
        <w:pStyle w:val="SingleTxtG"/>
        <w:rPr>
          <w:lang w:val="fr-FR"/>
        </w:rPr>
      </w:pPr>
      <w:r w:rsidRPr="00FF4BEB">
        <w:rPr>
          <w:lang w:val="fr-FR"/>
        </w:rPr>
        <w:tab/>
        <w:t>34.</w:t>
      </w:r>
      <w:r w:rsidRPr="00FF4BEB">
        <w:rPr>
          <w:lang w:val="fr-FR"/>
        </w:rPr>
        <w:tab/>
        <w:t>La Réunion commune s</w:t>
      </w:r>
      <w:r w:rsidR="000C7353">
        <w:rPr>
          <w:lang w:val="fr-FR"/>
        </w:rPr>
        <w:t>’</w:t>
      </w:r>
      <w:r w:rsidRPr="00FF4BEB">
        <w:rPr>
          <w:lang w:val="fr-FR"/>
        </w:rPr>
        <w:t>est félicitée des résultats obtenus par le groupe de travail informel du transport d</w:t>
      </w:r>
      <w:r w:rsidR="000C7353">
        <w:rPr>
          <w:lang w:val="fr-FR"/>
        </w:rPr>
        <w:t>’</w:t>
      </w:r>
      <w:r w:rsidRPr="00FF4BEB">
        <w:rPr>
          <w:lang w:val="fr-FR"/>
        </w:rPr>
        <w:t>aluminium fondu. Elle a pris note des observations d</w:t>
      </w:r>
      <w:r w:rsidR="000C7353">
        <w:rPr>
          <w:lang w:val="fr-FR"/>
        </w:rPr>
        <w:t>’</w:t>
      </w:r>
      <w:r w:rsidRPr="00FF4BEB">
        <w:rPr>
          <w:lang w:val="fr-FR"/>
        </w:rPr>
        <w:t>ordre général et de l</w:t>
      </w:r>
      <w:r w:rsidR="000C7353">
        <w:rPr>
          <w:lang w:val="fr-FR"/>
        </w:rPr>
        <w:t>’</w:t>
      </w:r>
      <w:r w:rsidRPr="00FF4BEB">
        <w:rPr>
          <w:lang w:val="fr-FR"/>
        </w:rPr>
        <w:t>appui à la proposition de nouvelles dispositions du document informel INF.27. À l</w:t>
      </w:r>
      <w:r w:rsidR="000C7353">
        <w:rPr>
          <w:lang w:val="fr-FR"/>
        </w:rPr>
        <w:t>’</w:t>
      </w:r>
      <w:r w:rsidRPr="00FF4BEB">
        <w:rPr>
          <w:lang w:val="fr-FR"/>
        </w:rPr>
        <w:t>issue de la discussion, le représentant de l</w:t>
      </w:r>
      <w:r w:rsidR="000C7353">
        <w:rPr>
          <w:lang w:val="fr-FR"/>
        </w:rPr>
        <w:t>’</w:t>
      </w:r>
      <w:r w:rsidRPr="00FF4BEB">
        <w:rPr>
          <w:lang w:val="fr-FR"/>
        </w:rPr>
        <w:t>Allemagne a invité les autres représentants à lui envoyer leurs observations (à l</w:t>
      </w:r>
      <w:r w:rsidR="000C7353">
        <w:rPr>
          <w:lang w:val="fr-FR"/>
        </w:rPr>
        <w:t>’</w:t>
      </w:r>
      <w:r w:rsidRPr="00FF4BEB">
        <w:rPr>
          <w:lang w:val="fr-FR"/>
        </w:rPr>
        <w:t xml:space="preserve">adresse courriel </w:t>
      </w:r>
      <w:hyperlink r:id="rId9" w:history="1">
        <w:r w:rsidRPr="00242805">
          <w:rPr>
            <w:rStyle w:val="Hyperlink"/>
          </w:rPr>
          <w:t>erik.holzhauser@de.tuv.com</w:t>
        </w:r>
      </w:hyperlink>
      <w:r w:rsidRPr="00FF4BEB">
        <w:rPr>
          <w:lang w:val="fr-FR"/>
        </w:rPr>
        <w:t>) pour la fin du mois d</w:t>
      </w:r>
      <w:r w:rsidR="000C7353">
        <w:rPr>
          <w:lang w:val="fr-FR"/>
        </w:rPr>
        <w:t>’</w:t>
      </w:r>
      <w:r w:rsidRPr="00FF4BEB">
        <w:rPr>
          <w:lang w:val="fr-FR"/>
        </w:rPr>
        <w:t>octobre 2022 au plus tard. Il s</w:t>
      </w:r>
      <w:r w:rsidR="000C7353">
        <w:rPr>
          <w:lang w:val="fr-FR"/>
        </w:rPr>
        <w:t>’</w:t>
      </w:r>
      <w:r w:rsidRPr="00FF4BEB">
        <w:rPr>
          <w:lang w:val="fr-FR"/>
        </w:rPr>
        <w:t>est dit prêt à soumettre à temps, pour examen à la session suivante, une proposition sous forme de document officiel.</w:t>
      </w:r>
    </w:p>
    <w:p w14:paraId="57FCC2FA" w14:textId="329C884D" w:rsidR="004821C5" w:rsidRPr="00FF4BEB" w:rsidRDefault="004821C5" w:rsidP="00FF4BEB">
      <w:pPr>
        <w:pStyle w:val="H1G"/>
        <w:rPr>
          <w:lang w:val="fr-FR"/>
        </w:rPr>
      </w:pPr>
      <w:r w:rsidRPr="00FF4BEB">
        <w:rPr>
          <w:lang w:val="fr-FR"/>
        </w:rPr>
        <w:lastRenderedPageBreak/>
        <w:tab/>
        <w:t>B.</w:t>
      </w:r>
      <w:r w:rsidRPr="00FF4BEB">
        <w:rPr>
          <w:lang w:val="fr-FR"/>
        </w:rPr>
        <w:tab/>
        <w:t>Rapport sur la première réunion du groupe de travail informel de</w:t>
      </w:r>
      <w:r w:rsidR="00242805">
        <w:rPr>
          <w:lang w:val="fr-FR"/>
        </w:rPr>
        <w:t> </w:t>
      </w:r>
      <w:r w:rsidRPr="00FF4BEB">
        <w:rPr>
          <w:lang w:val="fr-FR"/>
        </w:rPr>
        <w:t>l</w:t>
      </w:r>
      <w:r w:rsidR="000C7353">
        <w:rPr>
          <w:lang w:val="fr-FR"/>
        </w:rPr>
        <w:t>’</w:t>
      </w:r>
      <w:r w:rsidRPr="00FF4BEB">
        <w:rPr>
          <w:lang w:val="fr-FR"/>
        </w:rPr>
        <w:t>apprentissage en ligne</w:t>
      </w:r>
    </w:p>
    <w:p w14:paraId="16D0D826" w14:textId="2FBCEB6F" w:rsidR="004821C5" w:rsidRPr="00FF4BEB" w:rsidRDefault="004821C5" w:rsidP="00FF4BEB">
      <w:pPr>
        <w:pStyle w:val="SingleTxtG"/>
        <w:ind w:left="3402" w:hanging="2268"/>
        <w:jc w:val="left"/>
        <w:rPr>
          <w:lang w:val="fr-FR"/>
        </w:rPr>
      </w:pPr>
      <w:r w:rsidRPr="00FF4BEB">
        <w:rPr>
          <w:i/>
          <w:iCs/>
          <w:lang w:val="fr-FR"/>
        </w:rPr>
        <w:t>Document informel</w:t>
      </w:r>
      <w:r w:rsidR="00FF4BEB">
        <w:rPr>
          <w:i/>
          <w:iCs/>
          <w:lang w:val="fr-FR"/>
        </w:rPr>
        <w:t> </w:t>
      </w:r>
      <w:r w:rsidRPr="00FF4BEB">
        <w:rPr>
          <w:i/>
          <w:iCs/>
          <w:lang w:val="fr-FR"/>
        </w:rPr>
        <w:t>:</w:t>
      </w:r>
      <w:r w:rsidRPr="00FF4BEB">
        <w:rPr>
          <w:lang w:val="fr-FR"/>
        </w:rPr>
        <w:tab/>
        <w:t>INF.4 (Allemagne, IRU)</w:t>
      </w:r>
    </w:p>
    <w:p w14:paraId="6500EFC9" w14:textId="227E84A5" w:rsidR="004821C5" w:rsidRPr="00FF4BEB" w:rsidRDefault="004821C5" w:rsidP="00FF4BEB">
      <w:pPr>
        <w:pStyle w:val="SingleTxtG"/>
        <w:rPr>
          <w:lang w:val="fr-FR"/>
        </w:rPr>
      </w:pPr>
      <w:r w:rsidRPr="00FF4BEB">
        <w:rPr>
          <w:lang w:val="fr-FR"/>
        </w:rPr>
        <w:t>35.</w:t>
      </w:r>
      <w:r w:rsidRPr="00FF4BEB">
        <w:rPr>
          <w:lang w:val="fr-FR"/>
        </w:rPr>
        <w:tab/>
        <w:t>La Réunion commune a pris note du rapport sur la première réunion du groupe de travail informel de l</w:t>
      </w:r>
      <w:r w:rsidR="000C7353">
        <w:rPr>
          <w:lang w:val="fr-FR"/>
        </w:rPr>
        <w:t>’</w:t>
      </w:r>
      <w:r w:rsidRPr="00FF4BEB">
        <w:rPr>
          <w:lang w:val="fr-FR"/>
        </w:rPr>
        <w:t>apprentissage en ligne, qui s</w:t>
      </w:r>
      <w:r w:rsidR="000C7353">
        <w:rPr>
          <w:lang w:val="fr-FR"/>
        </w:rPr>
        <w:t>’</w:t>
      </w:r>
      <w:r w:rsidRPr="00FF4BEB">
        <w:rPr>
          <w:lang w:val="fr-FR"/>
        </w:rPr>
        <w:t>est tenue par vidéoconférence le 17 mai 2022. La plupart des représentants qui ont pris la parole ont confirmé, comme le WP.15 en 2005, que les formats spéciaux d</w:t>
      </w:r>
      <w:r w:rsidR="000C7353">
        <w:rPr>
          <w:lang w:val="fr-FR"/>
        </w:rPr>
        <w:t>’</w:t>
      </w:r>
      <w:r w:rsidRPr="00FF4BEB">
        <w:rPr>
          <w:lang w:val="fr-FR"/>
        </w:rPr>
        <w:t>apprentissage en ligne approuvés par les autorités compétentes étaient toujours conformes au Règlement annexé à l</w:t>
      </w:r>
      <w:r w:rsidR="000C7353">
        <w:rPr>
          <w:lang w:val="fr-FR"/>
        </w:rPr>
        <w:t>’</w:t>
      </w:r>
      <w:r w:rsidRPr="00FF4BEB">
        <w:rPr>
          <w:lang w:val="fr-FR"/>
        </w:rPr>
        <w:t>ADR et au Règlement annexé à l</w:t>
      </w:r>
      <w:r w:rsidR="000C7353">
        <w:rPr>
          <w:lang w:val="fr-FR"/>
        </w:rPr>
        <w:t>’</w:t>
      </w:r>
      <w:r w:rsidRPr="00FF4BEB">
        <w:rPr>
          <w:lang w:val="fr-FR"/>
        </w:rPr>
        <w:t>ADN.</w:t>
      </w:r>
    </w:p>
    <w:p w14:paraId="6FFBE4E2" w14:textId="53E3E072" w:rsidR="004821C5" w:rsidRPr="00FF4BEB" w:rsidRDefault="004821C5" w:rsidP="00FF4BEB">
      <w:pPr>
        <w:pStyle w:val="SingleTxtG"/>
        <w:rPr>
          <w:lang w:val="fr-FR"/>
        </w:rPr>
      </w:pPr>
      <w:r w:rsidRPr="00FF4BEB">
        <w:rPr>
          <w:lang w:val="fr-FR"/>
        </w:rPr>
        <w:t>36</w:t>
      </w:r>
      <w:r w:rsidR="00FF4BEB">
        <w:rPr>
          <w:lang w:val="fr-FR"/>
        </w:rPr>
        <w:t>.</w:t>
      </w:r>
      <w:r w:rsidRPr="00FF4BEB">
        <w:rPr>
          <w:lang w:val="fr-FR"/>
        </w:rPr>
        <w:tab/>
        <w:t>La Réunion commune a invité le groupe de travail informel à élaborer les modifications à l</w:t>
      </w:r>
      <w:r w:rsidR="000C7353">
        <w:rPr>
          <w:lang w:val="fr-FR"/>
        </w:rPr>
        <w:t>’</w:t>
      </w:r>
      <w:r w:rsidRPr="00FF4BEB">
        <w:rPr>
          <w:lang w:val="fr-FR"/>
        </w:rPr>
        <w:t>ADR et à l</w:t>
      </w:r>
      <w:r w:rsidR="000C7353">
        <w:rPr>
          <w:lang w:val="fr-FR"/>
        </w:rPr>
        <w:t>’</w:t>
      </w:r>
      <w:r w:rsidRPr="00FF4BEB">
        <w:rPr>
          <w:lang w:val="fr-FR"/>
        </w:rPr>
        <w:t>ADN nécessaires, pour examen à la session de mars 2023. Le</w:t>
      </w:r>
      <w:r w:rsidR="00242805">
        <w:rPr>
          <w:lang w:val="fr-FR"/>
        </w:rPr>
        <w:t> </w:t>
      </w:r>
      <w:r w:rsidRPr="00FF4BEB">
        <w:rPr>
          <w:lang w:val="fr-FR"/>
        </w:rPr>
        <w:t>représentant de l</w:t>
      </w:r>
      <w:r w:rsidR="000C7353">
        <w:rPr>
          <w:lang w:val="fr-FR"/>
        </w:rPr>
        <w:t>’</w:t>
      </w:r>
      <w:r w:rsidRPr="00FF4BEB">
        <w:rPr>
          <w:lang w:val="fr-FR"/>
        </w:rPr>
        <w:t>IRU a proposé l</w:t>
      </w:r>
      <w:r w:rsidR="000C7353">
        <w:rPr>
          <w:lang w:val="fr-FR"/>
        </w:rPr>
        <w:t>’</w:t>
      </w:r>
      <w:r w:rsidRPr="00FF4BEB">
        <w:rPr>
          <w:lang w:val="fr-FR"/>
        </w:rPr>
        <w:t>envoi par courrier électronique d</w:t>
      </w:r>
      <w:r w:rsidR="000C7353">
        <w:rPr>
          <w:lang w:val="fr-FR"/>
        </w:rPr>
        <w:t>’</w:t>
      </w:r>
      <w:r w:rsidRPr="00FF4BEB">
        <w:rPr>
          <w:lang w:val="fr-FR"/>
        </w:rPr>
        <w:t>une invitation comprenant tous les détails sur la réunion à venir.</w:t>
      </w:r>
    </w:p>
    <w:p w14:paraId="2D889D66" w14:textId="77777777" w:rsidR="004821C5" w:rsidRPr="00FF4BEB" w:rsidRDefault="004821C5" w:rsidP="00FF4BEB">
      <w:pPr>
        <w:pStyle w:val="H1G"/>
        <w:rPr>
          <w:lang w:val="fr-FR"/>
        </w:rPr>
      </w:pPr>
      <w:r w:rsidRPr="00FF4BEB">
        <w:rPr>
          <w:lang w:val="fr-FR"/>
        </w:rPr>
        <w:tab/>
        <w:t>C.</w:t>
      </w:r>
      <w:r w:rsidRPr="00FF4BEB">
        <w:rPr>
          <w:lang w:val="fr-FR"/>
        </w:rPr>
        <w:tab/>
        <w:t>Compte rendu de la cinquième réunion du groupe de travail informel du transport des déchets dangereux</w:t>
      </w:r>
    </w:p>
    <w:p w14:paraId="6D0B3016" w14:textId="77777777" w:rsidR="004821C5" w:rsidRPr="00FF4BEB" w:rsidRDefault="004821C5" w:rsidP="00FF4BEB">
      <w:pPr>
        <w:pStyle w:val="SingleTxtG"/>
        <w:ind w:left="3402" w:hanging="2268"/>
        <w:jc w:val="left"/>
        <w:rPr>
          <w:lang w:val="fr-FR"/>
        </w:rPr>
      </w:pPr>
      <w:r w:rsidRPr="00FF4BEB">
        <w:rPr>
          <w:i/>
          <w:iCs/>
          <w:lang w:val="fr-FR"/>
        </w:rPr>
        <w:t>Document informel :</w:t>
      </w:r>
      <w:r w:rsidRPr="00FF4BEB">
        <w:rPr>
          <w:lang w:val="fr-FR"/>
        </w:rPr>
        <w:tab/>
        <w:t>INF.25 (FEAD)</w:t>
      </w:r>
    </w:p>
    <w:p w14:paraId="6140BA9F" w14:textId="0CB73A42" w:rsidR="004821C5" w:rsidRPr="00C16B92" w:rsidRDefault="004821C5" w:rsidP="00781F9D">
      <w:pPr>
        <w:pStyle w:val="SingleTxtG"/>
        <w:rPr>
          <w:b/>
          <w:bCs/>
          <w:szCs w:val="24"/>
        </w:rPr>
      </w:pPr>
      <w:r w:rsidRPr="00C16B92">
        <w:rPr>
          <w:bCs/>
          <w:szCs w:val="24"/>
          <w:lang w:val="fr-FR"/>
        </w:rPr>
        <w:t>37.</w:t>
      </w:r>
      <w:r w:rsidRPr="00C16B92">
        <w:rPr>
          <w:bCs/>
          <w:szCs w:val="24"/>
          <w:lang w:val="fr-FR"/>
        </w:rPr>
        <w:tab/>
        <w:t xml:space="preserve">La Réunion commune a pris note du rapport sur la cinquième réunion du </w:t>
      </w:r>
      <w:r w:rsidRPr="00781F9D">
        <w:rPr>
          <w:lang w:val="fr-FR"/>
        </w:rPr>
        <w:t>groupe</w:t>
      </w:r>
      <w:r w:rsidRPr="00C16B92">
        <w:rPr>
          <w:bCs/>
          <w:szCs w:val="24"/>
          <w:lang w:val="fr-FR"/>
        </w:rPr>
        <w:t xml:space="preserve"> de travail informel du transport des déchets dangereux, qui s</w:t>
      </w:r>
      <w:r w:rsidR="000C7353">
        <w:rPr>
          <w:bCs/>
          <w:szCs w:val="24"/>
          <w:lang w:val="fr-FR"/>
        </w:rPr>
        <w:t>’</w:t>
      </w:r>
      <w:r w:rsidRPr="00C16B92">
        <w:rPr>
          <w:bCs/>
          <w:szCs w:val="24"/>
          <w:lang w:val="fr-FR"/>
        </w:rPr>
        <w:t xml:space="preserve">est tenue à La Haye les 15 et 16 juin 2022. </w:t>
      </w:r>
      <w:r>
        <w:rPr>
          <w:bCs/>
          <w:szCs w:val="24"/>
          <w:lang w:val="fr-FR"/>
        </w:rPr>
        <w:t>E</w:t>
      </w:r>
      <w:r w:rsidRPr="00C16B92">
        <w:rPr>
          <w:bCs/>
          <w:szCs w:val="24"/>
          <w:lang w:val="fr-FR"/>
        </w:rPr>
        <w:t>l</w:t>
      </w:r>
      <w:r>
        <w:rPr>
          <w:bCs/>
          <w:szCs w:val="24"/>
          <w:lang w:val="fr-FR"/>
        </w:rPr>
        <w:t>le</w:t>
      </w:r>
      <w:r w:rsidRPr="00C16B92">
        <w:rPr>
          <w:bCs/>
          <w:szCs w:val="24"/>
          <w:lang w:val="fr-FR"/>
        </w:rPr>
        <w:t xml:space="preserve"> s</w:t>
      </w:r>
      <w:r w:rsidR="000C7353">
        <w:rPr>
          <w:bCs/>
          <w:szCs w:val="24"/>
          <w:lang w:val="fr-FR"/>
        </w:rPr>
        <w:t>’</w:t>
      </w:r>
      <w:r w:rsidRPr="00C16B92">
        <w:rPr>
          <w:bCs/>
          <w:szCs w:val="24"/>
          <w:lang w:val="fr-FR"/>
        </w:rPr>
        <w:t>est félicité</w:t>
      </w:r>
      <w:r>
        <w:rPr>
          <w:bCs/>
          <w:szCs w:val="24"/>
          <w:lang w:val="fr-FR"/>
        </w:rPr>
        <w:t>e</w:t>
      </w:r>
      <w:r w:rsidRPr="00C16B92">
        <w:rPr>
          <w:bCs/>
          <w:szCs w:val="24"/>
          <w:lang w:val="fr-FR"/>
        </w:rPr>
        <w:t xml:space="preserve"> des conclusions du groupe et de son intention de se réunir à nouveau en novembre pour mettre au point un projet de proposition sur le transport de l</w:t>
      </w:r>
      <w:r w:rsidR="000C7353">
        <w:rPr>
          <w:bCs/>
          <w:szCs w:val="24"/>
          <w:lang w:val="fr-FR"/>
        </w:rPr>
        <w:t>’</w:t>
      </w:r>
      <w:r w:rsidRPr="00C16B92">
        <w:rPr>
          <w:bCs/>
          <w:szCs w:val="24"/>
          <w:lang w:val="fr-FR"/>
        </w:rPr>
        <w:t>amiante en vrac, qui serait examiné par la Réunion commune lors de sa session de mars 2023.</w:t>
      </w:r>
    </w:p>
    <w:p w14:paraId="0B443EB5" w14:textId="55F846F7" w:rsidR="004821C5" w:rsidRPr="00C16B92" w:rsidRDefault="004821C5" w:rsidP="00781F9D">
      <w:pPr>
        <w:pStyle w:val="HChG"/>
      </w:pPr>
      <w:bookmarkStart w:id="4" w:name="_Hlk51257529"/>
      <w:r w:rsidRPr="00EE5818">
        <w:rPr>
          <w:bCs/>
        </w:rPr>
        <w:tab/>
      </w:r>
      <w:bookmarkEnd w:id="4"/>
      <w:r>
        <w:rPr>
          <w:lang w:val="fr-FR"/>
        </w:rPr>
        <w:t>X</w:t>
      </w:r>
      <w:r w:rsidRPr="0097771F">
        <w:rPr>
          <w:lang w:val="fr-FR"/>
        </w:rPr>
        <w:t>.</w:t>
      </w:r>
      <w:r>
        <w:rPr>
          <w:lang w:val="fr-FR"/>
        </w:rPr>
        <w:tab/>
        <w:t>Accidents et gestion des risques (point 8 de l</w:t>
      </w:r>
      <w:r w:rsidR="000C7353">
        <w:rPr>
          <w:lang w:val="fr-FR"/>
        </w:rPr>
        <w:t>’</w:t>
      </w:r>
      <w:r>
        <w:rPr>
          <w:lang w:val="fr-FR"/>
        </w:rPr>
        <w:t>ordre du jour)</w:t>
      </w:r>
    </w:p>
    <w:p w14:paraId="54264A2B" w14:textId="77777777" w:rsidR="004821C5" w:rsidRPr="00781F9D" w:rsidRDefault="004821C5" w:rsidP="00781F9D">
      <w:pPr>
        <w:pStyle w:val="H1G"/>
        <w:rPr>
          <w:lang w:val="fr-FR"/>
        </w:rPr>
      </w:pPr>
      <w:r w:rsidRPr="00781F9D">
        <w:rPr>
          <w:lang w:val="fr-FR"/>
        </w:rPr>
        <w:tab/>
        <w:t>A.</w:t>
      </w:r>
      <w:r w:rsidRPr="00781F9D">
        <w:rPr>
          <w:lang w:val="fr-FR"/>
        </w:rPr>
        <w:tab/>
        <w:t>Publication des conclusions issues de la réunion bilatérale</w:t>
      </w:r>
      <w:r>
        <w:rPr>
          <w:lang w:val="fr-FR"/>
        </w:rPr>
        <w:t xml:space="preserve"> </w:t>
      </w:r>
      <w:r>
        <w:rPr>
          <w:lang w:val="fr-FR"/>
        </w:rPr>
        <w:br/>
        <w:t>du 17 décembre 2019</w:t>
      </w:r>
    </w:p>
    <w:p w14:paraId="5BF83819" w14:textId="77777777" w:rsidR="004821C5" w:rsidRPr="00781F9D" w:rsidRDefault="004821C5" w:rsidP="00781F9D">
      <w:pPr>
        <w:pStyle w:val="SingleTxtG"/>
        <w:ind w:left="3402" w:hanging="2268"/>
        <w:jc w:val="left"/>
        <w:rPr>
          <w:lang w:val="fr-FR"/>
        </w:rPr>
      </w:pPr>
      <w:r w:rsidRPr="00781F9D">
        <w:rPr>
          <w:i/>
          <w:iCs/>
          <w:lang w:val="fr-FR"/>
        </w:rPr>
        <w:t>Document informel :</w:t>
      </w:r>
      <w:r w:rsidRPr="00781F9D">
        <w:rPr>
          <w:lang w:val="fr-FR"/>
        </w:rPr>
        <w:tab/>
        <w:t xml:space="preserve">INF.9 (ERA) </w:t>
      </w:r>
    </w:p>
    <w:p w14:paraId="5C8D072C" w14:textId="12261750" w:rsidR="004821C5" w:rsidRPr="00781F9D" w:rsidRDefault="004821C5" w:rsidP="00781F9D">
      <w:pPr>
        <w:pStyle w:val="SingleTxtG"/>
        <w:rPr>
          <w:lang w:val="fr-FR"/>
        </w:rPr>
      </w:pPr>
      <w:r>
        <w:rPr>
          <w:lang w:val="fr-FR"/>
        </w:rPr>
        <w:tab/>
      </w:r>
      <w:r w:rsidR="00781F9D">
        <w:rPr>
          <w:lang w:val="fr-FR"/>
        </w:rPr>
        <w:t>3</w:t>
      </w:r>
      <w:r w:rsidRPr="00781F9D">
        <w:rPr>
          <w:lang w:val="fr-FR"/>
        </w:rPr>
        <w:t>8.</w:t>
      </w:r>
      <w:r w:rsidRPr="00781F9D">
        <w:rPr>
          <w:lang w:val="fr-FR"/>
        </w:rPr>
        <w:tab/>
        <w:t>La Réunion commune a pris note des conclusions de la réunion de coordination bilatérale sur l</w:t>
      </w:r>
      <w:r w:rsidR="000C7353">
        <w:rPr>
          <w:lang w:val="fr-FR"/>
        </w:rPr>
        <w:t>’</w:t>
      </w:r>
      <w:r w:rsidRPr="00781F9D">
        <w:rPr>
          <w:lang w:val="fr-FR"/>
        </w:rPr>
        <w:t>amélioration des rapports d</w:t>
      </w:r>
      <w:r w:rsidR="000C7353">
        <w:rPr>
          <w:lang w:val="fr-FR"/>
        </w:rPr>
        <w:t>’</w:t>
      </w:r>
      <w:r w:rsidRPr="00781F9D">
        <w:rPr>
          <w:lang w:val="fr-FR"/>
        </w:rPr>
        <w:t>accident de transport de marchandises dangereuses, qui s</w:t>
      </w:r>
      <w:r w:rsidR="000C7353">
        <w:rPr>
          <w:lang w:val="fr-FR"/>
        </w:rPr>
        <w:t>’</w:t>
      </w:r>
      <w:r w:rsidRPr="00781F9D">
        <w:rPr>
          <w:lang w:val="fr-FR"/>
        </w:rPr>
        <w:t>est tenue à Bruxelles le 17 décembre 2019.</w:t>
      </w:r>
    </w:p>
    <w:p w14:paraId="29591900" w14:textId="073202E7" w:rsidR="004821C5" w:rsidRPr="00AB069A" w:rsidRDefault="004821C5" w:rsidP="00781F9D">
      <w:pPr>
        <w:pStyle w:val="H1G"/>
      </w:pPr>
      <w:r w:rsidRPr="00C16B92">
        <w:rPr>
          <w:bCs/>
        </w:rPr>
        <w:tab/>
      </w:r>
      <w:r>
        <w:rPr>
          <w:bCs/>
          <w:lang w:val="fr-FR"/>
        </w:rPr>
        <w:t>B</w:t>
      </w:r>
      <w:r w:rsidRPr="0097771F">
        <w:rPr>
          <w:bCs/>
          <w:lang w:val="fr-FR"/>
        </w:rPr>
        <w:t>.</w:t>
      </w:r>
      <w:r>
        <w:rPr>
          <w:lang w:val="fr-FR"/>
        </w:rPr>
        <w:tab/>
      </w:r>
      <w:r w:rsidRPr="00781F9D">
        <w:rPr>
          <w:lang w:val="fr-FR"/>
        </w:rPr>
        <w:t>Contribution</w:t>
      </w:r>
      <w:r>
        <w:rPr>
          <w:bCs/>
          <w:lang w:val="fr-FR"/>
        </w:rPr>
        <w:t xml:space="preserve"> aux travaux du groupe de travail informel </w:t>
      </w:r>
      <w:r>
        <w:rPr>
          <w:bCs/>
          <w:lang w:val="fr-FR"/>
        </w:rPr>
        <w:br/>
        <w:t>de l</w:t>
      </w:r>
      <w:r w:rsidR="000C7353">
        <w:rPr>
          <w:bCs/>
          <w:lang w:val="fr-FR"/>
        </w:rPr>
        <w:t>’</w:t>
      </w:r>
      <w:r>
        <w:rPr>
          <w:bCs/>
          <w:lang w:val="fr-FR"/>
        </w:rPr>
        <w:t>amélioration des signalements d</w:t>
      </w:r>
      <w:r w:rsidR="000C7353">
        <w:rPr>
          <w:bCs/>
          <w:lang w:val="fr-FR"/>
        </w:rPr>
        <w:t>’</w:t>
      </w:r>
      <w:r>
        <w:rPr>
          <w:bCs/>
          <w:lang w:val="fr-FR"/>
        </w:rPr>
        <w:t xml:space="preserve">accidents </w:t>
      </w:r>
      <w:r>
        <w:rPr>
          <w:bCs/>
          <w:lang w:val="fr-FR"/>
        </w:rPr>
        <w:br/>
        <w:t>de transport de marchandises dangereuses</w:t>
      </w:r>
    </w:p>
    <w:p w14:paraId="5A20CBB2" w14:textId="137AC477" w:rsidR="004821C5" w:rsidRPr="00781F9D" w:rsidRDefault="004821C5" w:rsidP="00781F9D">
      <w:pPr>
        <w:pStyle w:val="SingleTxtG"/>
        <w:ind w:left="3402" w:hanging="2268"/>
        <w:jc w:val="left"/>
        <w:rPr>
          <w:lang w:val="fr-FR"/>
        </w:rPr>
      </w:pPr>
      <w:r w:rsidRPr="00781F9D">
        <w:rPr>
          <w:i/>
          <w:iCs/>
          <w:lang w:val="fr-FR"/>
        </w:rPr>
        <w:t>Document informel :</w:t>
      </w:r>
      <w:r w:rsidRPr="00781F9D">
        <w:rPr>
          <w:lang w:val="fr-FR"/>
        </w:rPr>
        <w:tab/>
        <w:t>INF.8 (ERA)</w:t>
      </w:r>
    </w:p>
    <w:p w14:paraId="37335C6F" w14:textId="6924E310" w:rsidR="004821C5" w:rsidRPr="005239BA" w:rsidRDefault="004821C5" w:rsidP="00781F9D">
      <w:pPr>
        <w:pStyle w:val="SingleTxtG"/>
        <w:rPr>
          <w:b/>
          <w:bCs/>
        </w:rPr>
      </w:pPr>
      <w:r>
        <w:rPr>
          <w:lang w:val="fr-FR"/>
        </w:rPr>
        <w:tab/>
      </w:r>
      <w:r w:rsidRPr="00AB069A">
        <w:rPr>
          <w:bCs/>
          <w:lang w:val="fr-FR"/>
        </w:rPr>
        <w:t>39.</w:t>
      </w:r>
      <w:r w:rsidRPr="00AB069A">
        <w:rPr>
          <w:bCs/>
          <w:lang w:val="fr-FR"/>
        </w:rPr>
        <w:tab/>
        <w:t>La Réunion commune a accueilli favorablement ce document détaillé et constaté que l</w:t>
      </w:r>
      <w:r w:rsidR="000C7353">
        <w:rPr>
          <w:bCs/>
          <w:lang w:val="fr-FR"/>
        </w:rPr>
        <w:t>’</w:t>
      </w:r>
      <w:r w:rsidRPr="00AB069A">
        <w:rPr>
          <w:bCs/>
          <w:lang w:val="fr-FR"/>
        </w:rPr>
        <w:t>initiative de coopération bénéficiait d</w:t>
      </w:r>
      <w:r w:rsidR="000C7353">
        <w:rPr>
          <w:bCs/>
          <w:lang w:val="fr-FR"/>
        </w:rPr>
        <w:t>’</w:t>
      </w:r>
      <w:r w:rsidRPr="00AB069A">
        <w:rPr>
          <w:bCs/>
          <w:lang w:val="fr-FR"/>
        </w:rPr>
        <w:t xml:space="preserve">un soutien général. Elle a </w:t>
      </w:r>
      <w:r w:rsidRPr="00781F9D">
        <w:rPr>
          <w:lang w:val="fr-FR"/>
        </w:rPr>
        <w:t>encouragé</w:t>
      </w:r>
      <w:r w:rsidRPr="00AB069A">
        <w:rPr>
          <w:bCs/>
          <w:lang w:val="fr-FR"/>
        </w:rPr>
        <w:t xml:space="preserve"> </w:t>
      </w:r>
      <w:r>
        <w:rPr>
          <w:bCs/>
          <w:lang w:val="fr-FR"/>
        </w:rPr>
        <w:t>l</w:t>
      </w:r>
      <w:r w:rsidR="000C7353">
        <w:rPr>
          <w:bCs/>
          <w:lang w:val="fr-FR"/>
        </w:rPr>
        <w:t>’</w:t>
      </w:r>
      <w:r>
        <w:rPr>
          <w:bCs/>
          <w:lang w:val="fr-FR"/>
        </w:rPr>
        <w:t>ERA</w:t>
      </w:r>
      <w:r w:rsidRPr="00AB069A">
        <w:rPr>
          <w:bCs/>
          <w:lang w:val="fr-FR"/>
        </w:rPr>
        <w:t xml:space="preserve"> à poursuivre ses travaux de coordination bilatérale sur l</w:t>
      </w:r>
      <w:r w:rsidR="000C7353">
        <w:rPr>
          <w:bCs/>
          <w:lang w:val="fr-FR"/>
        </w:rPr>
        <w:t>’</w:t>
      </w:r>
      <w:r w:rsidRPr="00AB069A">
        <w:rPr>
          <w:bCs/>
          <w:lang w:val="fr-FR"/>
        </w:rPr>
        <w:t>élaboration d</w:t>
      </w:r>
      <w:r w:rsidR="000C7353">
        <w:rPr>
          <w:bCs/>
          <w:lang w:val="fr-FR"/>
        </w:rPr>
        <w:t>’</w:t>
      </w:r>
      <w:r w:rsidRPr="00AB069A">
        <w:rPr>
          <w:bCs/>
          <w:lang w:val="fr-FR"/>
        </w:rPr>
        <w:t>une première proposition d</w:t>
      </w:r>
      <w:r w:rsidR="000C7353">
        <w:rPr>
          <w:bCs/>
          <w:lang w:val="fr-FR"/>
        </w:rPr>
        <w:t>’</w:t>
      </w:r>
      <w:r w:rsidRPr="00AB069A">
        <w:rPr>
          <w:bCs/>
          <w:lang w:val="fr-FR"/>
        </w:rPr>
        <w:t>amendements au RID, à l</w:t>
      </w:r>
      <w:r w:rsidR="000C7353">
        <w:rPr>
          <w:bCs/>
          <w:lang w:val="fr-FR"/>
        </w:rPr>
        <w:t>’</w:t>
      </w:r>
      <w:r w:rsidRPr="00AB069A">
        <w:rPr>
          <w:bCs/>
          <w:lang w:val="fr-FR"/>
        </w:rPr>
        <w:t>ADR et à l</w:t>
      </w:r>
      <w:r w:rsidR="000C7353">
        <w:rPr>
          <w:bCs/>
          <w:lang w:val="fr-FR"/>
        </w:rPr>
        <w:t>’</w:t>
      </w:r>
      <w:r w:rsidRPr="00AB069A">
        <w:rPr>
          <w:bCs/>
          <w:lang w:val="fr-FR"/>
        </w:rPr>
        <w:t>ADN pour examen à la session à venir, en mars 2023. Le représentant de l</w:t>
      </w:r>
      <w:r w:rsidR="000C7353">
        <w:rPr>
          <w:bCs/>
          <w:lang w:val="fr-FR"/>
        </w:rPr>
        <w:t>’</w:t>
      </w:r>
      <w:r w:rsidRPr="00AB069A">
        <w:rPr>
          <w:bCs/>
          <w:lang w:val="fr-FR"/>
        </w:rPr>
        <w:t>ERA a annoncé son intention d</w:t>
      </w:r>
      <w:r w:rsidR="000C7353">
        <w:rPr>
          <w:bCs/>
          <w:lang w:val="fr-FR"/>
        </w:rPr>
        <w:t>’</w:t>
      </w:r>
      <w:r w:rsidRPr="00AB069A">
        <w:rPr>
          <w:bCs/>
          <w:lang w:val="fr-FR"/>
        </w:rPr>
        <w:t xml:space="preserve">organiser une réunion à la mi-décembre 2022 et invité toutes les délégations à lui faire part </w:t>
      </w:r>
      <w:r>
        <w:rPr>
          <w:bCs/>
          <w:lang w:val="fr-FR"/>
        </w:rPr>
        <w:t>(</w:t>
      </w:r>
      <w:hyperlink r:id="rId10" w:history="1">
        <w:r w:rsidRPr="00517664">
          <w:rPr>
            <w:rStyle w:val="Hyperlink"/>
            <w:bCs/>
            <w:lang w:val="fr-FR"/>
          </w:rPr>
          <w:t>tdg@era.europa.eu</w:t>
        </w:r>
      </w:hyperlink>
      <w:r>
        <w:rPr>
          <w:bCs/>
          <w:lang w:val="fr-FR"/>
        </w:rPr>
        <w:t xml:space="preserve">) </w:t>
      </w:r>
      <w:r w:rsidRPr="00AB069A">
        <w:rPr>
          <w:bCs/>
          <w:lang w:val="fr-FR"/>
        </w:rPr>
        <w:t>de leurs observations sur le document informel INF.8 par écrit.</w:t>
      </w:r>
      <w:r>
        <w:rPr>
          <w:bCs/>
          <w:lang w:val="fr-FR"/>
        </w:rPr>
        <w:t xml:space="preserve"> </w:t>
      </w:r>
      <w:r w:rsidRPr="005239BA">
        <w:rPr>
          <w:bCs/>
          <w:color w:val="333333"/>
          <w:szCs w:val="24"/>
          <w:shd w:val="clear" w:color="auto" w:fill="FFFFFF"/>
        </w:rPr>
        <w:t xml:space="preserve">Le représentant de la France a estimé que le moment était venu de </w:t>
      </w:r>
      <w:r>
        <w:rPr>
          <w:bCs/>
          <w:color w:val="333333"/>
          <w:szCs w:val="24"/>
          <w:shd w:val="clear" w:color="auto" w:fill="FFFFFF"/>
        </w:rPr>
        <w:t>réamorcer</w:t>
      </w:r>
      <w:r w:rsidRPr="005239BA">
        <w:rPr>
          <w:bCs/>
          <w:color w:val="333333"/>
          <w:szCs w:val="24"/>
          <w:shd w:val="clear" w:color="auto" w:fill="FFFFFF"/>
        </w:rPr>
        <w:t xml:space="preserve"> les travaux du groupe de travail informel et </w:t>
      </w:r>
      <w:r>
        <w:rPr>
          <w:bCs/>
          <w:color w:val="333333"/>
          <w:szCs w:val="24"/>
          <w:shd w:val="clear" w:color="auto" w:fill="FFFFFF"/>
        </w:rPr>
        <w:t xml:space="preserve">a </w:t>
      </w:r>
      <w:r w:rsidRPr="005239BA">
        <w:rPr>
          <w:bCs/>
          <w:color w:val="333333"/>
          <w:szCs w:val="24"/>
          <w:shd w:val="clear" w:color="auto" w:fill="FFFFFF"/>
        </w:rPr>
        <w:t xml:space="preserve">proposé </w:t>
      </w:r>
      <w:r>
        <w:rPr>
          <w:bCs/>
          <w:color w:val="333333"/>
          <w:szCs w:val="24"/>
          <w:shd w:val="clear" w:color="auto" w:fill="FFFFFF"/>
        </w:rPr>
        <w:t>de soumettre</w:t>
      </w:r>
      <w:r w:rsidRPr="005239BA">
        <w:rPr>
          <w:bCs/>
          <w:color w:val="333333"/>
          <w:szCs w:val="24"/>
          <w:shd w:val="clear" w:color="auto" w:fill="FFFFFF"/>
        </w:rPr>
        <w:t xml:space="preserve"> une proposition à la prochaine session</w:t>
      </w:r>
      <w:r>
        <w:rPr>
          <w:bCs/>
          <w:color w:val="333333"/>
          <w:szCs w:val="24"/>
          <w:shd w:val="clear" w:color="auto" w:fill="FFFFFF"/>
        </w:rPr>
        <w:t>.</w:t>
      </w:r>
    </w:p>
    <w:p w14:paraId="486DCFF6" w14:textId="5C48EE4E" w:rsidR="004821C5" w:rsidRPr="005239BA" w:rsidRDefault="004821C5" w:rsidP="00781F9D">
      <w:pPr>
        <w:pStyle w:val="HChG"/>
      </w:pPr>
      <w:r w:rsidRPr="00AB069A">
        <w:rPr>
          <w:bCs/>
        </w:rPr>
        <w:lastRenderedPageBreak/>
        <w:tab/>
      </w:r>
      <w:r>
        <w:rPr>
          <w:lang w:val="fr-FR"/>
        </w:rPr>
        <w:t>XI</w:t>
      </w:r>
      <w:r w:rsidRPr="0097771F">
        <w:rPr>
          <w:lang w:val="fr-FR"/>
        </w:rPr>
        <w:t>.</w:t>
      </w:r>
      <w:r>
        <w:rPr>
          <w:lang w:val="fr-FR"/>
        </w:rPr>
        <w:tab/>
        <w:t>Élection du Bureau pour 2023 (point 9 de l</w:t>
      </w:r>
      <w:r w:rsidR="000C7353">
        <w:rPr>
          <w:lang w:val="fr-FR"/>
        </w:rPr>
        <w:t>’</w:t>
      </w:r>
      <w:r>
        <w:rPr>
          <w:lang w:val="fr-FR"/>
        </w:rPr>
        <w:t>ordre du jour)</w:t>
      </w:r>
    </w:p>
    <w:p w14:paraId="37CFEEB4" w14:textId="764771F5" w:rsidR="004821C5" w:rsidRPr="00781F9D" w:rsidRDefault="004821C5" w:rsidP="00781F9D">
      <w:pPr>
        <w:pStyle w:val="SingleTxtG"/>
        <w:rPr>
          <w:bCs/>
          <w:lang w:val="fr-FR"/>
        </w:rPr>
      </w:pPr>
      <w:r w:rsidRPr="00781F9D">
        <w:rPr>
          <w:bCs/>
          <w:lang w:val="fr-FR"/>
        </w:rPr>
        <w:t>40.</w:t>
      </w:r>
      <w:r w:rsidRPr="00781F9D">
        <w:rPr>
          <w:bCs/>
          <w:lang w:val="fr-FR"/>
        </w:rPr>
        <w:tab/>
        <w:t>M. C. Pfauvadel (France) et M</w:t>
      </w:r>
      <w:r w:rsidRPr="00781F9D">
        <w:rPr>
          <w:bCs/>
          <w:vertAlign w:val="superscript"/>
          <w:lang w:val="fr-FR"/>
        </w:rPr>
        <w:t>me</w:t>
      </w:r>
      <w:r w:rsidRPr="00781F9D">
        <w:rPr>
          <w:bCs/>
          <w:lang w:val="fr-FR"/>
        </w:rPr>
        <w:t xml:space="preserve"> S. García Wolfrum (Espagne) ont été réélus respectivement Président et Vice-Présidente pour 2023. Le Président a annoncé qu</w:t>
      </w:r>
      <w:r w:rsidR="000C7353">
        <w:rPr>
          <w:bCs/>
          <w:lang w:val="fr-FR"/>
        </w:rPr>
        <w:t>’</w:t>
      </w:r>
      <w:r w:rsidRPr="00781F9D">
        <w:rPr>
          <w:bCs/>
          <w:lang w:val="fr-FR"/>
        </w:rPr>
        <w:t>il allait prendre sa retraite et ne pourrait donc plus exercer cette fonction à partir de 2024.</w:t>
      </w:r>
    </w:p>
    <w:p w14:paraId="470862ED" w14:textId="46889162" w:rsidR="004821C5" w:rsidRPr="00CB3200" w:rsidRDefault="004821C5" w:rsidP="00781F9D">
      <w:pPr>
        <w:pStyle w:val="HChG"/>
      </w:pPr>
      <w:r w:rsidRPr="00CB3200">
        <w:rPr>
          <w:bCs/>
        </w:rPr>
        <w:tab/>
        <w:t>XII.</w:t>
      </w:r>
      <w:r w:rsidRPr="00CB3200">
        <w:tab/>
      </w:r>
      <w:r>
        <w:rPr>
          <w:lang w:val="fr-FR"/>
        </w:rPr>
        <w:t>Travaux futurs (point 10 de l</w:t>
      </w:r>
      <w:r w:rsidR="000C7353">
        <w:rPr>
          <w:lang w:val="fr-FR"/>
        </w:rPr>
        <w:t>’</w:t>
      </w:r>
      <w:r>
        <w:rPr>
          <w:lang w:val="fr-FR"/>
        </w:rPr>
        <w:t>ordre du jour)</w:t>
      </w:r>
    </w:p>
    <w:p w14:paraId="27C802CE" w14:textId="2608EEA1" w:rsidR="004821C5" w:rsidRPr="00781F9D" w:rsidRDefault="004821C5" w:rsidP="00781F9D">
      <w:pPr>
        <w:pStyle w:val="SingleTxtG"/>
        <w:rPr>
          <w:bCs/>
          <w:lang w:val="fr-FR"/>
        </w:rPr>
      </w:pPr>
      <w:r w:rsidRPr="00781F9D">
        <w:rPr>
          <w:bCs/>
          <w:lang w:val="fr-FR"/>
        </w:rPr>
        <w:t>41.</w:t>
      </w:r>
      <w:r w:rsidRPr="00781F9D">
        <w:rPr>
          <w:bCs/>
          <w:lang w:val="fr-FR"/>
        </w:rPr>
        <w:tab/>
        <w:t>La Réunion commune a été informée que la session suivante se tiendrait à Berne du 20 au 24 mars 2023 et que la date limite de soumission des documents était fixée au 16</w:t>
      </w:r>
      <w:r w:rsidR="00431B8C">
        <w:rPr>
          <w:bCs/>
          <w:lang w:val="fr-FR"/>
        </w:rPr>
        <w:t> </w:t>
      </w:r>
      <w:r w:rsidRPr="00781F9D">
        <w:rPr>
          <w:bCs/>
          <w:lang w:val="fr-FR"/>
        </w:rPr>
        <w:t>décembre 2022.</w:t>
      </w:r>
    </w:p>
    <w:p w14:paraId="3F20511C" w14:textId="6E36F929" w:rsidR="004821C5" w:rsidRPr="00B67B37" w:rsidRDefault="004821C5" w:rsidP="00781F9D">
      <w:pPr>
        <w:pStyle w:val="HChG"/>
      </w:pPr>
      <w:r w:rsidRPr="00CB3200">
        <w:rPr>
          <w:bCs/>
        </w:rPr>
        <w:tab/>
      </w:r>
      <w:r w:rsidRPr="00C050A5">
        <w:rPr>
          <w:lang w:val="fr-FR"/>
        </w:rPr>
        <w:t>XIII.</w:t>
      </w:r>
      <w:r w:rsidRPr="00C050A5">
        <w:rPr>
          <w:lang w:val="fr-FR"/>
        </w:rPr>
        <w:tab/>
        <w:t>Questions diverses (point 11 de l</w:t>
      </w:r>
      <w:r w:rsidR="000C7353">
        <w:rPr>
          <w:lang w:val="fr-FR"/>
        </w:rPr>
        <w:t>’</w:t>
      </w:r>
      <w:r w:rsidRPr="00C050A5">
        <w:rPr>
          <w:lang w:val="fr-FR"/>
        </w:rPr>
        <w:t>ordre du jour)</w:t>
      </w:r>
    </w:p>
    <w:p w14:paraId="55D46275" w14:textId="2227D22B" w:rsidR="004821C5" w:rsidRPr="00B67B37" w:rsidRDefault="004821C5" w:rsidP="00781F9D">
      <w:pPr>
        <w:pStyle w:val="H1G"/>
      </w:pPr>
      <w:r>
        <w:rPr>
          <w:lang w:val="fr-FR"/>
        </w:rPr>
        <w:tab/>
      </w:r>
      <w:r w:rsidRPr="00C050A5">
        <w:rPr>
          <w:lang w:val="fr-FR"/>
        </w:rPr>
        <w:t>A.</w:t>
      </w:r>
      <w:r w:rsidRPr="00C050A5">
        <w:rPr>
          <w:lang w:val="fr-FR"/>
        </w:rPr>
        <w:tab/>
        <w:t>Lignes directrices pour l</w:t>
      </w:r>
      <w:r w:rsidR="000C7353">
        <w:rPr>
          <w:lang w:val="fr-FR"/>
        </w:rPr>
        <w:t>’</w:t>
      </w:r>
      <w:r w:rsidRPr="00C050A5">
        <w:rPr>
          <w:lang w:val="fr-FR"/>
        </w:rPr>
        <w:t>application du 5.4.0.2 du RID, de l</w:t>
      </w:r>
      <w:r w:rsidR="000C7353">
        <w:rPr>
          <w:lang w:val="fr-FR"/>
        </w:rPr>
        <w:t>’</w:t>
      </w:r>
      <w:r w:rsidRPr="00C050A5">
        <w:rPr>
          <w:lang w:val="fr-FR"/>
        </w:rPr>
        <w:t xml:space="preserve">ADR </w:t>
      </w:r>
      <w:r>
        <w:rPr>
          <w:lang w:val="fr-FR"/>
        </w:rPr>
        <w:br/>
      </w:r>
      <w:r w:rsidRPr="00C050A5">
        <w:rPr>
          <w:lang w:val="fr-FR"/>
        </w:rPr>
        <w:t>et de l</w:t>
      </w:r>
      <w:r w:rsidR="000C7353">
        <w:rPr>
          <w:lang w:val="fr-FR"/>
        </w:rPr>
        <w:t>’</w:t>
      </w:r>
      <w:r w:rsidRPr="00C050A5">
        <w:rPr>
          <w:lang w:val="fr-FR"/>
        </w:rPr>
        <w:t xml:space="preserve">ADN </w:t>
      </w:r>
      <w:r w:rsidR="00431B8C">
        <w:rPr>
          <w:lang w:val="fr-FR"/>
        </w:rPr>
        <w:t>−</w:t>
      </w:r>
      <w:r w:rsidRPr="00C050A5">
        <w:rPr>
          <w:lang w:val="fr-FR"/>
        </w:rPr>
        <w:t xml:space="preserve"> utilisation du modèle de données dans le contexte du</w:t>
      </w:r>
      <w:r>
        <w:rPr>
          <w:lang w:val="fr-FR"/>
        </w:rPr>
        <w:t> </w:t>
      </w:r>
      <w:r w:rsidRPr="00C050A5">
        <w:rPr>
          <w:lang w:val="fr-FR"/>
        </w:rPr>
        <w:t>règlement concernant les informations électroniques relatives au</w:t>
      </w:r>
      <w:r>
        <w:rPr>
          <w:lang w:val="fr-FR"/>
        </w:rPr>
        <w:t> </w:t>
      </w:r>
      <w:r w:rsidRPr="00C050A5">
        <w:rPr>
          <w:lang w:val="fr-FR"/>
        </w:rPr>
        <w:t xml:space="preserve">transport de marchandises </w:t>
      </w:r>
      <w:r w:rsidR="00431B8C">
        <w:rPr>
          <w:lang w:val="fr-FR"/>
        </w:rPr>
        <w:t>−</w:t>
      </w:r>
      <w:r w:rsidRPr="00C050A5">
        <w:rPr>
          <w:lang w:val="fr-FR"/>
        </w:rPr>
        <w:t xml:space="preserve"> informations actualisées </w:t>
      </w:r>
      <w:r>
        <w:rPr>
          <w:lang w:val="fr-FR"/>
        </w:rPr>
        <w:br/>
      </w:r>
      <w:r w:rsidRPr="00C050A5">
        <w:rPr>
          <w:lang w:val="fr-FR"/>
        </w:rPr>
        <w:t>sur les travaux réalisés dans le</w:t>
      </w:r>
      <w:r>
        <w:rPr>
          <w:lang w:val="fr-FR"/>
        </w:rPr>
        <w:t xml:space="preserve"> cadre du</w:t>
      </w:r>
      <w:r w:rsidRPr="00C050A5">
        <w:rPr>
          <w:lang w:val="fr-FR"/>
        </w:rPr>
        <w:t xml:space="preserve"> forum DTLF</w:t>
      </w:r>
    </w:p>
    <w:p w14:paraId="4FD200B0" w14:textId="77777777" w:rsidR="004821C5" w:rsidRPr="00B67B37" w:rsidRDefault="004821C5" w:rsidP="00781F9D">
      <w:pPr>
        <w:pStyle w:val="SingleTxtG"/>
        <w:ind w:left="3402" w:hanging="2268"/>
        <w:jc w:val="left"/>
      </w:pPr>
      <w:r w:rsidRPr="00C050A5">
        <w:rPr>
          <w:i/>
          <w:iCs/>
          <w:lang w:val="fr-FR"/>
        </w:rPr>
        <w:t>Documents informels</w:t>
      </w:r>
      <w:r>
        <w:rPr>
          <w:i/>
          <w:iCs/>
          <w:lang w:val="fr-FR"/>
        </w:rPr>
        <w:t> </w:t>
      </w:r>
      <w:r w:rsidRPr="00C050A5">
        <w:rPr>
          <w:lang w:val="fr-FR"/>
        </w:rPr>
        <w:t>:</w:t>
      </w:r>
      <w:r w:rsidRPr="00C050A5">
        <w:rPr>
          <w:lang w:val="fr-FR"/>
        </w:rPr>
        <w:tab/>
        <w:t xml:space="preserve">INF.5 (France, Allemagne) </w:t>
      </w:r>
      <w:r>
        <w:rPr>
          <w:lang w:val="fr-FR"/>
        </w:rPr>
        <w:br/>
      </w:r>
      <w:r w:rsidRPr="00C050A5">
        <w:rPr>
          <w:lang w:val="fr-FR"/>
        </w:rPr>
        <w:t>INF.33 (</w:t>
      </w:r>
      <w:r>
        <w:rPr>
          <w:lang w:val="fr-FR"/>
        </w:rPr>
        <w:t>Union</w:t>
      </w:r>
      <w:r w:rsidRPr="00C050A5">
        <w:rPr>
          <w:lang w:val="fr-FR"/>
        </w:rPr>
        <w:t xml:space="preserve"> européenne) </w:t>
      </w:r>
      <w:r>
        <w:rPr>
          <w:lang w:val="fr-FR"/>
        </w:rPr>
        <w:br/>
        <w:t>I</w:t>
      </w:r>
      <w:r w:rsidRPr="00C050A5">
        <w:rPr>
          <w:lang w:val="fr-FR"/>
        </w:rPr>
        <w:t xml:space="preserve">NF.34 (France, Allemagne, Italie) </w:t>
      </w:r>
      <w:r>
        <w:rPr>
          <w:lang w:val="fr-FR"/>
        </w:rPr>
        <w:br/>
      </w:r>
      <w:r w:rsidRPr="00C050A5">
        <w:rPr>
          <w:lang w:val="fr-FR"/>
        </w:rPr>
        <w:t>INF.35 (CEFACT-ONU)</w:t>
      </w:r>
    </w:p>
    <w:p w14:paraId="46714624" w14:textId="2E216022" w:rsidR="004821C5" w:rsidRPr="00781F9D" w:rsidRDefault="004821C5" w:rsidP="00781F9D">
      <w:pPr>
        <w:pStyle w:val="SingleTxtG"/>
        <w:rPr>
          <w:bCs/>
          <w:lang w:val="fr-FR"/>
        </w:rPr>
      </w:pPr>
      <w:r>
        <w:rPr>
          <w:lang w:val="fr-FR"/>
        </w:rPr>
        <w:tab/>
      </w:r>
      <w:r w:rsidRPr="00781F9D">
        <w:rPr>
          <w:bCs/>
          <w:lang w:val="fr-FR"/>
        </w:rPr>
        <w:t>42.</w:t>
      </w:r>
      <w:r w:rsidRPr="00781F9D">
        <w:rPr>
          <w:bCs/>
          <w:lang w:val="fr-FR"/>
        </w:rPr>
        <w:tab/>
        <w:t>À la lumière du Règlement (UE) 2020/1056 du Parlement européen et du Conseil du 15 juillet 2020 concernant les informations électroniques relatives au transport de marchandises (eFTI), les représentants de l</w:t>
      </w:r>
      <w:r w:rsidR="000C7353">
        <w:rPr>
          <w:bCs/>
          <w:lang w:val="fr-FR"/>
        </w:rPr>
        <w:t>’</w:t>
      </w:r>
      <w:r w:rsidRPr="00781F9D">
        <w:rPr>
          <w:bCs/>
          <w:lang w:val="fr-FR"/>
        </w:rPr>
        <w:t>Allemagne ont présenté dans le document informel INF.5 des informations actualisées sur l</w:t>
      </w:r>
      <w:r w:rsidR="000C7353">
        <w:rPr>
          <w:bCs/>
          <w:lang w:val="fr-FR"/>
        </w:rPr>
        <w:t>’</w:t>
      </w:r>
      <w:r w:rsidRPr="00781F9D">
        <w:rPr>
          <w:bCs/>
          <w:lang w:val="fr-FR"/>
        </w:rPr>
        <w:t>avancement des travaux et les problèmes susceptibles de résulter de certaines évolutions du modèle de données actuel qui ne tiennent pas compte des spécificités des transports de marchandises dangereuses dans le RID, l</w:t>
      </w:r>
      <w:r w:rsidR="000C7353">
        <w:rPr>
          <w:bCs/>
          <w:lang w:val="fr-FR"/>
        </w:rPr>
        <w:t>’</w:t>
      </w:r>
      <w:r w:rsidRPr="00781F9D">
        <w:rPr>
          <w:bCs/>
          <w:lang w:val="fr-FR"/>
        </w:rPr>
        <w:t>ADR et l</w:t>
      </w:r>
      <w:r w:rsidR="000C7353">
        <w:rPr>
          <w:bCs/>
          <w:lang w:val="fr-FR"/>
        </w:rPr>
        <w:t>’</w:t>
      </w:r>
      <w:r w:rsidRPr="00781F9D">
        <w:rPr>
          <w:bCs/>
          <w:lang w:val="fr-FR"/>
        </w:rPr>
        <w:t>ADN. Le représentant de la France a montré, document informel INF.34 à l</w:t>
      </w:r>
      <w:r w:rsidR="000C7353">
        <w:rPr>
          <w:bCs/>
          <w:lang w:val="fr-FR"/>
        </w:rPr>
        <w:t>’</w:t>
      </w:r>
      <w:r w:rsidRPr="00781F9D">
        <w:rPr>
          <w:bCs/>
          <w:lang w:val="fr-FR"/>
        </w:rPr>
        <w:t>appui, où en étaient les lignes directrices, le modèle de données et le mécanisme d</w:t>
      </w:r>
      <w:r w:rsidR="000C7353">
        <w:rPr>
          <w:bCs/>
          <w:lang w:val="fr-FR"/>
        </w:rPr>
        <w:t>’</w:t>
      </w:r>
      <w:r w:rsidRPr="00781F9D">
        <w:rPr>
          <w:bCs/>
          <w:lang w:val="fr-FR"/>
        </w:rPr>
        <w:t>échange élaborés par le groupe de travail informel de la télématique, ainsi que les différences entre l</w:t>
      </w:r>
      <w:r w:rsidR="000C7353">
        <w:rPr>
          <w:bCs/>
          <w:lang w:val="fr-FR"/>
        </w:rPr>
        <w:t>’</w:t>
      </w:r>
      <w:r w:rsidRPr="00781F9D">
        <w:rPr>
          <w:bCs/>
          <w:lang w:val="fr-FR"/>
        </w:rPr>
        <w:t>architecture de la proposition eFTI et celle qui concerne le transport des marchandises dangereuses. Cette</w:t>
      </w:r>
      <w:r w:rsidR="00431B8C">
        <w:rPr>
          <w:bCs/>
          <w:lang w:val="fr-FR"/>
        </w:rPr>
        <w:t> </w:t>
      </w:r>
      <w:r w:rsidRPr="00781F9D">
        <w:rPr>
          <w:bCs/>
          <w:lang w:val="fr-FR"/>
        </w:rPr>
        <w:t>présentation a été complétée par une démonstration en ligne d</w:t>
      </w:r>
      <w:r w:rsidR="000C7353">
        <w:rPr>
          <w:bCs/>
          <w:lang w:val="fr-FR"/>
        </w:rPr>
        <w:t>’</w:t>
      </w:r>
      <w:r w:rsidRPr="00781F9D">
        <w:rPr>
          <w:bCs/>
          <w:lang w:val="fr-FR"/>
        </w:rPr>
        <w:t>application à un cas réel de transport de marchandises dangereuses, comprenant les détails énumérés dans le document de transport électronique. Le représentant de l</w:t>
      </w:r>
      <w:r w:rsidR="000C7353">
        <w:rPr>
          <w:bCs/>
          <w:lang w:val="fr-FR"/>
        </w:rPr>
        <w:t>’</w:t>
      </w:r>
      <w:r w:rsidRPr="00781F9D">
        <w:rPr>
          <w:bCs/>
          <w:lang w:val="fr-FR"/>
        </w:rPr>
        <w:t>Italie a proposé la mise en place d</w:t>
      </w:r>
      <w:r w:rsidR="000C7353">
        <w:rPr>
          <w:bCs/>
          <w:lang w:val="fr-FR"/>
        </w:rPr>
        <w:t>’</w:t>
      </w:r>
      <w:r w:rsidRPr="00781F9D">
        <w:rPr>
          <w:bCs/>
          <w:lang w:val="fr-FR"/>
        </w:rPr>
        <w:t>un groupe de travail composé d</w:t>
      </w:r>
      <w:r w:rsidR="000C7353">
        <w:rPr>
          <w:bCs/>
          <w:lang w:val="fr-FR"/>
        </w:rPr>
        <w:t>’</w:t>
      </w:r>
      <w:r w:rsidRPr="00781F9D">
        <w:rPr>
          <w:bCs/>
          <w:lang w:val="fr-FR"/>
        </w:rPr>
        <w:t>experts de l</w:t>
      </w:r>
      <w:r w:rsidR="000C7353">
        <w:rPr>
          <w:bCs/>
          <w:lang w:val="fr-FR"/>
        </w:rPr>
        <w:t>’</w:t>
      </w:r>
      <w:r w:rsidRPr="00781F9D">
        <w:rPr>
          <w:bCs/>
          <w:lang w:val="fr-FR"/>
        </w:rPr>
        <w:t>eFTI et d</w:t>
      </w:r>
      <w:r w:rsidR="000C7353">
        <w:rPr>
          <w:bCs/>
          <w:lang w:val="fr-FR"/>
        </w:rPr>
        <w:t>’</w:t>
      </w:r>
      <w:r w:rsidRPr="00781F9D">
        <w:rPr>
          <w:bCs/>
          <w:lang w:val="fr-FR"/>
        </w:rPr>
        <w:t>experts des marchandises dangereuses afin de garantir une coopération étroite, ce qui constituait à son avis la meilleure façon de résoudre les problèmes éventuels.</w:t>
      </w:r>
    </w:p>
    <w:p w14:paraId="029CA3A1" w14:textId="54E183F2" w:rsidR="004821C5" w:rsidRPr="00781F9D" w:rsidRDefault="004821C5" w:rsidP="00781F9D">
      <w:pPr>
        <w:pStyle w:val="SingleTxtG"/>
        <w:rPr>
          <w:bCs/>
          <w:lang w:val="fr-FR"/>
        </w:rPr>
      </w:pPr>
      <w:r w:rsidRPr="00781F9D">
        <w:rPr>
          <w:bCs/>
          <w:lang w:val="fr-FR"/>
        </w:rPr>
        <w:t>43.</w:t>
      </w:r>
      <w:r w:rsidRPr="00781F9D">
        <w:rPr>
          <w:bCs/>
          <w:lang w:val="fr-FR"/>
        </w:rPr>
        <w:tab/>
        <w:t>Se référant au document informel INF.33, la représentante de l</w:t>
      </w:r>
      <w:r w:rsidR="000C7353">
        <w:rPr>
          <w:bCs/>
          <w:lang w:val="fr-FR"/>
        </w:rPr>
        <w:t>’</w:t>
      </w:r>
      <w:r w:rsidRPr="00781F9D">
        <w:rPr>
          <w:bCs/>
          <w:lang w:val="fr-FR"/>
        </w:rPr>
        <w:t>Union européenne a souligné que les travaux du forum DTLF étaient toujours en cours, notamment en ce qui concernait les ensembles de données, les modèles de données et les modèles d</w:t>
      </w:r>
      <w:r w:rsidR="000C7353">
        <w:rPr>
          <w:bCs/>
          <w:lang w:val="fr-FR"/>
        </w:rPr>
        <w:t>’</w:t>
      </w:r>
      <w:r w:rsidRPr="00781F9D">
        <w:rPr>
          <w:bCs/>
          <w:lang w:val="fr-FR"/>
        </w:rPr>
        <w:t>architecture pour le transport des marchandises dangereuses. Elle a invité tous les participants à la Réunion commune représentant des pays de l</w:t>
      </w:r>
      <w:r w:rsidR="000C7353">
        <w:rPr>
          <w:bCs/>
          <w:lang w:val="fr-FR"/>
        </w:rPr>
        <w:t>’</w:t>
      </w:r>
      <w:r w:rsidRPr="00781F9D">
        <w:rPr>
          <w:bCs/>
          <w:lang w:val="fr-FR"/>
        </w:rPr>
        <w:t>Union européenne à prendre une part active à ces activités. Le représentant du CEFACT-ONU a donné, en s</w:t>
      </w:r>
      <w:r w:rsidR="000C7353">
        <w:rPr>
          <w:bCs/>
          <w:lang w:val="fr-FR"/>
        </w:rPr>
        <w:t>’</w:t>
      </w:r>
      <w:r w:rsidRPr="00781F9D">
        <w:rPr>
          <w:bCs/>
          <w:lang w:val="fr-FR"/>
        </w:rPr>
        <w:t>appuyant sur le document informel INF.35, une vue d</w:t>
      </w:r>
      <w:r w:rsidR="000C7353">
        <w:rPr>
          <w:bCs/>
          <w:lang w:val="fr-FR"/>
        </w:rPr>
        <w:t>’</w:t>
      </w:r>
      <w:r w:rsidRPr="00781F9D">
        <w:rPr>
          <w:bCs/>
          <w:lang w:val="fr-FR"/>
        </w:rPr>
        <w:t>ensemble du rôle des organismes des Nations Unies dans la chaîne d</w:t>
      </w:r>
      <w:r w:rsidR="000C7353">
        <w:rPr>
          <w:bCs/>
          <w:lang w:val="fr-FR"/>
        </w:rPr>
        <w:t>’</w:t>
      </w:r>
      <w:r w:rsidRPr="00781F9D">
        <w:rPr>
          <w:bCs/>
          <w:lang w:val="fr-FR"/>
        </w:rPr>
        <w:t>approvisionnement internationale et le transport multimodal des marchandises dangereuses.</w:t>
      </w:r>
    </w:p>
    <w:p w14:paraId="4E3E1514" w14:textId="5B42E33E" w:rsidR="004821C5" w:rsidRPr="00781F9D" w:rsidRDefault="004821C5" w:rsidP="00781F9D">
      <w:pPr>
        <w:pStyle w:val="SingleTxtG"/>
        <w:rPr>
          <w:bCs/>
          <w:lang w:val="fr-FR"/>
        </w:rPr>
      </w:pPr>
      <w:r w:rsidRPr="00781F9D">
        <w:rPr>
          <w:bCs/>
          <w:lang w:val="fr-FR"/>
        </w:rPr>
        <w:t>44.</w:t>
      </w:r>
      <w:r w:rsidRPr="00781F9D">
        <w:rPr>
          <w:bCs/>
          <w:lang w:val="fr-FR"/>
        </w:rPr>
        <w:tab/>
        <w:t>L</w:t>
      </w:r>
      <w:r w:rsidR="000C7353">
        <w:rPr>
          <w:bCs/>
          <w:lang w:val="fr-FR"/>
        </w:rPr>
        <w:t>’</w:t>
      </w:r>
      <w:r w:rsidRPr="00781F9D">
        <w:rPr>
          <w:bCs/>
          <w:lang w:val="fr-FR"/>
        </w:rPr>
        <w:t>objectif commun de l</w:t>
      </w:r>
      <w:r w:rsidR="000C7353">
        <w:rPr>
          <w:bCs/>
          <w:lang w:val="fr-FR"/>
        </w:rPr>
        <w:t>’</w:t>
      </w:r>
      <w:r w:rsidRPr="00781F9D">
        <w:rPr>
          <w:bCs/>
          <w:lang w:val="fr-FR"/>
        </w:rPr>
        <w:t xml:space="preserve">Union européenne et de la Réunion commune est de pouvoir appliquer le règlement eFTI en tenant compte de toutes les particularités nécessaires pour couvrir la législation relative au transport des marchandises dangereuses. Pour les futures discussions au sein du forum DTLF sur le développement futur du document électronique relatif aux marchandises dangereuses, il a été rappelé que ce système pourrait être mis au </w:t>
      </w:r>
      <w:r w:rsidRPr="00781F9D">
        <w:rPr>
          <w:bCs/>
          <w:lang w:val="fr-FR"/>
        </w:rPr>
        <w:lastRenderedPageBreak/>
        <w:t>point de différentes manières sur le plan technique, mais que celles-ci devraient néanmoins respecter les exigences de base suivantes</w:t>
      </w:r>
      <w:r w:rsidR="00853105">
        <w:rPr>
          <w:bCs/>
          <w:lang w:val="fr-FR"/>
        </w:rPr>
        <w:t> </w:t>
      </w:r>
      <w:r w:rsidRPr="00781F9D">
        <w:rPr>
          <w:bCs/>
          <w:lang w:val="fr-FR"/>
        </w:rPr>
        <w:t>:</w:t>
      </w:r>
    </w:p>
    <w:p w14:paraId="3EBB85F2" w14:textId="16827483" w:rsidR="004821C5" w:rsidRPr="002123A2" w:rsidRDefault="004821C5" w:rsidP="002123A2">
      <w:pPr>
        <w:pStyle w:val="SingleTxtG"/>
        <w:ind w:firstLine="567"/>
        <w:rPr>
          <w:lang w:val="fr-FR"/>
        </w:rPr>
      </w:pPr>
      <w:r w:rsidRPr="002123A2">
        <w:rPr>
          <w:lang w:val="fr-FR"/>
        </w:rPr>
        <w:t>a)</w:t>
      </w:r>
      <w:r w:rsidRPr="002123A2">
        <w:rPr>
          <w:lang w:val="fr-FR"/>
        </w:rPr>
        <w:tab/>
      </w:r>
      <w:r w:rsidR="00431B8C">
        <w:rPr>
          <w:lang w:val="fr-FR"/>
        </w:rPr>
        <w:t>C</w:t>
      </w:r>
      <w:r w:rsidRPr="002123A2">
        <w:rPr>
          <w:lang w:val="fr-FR"/>
        </w:rPr>
        <w:t>ontenir toutes les informations prescrites au chapitre 5.4 ainsi que toutes les informations supplémentaires prescrites dans d</w:t>
      </w:r>
      <w:r w:rsidR="000C7353">
        <w:rPr>
          <w:lang w:val="fr-FR"/>
        </w:rPr>
        <w:t>’</w:t>
      </w:r>
      <w:r w:rsidRPr="002123A2">
        <w:rPr>
          <w:lang w:val="fr-FR"/>
        </w:rPr>
        <w:t>autres parties du règlement (par exemple, les dispositions spéciales)</w:t>
      </w:r>
      <w:r w:rsidR="002123A2">
        <w:rPr>
          <w:lang w:val="fr-FR"/>
        </w:rPr>
        <w:t> </w:t>
      </w:r>
      <w:r w:rsidRPr="002123A2">
        <w:rPr>
          <w:lang w:val="fr-FR"/>
        </w:rPr>
        <w:t>;</w:t>
      </w:r>
    </w:p>
    <w:p w14:paraId="3B0E720D" w14:textId="499D1CEF" w:rsidR="004821C5" w:rsidRPr="002123A2" w:rsidRDefault="004821C5" w:rsidP="002123A2">
      <w:pPr>
        <w:pStyle w:val="SingleTxtG"/>
        <w:ind w:firstLine="567"/>
        <w:rPr>
          <w:lang w:val="fr-FR"/>
        </w:rPr>
      </w:pPr>
      <w:r w:rsidRPr="002123A2">
        <w:rPr>
          <w:lang w:val="fr-FR"/>
        </w:rPr>
        <w:t>b)</w:t>
      </w:r>
      <w:r w:rsidRPr="002123A2">
        <w:rPr>
          <w:lang w:val="fr-FR"/>
        </w:rPr>
        <w:tab/>
      </w:r>
      <w:r w:rsidR="00431B8C">
        <w:rPr>
          <w:lang w:val="fr-FR"/>
        </w:rPr>
        <w:t>I</w:t>
      </w:r>
      <w:r w:rsidRPr="002123A2">
        <w:rPr>
          <w:lang w:val="fr-FR"/>
        </w:rPr>
        <w:t>nclure un mécanisme permettant de tenir compte de la mise à jour régulière, tous les deux ans, des éditions révisées du RID, de l</w:t>
      </w:r>
      <w:r w:rsidR="000C7353">
        <w:rPr>
          <w:lang w:val="fr-FR"/>
        </w:rPr>
        <w:t>’</w:t>
      </w:r>
      <w:r w:rsidRPr="002123A2">
        <w:rPr>
          <w:lang w:val="fr-FR"/>
        </w:rPr>
        <w:t>ADR et de l</w:t>
      </w:r>
      <w:r w:rsidR="000C7353">
        <w:rPr>
          <w:lang w:val="fr-FR"/>
        </w:rPr>
        <w:t>’</w:t>
      </w:r>
      <w:r w:rsidRPr="002123A2">
        <w:rPr>
          <w:lang w:val="fr-FR"/>
        </w:rPr>
        <w:t>ADN, ainsi que des modifications des données requises par les réglementations interconnectées (par exemple, l</w:t>
      </w:r>
      <w:r w:rsidR="000C7353">
        <w:rPr>
          <w:lang w:val="fr-FR"/>
        </w:rPr>
        <w:t>’</w:t>
      </w:r>
      <w:r w:rsidRPr="002123A2">
        <w:rPr>
          <w:lang w:val="fr-FR"/>
        </w:rPr>
        <w:t>identification des véhicules)</w:t>
      </w:r>
      <w:r w:rsidR="002123A2">
        <w:rPr>
          <w:lang w:val="fr-FR"/>
        </w:rPr>
        <w:t> </w:t>
      </w:r>
      <w:r w:rsidRPr="002123A2">
        <w:rPr>
          <w:lang w:val="fr-FR"/>
        </w:rPr>
        <w:t>;</w:t>
      </w:r>
    </w:p>
    <w:p w14:paraId="343A2E19" w14:textId="6533711D" w:rsidR="004821C5" w:rsidRPr="002123A2" w:rsidRDefault="004821C5" w:rsidP="002123A2">
      <w:pPr>
        <w:pStyle w:val="SingleTxtG"/>
        <w:ind w:firstLine="567"/>
        <w:rPr>
          <w:lang w:val="fr-FR"/>
        </w:rPr>
      </w:pPr>
      <w:r w:rsidRPr="002123A2">
        <w:rPr>
          <w:lang w:val="fr-FR"/>
        </w:rPr>
        <w:t>c)</w:t>
      </w:r>
      <w:r w:rsidRPr="002123A2">
        <w:rPr>
          <w:lang w:val="fr-FR"/>
        </w:rPr>
        <w:tab/>
      </w:r>
      <w:r w:rsidR="00431B8C">
        <w:rPr>
          <w:lang w:val="fr-FR"/>
        </w:rPr>
        <w:t>V</w:t>
      </w:r>
      <w:r w:rsidRPr="002123A2">
        <w:rPr>
          <w:lang w:val="fr-FR"/>
        </w:rPr>
        <w:t>eiller à ce que les données relatives aux marchandises dangereuses soient accessibles à distance immédiatement et partout</w:t>
      </w:r>
      <w:r w:rsidR="002123A2">
        <w:rPr>
          <w:lang w:val="fr-FR"/>
        </w:rPr>
        <w:t> </w:t>
      </w:r>
      <w:r w:rsidRPr="002123A2">
        <w:rPr>
          <w:lang w:val="fr-FR"/>
        </w:rPr>
        <w:t>; et</w:t>
      </w:r>
    </w:p>
    <w:p w14:paraId="37073299" w14:textId="7E7BB642" w:rsidR="004821C5" w:rsidRPr="002123A2" w:rsidRDefault="004821C5" w:rsidP="002123A2">
      <w:pPr>
        <w:pStyle w:val="SingleTxtG"/>
        <w:ind w:firstLine="567"/>
        <w:rPr>
          <w:lang w:val="fr-FR"/>
        </w:rPr>
      </w:pPr>
      <w:r w:rsidRPr="002123A2">
        <w:rPr>
          <w:lang w:val="fr-FR"/>
        </w:rPr>
        <w:t>d)</w:t>
      </w:r>
      <w:r w:rsidRPr="002123A2">
        <w:rPr>
          <w:lang w:val="fr-FR"/>
        </w:rPr>
        <w:tab/>
      </w:r>
      <w:r w:rsidR="00431B8C" w:rsidRPr="002123A2">
        <w:rPr>
          <w:bCs/>
          <w:lang w:val="fr-FR"/>
        </w:rPr>
        <w:t>É</w:t>
      </w:r>
      <w:r w:rsidRPr="002123A2">
        <w:rPr>
          <w:lang w:val="fr-FR"/>
        </w:rPr>
        <w:t>viter toute redondance des informations.</w:t>
      </w:r>
    </w:p>
    <w:p w14:paraId="2A2CF64B" w14:textId="6E2A2C84" w:rsidR="004821C5" w:rsidRPr="002123A2" w:rsidRDefault="004821C5" w:rsidP="002123A2">
      <w:pPr>
        <w:pStyle w:val="SingleTxtG"/>
        <w:rPr>
          <w:bCs/>
          <w:lang w:val="fr-FR"/>
        </w:rPr>
      </w:pPr>
      <w:r w:rsidRPr="002123A2">
        <w:rPr>
          <w:bCs/>
          <w:lang w:val="fr-FR"/>
        </w:rPr>
        <w:t>45.</w:t>
      </w:r>
      <w:r w:rsidRPr="002123A2">
        <w:rPr>
          <w:bCs/>
          <w:lang w:val="fr-FR"/>
        </w:rPr>
        <w:tab/>
        <w:t>Le représentant du Royaume-Uni s</w:t>
      </w:r>
      <w:r w:rsidR="000C7353">
        <w:rPr>
          <w:bCs/>
          <w:lang w:val="fr-FR"/>
        </w:rPr>
        <w:t>’</w:t>
      </w:r>
      <w:r w:rsidRPr="002123A2">
        <w:rPr>
          <w:bCs/>
          <w:lang w:val="fr-FR"/>
        </w:rPr>
        <w:t>est félicité des discussions menées au sein de l</w:t>
      </w:r>
      <w:r w:rsidR="000C7353">
        <w:rPr>
          <w:bCs/>
          <w:lang w:val="fr-FR"/>
        </w:rPr>
        <w:t>’</w:t>
      </w:r>
      <w:r w:rsidRPr="002123A2">
        <w:rPr>
          <w:bCs/>
          <w:lang w:val="fr-FR"/>
        </w:rPr>
        <w:t>Union européenne mais a souhaité que des discussions internationales plus larges puissent également avoir lieu, étant donné que toutes les parties contractantes/États n</w:t>
      </w:r>
      <w:r w:rsidR="000C7353">
        <w:rPr>
          <w:bCs/>
          <w:lang w:val="fr-FR"/>
        </w:rPr>
        <w:t>’</w:t>
      </w:r>
      <w:r w:rsidRPr="002123A2">
        <w:rPr>
          <w:bCs/>
          <w:lang w:val="fr-FR"/>
        </w:rPr>
        <w:t>étaient pas membres de l</w:t>
      </w:r>
      <w:r w:rsidR="000C7353">
        <w:rPr>
          <w:bCs/>
          <w:lang w:val="fr-FR"/>
        </w:rPr>
        <w:t>’</w:t>
      </w:r>
      <w:r w:rsidRPr="002123A2">
        <w:rPr>
          <w:bCs/>
          <w:lang w:val="fr-FR"/>
        </w:rPr>
        <w:t>Union européenne.</w:t>
      </w:r>
    </w:p>
    <w:p w14:paraId="19F16581" w14:textId="47A2661D" w:rsidR="004821C5" w:rsidRPr="002123A2" w:rsidRDefault="004821C5" w:rsidP="002123A2">
      <w:pPr>
        <w:pStyle w:val="SingleTxtG"/>
        <w:rPr>
          <w:bCs/>
          <w:lang w:val="fr-FR"/>
        </w:rPr>
      </w:pPr>
      <w:r w:rsidRPr="002123A2">
        <w:rPr>
          <w:bCs/>
          <w:lang w:val="fr-FR"/>
        </w:rPr>
        <w:t>46.</w:t>
      </w:r>
      <w:r w:rsidRPr="002123A2">
        <w:rPr>
          <w:bCs/>
          <w:lang w:val="fr-FR"/>
        </w:rPr>
        <w:tab/>
        <w:t>La Réunion commune a décidé d</w:t>
      </w:r>
      <w:r w:rsidR="000C7353">
        <w:rPr>
          <w:bCs/>
          <w:lang w:val="fr-FR"/>
        </w:rPr>
        <w:t>’</w:t>
      </w:r>
      <w:r w:rsidRPr="002123A2">
        <w:rPr>
          <w:bCs/>
          <w:lang w:val="fr-FR"/>
        </w:rPr>
        <w:t>inscrire à l</w:t>
      </w:r>
      <w:r w:rsidR="000C7353">
        <w:rPr>
          <w:bCs/>
          <w:lang w:val="fr-FR"/>
        </w:rPr>
        <w:t>’</w:t>
      </w:r>
      <w:r w:rsidRPr="002123A2">
        <w:rPr>
          <w:bCs/>
          <w:lang w:val="fr-FR"/>
        </w:rPr>
        <w:t>ordre du jour de ses sessions à venir un point relatif à cette question afin d</w:t>
      </w:r>
      <w:r w:rsidR="000C7353">
        <w:rPr>
          <w:bCs/>
          <w:lang w:val="fr-FR"/>
        </w:rPr>
        <w:t>’</w:t>
      </w:r>
      <w:r w:rsidRPr="002123A2">
        <w:rPr>
          <w:bCs/>
          <w:lang w:val="fr-FR"/>
        </w:rPr>
        <w:t>assurer un échange de vues régulier à ce sujet. Elle a constaté que la cohérence multimodale du document de transport de marchandises dangereuses était assurée par l</w:t>
      </w:r>
      <w:r w:rsidR="000C7353">
        <w:rPr>
          <w:bCs/>
          <w:lang w:val="fr-FR"/>
        </w:rPr>
        <w:t>’</w:t>
      </w:r>
      <w:r w:rsidRPr="002123A2">
        <w:rPr>
          <w:bCs/>
          <w:lang w:val="fr-FR"/>
        </w:rPr>
        <w:t>harmonisation régulière du RID, de l</w:t>
      </w:r>
      <w:r w:rsidR="000C7353">
        <w:rPr>
          <w:bCs/>
          <w:lang w:val="fr-FR"/>
        </w:rPr>
        <w:t>’</w:t>
      </w:r>
      <w:r w:rsidRPr="002123A2">
        <w:rPr>
          <w:bCs/>
          <w:lang w:val="fr-FR"/>
        </w:rPr>
        <w:t>ADR et de l</w:t>
      </w:r>
      <w:r w:rsidR="000C7353">
        <w:rPr>
          <w:bCs/>
          <w:lang w:val="fr-FR"/>
        </w:rPr>
        <w:t>’</w:t>
      </w:r>
      <w:r w:rsidRPr="002123A2">
        <w:rPr>
          <w:bCs/>
          <w:lang w:val="fr-FR"/>
        </w:rPr>
        <w:t>ADN avec le Règlement type. Le Président a encouragé les délégations intéressées à participer aux prochaines réunions menées sur cette question à l</w:t>
      </w:r>
      <w:r w:rsidR="000C7353">
        <w:rPr>
          <w:bCs/>
          <w:lang w:val="fr-FR"/>
        </w:rPr>
        <w:t>’</w:t>
      </w:r>
      <w:r w:rsidRPr="002123A2">
        <w:rPr>
          <w:bCs/>
          <w:lang w:val="fr-FR"/>
        </w:rPr>
        <w:t>échelle de l</w:t>
      </w:r>
      <w:r w:rsidR="000C7353">
        <w:rPr>
          <w:bCs/>
          <w:lang w:val="fr-FR"/>
        </w:rPr>
        <w:t>’</w:t>
      </w:r>
      <w:r w:rsidRPr="002123A2">
        <w:rPr>
          <w:bCs/>
          <w:lang w:val="fr-FR"/>
        </w:rPr>
        <w:t>Union européenne. La</w:t>
      </w:r>
      <w:r w:rsidR="00431B8C">
        <w:rPr>
          <w:bCs/>
          <w:lang w:val="fr-FR"/>
        </w:rPr>
        <w:t> </w:t>
      </w:r>
      <w:r w:rsidRPr="002123A2">
        <w:rPr>
          <w:bCs/>
          <w:lang w:val="fr-FR"/>
        </w:rPr>
        <w:t>représentante de l</w:t>
      </w:r>
      <w:r w:rsidR="000C7353">
        <w:rPr>
          <w:bCs/>
          <w:lang w:val="fr-FR"/>
        </w:rPr>
        <w:t>’</w:t>
      </w:r>
      <w:r w:rsidRPr="002123A2">
        <w:rPr>
          <w:bCs/>
          <w:lang w:val="fr-FR"/>
        </w:rPr>
        <w:t>UE a informé qu</w:t>
      </w:r>
      <w:r w:rsidR="000C7353">
        <w:rPr>
          <w:bCs/>
          <w:lang w:val="fr-FR"/>
        </w:rPr>
        <w:t>’</w:t>
      </w:r>
      <w:r w:rsidRPr="002123A2">
        <w:rPr>
          <w:bCs/>
          <w:lang w:val="fr-FR"/>
        </w:rPr>
        <w:t>une réunion spécifique sur les marchandises dangereuses dans le cadre du groupe de travail DTLF se tiendrait prochainement, à laquelle seraient conviés les participants à la Réunion commune représentant les pays de l</w:t>
      </w:r>
      <w:r w:rsidR="000C7353">
        <w:rPr>
          <w:bCs/>
          <w:lang w:val="fr-FR"/>
        </w:rPr>
        <w:t>’</w:t>
      </w:r>
      <w:r w:rsidRPr="002123A2">
        <w:rPr>
          <w:bCs/>
          <w:lang w:val="fr-FR"/>
        </w:rPr>
        <w:t>Union européenne.</w:t>
      </w:r>
    </w:p>
    <w:p w14:paraId="5CCFB990" w14:textId="77777777" w:rsidR="004821C5" w:rsidRPr="0097332A" w:rsidRDefault="004821C5" w:rsidP="002123A2">
      <w:pPr>
        <w:pStyle w:val="H1G"/>
      </w:pPr>
      <w:r w:rsidRPr="0097332A">
        <w:tab/>
        <w:t>B.</w:t>
      </w:r>
      <w:r w:rsidRPr="0097332A">
        <w:tab/>
        <w:t>Économie circulaire et objectifs de développement durable</w:t>
      </w:r>
    </w:p>
    <w:p w14:paraId="280EAFE4" w14:textId="77777777" w:rsidR="004821C5" w:rsidRPr="002123A2" w:rsidRDefault="004821C5" w:rsidP="002123A2">
      <w:pPr>
        <w:pStyle w:val="SingleTxtG"/>
        <w:ind w:left="3402" w:hanging="2268"/>
        <w:jc w:val="left"/>
        <w:rPr>
          <w:lang w:val="fr-FR"/>
        </w:rPr>
      </w:pPr>
      <w:r w:rsidRPr="002123A2">
        <w:rPr>
          <w:i/>
          <w:iCs/>
          <w:lang w:val="fr-FR"/>
        </w:rPr>
        <w:t>Document informel :</w:t>
      </w:r>
      <w:r w:rsidRPr="002123A2">
        <w:rPr>
          <w:lang w:val="fr-FR"/>
        </w:rPr>
        <w:tab/>
        <w:t>INF.12 (secrétariat)</w:t>
      </w:r>
    </w:p>
    <w:p w14:paraId="567E8ADA" w14:textId="08036112" w:rsidR="004821C5" w:rsidRPr="002123A2" w:rsidRDefault="004821C5" w:rsidP="002123A2">
      <w:pPr>
        <w:pStyle w:val="SingleTxtG"/>
        <w:rPr>
          <w:bCs/>
          <w:lang w:val="fr-FR"/>
        </w:rPr>
      </w:pPr>
      <w:r w:rsidRPr="002123A2">
        <w:rPr>
          <w:bCs/>
          <w:lang w:val="fr-FR"/>
        </w:rPr>
        <w:t>47.</w:t>
      </w:r>
      <w:r w:rsidRPr="002123A2">
        <w:rPr>
          <w:bCs/>
          <w:lang w:val="fr-FR"/>
        </w:rPr>
        <w:tab/>
        <w:t>Le secrétariat a annoncé à la Réunion commune que le mandat révisé du Comité des transports intérieurs (CTI) avait été récemment approuvé par le Conseil économique et social. La Réunion a pris note des informations sur l</w:t>
      </w:r>
      <w:r w:rsidR="000C7353">
        <w:rPr>
          <w:bCs/>
          <w:lang w:val="fr-FR"/>
        </w:rPr>
        <w:t>’</w:t>
      </w:r>
      <w:r w:rsidRPr="002123A2">
        <w:rPr>
          <w:bCs/>
          <w:lang w:val="fr-FR"/>
        </w:rPr>
        <w:t>application de la Stratégie du CTI à l</w:t>
      </w:r>
      <w:r w:rsidR="000C7353">
        <w:rPr>
          <w:bCs/>
          <w:lang w:val="fr-FR"/>
        </w:rPr>
        <w:t>’</w:t>
      </w:r>
      <w:r w:rsidRPr="002123A2">
        <w:rPr>
          <w:bCs/>
          <w:lang w:val="fr-FR"/>
        </w:rPr>
        <w:t>horizon 2030 en ce qui concerne le transport durable et de la demande du Comité relative à un bilan régulier des aspects des travaux de la Réunion commune liés à l</w:t>
      </w:r>
      <w:r w:rsidR="000C7353">
        <w:rPr>
          <w:bCs/>
          <w:lang w:val="fr-FR"/>
        </w:rPr>
        <w:t>’</w:t>
      </w:r>
      <w:r w:rsidRPr="002123A2">
        <w:rPr>
          <w:bCs/>
          <w:lang w:val="fr-FR"/>
        </w:rPr>
        <w:t>économie circulaire, au Programme 2030 et aux objectifs de développement durable, dont il est question dans le document informel INF.12. Il a été noté que le WP.15 organiserait une table ronde sur l</w:t>
      </w:r>
      <w:r w:rsidR="000C7353">
        <w:rPr>
          <w:bCs/>
          <w:lang w:val="fr-FR"/>
        </w:rPr>
        <w:t>’</w:t>
      </w:r>
      <w:r w:rsidRPr="002123A2">
        <w:rPr>
          <w:bCs/>
          <w:lang w:val="fr-FR"/>
        </w:rPr>
        <w:t>économie circulaire du point de vue du transport multimodal des marchandises dangereuses. Les représentants souhaitant contribuer à cette discussion ont été invités à en informer le secrétariat à la mi-octobre au plus tard.</w:t>
      </w:r>
    </w:p>
    <w:p w14:paraId="4FA1C2E8" w14:textId="24E2EDA2" w:rsidR="004821C5" w:rsidRPr="002123A2" w:rsidRDefault="004821C5" w:rsidP="002123A2">
      <w:pPr>
        <w:pStyle w:val="SingleTxtG"/>
        <w:rPr>
          <w:bCs/>
          <w:lang w:val="fr-FR"/>
        </w:rPr>
      </w:pPr>
      <w:r w:rsidRPr="002123A2">
        <w:rPr>
          <w:bCs/>
          <w:lang w:val="fr-FR"/>
        </w:rPr>
        <w:t>48.</w:t>
      </w:r>
      <w:r w:rsidRPr="002123A2">
        <w:rPr>
          <w:bCs/>
          <w:lang w:val="fr-FR"/>
        </w:rPr>
        <w:tab/>
        <w:t>La Réunion commune a décidé de consacrer un nouveau point de son ordre du jour à cette question de façon à permettre une discussion régulière sur les actions de suivi. Elle a également invité les délégations à préciser dans la partie «</w:t>
      </w:r>
      <w:r w:rsidR="00981C39">
        <w:rPr>
          <w:bCs/>
          <w:lang w:val="fr-FR"/>
        </w:rPr>
        <w:t> </w:t>
      </w:r>
      <w:r w:rsidRPr="002123A2">
        <w:rPr>
          <w:bCs/>
          <w:lang w:val="fr-FR"/>
        </w:rPr>
        <w:t>justification</w:t>
      </w:r>
      <w:r w:rsidR="00981C39">
        <w:rPr>
          <w:bCs/>
          <w:lang w:val="fr-FR"/>
        </w:rPr>
        <w:t> </w:t>
      </w:r>
      <w:r w:rsidRPr="002123A2">
        <w:rPr>
          <w:bCs/>
          <w:lang w:val="fr-FR"/>
        </w:rPr>
        <w:t>» de leurs futures propositions le lien éventuel avec les objectifs de développement durable. Il a été convenu de discuter plus avant, à la session suivante, des principaux objectifs de développement durable applicables aux travaux de la Réunion commune.</w:t>
      </w:r>
    </w:p>
    <w:p w14:paraId="0BBF25D6" w14:textId="4F9A8ACD" w:rsidR="004821C5" w:rsidRPr="0097332A" w:rsidRDefault="004821C5" w:rsidP="009C6F6A">
      <w:pPr>
        <w:pStyle w:val="H1G"/>
      </w:pPr>
      <w:r w:rsidRPr="0097332A">
        <w:rPr>
          <w:bCs/>
        </w:rPr>
        <w:tab/>
      </w:r>
      <w:r w:rsidRPr="0097332A">
        <w:rPr>
          <w:lang w:val="fr-FR"/>
        </w:rPr>
        <w:t>C.</w:t>
      </w:r>
      <w:r w:rsidRPr="0097332A">
        <w:rPr>
          <w:lang w:val="fr-FR"/>
        </w:rPr>
        <w:tab/>
        <w:t>Modification d</w:t>
      </w:r>
      <w:r w:rsidR="000C7353">
        <w:rPr>
          <w:lang w:val="fr-FR"/>
        </w:rPr>
        <w:t>’</w:t>
      </w:r>
      <w:r w:rsidRPr="0097332A">
        <w:rPr>
          <w:lang w:val="fr-FR"/>
        </w:rPr>
        <w:t>ordre rédactionnel dans l</w:t>
      </w:r>
      <w:r w:rsidR="000C7353">
        <w:rPr>
          <w:lang w:val="fr-FR"/>
        </w:rPr>
        <w:t>’</w:t>
      </w:r>
      <w:r w:rsidRPr="0097332A">
        <w:rPr>
          <w:lang w:val="fr-FR"/>
        </w:rPr>
        <w:t>ADR 2023</w:t>
      </w:r>
    </w:p>
    <w:p w14:paraId="3F1B3744" w14:textId="77777777" w:rsidR="004821C5" w:rsidRPr="009C6F6A" w:rsidRDefault="004821C5" w:rsidP="009C6F6A">
      <w:pPr>
        <w:pStyle w:val="SingleTxtG"/>
        <w:ind w:left="3402" w:hanging="2268"/>
        <w:jc w:val="left"/>
        <w:rPr>
          <w:lang w:val="fr-FR"/>
        </w:rPr>
      </w:pPr>
      <w:r w:rsidRPr="009C6F6A">
        <w:rPr>
          <w:i/>
          <w:iCs/>
          <w:lang w:val="fr-FR"/>
        </w:rPr>
        <w:t>Document informel :</w:t>
      </w:r>
      <w:r w:rsidRPr="009C6F6A">
        <w:rPr>
          <w:lang w:val="fr-FR"/>
        </w:rPr>
        <w:tab/>
        <w:t>INF.13 (secrétariat)</w:t>
      </w:r>
    </w:p>
    <w:p w14:paraId="12241235" w14:textId="4B2BD4BB" w:rsidR="004821C5" w:rsidRPr="0097332A" w:rsidRDefault="004821C5" w:rsidP="009C6F6A">
      <w:pPr>
        <w:pStyle w:val="SingleTxtG"/>
        <w:rPr>
          <w:b/>
          <w:bCs/>
        </w:rPr>
      </w:pPr>
      <w:r w:rsidRPr="0097332A">
        <w:rPr>
          <w:szCs w:val="24"/>
          <w:lang w:val="fr-FR"/>
        </w:rPr>
        <w:tab/>
      </w:r>
      <w:r w:rsidR="009C6F6A">
        <w:rPr>
          <w:szCs w:val="24"/>
          <w:lang w:val="fr-FR"/>
        </w:rPr>
        <w:t>4</w:t>
      </w:r>
      <w:r>
        <w:rPr>
          <w:bCs/>
          <w:szCs w:val="24"/>
          <w:lang w:val="fr-FR"/>
        </w:rPr>
        <w:t>9</w:t>
      </w:r>
      <w:r w:rsidRPr="0097332A">
        <w:rPr>
          <w:bCs/>
          <w:szCs w:val="24"/>
          <w:lang w:val="fr-FR"/>
        </w:rPr>
        <w:t>.</w:t>
      </w:r>
      <w:r w:rsidRPr="0097332A">
        <w:rPr>
          <w:bCs/>
          <w:szCs w:val="24"/>
          <w:lang w:val="fr-FR"/>
        </w:rPr>
        <w:tab/>
        <w:t xml:space="preserve">La Réunion commune a pris note </w:t>
      </w:r>
      <w:r w:rsidRPr="009C6F6A">
        <w:rPr>
          <w:bCs/>
          <w:lang w:val="fr-FR"/>
        </w:rPr>
        <w:t>des</w:t>
      </w:r>
      <w:r w:rsidRPr="0097332A">
        <w:rPr>
          <w:bCs/>
          <w:szCs w:val="24"/>
          <w:lang w:val="fr-FR"/>
        </w:rPr>
        <w:t xml:space="preserve"> informations du secrétariat sur les dernières modifications d</w:t>
      </w:r>
      <w:r w:rsidR="000C7353">
        <w:rPr>
          <w:bCs/>
          <w:szCs w:val="24"/>
          <w:lang w:val="fr-FR"/>
        </w:rPr>
        <w:t>’</w:t>
      </w:r>
      <w:r w:rsidRPr="0097332A">
        <w:rPr>
          <w:bCs/>
          <w:szCs w:val="24"/>
          <w:lang w:val="fr-FR"/>
        </w:rPr>
        <w:t xml:space="preserve">ordre rédactionnel concernant </w:t>
      </w:r>
      <w:r>
        <w:rPr>
          <w:bCs/>
          <w:szCs w:val="24"/>
          <w:lang w:val="fr-FR"/>
        </w:rPr>
        <w:t xml:space="preserve">la version anglaise de </w:t>
      </w:r>
      <w:r w:rsidRPr="0097332A">
        <w:rPr>
          <w:bCs/>
          <w:szCs w:val="24"/>
          <w:lang w:val="fr-FR"/>
        </w:rPr>
        <w:t>l</w:t>
      </w:r>
      <w:r w:rsidR="000C7353">
        <w:rPr>
          <w:bCs/>
          <w:szCs w:val="24"/>
          <w:lang w:val="fr-FR"/>
        </w:rPr>
        <w:t>’</w:t>
      </w:r>
      <w:r w:rsidRPr="0097332A">
        <w:rPr>
          <w:bCs/>
          <w:szCs w:val="24"/>
          <w:lang w:val="fr-FR"/>
        </w:rPr>
        <w:t>édition 2023 de l</w:t>
      </w:r>
      <w:r w:rsidR="000C7353">
        <w:rPr>
          <w:bCs/>
          <w:szCs w:val="24"/>
          <w:lang w:val="fr-FR"/>
        </w:rPr>
        <w:t>’</w:t>
      </w:r>
      <w:r w:rsidRPr="0097332A">
        <w:rPr>
          <w:bCs/>
          <w:szCs w:val="24"/>
          <w:lang w:val="fr-FR"/>
        </w:rPr>
        <w:t>ADR</w:t>
      </w:r>
      <w:r w:rsidRPr="0097332A">
        <w:rPr>
          <w:bCs/>
          <w:szCs w:val="24"/>
        </w:rPr>
        <w:t>.</w:t>
      </w:r>
    </w:p>
    <w:p w14:paraId="0CDB4151" w14:textId="1A666DF0" w:rsidR="004821C5" w:rsidRPr="004C565E" w:rsidRDefault="004821C5" w:rsidP="009C6F6A">
      <w:pPr>
        <w:pStyle w:val="HChG"/>
      </w:pPr>
      <w:r w:rsidRPr="0097332A">
        <w:rPr>
          <w:bCs/>
        </w:rPr>
        <w:lastRenderedPageBreak/>
        <w:tab/>
      </w:r>
      <w:r>
        <w:rPr>
          <w:lang w:val="fr-FR"/>
        </w:rPr>
        <w:t>XIV</w:t>
      </w:r>
      <w:r w:rsidRPr="0097771F">
        <w:rPr>
          <w:lang w:val="fr-FR"/>
        </w:rPr>
        <w:t>.</w:t>
      </w:r>
      <w:r>
        <w:rPr>
          <w:lang w:val="fr-FR"/>
        </w:rPr>
        <w:tab/>
        <w:t>Adoption du rapport (point 12 de l</w:t>
      </w:r>
      <w:r w:rsidR="000C7353">
        <w:rPr>
          <w:lang w:val="fr-FR"/>
        </w:rPr>
        <w:t>’</w:t>
      </w:r>
      <w:r>
        <w:rPr>
          <w:lang w:val="fr-FR"/>
        </w:rPr>
        <w:t>ordre du jour)</w:t>
      </w:r>
    </w:p>
    <w:p w14:paraId="276B9248" w14:textId="0F60B08B" w:rsidR="004821C5" w:rsidRPr="009C6F6A" w:rsidRDefault="004821C5" w:rsidP="009C6F6A">
      <w:pPr>
        <w:pStyle w:val="SingleTxtG"/>
        <w:rPr>
          <w:bCs/>
          <w:szCs w:val="24"/>
          <w:lang w:val="fr-FR"/>
        </w:rPr>
      </w:pPr>
      <w:r w:rsidRPr="009C6F6A">
        <w:rPr>
          <w:bCs/>
          <w:szCs w:val="24"/>
          <w:lang w:val="fr-FR"/>
        </w:rPr>
        <w:tab/>
        <w:t>50.</w:t>
      </w:r>
      <w:r w:rsidRPr="009C6F6A">
        <w:rPr>
          <w:bCs/>
          <w:szCs w:val="24"/>
          <w:lang w:val="fr-FR"/>
        </w:rPr>
        <w:tab/>
        <w:t>Sur la base d</w:t>
      </w:r>
      <w:r w:rsidR="000C7353">
        <w:rPr>
          <w:bCs/>
          <w:szCs w:val="24"/>
          <w:lang w:val="fr-FR"/>
        </w:rPr>
        <w:t>’</w:t>
      </w:r>
      <w:r w:rsidRPr="009C6F6A">
        <w:rPr>
          <w:bCs/>
          <w:szCs w:val="24"/>
          <w:lang w:val="fr-FR"/>
        </w:rPr>
        <w:t>un projet établi par le secrétariat, la Réunion commune a adopté le rapport de sa session de l</w:t>
      </w:r>
      <w:r w:rsidR="000C7353">
        <w:rPr>
          <w:bCs/>
          <w:szCs w:val="24"/>
          <w:lang w:val="fr-FR"/>
        </w:rPr>
        <w:t>’</w:t>
      </w:r>
      <w:r w:rsidRPr="009C6F6A">
        <w:rPr>
          <w:bCs/>
          <w:szCs w:val="24"/>
          <w:lang w:val="fr-FR"/>
        </w:rPr>
        <w:t>automne 2022, ainsi que les annexes de ce rapport.</w:t>
      </w:r>
    </w:p>
    <w:p w14:paraId="1BC25CED" w14:textId="773F99DF" w:rsidR="004821C5" w:rsidRDefault="004821C5" w:rsidP="004821C5">
      <w:r>
        <w:br w:type="page"/>
      </w:r>
    </w:p>
    <w:p w14:paraId="1B6D27A8" w14:textId="70FDB2E8" w:rsidR="004821C5" w:rsidRPr="004E1ADB" w:rsidRDefault="004821C5" w:rsidP="009C6F6A">
      <w:pPr>
        <w:pStyle w:val="HChG"/>
      </w:pPr>
      <w:r w:rsidRPr="004E1ADB">
        <w:lastRenderedPageBreak/>
        <w:t>Annexe</w:t>
      </w:r>
    </w:p>
    <w:p w14:paraId="459721E9" w14:textId="4438389B" w:rsidR="004821C5" w:rsidRPr="004E1ADB" w:rsidRDefault="004821C5" w:rsidP="00B91B22">
      <w:pPr>
        <w:pStyle w:val="HChG"/>
        <w:keepNext w:val="0"/>
        <w:tabs>
          <w:tab w:val="clear" w:pos="851"/>
          <w:tab w:val="right" w:pos="8505"/>
        </w:tabs>
      </w:pPr>
      <w:r w:rsidRPr="0094747F">
        <w:rPr>
          <w:lang w:val="fr-FR"/>
        </w:rPr>
        <w:tab/>
      </w:r>
      <w:r w:rsidRPr="00B91B22">
        <w:rPr>
          <w:lang w:val="fr-FR"/>
        </w:rPr>
        <w:t xml:space="preserve">Textes </w:t>
      </w:r>
      <w:r w:rsidRPr="00B91B22">
        <w:t>adoptés</w:t>
      </w:r>
      <w:r w:rsidR="00B91B22">
        <w:tab/>
      </w:r>
      <w:r w:rsidR="00B91B22" w:rsidRPr="00B91B22">
        <w:rPr>
          <w:b w:val="0"/>
          <w:bCs/>
          <w:sz w:val="20"/>
        </w:rPr>
        <w:t>[</w:t>
      </w:r>
      <w:r w:rsidR="00B91B22" w:rsidRPr="00B91B22">
        <w:rPr>
          <w:b w:val="0"/>
          <w:bCs/>
          <w:i/>
          <w:iCs/>
          <w:sz w:val="20"/>
        </w:rPr>
        <w:t>Original : anglais et français</w:t>
      </w:r>
      <w:r w:rsidR="00B91B22" w:rsidRPr="00B91B22">
        <w:rPr>
          <w:b w:val="0"/>
          <w:bCs/>
          <w:sz w:val="20"/>
        </w:rPr>
        <w:t>]</w:t>
      </w:r>
    </w:p>
    <w:p w14:paraId="51FCC53B" w14:textId="65752B65" w:rsidR="004821C5" w:rsidRPr="0094747F" w:rsidRDefault="004821C5" w:rsidP="003D1D53">
      <w:pPr>
        <w:pStyle w:val="H1G"/>
        <w:rPr>
          <w:lang w:val="fr-FR"/>
        </w:rPr>
      </w:pPr>
      <w:r>
        <w:rPr>
          <w:lang w:val="fr-FR"/>
        </w:rPr>
        <w:tab/>
      </w:r>
      <w:r>
        <w:rPr>
          <w:lang w:val="fr-FR"/>
        </w:rPr>
        <w:tab/>
      </w:r>
      <w:r w:rsidRPr="0094747F">
        <w:rPr>
          <w:lang w:val="fr-FR"/>
        </w:rPr>
        <w:t>Projet d</w:t>
      </w:r>
      <w:r w:rsidR="000C7353">
        <w:rPr>
          <w:lang w:val="fr-FR"/>
        </w:rPr>
        <w:t>’</w:t>
      </w:r>
      <w:r w:rsidRPr="0094747F">
        <w:rPr>
          <w:lang w:val="fr-FR"/>
        </w:rPr>
        <w:t>amendements au RID, à l</w:t>
      </w:r>
      <w:r w:rsidR="000C7353">
        <w:rPr>
          <w:lang w:val="fr-FR"/>
        </w:rPr>
        <w:t>’</w:t>
      </w:r>
      <w:r w:rsidRPr="0094747F">
        <w:rPr>
          <w:lang w:val="fr-FR"/>
        </w:rPr>
        <w:t>ADR et à l</w:t>
      </w:r>
      <w:r w:rsidR="000C7353">
        <w:rPr>
          <w:lang w:val="fr-FR"/>
        </w:rPr>
        <w:t>’</w:t>
      </w:r>
      <w:r w:rsidRPr="0094747F">
        <w:rPr>
          <w:lang w:val="fr-FR"/>
        </w:rPr>
        <w:t>ADN pour entrée en</w:t>
      </w:r>
      <w:r w:rsidR="001A0863">
        <w:rPr>
          <w:lang w:val="fr-FR"/>
        </w:rPr>
        <w:t> </w:t>
      </w:r>
      <w:r w:rsidRPr="0094747F">
        <w:rPr>
          <w:lang w:val="fr-FR"/>
        </w:rPr>
        <w:t>vigueur le 1</w:t>
      </w:r>
      <w:r w:rsidRPr="0094747F">
        <w:rPr>
          <w:vertAlign w:val="superscript"/>
          <w:lang w:val="fr-FR"/>
        </w:rPr>
        <w:t>er</w:t>
      </w:r>
      <w:r w:rsidRPr="0094747F">
        <w:rPr>
          <w:lang w:val="fr-FR"/>
        </w:rPr>
        <w:t xml:space="preserve"> janvier </w:t>
      </w:r>
      <w:r>
        <w:rPr>
          <w:lang w:val="fr-FR"/>
        </w:rPr>
        <w:t>2025</w:t>
      </w:r>
    </w:p>
    <w:p w14:paraId="69273D40" w14:textId="77777777" w:rsidR="004821C5" w:rsidRPr="00F64EFD" w:rsidRDefault="004821C5" w:rsidP="003D1D53">
      <w:pPr>
        <w:pStyle w:val="H23G"/>
        <w:rPr>
          <w:lang w:val="fr-FR"/>
        </w:rPr>
      </w:pPr>
      <w:r w:rsidRPr="00F64EFD">
        <w:rPr>
          <w:lang w:val="fr-FR"/>
        </w:rPr>
        <w:tab/>
      </w:r>
      <w:r w:rsidRPr="00F64EFD">
        <w:rPr>
          <w:lang w:val="fr-FR"/>
        </w:rPr>
        <w:tab/>
        <w:t xml:space="preserve">Chapitre </w:t>
      </w:r>
      <w:r>
        <w:rPr>
          <w:lang w:val="fr-FR"/>
        </w:rPr>
        <w:t>1.8</w:t>
      </w:r>
    </w:p>
    <w:p w14:paraId="2165B1C5" w14:textId="77777777" w:rsidR="004821C5" w:rsidRDefault="004821C5" w:rsidP="003D1D53">
      <w:pPr>
        <w:pStyle w:val="SingleTxtG"/>
        <w:rPr>
          <w:lang w:val="fr-FR"/>
        </w:rPr>
      </w:pPr>
      <w:r>
        <w:rPr>
          <w:lang w:val="fr-FR"/>
        </w:rPr>
        <w:t>(ADR/ADN :)</w:t>
      </w:r>
    </w:p>
    <w:p w14:paraId="55618D29" w14:textId="66C821FB" w:rsidR="004821C5" w:rsidRPr="00350EC6" w:rsidRDefault="004821C5" w:rsidP="003D1D53">
      <w:pPr>
        <w:pStyle w:val="SingleTxtG"/>
        <w:ind w:left="2268" w:hanging="1134"/>
        <w:rPr>
          <w:lang w:val="fr-FR"/>
        </w:rPr>
      </w:pPr>
      <w:r>
        <w:rPr>
          <w:iCs/>
          <w:lang w:val="fr-FR"/>
        </w:rPr>
        <w:t>1.8.3.2</w:t>
      </w:r>
      <w:r>
        <w:rPr>
          <w:iCs/>
          <w:lang w:val="fr-FR"/>
        </w:rPr>
        <w:tab/>
      </w:r>
      <w:r w:rsidRPr="00350EC6">
        <w:rPr>
          <w:iCs/>
          <w:lang w:val="fr-FR"/>
        </w:rPr>
        <w:t>Renuméroter les alinéas a) et b) en tant que b) et c). Dans l</w:t>
      </w:r>
      <w:r w:rsidR="000C7353" w:rsidRPr="00350EC6">
        <w:rPr>
          <w:iCs/>
          <w:lang w:val="fr-FR"/>
        </w:rPr>
        <w:t>’</w:t>
      </w:r>
      <w:r w:rsidRPr="00350EC6">
        <w:rPr>
          <w:iCs/>
          <w:lang w:val="fr-FR"/>
        </w:rPr>
        <w:t>alinéa ainsi renuméroté c), avant « </w:t>
      </w:r>
      <w:r w:rsidRPr="00350EC6">
        <w:rPr>
          <w:lang w:val="fr-FR"/>
        </w:rPr>
        <w:t xml:space="preserve">des transports de marchandises dangereuses » ajouter « des expéditions ou » et remplacer « des transports nationaux » par « des expéditions nationales ou des transports nationaux ». </w:t>
      </w:r>
    </w:p>
    <w:p w14:paraId="1A713962" w14:textId="14DC90B4" w:rsidR="004821C5" w:rsidRPr="00350EC6" w:rsidRDefault="004821C5" w:rsidP="003D1D53">
      <w:pPr>
        <w:pStyle w:val="SingleTxtG"/>
        <w:ind w:left="2268"/>
        <w:rPr>
          <w:lang w:val="fr-FR"/>
        </w:rPr>
      </w:pPr>
      <w:r w:rsidRPr="00350EC6">
        <w:rPr>
          <w:lang w:val="fr-FR"/>
        </w:rPr>
        <w:t xml:space="preserve">Ajouter un nouvel </w:t>
      </w:r>
      <w:r w:rsidRPr="00350EC6">
        <w:t>alinéa</w:t>
      </w:r>
      <w:r w:rsidRPr="00350EC6">
        <w:rPr>
          <w:lang w:val="fr-FR"/>
        </w:rPr>
        <w:t xml:space="preserve"> a) pour lire :</w:t>
      </w:r>
    </w:p>
    <w:p w14:paraId="04B33621" w14:textId="50CFB1D9" w:rsidR="004821C5" w:rsidRPr="00350EC6" w:rsidRDefault="004821C5" w:rsidP="00B01DD9">
      <w:pPr>
        <w:pStyle w:val="SingleTxtG"/>
        <w:ind w:left="2268" w:hanging="1134"/>
        <w:rPr>
          <w:lang w:val="fr-FR"/>
        </w:rPr>
      </w:pPr>
      <w:r w:rsidRPr="00350EC6">
        <w:rPr>
          <w:rFonts w:asciiTheme="majorBidi" w:hAnsiTheme="majorBidi" w:cstheme="majorBidi"/>
          <w:lang w:val="fr-FR"/>
        </w:rPr>
        <w:t>« </w:t>
      </w:r>
      <w:proofErr w:type="gramStart"/>
      <w:r w:rsidRPr="00350EC6">
        <w:rPr>
          <w:rFonts w:asciiTheme="majorBidi" w:hAnsiTheme="majorBidi" w:cstheme="majorBidi"/>
          <w:lang w:val="fr-FR"/>
        </w:rPr>
        <w:t>a</w:t>
      </w:r>
      <w:proofErr w:type="gramEnd"/>
      <w:r w:rsidRPr="00350EC6">
        <w:rPr>
          <w:rFonts w:asciiTheme="majorBidi" w:hAnsiTheme="majorBidi" w:cstheme="majorBidi"/>
          <w:lang w:val="fr-FR"/>
        </w:rPr>
        <w:t>)</w:t>
      </w:r>
      <w:r w:rsidRPr="00350EC6">
        <w:rPr>
          <w:rFonts w:asciiTheme="majorBidi" w:hAnsiTheme="majorBidi" w:cstheme="majorBidi"/>
          <w:lang w:val="fr-FR"/>
        </w:rPr>
        <w:tab/>
      </w:r>
      <w:r w:rsidRPr="00350EC6">
        <w:rPr>
          <w:rFonts w:asciiTheme="majorBidi" w:hAnsiTheme="majorBidi" w:cstheme="majorBidi"/>
          <w:i/>
          <w:iCs/>
          <w:lang w:val="fr-FR"/>
        </w:rPr>
        <w:t>(Réservé) </w:t>
      </w:r>
      <w:r w:rsidRPr="00350EC6">
        <w:rPr>
          <w:rFonts w:asciiTheme="majorBidi" w:hAnsiTheme="majorBidi" w:cstheme="majorBidi"/>
          <w:lang w:val="fr-FR"/>
        </w:rPr>
        <w:t>; »</w:t>
      </w:r>
    </w:p>
    <w:p w14:paraId="6A303513" w14:textId="77777777" w:rsidR="004821C5" w:rsidRPr="00350EC6" w:rsidRDefault="004821C5" w:rsidP="00B01DD9">
      <w:pPr>
        <w:pStyle w:val="SingleTxtG"/>
        <w:rPr>
          <w:i/>
          <w:iCs/>
          <w:lang w:val="fr-FR"/>
        </w:rPr>
      </w:pPr>
      <w:r w:rsidRPr="00350EC6">
        <w:rPr>
          <w:i/>
          <w:iCs/>
          <w:lang w:val="fr-FR"/>
        </w:rPr>
        <w:t>(Document de référence : document informel INF.7, tel que modifié)</w:t>
      </w:r>
    </w:p>
    <w:p w14:paraId="567116BB" w14:textId="77777777" w:rsidR="004821C5" w:rsidRPr="00350EC6" w:rsidRDefault="004821C5" w:rsidP="00B01DD9">
      <w:pPr>
        <w:pStyle w:val="SingleTxtG"/>
        <w:rPr>
          <w:iCs/>
          <w:lang w:val="fr-FR"/>
        </w:rPr>
      </w:pPr>
      <w:r w:rsidRPr="00350EC6">
        <w:rPr>
          <w:iCs/>
          <w:lang w:val="fr-FR"/>
        </w:rPr>
        <w:t>(</w:t>
      </w:r>
      <w:r w:rsidRPr="00350EC6">
        <w:rPr>
          <w:lang w:val="fr-FR"/>
        </w:rPr>
        <w:t>RID</w:t>
      </w:r>
      <w:r w:rsidRPr="00350EC6">
        <w:rPr>
          <w:iCs/>
          <w:lang w:val="fr-FR"/>
        </w:rPr>
        <w:t> :)</w:t>
      </w:r>
    </w:p>
    <w:p w14:paraId="4B81F54D" w14:textId="0DBC8E25" w:rsidR="004821C5" w:rsidRPr="00350EC6" w:rsidRDefault="004821C5" w:rsidP="00B01DD9">
      <w:pPr>
        <w:pStyle w:val="SingleTxtG"/>
        <w:ind w:left="2268" w:hanging="1134"/>
        <w:rPr>
          <w:rFonts w:asciiTheme="majorBidi" w:hAnsiTheme="majorBidi" w:cstheme="majorBidi"/>
          <w:lang w:val="fr-FR"/>
        </w:rPr>
      </w:pPr>
      <w:r w:rsidRPr="00350EC6">
        <w:rPr>
          <w:iCs/>
          <w:lang w:val="fr-FR"/>
        </w:rPr>
        <w:t>1.8.3.2</w:t>
      </w:r>
      <w:r w:rsidRPr="00350EC6">
        <w:rPr>
          <w:iCs/>
          <w:lang w:val="fr-FR"/>
        </w:rPr>
        <w:tab/>
        <w:t>Dans l</w:t>
      </w:r>
      <w:r w:rsidR="000C7353" w:rsidRPr="00350EC6">
        <w:rPr>
          <w:iCs/>
          <w:lang w:val="fr-FR"/>
        </w:rPr>
        <w:t>’</w:t>
      </w:r>
      <w:r w:rsidRPr="00350EC6">
        <w:rPr>
          <w:iCs/>
          <w:lang w:val="fr-FR"/>
        </w:rPr>
        <w:t>alinéa c), avant « </w:t>
      </w:r>
      <w:r w:rsidRPr="00350EC6">
        <w:rPr>
          <w:rFonts w:asciiTheme="majorBidi" w:hAnsiTheme="majorBidi" w:cstheme="majorBidi"/>
          <w:lang w:val="fr-FR"/>
        </w:rPr>
        <w:t xml:space="preserve">des transports de marchandises dangereuses » ajouter « des expéditions ou » et remplacer « des transports nationaux » par « des expéditions nationales ou des transports nationaux ». </w:t>
      </w:r>
    </w:p>
    <w:p w14:paraId="53AC5DFE" w14:textId="77777777" w:rsidR="004821C5" w:rsidRPr="00F64EFD" w:rsidRDefault="004821C5" w:rsidP="00B01DD9">
      <w:pPr>
        <w:pStyle w:val="SingleTxtG"/>
        <w:rPr>
          <w:i/>
          <w:iCs/>
          <w:lang w:val="fr-FR"/>
        </w:rPr>
      </w:pPr>
      <w:r w:rsidRPr="00350EC6">
        <w:rPr>
          <w:i/>
          <w:iCs/>
          <w:lang w:val="fr-FR"/>
        </w:rPr>
        <w:t>(Document de référence : document informel INF.7)</w:t>
      </w:r>
    </w:p>
    <w:p w14:paraId="169EBD01" w14:textId="77777777" w:rsidR="004821C5" w:rsidRPr="00EB436C" w:rsidRDefault="004821C5" w:rsidP="00B01DD9">
      <w:pPr>
        <w:pStyle w:val="H23G"/>
        <w:rPr>
          <w:lang w:val="fr-FR"/>
        </w:rPr>
      </w:pPr>
      <w:r w:rsidRPr="00EB436C">
        <w:rPr>
          <w:lang w:val="fr-FR"/>
        </w:rPr>
        <w:tab/>
      </w:r>
      <w:r w:rsidRPr="00EB436C">
        <w:rPr>
          <w:lang w:val="fr-FR"/>
        </w:rPr>
        <w:tab/>
        <w:t>Chapitre 3.2, tableau A</w:t>
      </w:r>
    </w:p>
    <w:p w14:paraId="62C5A022" w14:textId="77777777" w:rsidR="004821C5" w:rsidRPr="00CA3533" w:rsidRDefault="004821C5" w:rsidP="00B01DD9">
      <w:pPr>
        <w:pStyle w:val="SingleTxtG"/>
        <w:rPr>
          <w:lang w:val="fr-FR"/>
        </w:rPr>
      </w:pPr>
      <w:r w:rsidRPr="00CA3533">
        <w:rPr>
          <w:lang w:val="fr-FR"/>
        </w:rPr>
        <w:t>Pour le</w:t>
      </w:r>
      <w:r>
        <w:rPr>
          <w:lang w:val="fr-FR"/>
        </w:rPr>
        <w:t>s</w:t>
      </w:r>
      <w:r w:rsidRPr="00CA3533">
        <w:rPr>
          <w:lang w:val="fr-FR"/>
        </w:rPr>
        <w:t xml:space="preserve"> No</w:t>
      </w:r>
      <w:r>
        <w:rPr>
          <w:lang w:val="fr-FR"/>
        </w:rPr>
        <w:t>s</w:t>
      </w:r>
      <w:r w:rsidRPr="00CA3533">
        <w:rPr>
          <w:lang w:val="fr-FR"/>
        </w:rPr>
        <w:t xml:space="preserve"> ONU</w:t>
      </w:r>
      <w:r>
        <w:rPr>
          <w:lang w:val="fr-FR"/>
        </w:rPr>
        <w:t xml:space="preserve"> </w:t>
      </w:r>
      <w:r w:rsidRPr="00042D1E">
        <w:rPr>
          <w:lang w:val="fr-FR"/>
        </w:rPr>
        <w:t>30</w:t>
      </w:r>
      <w:r>
        <w:rPr>
          <w:lang w:val="fr-FR"/>
        </w:rPr>
        <w:t>9</w:t>
      </w:r>
      <w:r w:rsidRPr="00042D1E">
        <w:rPr>
          <w:lang w:val="fr-FR"/>
        </w:rPr>
        <w:t>0, 30</w:t>
      </w:r>
      <w:r>
        <w:rPr>
          <w:lang w:val="fr-FR"/>
        </w:rPr>
        <w:t>9</w:t>
      </w:r>
      <w:r w:rsidRPr="00042D1E">
        <w:rPr>
          <w:lang w:val="fr-FR"/>
        </w:rPr>
        <w:t>1, 3480 et 3481</w:t>
      </w:r>
      <w:r w:rsidRPr="00CA3533">
        <w:rPr>
          <w:lang w:val="fr-FR"/>
        </w:rPr>
        <w:t>, en colonne (6)</w:t>
      </w:r>
      <w:r>
        <w:rPr>
          <w:lang w:val="fr-FR"/>
        </w:rPr>
        <w:t xml:space="preserve">, </w:t>
      </w:r>
      <w:r w:rsidRPr="00CA3533">
        <w:rPr>
          <w:lang w:val="fr-FR"/>
        </w:rPr>
        <w:t>ajouter « </w:t>
      </w:r>
      <w:r>
        <w:rPr>
          <w:lang w:val="fr-FR"/>
        </w:rPr>
        <w:t>677</w:t>
      </w:r>
      <w:r w:rsidRPr="00CA3533">
        <w:rPr>
          <w:lang w:val="fr-FR"/>
        </w:rPr>
        <w:t> ».</w:t>
      </w:r>
    </w:p>
    <w:p w14:paraId="529D3136" w14:textId="77777777" w:rsidR="004821C5" w:rsidRPr="000559AD" w:rsidRDefault="004821C5" w:rsidP="00B01DD9">
      <w:pPr>
        <w:pStyle w:val="SingleTxtG"/>
        <w:rPr>
          <w:i/>
          <w:iCs/>
          <w:lang w:val="fr-FR"/>
        </w:rPr>
      </w:pPr>
      <w:r w:rsidRPr="000559AD">
        <w:rPr>
          <w:i/>
          <w:iCs/>
          <w:lang w:val="fr-FR"/>
        </w:rPr>
        <w:t>(Document de référence : ECE/TRANS/WP.15/AC.1/</w:t>
      </w:r>
      <w:r>
        <w:rPr>
          <w:i/>
          <w:iCs/>
          <w:lang w:val="fr-FR"/>
        </w:rPr>
        <w:t>2022/26, option 2, telle que modifiée</w:t>
      </w:r>
      <w:r w:rsidRPr="000559AD">
        <w:rPr>
          <w:i/>
          <w:iCs/>
          <w:lang w:val="fr-FR"/>
        </w:rPr>
        <w:t>)</w:t>
      </w:r>
    </w:p>
    <w:p w14:paraId="7375BDEE" w14:textId="77777777" w:rsidR="004821C5" w:rsidRDefault="004821C5" w:rsidP="00B01DD9">
      <w:pPr>
        <w:pStyle w:val="H23G"/>
        <w:rPr>
          <w:lang w:val="fr-FR"/>
        </w:rPr>
      </w:pPr>
      <w:r w:rsidRPr="00C86967">
        <w:rPr>
          <w:lang w:val="fr-FR"/>
        </w:rPr>
        <w:tab/>
      </w:r>
      <w:r w:rsidRPr="00C86967">
        <w:rPr>
          <w:lang w:val="fr-FR"/>
        </w:rPr>
        <w:tab/>
        <w:t xml:space="preserve">Chapitre </w:t>
      </w:r>
      <w:r>
        <w:rPr>
          <w:lang w:val="fr-FR"/>
        </w:rPr>
        <w:t>3.3</w:t>
      </w:r>
    </w:p>
    <w:p w14:paraId="07044116" w14:textId="77777777" w:rsidR="004821C5" w:rsidRPr="00085D1F" w:rsidRDefault="004821C5" w:rsidP="00B01DD9">
      <w:pPr>
        <w:pStyle w:val="SingleTxtG"/>
        <w:ind w:left="2268" w:hanging="1134"/>
        <w:rPr>
          <w:lang w:val="fr-FR"/>
        </w:rPr>
      </w:pPr>
      <w:r>
        <w:rPr>
          <w:lang w:val="fr-FR"/>
        </w:rPr>
        <w:t>DS 376</w:t>
      </w:r>
      <w:r>
        <w:rPr>
          <w:lang w:val="fr-FR"/>
        </w:rPr>
        <w:tab/>
        <w:t xml:space="preserve">Supprimer la dernière phrase </w:t>
      </w:r>
      <w:r w:rsidRPr="00B01DD9">
        <w:rPr>
          <w:rFonts w:asciiTheme="majorBidi" w:hAnsiTheme="majorBidi" w:cstheme="majorBidi"/>
          <w:lang w:val="fr-FR"/>
        </w:rPr>
        <w:t>du</w:t>
      </w:r>
      <w:r>
        <w:rPr>
          <w:lang w:val="fr-FR"/>
        </w:rPr>
        <w:t xml:space="preserve"> cinquième paragraphe (« </w:t>
      </w:r>
      <w:r w:rsidRPr="00085D1F">
        <w:rPr>
          <w:lang w:val="fr-FR"/>
        </w:rPr>
        <w:t>Dans les deux cas, les piles et batteries sont affectées à la catégorie de transport 0.</w:t>
      </w:r>
      <w:r>
        <w:rPr>
          <w:lang w:val="fr-FR"/>
        </w:rPr>
        <w:t> »).</w:t>
      </w:r>
    </w:p>
    <w:p w14:paraId="49419294" w14:textId="77777777" w:rsidR="004821C5" w:rsidRPr="000559AD" w:rsidRDefault="004821C5" w:rsidP="00B01DD9">
      <w:pPr>
        <w:pStyle w:val="SingleTxtG"/>
        <w:rPr>
          <w:i/>
          <w:iCs/>
          <w:lang w:val="fr-FR"/>
        </w:rPr>
      </w:pPr>
      <w:r w:rsidRPr="000559AD">
        <w:rPr>
          <w:i/>
          <w:iCs/>
          <w:lang w:val="fr-FR"/>
        </w:rPr>
        <w:t>(Document de référence : ECE/TRANS/WP.15/AC.1/</w:t>
      </w:r>
      <w:r>
        <w:rPr>
          <w:i/>
          <w:iCs/>
          <w:lang w:val="fr-FR"/>
        </w:rPr>
        <w:t>2022/26, option 2</w:t>
      </w:r>
      <w:r w:rsidRPr="000559AD">
        <w:rPr>
          <w:i/>
          <w:iCs/>
          <w:lang w:val="fr-FR"/>
        </w:rPr>
        <w:t>)</w:t>
      </w:r>
    </w:p>
    <w:p w14:paraId="73A10A55" w14:textId="77777777" w:rsidR="004821C5" w:rsidRDefault="004821C5" w:rsidP="00B01DD9">
      <w:pPr>
        <w:pStyle w:val="SingleTxtG"/>
        <w:rPr>
          <w:lang w:val="fr-FR"/>
        </w:rPr>
      </w:pPr>
      <w:r>
        <w:rPr>
          <w:lang w:val="fr-FR"/>
        </w:rPr>
        <w:t>Ajouter la nouvelle disposition spéciale suivante :</w:t>
      </w:r>
    </w:p>
    <w:p w14:paraId="04166587" w14:textId="77777777" w:rsidR="004821C5" w:rsidRDefault="004821C5" w:rsidP="00B01DD9">
      <w:pPr>
        <w:pStyle w:val="SingleTxtG"/>
        <w:ind w:left="2268" w:hanging="1134"/>
        <w:rPr>
          <w:lang w:val="fr-FR"/>
        </w:rPr>
      </w:pPr>
      <w:r>
        <w:rPr>
          <w:lang w:val="fr-FR"/>
        </w:rPr>
        <w:t>« 677</w:t>
      </w:r>
      <w:r>
        <w:rPr>
          <w:lang w:val="fr-FR"/>
        </w:rPr>
        <w:tab/>
      </w:r>
      <w:r w:rsidRPr="00A8245C">
        <w:rPr>
          <w:lang w:val="fr-FR"/>
        </w:rPr>
        <w:t xml:space="preserve">Les piles et batteries qui, conformément à la disposition spéciale 376, sont considérées comme endommagées ou défectueuses et susceptibles de se </w:t>
      </w:r>
      <w:r>
        <w:rPr>
          <w:lang w:val="fr-FR"/>
        </w:rPr>
        <w:t>démonter</w:t>
      </w:r>
      <w:r w:rsidRPr="00A8245C">
        <w:rPr>
          <w:lang w:val="fr-FR"/>
        </w:rPr>
        <w:t xml:space="preserve"> rapidement, de </w:t>
      </w:r>
      <w:r w:rsidRPr="00B01DD9">
        <w:rPr>
          <w:rFonts w:asciiTheme="majorBidi" w:hAnsiTheme="majorBidi" w:cstheme="majorBidi"/>
          <w:lang w:val="fr-FR"/>
        </w:rPr>
        <w:t>réagir</w:t>
      </w:r>
      <w:r w:rsidRPr="00A8245C">
        <w:rPr>
          <w:lang w:val="fr-FR"/>
        </w:rPr>
        <w:t xml:space="preserve"> dangereusement, de produire une flamme ou un dangereux dégagement de chaleur </w:t>
      </w:r>
      <w:r w:rsidRPr="00D106C2">
        <w:rPr>
          <w:bCs/>
          <w:lang w:val="fr-FR"/>
        </w:rPr>
        <w:t>ou une émission de gaz ou de vapeur toxiques, corrosifs ou inflammables</w:t>
      </w:r>
      <w:r w:rsidRPr="00A8245C">
        <w:rPr>
          <w:lang w:val="fr-FR"/>
        </w:rPr>
        <w:t xml:space="preserve">, dans </w:t>
      </w:r>
      <w:r>
        <w:rPr>
          <w:lang w:val="fr-FR"/>
        </w:rPr>
        <w:t>l</w:t>
      </w:r>
      <w:r w:rsidRPr="00A8245C">
        <w:rPr>
          <w:lang w:val="fr-FR"/>
        </w:rPr>
        <w:t>es conditions normales de transport, doivent être affectées à la catégorie de transport 0. Dans le document de transport, la mention “</w:t>
      </w:r>
      <w:r w:rsidRPr="00D106C2">
        <w:rPr>
          <w:bCs/>
          <w:lang w:val="fr-FR"/>
        </w:rPr>
        <w:t>Transport selon la disposition spéciale</w:t>
      </w:r>
      <w:r>
        <w:rPr>
          <w:lang w:val="fr-FR"/>
        </w:rPr>
        <w:t xml:space="preserve"> </w:t>
      </w:r>
      <w:r w:rsidRPr="00A8245C">
        <w:rPr>
          <w:lang w:val="fr-FR"/>
        </w:rPr>
        <w:t>376ˮ</w:t>
      </w:r>
      <w:r>
        <w:rPr>
          <w:lang w:val="fr-FR"/>
        </w:rPr>
        <w:t xml:space="preserve"> </w:t>
      </w:r>
      <w:r w:rsidRPr="00A8245C">
        <w:rPr>
          <w:lang w:val="fr-FR"/>
        </w:rPr>
        <w:t>doit être complétée par la mention “</w:t>
      </w:r>
      <w:r>
        <w:rPr>
          <w:lang w:val="fr-FR"/>
        </w:rPr>
        <w:t>Catégorie de transport</w:t>
      </w:r>
      <w:r w:rsidRPr="00A8245C">
        <w:rPr>
          <w:lang w:val="fr-FR"/>
        </w:rPr>
        <w:t xml:space="preserve"> 0ˮ. »</w:t>
      </w:r>
    </w:p>
    <w:p w14:paraId="6A41AF40" w14:textId="77777777" w:rsidR="004821C5" w:rsidRPr="000559AD" w:rsidRDefault="004821C5" w:rsidP="00B01DD9">
      <w:pPr>
        <w:pStyle w:val="SingleTxtG"/>
        <w:rPr>
          <w:i/>
          <w:iCs/>
          <w:lang w:val="fr-FR"/>
        </w:rPr>
      </w:pPr>
      <w:r w:rsidRPr="000559AD">
        <w:rPr>
          <w:i/>
          <w:iCs/>
          <w:lang w:val="fr-FR"/>
        </w:rPr>
        <w:t>(Document de référence : ECE/TRANS/WP.15/AC.1/</w:t>
      </w:r>
      <w:r>
        <w:rPr>
          <w:i/>
          <w:iCs/>
          <w:lang w:val="fr-FR"/>
        </w:rPr>
        <w:t>2022/26, option 2</w:t>
      </w:r>
      <w:r w:rsidRPr="000559AD">
        <w:rPr>
          <w:i/>
          <w:iCs/>
          <w:lang w:val="fr-FR"/>
        </w:rPr>
        <w:t>)</w:t>
      </w:r>
    </w:p>
    <w:p w14:paraId="74ED27D4" w14:textId="77777777" w:rsidR="004821C5" w:rsidRPr="00C86967" w:rsidRDefault="004821C5" w:rsidP="007E0C49">
      <w:pPr>
        <w:pStyle w:val="H23G"/>
        <w:rPr>
          <w:lang w:val="fr-FR"/>
        </w:rPr>
      </w:pPr>
      <w:r w:rsidRPr="00C86967">
        <w:rPr>
          <w:lang w:val="fr-FR"/>
        </w:rPr>
        <w:tab/>
      </w:r>
      <w:r w:rsidRPr="00C86967">
        <w:rPr>
          <w:lang w:val="fr-FR"/>
        </w:rPr>
        <w:tab/>
        <w:t xml:space="preserve">Chapitre </w:t>
      </w:r>
      <w:r>
        <w:rPr>
          <w:lang w:val="fr-FR"/>
        </w:rPr>
        <w:t>4.1</w:t>
      </w:r>
    </w:p>
    <w:p w14:paraId="491DDA57" w14:textId="77777777" w:rsidR="004821C5" w:rsidRDefault="004821C5" w:rsidP="007E0C49">
      <w:pPr>
        <w:pStyle w:val="SingleTxtG"/>
        <w:ind w:left="2268" w:hanging="1134"/>
        <w:rPr>
          <w:lang w:val="fr-FR"/>
        </w:rPr>
      </w:pPr>
      <w:r>
        <w:rPr>
          <w:lang w:val="fr-FR"/>
        </w:rPr>
        <w:t>4.1.6.15</w:t>
      </w:r>
      <w:r w:rsidRPr="00CE70CB">
        <w:rPr>
          <w:lang w:val="fr-FR"/>
        </w:rPr>
        <w:tab/>
        <w:t>Dans le tableau</w:t>
      </w:r>
      <w:r>
        <w:rPr>
          <w:lang w:val="fr-FR"/>
        </w:rPr>
        <w:t xml:space="preserve"> 4.1.6.15.1, pour « 4.1.6.2 », dans la deuxième colonne, remplacer « EN ISO 11114-</w:t>
      </w:r>
      <w:proofErr w:type="gramStart"/>
      <w:r>
        <w:rPr>
          <w:lang w:val="fr-FR"/>
        </w:rPr>
        <w:t>2:</w:t>
      </w:r>
      <w:proofErr w:type="gramEnd"/>
      <w:r>
        <w:rPr>
          <w:lang w:val="fr-FR"/>
        </w:rPr>
        <w:t>2013 » par « EN ISO 11114-2:2021 ».</w:t>
      </w:r>
    </w:p>
    <w:p w14:paraId="194E0BDB" w14:textId="77777777" w:rsidR="004821C5" w:rsidRPr="00C86967" w:rsidRDefault="004821C5" w:rsidP="007E0C49">
      <w:pPr>
        <w:pStyle w:val="SingleTxtG"/>
        <w:rPr>
          <w:i/>
          <w:iCs/>
          <w:lang w:val="fr-FR"/>
        </w:rPr>
      </w:pPr>
      <w:r w:rsidRPr="00C86967">
        <w:rPr>
          <w:i/>
          <w:iCs/>
          <w:lang w:val="fr-FR"/>
        </w:rPr>
        <w:t xml:space="preserve">(Document de référence : </w:t>
      </w:r>
      <w:r>
        <w:rPr>
          <w:i/>
          <w:iCs/>
          <w:lang w:val="fr-FR"/>
        </w:rPr>
        <w:t>document informel INF.19</w:t>
      </w:r>
      <w:r w:rsidRPr="00C86967">
        <w:rPr>
          <w:i/>
          <w:iCs/>
          <w:lang w:val="fr-FR"/>
        </w:rPr>
        <w:t>)</w:t>
      </w:r>
    </w:p>
    <w:p w14:paraId="622998A3" w14:textId="77777777" w:rsidR="004821C5" w:rsidRPr="00C86967" w:rsidRDefault="004821C5" w:rsidP="001A0863">
      <w:pPr>
        <w:pStyle w:val="H23G"/>
        <w:rPr>
          <w:lang w:val="fr-FR"/>
        </w:rPr>
      </w:pPr>
      <w:r w:rsidRPr="00C86967">
        <w:rPr>
          <w:lang w:val="fr-FR"/>
        </w:rPr>
        <w:lastRenderedPageBreak/>
        <w:tab/>
      </w:r>
      <w:r w:rsidRPr="00C86967">
        <w:rPr>
          <w:lang w:val="fr-FR"/>
        </w:rPr>
        <w:tab/>
        <w:t xml:space="preserve">Chapitre </w:t>
      </w:r>
      <w:r>
        <w:rPr>
          <w:lang w:val="fr-FR"/>
        </w:rPr>
        <w:t>4.3</w:t>
      </w:r>
    </w:p>
    <w:p w14:paraId="70D19B60" w14:textId="77777777" w:rsidR="004821C5" w:rsidRDefault="004821C5" w:rsidP="001A0863">
      <w:pPr>
        <w:pStyle w:val="SingleTxtG"/>
        <w:keepNext/>
        <w:ind w:left="2268" w:hanging="1134"/>
        <w:rPr>
          <w:lang w:val="fr-FR"/>
        </w:rPr>
      </w:pPr>
      <w:r>
        <w:rPr>
          <w:lang w:val="fr-FR"/>
        </w:rPr>
        <w:t>4.3.2.1.7</w:t>
      </w:r>
      <w:r w:rsidRPr="00CE70CB">
        <w:rPr>
          <w:lang w:val="fr-FR"/>
        </w:rPr>
        <w:tab/>
      </w:r>
      <w:r>
        <w:rPr>
          <w:lang w:val="fr-FR"/>
        </w:rPr>
        <w:t>Ajouter le nouveau Nota suivant à la fin :</w:t>
      </w:r>
    </w:p>
    <w:p w14:paraId="34429CE0" w14:textId="276404CD" w:rsidR="004821C5" w:rsidRDefault="004821C5" w:rsidP="001A0863">
      <w:pPr>
        <w:pStyle w:val="SingleTxtG"/>
        <w:keepNext/>
        <w:ind w:left="2268" w:hanging="1134"/>
        <w:rPr>
          <w:lang w:val="fr-FR"/>
        </w:rPr>
      </w:pPr>
      <w:r>
        <w:rPr>
          <w:lang w:val="fr-FR"/>
        </w:rPr>
        <w:t>« </w:t>
      </w:r>
      <w:r w:rsidRPr="000A45A5">
        <w:rPr>
          <w:b/>
          <w:bCs/>
          <w:i/>
          <w:iCs/>
          <w:lang w:val="fr-FR"/>
        </w:rPr>
        <w:t>NOTA :</w:t>
      </w:r>
      <w:r w:rsidR="00FD1C69">
        <w:rPr>
          <w:b/>
          <w:bCs/>
          <w:i/>
          <w:iCs/>
          <w:lang w:val="fr-FR"/>
        </w:rPr>
        <w:tab/>
      </w:r>
      <w:r w:rsidRPr="000A45A5">
        <w:rPr>
          <w:i/>
          <w:iCs/>
          <w:lang w:val="fr-FR"/>
        </w:rPr>
        <w:t>Le dossier de citerne peut également être conservé sous forme électronique.</w:t>
      </w:r>
      <w:r>
        <w:rPr>
          <w:lang w:val="fr-FR"/>
        </w:rPr>
        <w:t> »</w:t>
      </w:r>
    </w:p>
    <w:p w14:paraId="7A88FF89" w14:textId="77777777" w:rsidR="004821C5" w:rsidRPr="000559AD" w:rsidRDefault="004821C5" w:rsidP="00FD1C69">
      <w:pPr>
        <w:pStyle w:val="SingleTxtG"/>
        <w:rPr>
          <w:i/>
          <w:iCs/>
          <w:lang w:val="fr-FR"/>
        </w:rPr>
      </w:pPr>
      <w:r w:rsidRPr="000559AD">
        <w:rPr>
          <w:i/>
          <w:iCs/>
          <w:lang w:val="fr-FR"/>
        </w:rPr>
        <w:t>(Document de référence : ECE/TRANS/WP.15/AC.1/</w:t>
      </w:r>
      <w:r>
        <w:rPr>
          <w:i/>
          <w:iCs/>
          <w:lang w:val="fr-FR"/>
        </w:rPr>
        <w:t>2022/22, tel que modifié</w:t>
      </w:r>
      <w:r w:rsidRPr="000559AD">
        <w:rPr>
          <w:i/>
          <w:iCs/>
          <w:lang w:val="fr-FR"/>
        </w:rPr>
        <w:t>)</w:t>
      </w:r>
    </w:p>
    <w:p w14:paraId="74C01384" w14:textId="77777777" w:rsidR="004821C5" w:rsidRPr="00C86967" w:rsidRDefault="004821C5" w:rsidP="00FD1C69">
      <w:pPr>
        <w:pStyle w:val="H23G"/>
        <w:rPr>
          <w:lang w:val="fr-FR"/>
        </w:rPr>
      </w:pPr>
      <w:r w:rsidRPr="00C86967">
        <w:rPr>
          <w:lang w:val="fr-FR"/>
        </w:rPr>
        <w:tab/>
      </w:r>
      <w:r w:rsidRPr="00C86967">
        <w:rPr>
          <w:lang w:val="fr-FR"/>
        </w:rPr>
        <w:tab/>
        <w:t xml:space="preserve">Chapitre </w:t>
      </w:r>
      <w:r>
        <w:rPr>
          <w:lang w:val="fr-FR"/>
        </w:rPr>
        <w:t>6.2</w:t>
      </w:r>
    </w:p>
    <w:p w14:paraId="07B9ACC3" w14:textId="5E00AB4F" w:rsidR="004821C5" w:rsidRPr="000559AD" w:rsidRDefault="004821C5" w:rsidP="00FD1C69">
      <w:pPr>
        <w:pStyle w:val="SingleTxtG"/>
        <w:ind w:left="2268" w:hanging="1134"/>
        <w:rPr>
          <w:lang w:val="fr-FR"/>
        </w:rPr>
      </w:pPr>
      <w:r w:rsidRPr="000559AD">
        <w:rPr>
          <w:lang w:val="fr-FR"/>
        </w:rPr>
        <w:t>6.2.4.1</w:t>
      </w:r>
      <w:r w:rsidRPr="000559AD">
        <w:rPr>
          <w:lang w:val="fr-FR"/>
        </w:rPr>
        <w:tab/>
        <w:t>Dans le tableau, sous «</w:t>
      </w:r>
      <w:r w:rsidR="00907AAA">
        <w:rPr>
          <w:lang w:val="fr-FR"/>
        </w:rPr>
        <w:t> </w:t>
      </w:r>
      <w:r>
        <w:rPr>
          <w:lang w:val="fr-FR"/>
        </w:rPr>
        <w:t>P</w:t>
      </w:r>
      <w:r w:rsidRPr="009B7D8F">
        <w:rPr>
          <w:lang w:val="fr-FR"/>
        </w:rPr>
        <w:t>our la conception et la fabrication des fermetures</w:t>
      </w:r>
      <w:r w:rsidR="00907AAA">
        <w:rPr>
          <w:lang w:val="fr-FR"/>
        </w:rPr>
        <w:t> </w:t>
      </w:r>
      <w:r w:rsidRPr="000559AD">
        <w:rPr>
          <w:lang w:val="fr-FR"/>
        </w:rPr>
        <w:t>»</w:t>
      </w:r>
      <w:r w:rsidR="00853105">
        <w:rPr>
          <w:lang w:val="fr-FR"/>
        </w:rPr>
        <w:t> </w:t>
      </w:r>
      <w:r w:rsidRPr="000559AD">
        <w:rPr>
          <w:lang w:val="fr-FR"/>
        </w:rPr>
        <w:t>:</w:t>
      </w:r>
    </w:p>
    <w:p w14:paraId="7925676A" w14:textId="660A4E6C" w:rsidR="004821C5" w:rsidRDefault="0076349E" w:rsidP="0076349E">
      <w:pPr>
        <w:pStyle w:val="SingleTxtG"/>
        <w:ind w:left="2693" w:hanging="425"/>
        <w:rPr>
          <w:lang w:val="fr-FR"/>
        </w:rPr>
      </w:pPr>
      <w:r>
        <w:rPr>
          <w:lang w:val="fr-FR"/>
        </w:rPr>
        <w:t>−</w:t>
      </w:r>
      <w:r>
        <w:rPr>
          <w:lang w:val="fr-FR"/>
        </w:rPr>
        <w:tab/>
      </w:r>
      <w:r w:rsidR="004821C5" w:rsidRPr="000559AD">
        <w:rPr>
          <w:lang w:val="fr-FR"/>
        </w:rPr>
        <w:t xml:space="preserve">Ajouter la nouvelle rubrique suivante à la fin </w:t>
      </w:r>
      <w:r w:rsidR="004821C5">
        <w:rPr>
          <w:lang w:val="fr-FR"/>
        </w:rPr>
        <w:t>du tableau</w:t>
      </w:r>
      <w:r w:rsidR="00853105">
        <w:rPr>
          <w:lang w:val="fr-FR"/>
        </w:rPr>
        <w:t> </w:t>
      </w:r>
      <w:r w:rsidR="004821C5" w:rsidRPr="000559AD">
        <w:rPr>
          <w:lang w:val="fr-FR"/>
        </w:rPr>
        <w:t>:</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740"/>
        <w:gridCol w:w="1134"/>
        <w:gridCol w:w="993"/>
        <w:gridCol w:w="744"/>
      </w:tblGrid>
      <w:tr w:rsidR="0076349E" w:rsidRPr="000559AD" w14:paraId="4977C694" w14:textId="77777777" w:rsidTr="00574E3E">
        <w:tc>
          <w:tcPr>
            <w:tcW w:w="1894" w:type="dxa"/>
            <w:vAlign w:val="center"/>
          </w:tcPr>
          <w:p w14:paraId="146960C0" w14:textId="77777777" w:rsidR="0076349E" w:rsidRPr="000559AD" w:rsidRDefault="0076349E" w:rsidP="00AF116D">
            <w:pPr>
              <w:widowControl w:val="0"/>
              <w:spacing w:before="60" w:after="60" w:line="240" w:lineRule="auto"/>
              <w:rPr>
                <w:lang w:val="fr-FR"/>
              </w:rPr>
            </w:pPr>
            <w:r w:rsidRPr="000559AD">
              <w:rPr>
                <w:lang w:val="fr-FR"/>
              </w:rPr>
              <w:t xml:space="preserve">EN </w:t>
            </w:r>
            <w:proofErr w:type="gramStart"/>
            <w:r w:rsidRPr="000559AD">
              <w:rPr>
                <w:lang w:val="fr-FR"/>
              </w:rPr>
              <w:t>13799:[</w:t>
            </w:r>
            <w:proofErr w:type="gramEnd"/>
            <w:r w:rsidRPr="000559AD">
              <w:rPr>
                <w:lang w:val="fr-FR"/>
              </w:rPr>
              <w:t>2022]</w:t>
            </w:r>
          </w:p>
        </w:tc>
        <w:tc>
          <w:tcPr>
            <w:tcW w:w="3740" w:type="dxa"/>
          </w:tcPr>
          <w:p w14:paraId="29B160A5" w14:textId="77777777" w:rsidR="0076349E" w:rsidRPr="000559AD" w:rsidRDefault="0076349E" w:rsidP="00AF116D">
            <w:pPr>
              <w:widowControl w:val="0"/>
              <w:spacing w:before="60" w:after="120" w:line="240" w:lineRule="auto"/>
              <w:rPr>
                <w:lang w:val="fr-FR"/>
              </w:rPr>
            </w:pPr>
            <w:r w:rsidRPr="000559AD">
              <w:rPr>
                <w:lang w:val="fr-FR"/>
              </w:rPr>
              <w:t>Équipements pour GPL et leurs accessoires − Jauges de niveau pour les réservoirs de gaz de pétrole liquéfié (GPL)</w:t>
            </w:r>
          </w:p>
        </w:tc>
        <w:tc>
          <w:tcPr>
            <w:tcW w:w="1134" w:type="dxa"/>
            <w:vAlign w:val="center"/>
          </w:tcPr>
          <w:p w14:paraId="14D56AF1" w14:textId="77777777" w:rsidR="0076349E" w:rsidRPr="000559AD" w:rsidRDefault="0076349E" w:rsidP="00AF116D">
            <w:pPr>
              <w:widowControl w:val="0"/>
              <w:spacing w:before="60" w:after="60" w:line="240" w:lineRule="auto"/>
              <w:rPr>
                <w:lang w:val="fr-FR"/>
              </w:rPr>
            </w:pPr>
            <w:r w:rsidRPr="000559AD">
              <w:rPr>
                <w:lang w:val="fr-FR"/>
              </w:rPr>
              <w:t>6.2.3.1 et 6.2.3.3</w:t>
            </w:r>
          </w:p>
        </w:tc>
        <w:tc>
          <w:tcPr>
            <w:tcW w:w="993" w:type="dxa"/>
            <w:vAlign w:val="center"/>
          </w:tcPr>
          <w:p w14:paraId="5A746096" w14:textId="195B6537" w:rsidR="0076349E" w:rsidRPr="000559AD" w:rsidRDefault="0076349E" w:rsidP="00AF116D">
            <w:pPr>
              <w:widowControl w:val="0"/>
              <w:spacing w:before="60" w:after="60" w:line="240" w:lineRule="auto"/>
              <w:rPr>
                <w:lang w:val="fr-FR"/>
              </w:rPr>
            </w:pPr>
            <w:r w:rsidRPr="000559AD">
              <w:rPr>
                <w:lang w:val="fr-FR"/>
              </w:rPr>
              <w:t>Jusqu</w:t>
            </w:r>
            <w:r w:rsidR="000C7353">
              <w:rPr>
                <w:lang w:val="fr-FR"/>
              </w:rPr>
              <w:t>’</w:t>
            </w:r>
            <w:r w:rsidRPr="000559AD">
              <w:rPr>
                <w:lang w:val="fr-FR"/>
              </w:rPr>
              <w:t>à nouvel ordre</w:t>
            </w:r>
          </w:p>
        </w:tc>
        <w:tc>
          <w:tcPr>
            <w:tcW w:w="744" w:type="dxa"/>
            <w:vAlign w:val="center"/>
          </w:tcPr>
          <w:p w14:paraId="3DAA4DCF" w14:textId="77777777" w:rsidR="0076349E" w:rsidRPr="000559AD" w:rsidRDefault="0076349E" w:rsidP="00AF116D">
            <w:pPr>
              <w:widowControl w:val="0"/>
              <w:spacing w:before="60" w:after="60" w:line="240" w:lineRule="auto"/>
              <w:rPr>
                <w:lang w:val="fr-FR"/>
              </w:rPr>
            </w:pPr>
          </w:p>
        </w:tc>
      </w:tr>
    </w:tbl>
    <w:p w14:paraId="02C325CA" w14:textId="77777777" w:rsidR="004821C5" w:rsidRPr="000559AD" w:rsidRDefault="004821C5" w:rsidP="0076349E">
      <w:pPr>
        <w:pStyle w:val="SingleTxtG"/>
        <w:spacing w:before="120"/>
        <w:rPr>
          <w:i/>
          <w:iCs/>
          <w:lang w:val="fr-FR"/>
        </w:rPr>
      </w:pPr>
      <w:r w:rsidRPr="000559AD">
        <w:rPr>
          <w:i/>
          <w:iCs/>
          <w:lang w:val="fr-FR"/>
        </w:rPr>
        <w:t>(Document</w:t>
      </w:r>
      <w:r>
        <w:rPr>
          <w:i/>
          <w:iCs/>
          <w:lang w:val="fr-FR"/>
        </w:rPr>
        <w:t>s</w:t>
      </w:r>
      <w:r w:rsidRPr="000559AD">
        <w:rPr>
          <w:i/>
          <w:iCs/>
          <w:lang w:val="fr-FR"/>
        </w:rPr>
        <w:t xml:space="preserve"> de référence : ECE/TRANS/WP.15/AC.1/</w:t>
      </w:r>
      <w:r>
        <w:rPr>
          <w:i/>
          <w:iCs/>
          <w:lang w:val="fr-FR"/>
        </w:rPr>
        <w:t>2022/32 et document informel INF.19</w:t>
      </w:r>
      <w:r w:rsidRPr="000559AD">
        <w:rPr>
          <w:i/>
          <w:iCs/>
          <w:lang w:val="fr-FR"/>
        </w:rPr>
        <w:t>)</w:t>
      </w:r>
    </w:p>
    <w:p w14:paraId="138D7241" w14:textId="77777777" w:rsidR="004821C5" w:rsidRPr="00F64EFD" w:rsidRDefault="004821C5" w:rsidP="0076349E">
      <w:pPr>
        <w:pStyle w:val="H23G"/>
        <w:rPr>
          <w:lang w:val="fr-FR"/>
        </w:rPr>
      </w:pPr>
      <w:r w:rsidRPr="00F64EFD">
        <w:rPr>
          <w:lang w:val="fr-FR"/>
        </w:rPr>
        <w:tab/>
      </w:r>
      <w:r w:rsidRPr="00F64EFD">
        <w:rPr>
          <w:lang w:val="fr-FR"/>
        </w:rPr>
        <w:tab/>
        <w:t>Chapitre</w:t>
      </w:r>
      <w:r>
        <w:rPr>
          <w:lang w:val="fr-FR"/>
        </w:rPr>
        <w:t xml:space="preserve"> 6.8</w:t>
      </w:r>
    </w:p>
    <w:p w14:paraId="3464E01D" w14:textId="77777777" w:rsidR="004821C5" w:rsidRPr="00F64EFD" w:rsidRDefault="004821C5" w:rsidP="0076349E">
      <w:pPr>
        <w:pStyle w:val="SingleTxtG"/>
        <w:ind w:left="2268" w:hanging="1134"/>
        <w:rPr>
          <w:lang w:val="fr-FR"/>
        </w:rPr>
      </w:pPr>
      <w:r>
        <w:rPr>
          <w:iCs/>
          <w:lang w:val="fr-FR"/>
        </w:rPr>
        <w:t>6.8.2.1.17</w:t>
      </w:r>
      <w:r>
        <w:rPr>
          <w:iCs/>
          <w:lang w:val="fr-FR"/>
        </w:rPr>
        <w:tab/>
        <w:t xml:space="preserve">À la fin de la </w:t>
      </w:r>
      <w:r w:rsidRPr="0076349E">
        <w:rPr>
          <w:lang w:val="fr-FR"/>
        </w:rPr>
        <w:t>définition</w:t>
      </w:r>
      <w:r>
        <w:rPr>
          <w:iCs/>
          <w:lang w:val="fr-FR"/>
        </w:rPr>
        <w:t xml:space="preserve"> </w:t>
      </w:r>
      <w:r w:rsidRPr="00DD143A">
        <w:rPr>
          <w:iCs/>
          <w:lang w:val="fr-FR"/>
        </w:rPr>
        <w:t>de « </w:t>
      </w:r>
      <w:r w:rsidRPr="00DD143A">
        <w:rPr>
          <w:rFonts w:ascii="TimesNewRomanPSMT" w:hAnsi="TimesNewRomanPSMT" w:cs="TimesNewRomanPSMT"/>
        </w:rPr>
        <w:t>P</w:t>
      </w:r>
      <w:r w:rsidRPr="00DD143A">
        <w:rPr>
          <w:rFonts w:ascii="TimesNewRomanPSMT" w:hAnsi="TimesNewRomanPSMT" w:cs="TimesNewRomanPSMT"/>
          <w:sz w:val="13"/>
          <w:szCs w:val="13"/>
        </w:rPr>
        <w:t>cal</w:t>
      </w:r>
      <w:r w:rsidRPr="00554249">
        <w:rPr>
          <w:iCs/>
          <w:lang w:val="fr-FR"/>
        </w:rPr>
        <w:t> »</w:t>
      </w:r>
      <w:r>
        <w:rPr>
          <w:iCs/>
          <w:lang w:val="fr-FR"/>
        </w:rPr>
        <w:t>, ajouter « ou dans le tableau du 4.3.3.1.1 ».</w:t>
      </w:r>
    </w:p>
    <w:p w14:paraId="1CF6815E" w14:textId="77777777" w:rsidR="004821C5" w:rsidRPr="00F64EFD" w:rsidRDefault="004821C5" w:rsidP="0076349E">
      <w:pPr>
        <w:pStyle w:val="SingleTxtG"/>
        <w:rPr>
          <w:i/>
          <w:iCs/>
          <w:lang w:val="fr-FR"/>
        </w:rPr>
      </w:pPr>
      <w:r w:rsidRPr="00F64EFD">
        <w:rPr>
          <w:i/>
          <w:iCs/>
          <w:lang w:val="fr-FR"/>
        </w:rPr>
        <w:t xml:space="preserve">(Document de référence : </w:t>
      </w:r>
      <w:r>
        <w:rPr>
          <w:i/>
          <w:iCs/>
          <w:lang w:val="fr-FR"/>
        </w:rPr>
        <w:t>document informel INF.36</w:t>
      </w:r>
      <w:r w:rsidRPr="00F64EFD">
        <w:rPr>
          <w:i/>
          <w:iCs/>
          <w:lang w:val="fr-FR"/>
        </w:rPr>
        <w:t>)</w:t>
      </w:r>
    </w:p>
    <w:p w14:paraId="37CDBBE8" w14:textId="45D5ECC8" w:rsidR="004821C5" w:rsidRPr="002B4DA6" w:rsidRDefault="004821C5" w:rsidP="0076349E">
      <w:pPr>
        <w:pStyle w:val="SingleTxtG"/>
        <w:ind w:left="2268" w:hanging="1134"/>
        <w:rPr>
          <w:rFonts w:cs="Arial"/>
          <w:bCs/>
          <w:lang w:val="fr-FR"/>
        </w:rPr>
      </w:pPr>
      <w:r>
        <w:rPr>
          <w:lang w:val="fr-FR"/>
        </w:rPr>
        <w:t>6</w:t>
      </w:r>
      <w:r w:rsidRPr="002B4DA6">
        <w:rPr>
          <w:lang w:val="fr-FR"/>
        </w:rPr>
        <w:t>.8.2.6.1</w:t>
      </w:r>
      <w:r w:rsidRPr="002B4DA6">
        <w:rPr>
          <w:lang w:val="fr-FR"/>
        </w:rPr>
        <w:tab/>
        <w:t>Dans le tableau, sous «</w:t>
      </w:r>
      <w:r w:rsidR="00907AAA">
        <w:rPr>
          <w:lang w:val="fr-FR"/>
        </w:rPr>
        <w:t> </w:t>
      </w:r>
      <w:r w:rsidRPr="002B4DA6">
        <w:rPr>
          <w:lang w:val="fr-FR"/>
        </w:rPr>
        <w:t xml:space="preserve">Pour la </w:t>
      </w:r>
      <w:r w:rsidRPr="0076349E">
        <w:rPr>
          <w:iCs/>
          <w:lang w:val="fr-FR"/>
        </w:rPr>
        <w:t>conception</w:t>
      </w:r>
      <w:r w:rsidRPr="002B4DA6">
        <w:rPr>
          <w:lang w:val="fr-FR"/>
        </w:rPr>
        <w:t xml:space="preserve"> et la construction des citernes</w:t>
      </w:r>
      <w:r w:rsidR="00907AAA">
        <w:rPr>
          <w:lang w:val="fr-FR"/>
        </w:rPr>
        <w:t> </w:t>
      </w:r>
      <w:r w:rsidRPr="002B4DA6">
        <w:rPr>
          <w:lang w:val="fr-FR"/>
        </w:rPr>
        <w:t>»</w:t>
      </w:r>
      <w:r w:rsidR="00853105">
        <w:rPr>
          <w:lang w:val="fr-FR"/>
        </w:rPr>
        <w:t> </w:t>
      </w:r>
      <w:r w:rsidRPr="002B4DA6">
        <w:rPr>
          <w:lang w:val="fr-FR"/>
        </w:rPr>
        <w:t>:</w:t>
      </w:r>
    </w:p>
    <w:p w14:paraId="6AAE7511" w14:textId="3AE9898D" w:rsidR="004821C5" w:rsidRDefault="0076349E" w:rsidP="0076349E">
      <w:pPr>
        <w:pStyle w:val="SingleTxtG"/>
        <w:ind w:left="2693" w:hanging="425"/>
        <w:rPr>
          <w:lang w:val="fr-FR"/>
        </w:rPr>
      </w:pPr>
      <w:r>
        <w:rPr>
          <w:lang w:val="fr-FR"/>
        </w:rPr>
        <w:t>−</w:t>
      </w:r>
      <w:r>
        <w:rPr>
          <w:lang w:val="fr-FR"/>
        </w:rPr>
        <w:tab/>
      </w:r>
      <w:r w:rsidR="004821C5">
        <w:rPr>
          <w:lang w:val="fr-FR"/>
        </w:rPr>
        <w:t xml:space="preserve">Dans la ligne pour </w:t>
      </w:r>
      <w:r w:rsidR="004821C5" w:rsidRPr="0002549D">
        <w:rPr>
          <w:lang w:val="fr-FR"/>
        </w:rPr>
        <w:t xml:space="preserve">« EN </w:t>
      </w:r>
      <w:proofErr w:type="gramStart"/>
      <w:r w:rsidR="004821C5" w:rsidRPr="0002549D">
        <w:rPr>
          <w:lang w:val="fr-FR"/>
        </w:rPr>
        <w:t>14025:</w:t>
      </w:r>
      <w:proofErr w:type="gramEnd"/>
      <w:r w:rsidR="004821C5" w:rsidRPr="0002549D">
        <w:rPr>
          <w:lang w:val="fr-FR"/>
        </w:rPr>
        <w:t>2018 + AC:2020 », dans la colonne 4), remplacer « Jusqu</w:t>
      </w:r>
      <w:r w:rsidR="000C7353">
        <w:rPr>
          <w:lang w:val="fr-FR"/>
        </w:rPr>
        <w:t>’</w:t>
      </w:r>
      <w:r w:rsidR="004821C5" w:rsidRPr="0002549D">
        <w:rPr>
          <w:lang w:val="fr-FR"/>
        </w:rPr>
        <w:t>à nouvel ordre » par « Entre le 1</w:t>
      </w:r>
      <w:r w:rsidR="004821C5" w:rsidRPr="0002549D">
        <w:rPr>
          <w:vertAlign w:val="superscript"/>
          <w:lang w:val="fr-FR"/>
        </w:rPr>
        <w:t>er</w:t>
      </w:r>
      <w:r w:rsidR="004821C5" w:rsidRPr="0002549D">
        <w:rPr>
          <w:lang w:val="fr-FR"/>
        </w:rPr>
        <w:t xml:space="preserve"> janvier 2021 et le 31 décembre 2026 ». Après </w:t>
      </w:r>
      <w:r w:rsidR="004821C5">
        <w:rPr>
          <w:lang w:val="fr-FR"/>
        </w:rPr>
        <w:t>cette</w:t>
      </w:r>
      <w:r w:rsidR="004821C5" w:rsidRPr="0002549D">
        <w:rPr>
          <w:lang w:val="fr-FR"/>
        </w:rPr>
        <w:t xml:space="preserve"> ligne</w:t>
      </w:r>
      <w:r w:rsidR="004821C5">
        <w:rPr>
          <w:lang w:val="fr-FR"/>
        </w:rPr>
        <w:t>, a</w:t>
      </w:r>
      <w:r w:rsidR="004821C5" w:rsidRPr="0002549D">
        <w:rPr>
          <w:lang w:val="fr-FR"/>
        </w:rPr>
        <w:t>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76349E" w:rsidRPr="002B4DA6" w14:paraId="0D1BDDDB" w14:textId="77777777" w:rsidTr="00AF116D">
        <w:tc>
          <w:tcPr>
            <w:tcW w:w="2002" w:type="dxa"/>
            <w:tcBorders>
              <w:top w:val="single" w:sz="4" w:space="0" w:color="auto"/>
              <w:left w:val="single" w:sz="4" w:space="0" w:color="auto"/>
              <w:bottom w:val="single" w:sz="4" w:space="0" w:color="auto"/>
              <w:right w:val="single" w:sz="4" w:space="0" w:color="auto"/>
            </w:tcBorders>
            <w:vAlign w:val="center"/>
            <w:hideMark/>
          </w:tcPr>
          <w:p w14:paraId="347BEFB3" w14:textId="77777777" w:rsidR="0076349E" w:rsidRPr="002B4DA6" w:rsidRDefault="0076349E" w:rsidP="00AF116D">
            <w:pPr>
              <w:widowControl w:val="0"/>
              <w:tabs>
                <w:tab w:val="left" w:pos="720"/>
              </w:tabs>
              <w:spacing w:before="60" w:after="60" w:line="240" w:lineRule="auto"/>
              <w:ind w:left="57" w:right="57"/>
              <w:rPr>
                <w:rFonts w:cs="Arial"/>
                <w:lang w:val="fr-FR"/>
              </w:rPr>
            </w:pPr>
            <w:r w:rsidRPr="002B4DA6">
              <w:rPr>
                <w:lang w:val="fr-FR"/>
              </w:rPr>
              <w:t xml:space="preserve">EN </w:t>
            </w:r>
            <w:proofErr w:type="gramStart"/>
            <w:r w:rsidRPr="002B4DA6">
              <w:rPr>
                <w:lang w:val="fr-FR"/>
              </w:rPr>
              <w:t>14025:[</w:t>
            </w:r>
            <w:proofErr w:type="gramEnd"/>
            <w:r>
              <w:rPr>
                <w:lang w:val="fr-FR"/>
              </w:rPr>
              <w:t>2023</w:t>
            </w:r>
            <w:r w:rsidRPr="002B4DA6">
              <w:rPr>
                <w:lang w:val="fr-FR"/>
              </w:rPr>
              <w:t>]</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1A77528" w14:textId="77777777" w:rsidR="0076349E" w:rsidRPr="002B4DA6" w:rsidRDefault="0076349E" w:rsidP="00AF116D">
            <w:pPr>
              <w:widowControl w:val="0"/>
              <w:tabs>
                <w:tab w:val="left" w:pos="599"/>
              </w:tabs>
              <w:spacing w:before="60" w:after="60" w:line="240" w:lineRule="auto"/>
              <w:ind w:left="57" w:right="57"/>
              <w:rPr>
                <w:bCs/>
                <w:color w:val="000000"/>
                <w:lang w:val="fr-FR"/>
              </w:rPr>
            </w:pPr>
            <w:r w:rsidRPr="002B4DA6">
              <w:rPr>
                <w:lang w:val="fr-FR"/>
              </w:rPr>
              <w:t>Citernes destinées au transport de matières dangereuses − citernes métalliques sous pression − conception et fabrication</w:t>
            </w:r>
          </w:p>
          <w:p w14:paraId="60462BD0" w14:textId="7FD90356" w:rsidR="0076349E" w:rsidRPr="002B4DA6" w:rsidRDefault="0076349E" w:rsidP="00AF116D">
            <w:pPr>
              <w:widowControl w:val="0"/>
              <w:tabs>
                <w:tab w:val="left" w:pos="446"/>
              </w:tabs>
              <w:spacing w:before="60" w:after="60" w:line="240" w:lineRule="auto"/>
              <w:ind w:left="57" w:right="57"/>
              <w:rPr>
                <w:rFonts w:cs="Arial"/>
                <w:bCs/>
                <w:i/>
                <w:lang w:val="fr-FR"/>
              </w:rPr>
            </w:pPr>
            <w:r w:rsidRPr="002B4DA6">
              <w:rPr>
                <w:b/>
                <w:bCs/>
                <w:i/>
                <w:iCs/>
                <w:lang w:val="fr-FR"/>
              </w:rPr>
              <w:t>NOTA</w:t>
            </w:r>
            <w:r w:rsidR="00853105">
              <w:rPr>
                <w:b/>
                <w:bCs/>
                <w:i/>
                <w:iCs/>
                <w:lang w:val="fr-FR"/>
              </w:rPr>
              <w:t> </w:t>
            </w:r>
            <w:r w:rsidRPr="002B4DA6">
              <w:rPr>
                <w:b/>
                <w:bCs/>
                <w:i/>
                <w:iCs/>
                <w:lang w:val="fr-FR"/>
              </w:rPr>
              <w:t>:</w:t>
            </w:r>
            <w:r w:rsidRPr="002B4DA6">
              <w:rPr>
                <w:lang w:val="fr-FR"/>
              </w:rPr>
              <w:tab/>
            </w:r>
            <w:r w:rsidRPr="002B4DA6">
              <w:rPr>
                <w:i/>
                <w:iCs/>
                <w:lang w:val="fr-FR"/>
              </w:rPr>
              <w:t>Les matériaux des réservoirs doivent au moins être attestés par un certificat de type 3.1 délivré conformément à la norme EN 10204.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F0BB1CF" w14:textId="77777777" w:rsidR="0076349E" w:rsidRPr="002B4DA6" w:rsidRDefault="0076349E" w:rsidP="00AF116D">
            <w:pPr>
              <w:widowControl w:val="0"/>
              <w:tabs>
                <w:tab w:val="left" w:pos="720"/>
              </w:tabs>
              <w:spacing w:before="60" w:after="60" w:line="240" w:lineRule="auto"/>
              <w:ind w:left="57" w:right="57"/>
              <w:rPr>
                <w:rFonts w:cs="Arial"/>
                <w:lang w:val="fr-FR"/>
              </w:rPr>
            </w:pPr>
            <w:r w:rsidRPr="002B4DA6">
              <w:rPr>
                <w:lang w:val="fr-FR"/>
              </w:rPr>
              <w:t>6.8.2.1 et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7EB15DF0" w14:textId="2E0125C0" w:rsidR="0076349E" w:rsidRPr="002B4DA6" w:rsidRDefault="0076349E" w:rsidP="00AF116D">
            <w:pPr>
              <w:widowControl w:val="0"/>
              <w:tabs>
                <w:tab w:val="left" w:pos="720"/>
              </w:tabs>
              <w:spacing w:before="60" w:after="60" w:line="240" w:lineRule="auto"/>
              <w:ind w:left="57" w:right="57"/>
              <w:rPr>
                <w:rFonts w:cs="Arial"/>
                <w:lang w:val="fr-FR"/>
              </w:rPr>
            </w:pPr>
            <w:r w:rsidRPr="002B4DA6">
              <w:rPr>
                <w:lang w:val="fr-FR"/>
              </w:rPr>
              <w:t>Jusqu</w:t>
            </w:r>
            <w:r w:rsidR="000C7353">
              <w:rPr>
                <w:lang w:val="fr-FR"/>
              </w:rPr>
              <w:t>’</w:t>
            </w:r>
            <w:r w:rsidRPr="002B4DA6">
              <w:rPr>
                <w:lang w:val="fr-FR"/>
              </w:rPr>
              <w:t>à nouvel ordre</w:t>
            </w:r>
          </w:p>
        </w:tc>
        <w:tc>
          <w:tcPr>
            <w:tcW w:w="718" w:type="dxa"/>
            <w:tcBorders>
              <w:top w:val="single" w:sz="4" w:space="0" w:color="auto"/>
              <w:left w:val="single" w:sz="4" w:space="0" w:color="auto"/>
              <w:bottom w:val="single" w:sz="4" w:space="0" w:color="auto"/>
              <w:right w:val="single" w:sz="4" w:space="0" w:color="auto"/>
            </w:tcBorders>
            <w:vAlign w:val="center"/>
          </w:tcPr>
          <w:p w14:paraId="756DB73F" w14:textId="77777777" w:rsidR="0076349E" w:rsidRPr="002B4DA6" w:rsidRDefault="0076349E" w:rsidP="00AF116D">
            <w:pPr>
              <w:widowControl w:val="0"/>
              <w:tabs>
                <w:tab w:val="left" w:pos="720"/>
              </w:tabs>
              <w:spacing w:before="60" w:after="60" w:line="240" w:lineRule="auto"/>
              <w:ind w:left="57" w:right="57"/>
              <w:rPr>
                <w:rFonts w:cs="Arial"/>
                <w:lang w:val="fr-FR"/>
              </w:rPr>
            </w:pPr>
          </w:p>
        </w:tc>
      </w:tr>
    </w:tbl>
    <w:p w14:paraId="4E5EEEF1" w14:textId="77777777" w:rsidR="004821C5" w:rsidRPr="004352F7" w:rsidRDefault="004821C5" w:rsidP="0076349E">
      <w:pPr>
        <w:pStyle w:val="SingleTxtG"/>
        <w:spacing w:before="120"/>
        <w:rPr>
          <w:i/>
          <w:iCs/>
          <w:lang w:val="fr-FR"/>
        </w:rPr>
      </w:pPr>
      <w:r w:rsidRPr="004352F7">
        <w:rPr>
          <w:i/>
          <w:iCs/>
          <w:lang w:val="fr-FR"/>
        </w:rPr>
        <w:t>(Documents de référence : ECE/TRANS/WP.15/AC.1/2022/32 et document informel INF.19)</w:t>
      </w:r>
    </w:p>
    <w:p w14:paraId="2B018465" w14:textId="60491946" w:rsidR="004821C5" w:rsidRDefault="004821C5" w:rsidP="0076349E">
      <w:pPr>
        <w:pStyle w:val="SingleTxtG"/>
        <w:ind w:left="2268"/>
        <w:rPr>
          <w:lang w:val="fr-FR"/>
        </w:rPr>
      </w:pPr>
      <w:r w:rsidRPr="00CE70CB">
        <w:rPr>
          <w:lang w:val="fr-FR"/>
        </w:rPr>
        <w:t xml:space="preserve">Dans le tableau, sous « Pour les </w:t>
      </w:r>
      <w:r>
        <w:rPr>
          <w:lang w:val="fr-FR"/>
        </w:rPr>
        <w:t>équipements</w:t>
      </w:r>
      <w:r w:rsidRPr="00CE70CB">
        <w:rPr>
          <w:lang w:val="fr-FR"/>
        </w:rPr>
        <w:t> » :</w:t>
      </w:r>
    </w:p>
    <w:p w14:paraId="7440DF4B" w14:textId="349B3600" w:rsidR="004821C5" w:rsidRPr="006651CB" w:rsidRDefault="004821C5" w:rsidP="0076349E">
      <w:pPr>
        <w:pStyle w:val="SingleTxtG"/>
        <w:ind w:left="2693" w:hanging="425"/>
        <w:rPr>
          <w:lang w:val="fr-FR"/>
        </w:rPr>
      </w:pPr>
      <w:r w:rsidRPr="006651CB">
        <w:rPr>
          <w:lang w:val="fr-FR"/>
        </w:rPr>
        <w:t>[</w:t>
      </w:r>
      <w:r w:rsidR="0076349E">
        <w:rPr>
          <w:lang w:val="fr-FR"/>
        </w:rPr>
        <w:t>−</w:t>
      </w:r>
      <w:r w:rsidR="0076349E">
        <w:rPr>
          <w:lang w:val="fr-FR"/>
        </w:rPr>
        <w:tab/>
      </w:r>
      <w:r>
        <w:rPr>
          <w:lang w:val="fr-FR"/>
        </w:rPr>
        <w:t>Dans la ligne p</w:t>
      </w:r>
      <w:r w:rsidRPr="006651CB">
        <w:rPr>
          <w:lang w:val="fr-FR"/>
        </w:rPr>
        <w:t xml:space="preserve">our « EN </w:t>
      </w:r>
      <w:proofErr w:type="gramStart"/>
      <w:r w:rsidRPr="006651CB">
        <w:rPr>
          <w:lang w:val="fr-FR"/>
        </w:rPr>
        <w:t>14432:</w:t>
      </w:r>
      <w:proofErr w:type="gramEnd"/>
      <w:r w:rsidRPr="006651CB">
        <w:rPr>
          <w:lang w:val="fr-FR"/>
        </w:rPr>
        <w:t>2014 », dans la colonne 4), remplacer « Jusqu</w:t>
      </w:r>
      <w:r w:rsidR="000C7353">
        <w:rPr>
          <w:lang w:val="fr-FR"/>
        </w:rPr>
        <w:t>’</w:t>
      </w:r>
      <w:r w:rsidRPr="006651CB">
        <w:rPr>
          <w:lang w:val="fr-FR"/>
        </w:rPr>
        <w:t>à nouvel ordre » par « Entre le 1</w:t>
      </w:r>
      <w:r w:rsidRPr="006651CB">
        <w:rPr>
          <w:vertAlign w:val="superscript"/>
          <w:lang w:val="fr-FR"/>
        </w:rPr>
        <w:t>er</w:t>
      </w:r>
      <w:r w:rsidRPr="006651CB">
        <w:rPr>
          <w:lang w:val="fr-FR"/>
        </w:rPr>
        <w:t xml:space="preserve"> janvier 2019 et le 31 décembre 2026 ». </w:t>
      </w:r>
      <w:r w:rsidRPr="0002549D">
        <w:rPr>
          <w:lang w:val="fr-FR"/>
        </w:rPr>
        <w:t xml:space="preserve">Après </w:t>
      </w:r>
      <w:r>
        <w:rPr>
          <w:lang w:val="fr-FR"/>
        </w:rPr>
        <w:t>cette</w:t>
      </w:r>
      <w:r w:rsidRPr="0002549D">
        <w:rPr>
          <w:lang w:val="fr-FR"/>
        </w:rPr>
        <w:t xml:space="preserve"> ligne</w:t>
      </w:r>
      <w:r>
        <w:rPr>
          <w:lang w:val="fr-FR"/>
        </w:rPr>
        <w:t>, a</w:t>
      </w:r>
      <w:r w:rsidRPr="0002549D">
        <w:rPr>
          <w:lang w:val="fr-FR"/>
        </w:rPr>
        <w:t>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3630"/>
        <w:gridCol w:w="1176"/>
        <w:gridCol w:w="1006"/>
        <w:gridCol w:w="713"/>
      </w:tblGrid>
      <w:tr w:rsidR="004821C5" w:rsidRPr="00CE70CB" w14:paraId="11C127D5" w14:textId="77777777" w:rsidTr="00907AAA">
        <w:trPr>
          <w:cantSplit/>
        </w:trPr>
        <w:tc>
          <w:tcPr>
            <w:tcW w:w="1980" w:type="dxa"/>
            <w:vAlign w:val="center"/>
          </w:tcPr>
          <w:p w14:paraId="77C340D2" w14:textId="77777777" w:rsidR="004821C5" w:rsidRPr="00CE70CB" w:rsidRDefault="004821C5" w:rsidP="00907AAA">
            <w:pPr>
              <w:widowControl w:val="0"/>
              <w:tabs>
                <w:tab w:val="left" w:pos="720"/>
              </w:tabs>
              <w:spacing w:before="60" w:after="60" w:line="240" w:lineRule="auto"/>
              <w:ind w:left="57" w:right="57"/>
              <w:rPr>
                <w:lang w:val="fr-FR"/>
              </w:rPr>
            </w:pPr>
            <w:r w:rsidRPr="00F01354">
              <w:rPr>
                <w:bCs/>
              </w:rPr>
              <w:t>EN</w:t>
            </w:r>
            <w:r>
              <w:rPr>
                <w:bCs/>
              </w:rPr>
              <w:t xml:space="preserve"> </w:t>
            </w:r>
            <w:proofErr w:type="gramStart"/>
            <w:r w:rsidRPr="00907AAA">
              <w:rPr>
                <w:lang w:val="fr-FR"/>
              </w:rPr>
              <w:t>14432</w:t>
            </w:r>
            <w:r>
              <w:rPr>
                <w:bCs/>
              </w:rPr>
              <w:t>:[</w:t>
            </w:r>
            <w:proofErr w:type="gramEnd"/>
            <w:r>
              <w:rPr>
                <w:bCs/>
              </w:rPr>
              <w:t>2023]</w:t>
            </w:r>
          </w:p>
        </w:tc>
        <w:tc>
          <w:tcPr>
            <w:tcW w:w="3630" w:type="dxa"/>
          </w:tcPr>
          <w:p w14:paraId="189AACCE" w14:textId="60A19586" w:rsidR="004821C5" w:rsidRPr="00AC352C" w:rsidRDefault="004821C5" w:rsidP="00907AAA">
            <w:pPr>
              <w:widowControl w:val="0"/>
              <w:tabs>
                <w:tab w:val="left" w:pos="599"/>
              </w:tabs>
              <w:spacing w:before="60" w:after="60" w:line="240" w:lineRule="auto"/>
              <w:ind w:left="57" w:right="57"/>
              <w:rPr>
                <w:lang w:val="fr-FR"/>
              </w:rPr>
            </w:pPr>
            <w:r w:rsidRPr="00AC352C">
              <w:rPr>
                <w:lang w:val="fr-FR"/>
              </w:rPr>
              <w:t xml:space="preserve">Citernes de transport de matières dangereuses </w:t>
            </w:r>
            <w:r w:rsidR="00907AAA">
              <w:rPr>
                <w:lang w:val="fr-FR"/>
              </w:rPr>
              <w:t>−</w:t>
            </w:r>
            <w:r w:rsidRPr="00AC352C">
              <w:rPr>
                <w:lang w:val="fr-FR"/>
              </w:rPr>
              <w:t xml:space="preserve"> Équipements de la citerne pour le transport de produits chimiques liquides et de gaz liquéfiés </w:t>
            </w:r>
            <w:r w:rsidR="00907AAA">
              <w:rPr>
                <w:lang w:val="fr-FR"/>
              </w:rPr>
              <w:t>−</w:t>
            </w:r>
            <w:r w:rsidRPr="00AC352C">
              <w:rPr>
                <w:lang w:val="fr-FR"/>
              </w:rPr>
              <w:t xml:space="preserve"> Vannes de mise en pression de la citerne ou de déchargement du produit</w:t>
            </w:r>
          </w:p>
          <w:p w14:paraId="00E41FB3" w14:textId="31F22B65" w:rsidR="004821C5" w:rsidRPr="00CE70CB" w:rsidRDefault="004821C5" w:rsidP="00907AAA">
            <w:pPr>
              <w:widowControl w:val="0"/>
              <w:tabs>
                <w:tab w:val="left" w:pos="446"/>
              </w:tabs>
              <w:spacing w:before="60" w:after="60" w:line="240" w:lineRule="auto"/>
              <w:ind w:left="57" w:right="57"/>
              <w:rPr>
                <w:lang w:val="fr-FR"/>
              </w:rPr>
            </w:pPr>
            <w:r w:rsidRPr="00AC352C">
              <w:rPr>
                <w:b/>
                <w:i/>
                <w:szCs w:val="18"/>
                <w:lang w:val="fr-FR"/>
              </w:rPr>
              <w:t>NOTA :</w:t>
            </w:r>
            <w:r w:rsidRPr="00AC352C">
              <w:rPr>
                <w:i/>
                <w:szCs w:val="18"/>
                <w:lang w:val="fr-FR"/>
              </w:rPr>
              <w:tab/>
              <w:t xml:space="preserve">Cette norme peut également être appliquée aux citernes à </w:t>
            </w:r>
            <w:r w:rsidRPr="00907AAA">
              <w:rPr>
                <w:i/>
                <w:iCs/>
                <w:lang w:val="fr-FR"/>
              </w:rPr>
              <w:t>vidange</w:t>
            </w:r>
            <w:r w:rsidRPr="00AC352C">
              <w:rPr>
                <w:i/>
                <w:szCs w:val="18"/>
                <w:lang w:val="fr-FR"/>
              </w:rPr>
              <w:t xml:space="preserve"> par gravité.</w:t>
            </w:r>
          </w:p>
        </w:tc>
        <w:tc>
          <w:tcPr>
            <w:tcW w:w="1176" w:type="dxa"/>
            <w:vAlign w:val="center"/>
          </w:tcPr>
          <w:p w14:paraId="4AA0C6BB" w14:textId="77777777" w:rsidR="004821C5" w:rsidRPr="00CE70CB" w:rsidRDefault="004821C5" w:rsidP="00907AAA">
            <w:pPr>
              <w:widowControl w:val="0"/>
              <w:tabs>
                <w:tab w:val="left" w:pos="720"/>
              </w:tabs>
              <w:spacing w:before="60" w:after="60" w:line="240" w:lineRule="auto"/>
              <w:ind w:left="57" w:right="57"/>
              <w:rPr>
                <w:lang w:val="fr-FR"/>
              </w:rPr>
            </w:pPr>
            <w:r w:rsidRPr="00675065">
              <w:rPr>
                <w:rFonts w:cs="Arial"/>
              </w:rPr>
              <w:t>6.8.2.2.1, 6.8.2.2.2 et 6.8.2.3.</w:t>
            </w:r>
            <w:r>
              <w:rPr>
                <w:rFonts w:cs="Arial"/>
              </w:rPr>
              <w:t>1</w:t>
            </w:r>
          </w:p>
        </w:tc>
        <w:tc>
          <w:tcPr>
            <w:tcW w:w="1006" w:type="dxa"/>
            <w:vAlign w:val="center"/>
          </w:tcPr>
          <w:p w14:paraId="14F4D053" w14:textId="044DD5DA" w:rsidR="004821C5" w:rsidRPr="00CE70CB" w:rsidRDefault="004821C5" w:rsidP="00907AAA">
            <w:pPr>
              <w:widowControl w:val="0"/>
              <w:tabs>
                <w:tab w:val="left" w:pos="720"/>
              </w:tabs>
              <w:spacing w:before="60" w:after="60" w:line="240" w:lineRule="auto"/>
              <w:ind w:left="57" w:right="57"/>
              <w:rPr>
                <w:lang w:val="fr-FR"/>
              </w:rPr>
            </w:pPr>
            <w:r w:rsidRPr="00675065">
              <w:rPr>
                <w:rFonts w:cs="Arial"/>
                <w:bCs/>
              </w:rPr>
              <w:t>Jusqu</w:t>
            </w:r>
            <w:r w:rsidR="000C7353">
              <w:rPr>
                <w:rFonts w:cs="Arial"/>
                <w:bCs/>
              </w:rPr>
              <w:t>’</w:t>
            </w:r>
            <w:r w:rsidRPr="00675065">
              <w:rPr>
                <w:rFonts w:cs="Arial"/>
                <w:bCs/>
              </w:rPr>
              <w:t xml:space="preserve">à </w:t>
            </w:r>
            <w:r w:rsidRPr="00907AAA">
              <w:rPr>
                <w:lang w:val="fr-FR"/>
              </w:rPr>
              <w:t>nouvel</w:t>
            </w:r>
            <w:r w:rsidRPr="00675065">
              <w:rPr>
                <w:rFonts w:cs="Arial"/>
                <w:bCs/>
              </w:rPr>
              <w:t xml:space="preserve"> </w:t>
            </w:r>
            <w:r w:rsidRPr="00907AAA">
              <w:rPr>
                <w:lang w:val="fr-FR"/>
              </w:rPr>
              <w:t>ordre</w:t>
            </w:r>
          </w:p>
        </w:tc>
        <w:tc>
          <w:tcPr>
            <w:tcW w:w="713" w:type="dxa"/>
          </w:tcPr>
          <w:p w14:paraId="0EE8BDAC" w14:textId="77777777" w:rsidR="004821C5" w:rsidRPr="00CE70CB" w:rsidRDefault="004821C5" w:rsidP="00AF116D">
            <w:pPr>
              <w:rPr>
                <w:lang w:val="fr-FR"/>
              </w:rPr>
            </w:pPr>
          </w:p>
        </w:tc>
      </w:tr>
    </w:tbl>
    <w:p w14:paraId="3A21E0A2" w14:textId="57A98B28" w:rsidR="004821C5" w:rsidRDefault="004821C5" w:rsidP="001D568E">
      <w:pPr>
        <w:pStyle w:val="SingleTxtG"/>
        <w:rPr>
          <w:lang w:val="fr-FR"/>
        </w:rPr>
      </w:pPr>
      <w:r>
        <w:rPr>
          <w:lang w:val="fr-FR"/>
        </w:rPr>
        <w:t>]</w:t>
      </w:r>
    </w:p>
    <w:p w14:paraId="40B380EA" w14:textId="77777777" w:rsidR="004821C5" w:rsidRPr="00C86967" w:rsidRDefault="004821C5" w:rsidP="00907AAA">
      <w:pPr>
        <w:pStyle w:val="SingleTxtG"/>
        <w:keepNext/>
        <w:spacing w:before="120"/>
        <w:rPr>
          <w:i/>
          <w:iCs/>
          <w:lang w:val="fr-FR"/>
        </w:rPr>
      </w:pPr>
      <w:r w:rsidRPr="00C86967">
        <w:rPr>
          <w:i/>
          <w:iCs/>
          <w:lang w:val="fr-FR"/>
        </w:rPr>
        <w:lastRenderedPageBreak/>
        <w:t xml:space="preserve">(Document de référence : </w:t>
      </w:r>
      <w:r>
        <w:rPr>
          <w:i/>
          <w:iCs/>
          <w:lang w:val="fr-FR"/>
        </w:rPr>
        <w:t>document informel INF.19</w:t>
      </w:r>
      <w:r w:rsidRPr="00C86967">
        <w:rPr>
          <w:i/>
          <w:iCs/>
          <w:lang w:val="fr-FR"/>
        </w:rPr>
        <w:t>)</w:t>
      </w:r>
    </w:p>
    <w:p w14:paraId="41657796" w14:textId="79EA3008" w:rsidR="004821C5" w:rsidRDefault="004821C5" w:rsidP="00907AAA">
      <w:pPr>
        <w:pStyle w:val="SingleTxtG"/>
        <w:keepNext/>
        <w:ind w:left="2693" w:hanging="425"/>
        <w:rPr>
          <w:lang w:val="fr-FR"/>
        </w:rPr>
      </w:pPr>
      <w:r w:rsidRPr="007B314B">
        <w:rPr>
          <w:lang w:val="fr-FR"/>
        </w:rPr>
        <w:t>[</w:t>
      </w:r>
      <w:r w:rsidR="001D568E">
        <w:rPr>
          <w:lang w:val="fr-FR"/>
        </w:rPr>
        <w:t>−</w:t>
      </w:r>
      <w:r w:rsidR="001D568E">
        <w:rPr>
          <w:lang w:val="fr-FR"/>
        </w:rPr>
        <w:tab/>
      </w:r>
      <w:r>
        <w:rPr>
          <w:lang w:val="fr-FR"/>
        </w:rPr>
        <w:t>Dans la ligne pour</w:t>
      </w:r>
      <w:r w:rsidRPr="007B314B">
        <w:rPr>
          <w:lang w:val="fr-FR"/>
        </w:rPr>
        <w:t xml:space="preserve"> « EN </w:t>
      </w:r>
      <w:proofErr w:type="gramStart"/>
      <w:r w:rsidRPr="007B314B">
        <w:rPr>
          <w:lang w:val="fr-FR"/>
        </w:rPr>
        <w:t>14433:</w:t>
      </w:r>
      <w:proofErr w:type="gramEnd"/>
      <w:r w:rsidRPr="007B314B">
        <w:rPr>
          <w:lang w:val="fr-FR"/>
        </w:rPr>
        <w:t>2014 », dans la colonne (4), remplacer « Jusqu</w:t>
      </w:r>
      <w:r w:rsidR="000C7353">
        <w:rPr>
          <w:lang w:val="fr-FR"/>
        </w:rPr>
        <w:t>’</w:t>
      </w:r>
      <w:r w:rsidRPr="007B314B">
        <w:rPr>
          <w:lang w:val="fr-FR"/>
        </w:rPr>
        <w:t>à nouvel ordre » par « Entre le 1</w:t>
      </w:r>
      <w:r w:rsidRPr="007B314B">
        <w:rPr>
          <w:vertAlign w:val="superscript"/>
          <w:lang w:val="fr-FR"/>
        </w:rPr>
        <w:t>er</w:t>
      </w:r>
      <w:r w:rsidRPr="007B314B">
        <w:rPr>
          <w:lang w:val="fr-FR"/>
        </w:rPr>
        <w:t xml:space="preserve"> janvier 2019 et le 31 décembre 2026 ». Après </w:t>
      </w:r>
      <w:r>
        <w:rPr>
          <w:lang w:val="fr-FR"/>
        </w:rPr>
        <w:t>cette ligne</w:t>
      </w:r>
      <w:r w:rsidRPr="007B314B">
        <w:rPr>
          <w:lang w:val="fr-FR"/>
        </w:rPr>
        <w:t xml:space="preserve">, ajouter la nouvelle </w:t>
      </w:r>
      <w:r>
        <w:rPr>
          <w:lang w:val="fr-FR"/>
        </w:rPr>
        <w:t>ligne</w:t>
      </w:r>
      <w:r w:rsidRPr="007B314B">
        <w:rPr>
          <w:lang w:val="fr-FR"/>
        </w:rPr>
        <w:t xml:space="preserv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3630"/>
        <w:gridCol w:w="1176"/>
        <w:gridCol w:w="1006"/>
        <w:gridCol w:w="713"/>
      </w:tblGrid>
      <w:tr w:rsidR="001D568E" w:rsidRPr="00CE70CB" w14:paraId="25135098" w14:textId="77777777" w:rsidTr="00907AAA">
        <w:trPr>
          <w:cantSplit/>
        </w:trPr>
        <w:tc>
          <w:tcPr>
            <w:tcW w:w="1980" w:type="dxa"/>
            <w:vAlign w:val="center"/>
          </w:tcPr>
          <w:p w14:paraId="18DFFDFA" w14:textId="77777777" w:rsidR="001D568E" w:rsidRPr="00CE70CB" w:rsidRDefault="001D568E" w:rsidP="00907AAA">
            <w:pPr>
              <w:widowControl w:val="0"/>
              <w:tabs>
                <w:tab w:val="left" w:pos="720"/>
              </w:tabs>
              <w:spacing w:before="60" w:after="60" w:line="240" w:lineRule="auto"/>
              <w:ind w:left="57" w:right="57"/>
              <w:rPr>
                <w:lang w:val="fr-FR"/>
              </w:rPr>
            </w:pPr>
            <w:r w:rsidRPr="00F01354">
              <w:rPr>
                <w:bCs/>
              </w:rPr>
              <w:t>EN</w:t>
            </w:r>
            <w:r>
              <w:rPr>
                <w:bCs/>
              </w:rPr>
              <w:t xml:space="preserve"> </w:t>
            </w:r>
            <w:proofErr w:type="gramStart"/>
            <w:r w:rsidRPr="00907AAA">
              <w:rPr>
                <w:lang w:val="fr-FR"/>
              </w:rPr>
              <w:t>14433</w:t>
            </w:r>
            <w:r>
              <w:rPr>
                <w:bCs/>
              </w:rPr>
              <w:t>:[</w:t>
            </w:r>
            <w:proofErr w:type="gramEnd"/>
            <w:r>
              <w:rPr>
                <w:bCs/>
              </w:rPr>
              <w:t>2023]</w:t>
            </w:r>
          </w:p>
        </w:tc>
        <w:tc>
          <w:tcPr>
            <w:tcW w:w="3630" w:type="dxa"/>
          </w:tcPr>
          <w:p w14:paraId="641F1E62" w14:textId="01A3E7B0" w:rsidR="001D568E" w:rsidRPr="004E1ADB" w:rsidRDefault="001D568E" w:rsidP="00907AAA">
            <w:pPr>
              <w:widowControl w:val="0"/>
              <w:tabs>
                <w:tab w:val="left" w:pos="599"/>
              </w:tabs>
              <w:spacing w:before="60" w:after="60" w:line="240" w:lineRule="auto"/>
              <w:ind w:left="57" w:right="57"/>
            </w:pPr>
            <w:r w:rsidRPr="004E1ADB">
              <w:t xml:space="preserve">Citernes de transport de matières dangereuses </w:t>
            </w:r>
            <w:r w:rsidR="00907AAA">
              <w:t>−</w:t>
            </w:r>
            <w:r w:rsidRPr="004E1ADB">
              <w:t xml:space="preserve"> Équipements de la citerne pour le transport de </w:t>
            </w:r>
            <w:r w:rsidRPr="00907AAA">
              <w:rPr>
                <w:lang w:val="fr-FR"/>
              </w:rPr>
              <w:t>produits</w:t>
            </w:r>
            <w:r w:rsidRPr="004E1ADB">
              <w:t xml:space="preserve"> chimiques liquides et de gaz liquéfiés </w:t>
            </w:r>
            <w:r w:rsidR="00907AAA">
              <w:t>−</w:t>
            </w:r>
            <w:r w:rsidRPr="004E1ADB">
              <w:t xml:space="preserve"> Clapets de fond</w:t>
            </w:r>
          </w:p>
          <w:p w14:paraId="18DD8925" w14:textId="07FC0396" w:rsidR="001D568E" w:rsidRPr="00CE70CB" w:rsidRDefault="001D568E" w:rsidP="00907AAA">
            <w:pPr>
              <w:widowControl w:val="0"/>
              <w:tabs>
                <w:tab w:val="left" w:pos="446"/>
              </w:tabs>
              <w:spacing w:before="60" w:after="60" w:line="240" w:lineRule="auto"/>
              <w:ind w:left="57" w:right="57"/>
              <w:rPr>
                <w:lang w:val="fr-FR"/>
              </w:rPr>
            </w:pPr>
            <w:r w:rsidRPr="004E1ADB">
              <w:rPr>
                <w:b/>
                <w:i/>
                <w:szCs w:val="18"/>
              </w:rPr>
              <w:t>NOTA :</w:t>
            </w:r>
            <w:r w:rsidRPr="004E1ADB">
              <w:rPr>
                <w:i/>
                <w:szCs w:val="18"/>
              </w:rPr>
              <w:tab/>
              <w:t xml:space="preserve">Cette norme peut également être appliquée aux </w:t>
            </w:r>
            <w:r w:rsidRPr="00907AAA">
              <w:rPr>
                <w:i/>
                <w:szCs w:val="18"/>
                <w:lang w:val="fr-FR"/>
              </w:rPr>
              <w:t>citernes</w:t>
            </w:r>
            <w:r w:rsidRPr="004E1ADB">
              <w:rPr>
                <w:i/>
                <w:szCs w:val="18"/>
              </w:rPr>
              <w:t xml:space="preserve"> à vidange par gravité.</w:t>
            </w:r>
          </w:p>
        </w:tc>
        <w:tc>
          <w:tcPr>
            <w:tcW w:w="1176" w:type="dxa"/>
            <w:vAlign w:val="center"/>
          </w:tcPr>
          <w:p w14:paraId="05E3075E" w14:textId="77777777" w:rsidR="001D568E" w:rsidRPr="00CE70CB" w:rsidRDefault="001D568E" w:rsidP="00907AAA">
            <w:pPr>
              <w:widowControl w:val="0"/>
              <w:tabs>
                <w:tab w:val="left" w:pos="720"/>
              </w:tabs>
              <w:spacing w:before="60" w:after="60" w:line="240" w:lineRule="auto"/>
              <w:ind w:left="57" w:right="57"/>
              <w:rPr>
                <w:lang w:val="fr-FR"/>
              </w:rPr>
            </w:pPr>
            <w:r w:rsidRPr="00675065">
              <w:rPr>
                <w:rFonts w:cs="Arial"/>
              </w:rPr>
              <w:t>6.8.2.2.1, 6.8.2.2.2 et 6.8.2.3.</w:t>
            </w:r>
            <w:r>
              <w:rPr>
                <w:rFonts w:cs="Arial"/>
              </w:rPr>
              <w:t>1</w:t>
            </w:r>
          </w:p>
        </w:tc>
        <w:tc>
          <w:tcPr>
            <w:tcW w:w="1006" w:type="dxa"/>
            <w:vAlign w:val="center"/>
          </w:tcPr>
          <w:p w14:paraId="719E5A17" w14:textId="77AB4B78" w:rsidR="001D568E" w:rsidRPr="00CE70CB" w:rsidRDefault="001D568E" w:rsidP="00907AAA">
            <w:pPr>
              <w:widowControl w:val="0"/>
              <w:tabs>
                <w:tab w:val="left" w:pos="720"/>
              </w:tabs>
              <w:spacing w:before="60" w:after="60" w:line="240" w:lineRule="auto"/>
              <w:ind w:left="57" w:right="57"/>
              <w:rPr>
                <w:lang w:val="fr-FR"/>
              </w:rPr>
            </w:pPr>
            <w:r w:rsidRPr="00675065">
              <w:rPr>
                <w:rFonts w:cs="Arial"/>
                <w:bCs/>
              </w:rPr>
              <w:t>Jusqu</w:t>
            </w:r>
            <w:r w:rsidR="000C7353">
              <w:rPr>
                <w:rFonts w:cs="Arial"/>
                <w:bCs/>
              </w:rPr>
              <w:t>’</w:t>
            </w:r>
            <w:r w:rsidRPr="00675065">
              <w:rPr>
                <w:rFonts w:cs="Arial"/>
                <w:bCs/>
              </w:rPr>
              <w:t>à nouvel ordre</w:t>
            </w:r>
          </w:p>
        </w:tc>
        <w:tc>
          <w:tcPr>
            <w:tcW w:w="713" w:type="dxa"/>
          </w:tcPr>
          <w:p w14:paraId="62F3265B" w14:textId="77777777" w:rsidR="001D568E" w:rsidRPr="00CE70CB" w:rsidRDefault="001D568E" w:rsidP="00907AAA">
            <w:pPr>
              <w:keepNext/>
              <w:widowControl w:val="0"/>
              <w:spacing w:before="40" w:after="40" w:line="240" w:lineRule="auto"/>
              <w:ind w:left="57" w:right="57"/>
              <w:rPr>
                <w:lang w:val="fr-FR"/>
              </w:rPr>
            </w:pPr>
          </w:p>
        </w:tc>
      </w:tr>
    </w:tbl>
    <w:p w14:paraId="0381EB70" w14:textId="2DE20F4D" w:rsidR="004821C5" w:rsidRDefault="004821C5" w:rsidP="001D568E">
      <w:pPr>
        <w:pStyle w:val="SingleTxtG"/>
        <w:rPr>
          <w:lang w:val="fr-FR"/>
        </w:rPr>
      </w:pPr>
      <w:r>
        <w:rPr>
          <w:lang w:val="fr-FR"/>
        </w:rPr>
        <w:t>]</w:t>
      </w:r>
    </w:p>
    <w:p w14:paraId="2A31E19C" w14:textId="77777777" w:rsidR="004821C5" w:rsidRPr="00C86967" w:rsidRDefault="004821C5" w:rsidP="001D568E">
      <w:pPr>
        <w:pStyle w:val="SingleTxtG"/>
        <w:spacing w:before="120"/>
        <w:rPr>
          <w:i/>
          <w:iCs/>
          <w:lang w:val="fr-FR"/>
        </w:rPr>
      </w:pPr>
      <w:r w:rsidRPr="00C86967">
        <w:rPr>
          <w:i/>
          <w:iCs/>
          <w:lang w:val="fr-FR"/>
        </w:rPr>
        <w:t xml:space="preserve">(Document de référence : </w:t>
      </w:r>
      <w:r>
        <w:rPr>
          <w:i/>
          <w:iCs/>
          <w:lang w:val="fr-FR"/>
        </w:rPr>
        <w:t>document informel INF.19</w:t>
      </w:r>
      <w:r w:rsidRPr="00C86967">
        <w:rPr>
          <w:i/>
          <w:iCs/>
          <w:lang w:val="fr-FR"/>
        </w:rPr>
        <w:t>)</w:t>
      </w:r>
    </w:p>
    <w:p w14:paraId="56A8E0CE" w14:textId="21EE4C6F" w:rsidR="004821C5" w:rsidRDefault="004821C5" w:rsidP="001D568E">
      <w:pPr>
        <w:pStyle w:val="SingleTxtG"/>
        <w:numPr>
          <w:ilvl w:val="0"/>
          <w:numId w:val="17"/>
        </w:numPr>
        <w:rPr>
          <w:lang w:val="fr-FR"/>
        </w:rPr>
      </w:pPr>
      <w:r w:rsidRPr="003071E3">
        <w:rPr>
          <w:lang w:val="fr-FR"/>
        </w:rPr>
        <w:t xml:space="preserve">Ajouter la nouvelle rubrique suivante à la fin </w:t>
      </w:r>
      <w:r>
        <w:rPr>
          <w:lang w:val="fr-FR"/>
        </w:rPr>
        <w:t>du tableau</w:t>
      </w:r>
      <w:r w:rsidR="00853105">
        <w:rPr>
          <w:lang w:val="fr-FR"/>
        </w:rPr>
        <w:t> </w:t>
      </w:r>
      <w:r w:rsidRPr="003071E3">
        <w:rPr>
          <w:lang w:val="fr-FR"/>
        </w:rPr>
        <w:t>:</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4"/>
        <w:gridCol w:w="3740"/>
        <w:gridCol w:w="1134"/>
        <w:gridCol w:w="993"/>
        <w:gridCol w:w="744"/>
      </w:tblGrid>
      <w:tr w:rsidR="001D568E" w:rsidRPr="003071E3" w14:paraId="150D7A58" w14:textId="77777777" w:rsidTr="00574E3E">
        <w:tc>
          <w:tcPr>
            <w:tcW w:w="1894" w:type="dxa"/>
            <w:vAlign w:val="center"/>
          </w:tcPr>
          <w:p w14:paraId="7AAC2974" w14:textId="77777777" w:rsidR="001D568E" w:rsidRPr="003071E3" w:rsidRDefault="001D568E" w:rsidP="00AF116D">
            <w:pPr>
              <w:widowControl w:val="0"/>
              <w:spacing w:before="60" w:after="60" w:line="240" w:lineRule="auto"/>
              <w:ind w:left="57" w:right="57"/>
              <w:rPr>
                <w:strike/>
                <w:lang w:val="fr-FR"/>
              </w:rPr>
            </w:pPr>
            <w:r w:rsidRPr="003071E3">
              <w:rPr>
                <w:lang w:val="fr-FR"/>
              </w:rPr>
              <w:t xml:space="preserve">EN </w:t>
            </w:r>
            <w:proofErr w:type="gramStart"/>
            <w:r w:rsidRPr="003071E3">
              <w:rPr>
                <w:lang w:val="fr-FR"/>
              </w:rPr>
              <w:t>13799:[</w:t>
            </w:r>
            <w:proofErr w:type="gramEnd"/>
            <w:r w:rsidRPr="003071E3">
              <w:rPr>
                <w:lang w:val="fr-FR"/>
              </w:rPr>
              <w:t>2022]</w:t>
            </w:r>
          </w:p>
        </w:tc>
        <w:tc>
          <w:tcPr>
            <w:tcW w:w="3740" w:type="dxa"/>
          </w:tcPr>
          <w:p w14:paraId="39BF42FF" w14:textId="77777777" w:rsidR="001D568E" w:rsidRPr="003071E3" w:rsidRDefault="001D568E" w:rsidP="00AF116D">
            <w:pPr>
              <w:keepLines/>
              <w:widowControl w:val="0"/>
              <w:spacing w:before="60" w:after="60" w:line="240" w:lineRule="auto"/>
              <w:ind w:left="57" w:right="57"/>
              <w:rPr>
                <w:strike/>
                <w:lang w:val="fr-FR"/>
              </w:rPr>
            </w:pPr>
            <w:r w:rsidRPr="003071E3">
              <w:rPr>
                <w:lang w:val="fr-FR"/>
              </w:rPr>
              <w:t>Équipements pour GPL et leurs accessoires − Jauges de niveau pour les réservoirs de gaz de pétrole liquéfié (GPL)</w:t>
            </w:r>
          </w:p>
        </w:tc>
        <w:tc>
          <w:tcPr>
            <w:tcW w:w="1134" w:type="dxa"/>
            <w:vAlign w:val="center"/>
          </w:tcPr>
          <w:p w14:paraId="797A1437" w14:textId="77777777" w:rsidR="001D568E" w:rsidRPr="003071E3" w:rsidRDefault="001D568E" w:rsidP="00AF116D">
            <w:pPr>
              <w:widowControl w:val="0"/>
              <w:spacing w:before="60" w:after="60" w:line="240" w:lineRule="auto"/>
              <w:ind w:left="57" w:right="57"/>
              <w:rPr>
                <w:lang w:val="fr-FR"/>
              </w:rPr>
            </w:pPr>
            <w:r w:rsidRPr="003071E3">
              <w:rPr>
                <w:lang w:val="fr-FR"/>
              </w:rPr>
              <w:t>6.8.2.2.1 et 6.8.2.2.11</w:t>
            </w:r>
          </w:p>
        </w:tc>
        <w:tc>
          <w:tcPr>
            <w:tcW w:w="993" w:type="dxa"/>
            <w:vAlign w:val="center"/>
          </w:tcPr>
          <w:p w14:paraId="5B666B2E" w14:textId="6F159B3B" w:rsidR="001D568E" w:rsidRPr="003071E3" w:rsidRDefault="001D568E" w:rsidP="00AF116D">
            <w:pPr>
              <w:widowControl w:val="0"/>
              <w:spacing w:before="60" w:after="60" w:line="240" w:lineRule="auto"/>
              <w:ind w:left="57" w:right="57"/>
              <w:rPr>
                <w:lang w:val="fr-FR"/>
              </w:rPr>
            </w:pPr>
            <w:r w:rsidRPr="003071E3">
              <w:rPr>
                <w:lang w:val="fr-FR"/>
              </w:rPr>
              <w:t>Jusqu</w:t>
            </w:r>
            <w:r w:rsidR="000C7353">
              <w:rPr>
                <w:lang w:val="fr-FR"/>
              </w:rPr>
              <w:t>’</w:t>
            </w:r>
            <w:r w:rsidRPr="003071E3">
              <w:rPr>
                <w:lang w:val="fr-FR"/>
              </w:rPr>
              <w:t>à nouvel ordre</w:t>
            </w:r>
          </w:p>
        </w:tc>
        <w:tc>
          <w:tcPr>
            <w:tcW w:w="744" w:type="dxa"/>
            <w:vAlign w:val="center"/>
          </w:tcPr>
          <w:p w14:paraId="032A9E74" w14:textId="77777777" w:rsidR="001D568E" w:rsidRPr="003071E3" w:rsidRDefault="001D568E" w:rsidP="00AF116D">
            <w:pPr>
              <w:widowControl w:val="0"/>
              <w:spacing w:before="60" w:after="60" w:line="240" w:lineRule="auto"/>
              <w:ind w:left="57" w:right="57"/>
              <w:rPr>
                <w:strike/>
                <w:lang w:val="fr-FR"/>
              </w:rPr>
            </w:pPr>
          </w:p>
        </w:tc>
      </w:tr>
    </w:tbl>
    <w:p w14:paraId="7F231C65" w14:textId="77777777" w:rsidR="004821C5" w:rsidRPr="000559AD" w:rsidRDefault="004821C5" w:rsidP="001D568E">
      <w:pPr>
        <w:pStyle w:val="SingleTxtG"/>
        <w:spacing w:before="120"/>
        <w:rPr>
          <w:i/>
          <w:iCs/>
          <w:lang w:val="fr-FR"/>
        </w:rPr>
      </w:pPr>
      <w:r w:rsidRPr="000559AD">
        <w:rPr>
          <w:i/>
          <w:iCs/>
          <w:lang w:val="fr-FR"/>
        </w:rPr>
        <w:t>(Document</w:t>
      </w:r>
      <w:r>
        <w:rPr>
          <w:i/>
          <w:iCs/>
          <w:lang w:val="fr-FR"/>
        </w:rPr>
        <w:t>s</w:t>
      </w:r>
      <w:r w:rsidRPr="000559AD">
        <w:rPr>
          <w:i/>
          <w:iCs/>
          <w:lang w:val="fr-FR"/>
        </w:rPr>
        <w:t xml:space="preserve"> de référence : ECE/TRANS/WP.15/AC.1/</w:t>
      </w:r>
      <w:r>
        <w:rPr>
          <w:i/>
          <w:iCs/>
          <w:lang w:val="fr-FR"/>
        </w:rPr>
        <w:t>2022/32 et document informel INF.19</w:t>
      </w:r>
      <w:r w:rsidRPr="000559AD">
        <w:rPr>
          <w:i/>
          <w:iCs/>
          <w:lang w:val="fr-FR"/>
        </w:rPr>
        <w:t>)</w:t>
      </w:r>
    </w:p>
    <w:p w14:paraId="010542D6" w14:textId="77777777" w:rsidR="004821C5" w:rsidRDefault="004821C5" w:rsidP="001D568E">
      <w:pPr>
        <w:pStyle w:val="SingleTxtG"/>
        <w:rPr>
          <w:lang w:val="fr-FR"/>
        </w:rPr>
      </w:pPr>
      <w:r w:rsidRPr="0040788A">
        <w:rPr>
          <w:lang w:val="fr-FR"/>
        </w:rPr>
        <w:t xml:space="preserve">(ADR:) </w:t>
      </w:r>
    </w:p>
    <w:p w14:paraId="41E1ADD6" w14:textId="0E21BE69" w:rsidR="004821C5" w:rsidRPr="0040788A" w:rsidRDefault="004821C5" w:rsidP="001D568E">
      <w:pPr>
        <w:pStyle w:val="SingleTxtG"/>
        <w:ind w:left="2438" w:hanging="1304"/>
        <w:rPr>
          <w:lang w:val="fr-FR"/>
        </w:rPr>
      </w:pPr>
      <w:r w:rsidRPr="0040788A">
        <w:rPr>
          <w:lang w:val="fr-FR"/>
        </w:rPr>
        <w:t>6.8.4 d), TT11</w:t>
      </w:r>
      <w:r w:rsidRPr="0040788A">
        <w:rPr>
          <w:lang w:val="fr-FR"/>
        </w:rPr>
        <w:tab/>
        <w:t>Dans le premier paragraphe sous le tableau, remplacer «</w:t>
      </w:r>
      <w:r w:rsidR="008039D6">
        <w:rPr>
          <w:lang w:val="fr-FR"/>
        </w:rPr>
        <w:t> </w:t>
      </w:r>
      <w:r w:rsidRPr="0040788A">
        <w:rPr>
          <w:lang w:val="fr-FR"/>
        </w:rPr>
        <w:t>EN</w:t>
      </w:r>
      <w:r w:rsidR="008039D6">
        <w:rPr>
          <w:lang w:val="fr-FR"/>
        </w:rPr>
        <w:t> </w:t>
      </w:r>
      <w:proofErr w:type="gramStart"/>
      <w:r w:rsidRPr="0040788A">
        <w:rPr>
          <w:lang w:val="fr-FR"/>
        </w:rPr>
        <w:t>14025:</w:t>
      </w:r>
      <w:proofErr w:type="gramEnd"/>
      <w:r w:rsidRPr="0040788A">
        <w:rPr>
          <w:lang w:val="fr-FR"/>
        </w:rPr>
        <w:t>2018</w:t>
      </w:r>
      <w:r w:rsidR="008039D6">
        <w:rPr>
          <w:lang w:val="fr-FR"/>
        </w:rPr>
        <w:t> </w:t>
      </w:r>
      <w:r w:rsidRPr="0040788A">
        <w:rPr>
          <w:lang w:val="fr-FR"/>
        </w:rPr>
        <w:t>» par « EN 14025:[</w:t>
      </w:r>
      <w:r>
        <w:rPr>
          <w:lang w:val="fr-FR"/>
        </w:rPr>
        <w:t>2023</w:t>
      </w:r>
      <w:r w:rsidRPr="0040788A">
        <w:rPr>
          <w:lang w:val="fr-FR"/>
        </w:rPr>
        <w:t>] ».</w:t>
      </w:r>
    </w:p>
    <w:p w14:paraId="5DFF04EF" w14:textId="39DD4A66" w:rsidR="004821C5" w:rsidRDefault="004821C5" w:rsidP="001D568E">
      <w:pPr>
        <w:pStyle w:val="SingleTxtG"/>
        <w:spacing w:before="120"/>
        <w:rPr>
          <w:i/>
          <w:iCs/>
          <w:lang w:val="fr-FR"/>
        </w:rPr>
      </w:pPr>
      <w:r w:rsidRPr="000559AD">
        <w:rPr>
          <w:i/>
          <w:iCs/>
          <w:lang w:val="fr-FR"/>
        </w:rPr>
        <w:t>(Document</w:t>
      </w:r>
      <w:r>
        <w:rPr>
          <w:i/>
          <w:iCs/>
          <w:lang w:val="fr-FR"/>
        </w:rPr>
        <w:t>s</w:t>
      </w:r>
      <w:r w:rsidRPr="000559AD">
        <w:rPr>
          <w:i/>
          <w:iCs/>
          <w:lang w:val="fr-FR"/>
        </w:rPr>
        <w:t xml:space="preserve"> de référence : ECE/TRANS/WP.15/AC.1/</w:t>
      </w:r>
      <w:r>
        <w:rPr>
          <w:i/>
          <w:iCs/>
          <w:lang w:val="fr-FR"/>
        </w:rPr>
        <w:t>2022/32 et document informel INF.19</w:t>
      </w:r>
      <w:r w:rsidRPr="000559AD">
        <w:rPr>
          <w:i/>
          <w:iCs/>
          <w:lang w:val="fr-FR"/>
        </w:rPr>
        <w:t>)</w:t>
      </w:r>
    </w:p>
    <w:p w14:paraId="797BFFA5" w14:textId="41F216C3" w:rsidR="001D568E" w:rsidRPr="001D568E" w:rsidRDefault="001D568E" w:rsidP="001D568E">
      <w:pPr>
        <w:pStyle w:val="SingleTxtG"/>
        <w:spacing w:before="240" w:after="0"/>
        <w:jc w:val="center"/>
        <w:rPr>
          <w:u w:val="single"/>
        </w:rPr>
      </w:pPr>
      <w:r>
        <w:rPr>
          <w:u w:val="single"/>
        </w:rPr>
        <w:tab/>
      </w:r>
      <w:r>
        <w:rPr>
          <w:u w:val="single"/>
        </w:rPr>
        <w:tab/>
      </w:r>
      <w:r>
        <w:rPr>
          <w:u w:val="single"/>
        </w:rPr>
        <w:tab/>
      </w:r>
      <w:r>
        <w:rPr>
          <w:u w:val="single"/>
        </w:rPr>
        <w:tab/>
      </w:r>
    </w:p>
    <w:sectPr w:rsidR="001D568E" w:rsidRPr="001D568E" w:rsidSect="007C14F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0008" w14:textId="77777777" w:rsidR="003667F1" w:rsidRDefault="003667F1" w:rsidP="00F95C08">
      <w:pPr>
        <w:spacing w:line="240" w:lineRule="auto"/>
      </w:pPr>
    </w:p>
  </w:endnote>
  <w:endnote w:type="continuationSeparator" w:id="0">
    <w:p w14:paraId="087C8699" w14:textId="77777777" w:rsidR="003667F1" w:rsidRPr="00AC3823" w:rsidRDefault="003667F1" w:rsidP="00AC3823">
      <w:pPr>
        <w:pStyle w:val="Footer"/>
      </w:pPr>
    </w:p>
  </w:endnote>
  <w:endnote w:type="continuationNotice" w:id="1">
    <w:p w14:paraId="51665D78" w14:textId="77777777" w:rsidR="003667F1" w:rsidRDefault="003667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708F" w14:textId="18BEE8C8" w:rsidR="007C14F2" w:rsidRPr="007C14F2" w:rsidRDefault="007C14F2" w:rsidP="007C14F2">
    <w:pPr>
      <w:pStyle w:val="Footer"/>
      <w:tabs>
        <w:tab w:val="right" w:pos="9638"/>
      </w:tabs>
    </w:pPr>
    <w:r w:rsidRPr="007C14F2">
      <w:rPr>
        <w:b/>
        <w:sz w:val="18"/>
      </w:rPr>
      <w:fldChar w:fldCharType="begin"/>
    </w:r>
    <w:r w:rsidRPr="007C14F2">
      <w:rPr>
        <w:b/>
        <w:sz w:val="18"/>
      </w:rPr>
      <w:instrText xml:space="preserve"> PAGE  \* MERGEFORMAT </w:instrText>
    </w:r>
    <w:r w:rsidRPr="007C14F2">
      <w:rPr>
        <w:b/>
        <w:sz w:val="18"/>
      </w:rPr>
      <w:fldChar w:fldCharType="separate"/>
    </w:r>
    <w:r w:rsidRPr="007C14F2">
      <w:rPr>
        <w:b/>
        <w:noProof/>
        <w:sz w:val="18"/>
      </w:rPr>
      <w:t>2</w:t>
    </w:r>
    <w:r w:rsidRPr="007C14F2">
      <w:rPr>
        <w:b/>
        <w:sz w:val="18"/>
      </w:rPr>
      <w:fldChar w:fldCharType="end"/>
    </w:r>
    <w:r>
      <w:rPr>
        <w:b/>
        <w:sz w:val="18"/>
      </w:rPr>
      <w:tab/>
    </w:r>
    <w:r>
      <w:t>GE.22-15478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E017" w14:textId="27DE04BA" w:rsidR="007C14F2" w:rsidRPr="007C14F2" w:rsidRDefault="007C14F2" w:rsidP="007C14F2">
    <w:pPr>
      <w:pStyle w:val="Footer"/>
      <w:tabs>
        <w:tab w:val="right" w:pos="9638"/>
      </w:tabs>
      <w:rPr>
        <w:b/>
        <w:sz w:val="18"/>
      </w:rPr>
    </w:pPr>
    <w:r>
      <w:t>GE.22-15478</w:t>
    </w:r>
    <w:r>
      <w:tab/>
    </w:r>
    <w:r w:rsidRPr="007C14F2">
      <w:rPr>
        <w:b/>
        <w:sz w:val="18"/>
      </w:rPr>
      <w:fldChar w:fldCharType="begin"/>
    </w:r>
    <w:r w:rsidRPr="007C14F2">
      <w:rPr>
        <w:b/>
        <w:sz w:val="18"/>
      </w:rPr>
      <w:instrText xml:space="preserve"> PAGE  \* MERGEFORMAT </w:instrText>
    </w:r>
    <w:r w:rsidRPr="007C14F2">
      <w:rPr>
        <w:b/>
        <w:sz w:val="18"/>
      </w:rPr>
      <w:fldChar w:fldCharType="separate"/>
    </w:r>
    <w:r w:rsidRPr="007C14F2">
      <w:rPr>
        <w:b/>
        <w:noProof/>
        <w:sz w:val="18"/>
      </w:rPr>
      <w:t>3</w:t>
    </w:r>
    <w:r w:rsidRPr="007C14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1726" w14:textId="5CF9D201" w:rsidR="007F20FA" w:rsidRPr="007C14F2" w:rsidRDefault="007C14F2" w:rsidP="007C14F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9A2D296" wp14:editId="343877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15478  (</w:t>
    </w:r>
    <w:proofErr w:type="gramEnd"/>
    <w:r>
      <w:rPr>
        <w:sz w:val="20"/>
      </w:rPr>
      <w:t>F)</w:t>
    </w:r>
    <w:r>
      <w:rPr>
        <w:noProof/>
        <w:sz w:val="20"/>
      </w:rPr>
      <w:drawing>
        <wp:anchor distT="0" distB="0" distL="114300" distR="114300" simplePos="0" relativeHeight="251660288" behindDoc="0" locked="0" layoutInCell="1" allowOverlap="1" wp14:anchorId="2DC9D27B" wp14:editId="0284D77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353">
      <w:rPr>
        <w:sz w:val="20"/>
      </w:rPr>
      <w:t xml:space="preserve">    </w:t>
    </w:r>
    <w:r w:rsidR="00285CFE">
      <w:rPr>
        <w:sz w:val="20"/>
      </w:rPr>
      <w:t>19</w:t>
    </w:r>
    <w:r w:rsidR="000C7353">
      <w:rPr>
        <w:sz w:val="20"/>
      </w:rPr>
      <w:t>0123    200123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DE51" w14:textId="77777777" w:rsidR="003667F1" w:rsidRPr="00AC3823" w:rsidRDefault="003667F1" w:rsidP="00AC3823">
      <w:pPr>
        <w:pStyle w:val="Footer"/>
        <w:tabs>
          <w:tab w:val="right" w:pos="2155"/>
        </w:tabs>
        <w:spacing w:after="80" w:line="240" w:lineRule="atLeast"/>
        <w:ind w:left="680"/>
        <w:rPr>
          <w:u w:val="single"/>
        </w:rPr>
      </w:pPr>
      <w:r>
        <w:rPr>
          <w:u w:val="single"/>
        </w:rPr>
        <w:tab/>
      </w:r>
    </w:p>
  </w:footnote>
  <w:footnote w:type="continuationSeparator" w:id="0">
    <w:p w14:paraId="27F7DC09" w14:textId="77777777" w:rsidR="003667F1" w:rsidRPr="00AC3823" w:rsidRDefault="003667F1" w:rsidP="00AC3823">
      <w:pPr>
        <w:pStyle w:val="Footer"/>
        <w:tabs>
          <w:tab w:val="right" w:pos="2155"/>
        </w:tabs>
        <w:spacing w:after="80" w:line="240" w:lineRule="atLeast"/>
        <w:ind w:left="680"/>
        <w:rPr>
          <w:u w:val="single"/>
        </w:rPr>
      </w:pPr>
      <w:r>
        <w:rPr>
          <w:u w:val="single"/>
        </w:rPr>
        <w:tab/>
      </w:r>
    </w:p>
  </w:footnote>
  <w:footnote w:type="continuationNotice" w:id="1">
    <w:p w14:paraId="0C8B9597" w14:textId="77777777" w:rsidR="003667F1" w:rsidRPr="00AC3823" w:rsidRDefault="003667F1">
      <w:pPr>
        <w:spacing w:line="240" w:lineRule="auto"/>
        <w:rPr>
          <w:sz w:val="2"/>
          <w:szCs w:val="2"/>
        </w:rPr>
      </w:pPr>
    </w:p>
  </w:footnote>
  <w:footnote w:id="2">
    <w:p w14:paraId="448985DF" w14:textId="1BC9F158" w:rsidR="00A53E5F" w:rsidRPr="00A53E5F" w:rsidRDefault="00A53E5F">
      <w:pPr>
        <w:pStyle w:val="FootnoteText"/>
      </w:pPr>
      <w:r>
        <w:rPr>
          <w:rStyle w:val="FootnoteReference"/>
        </w:rPr>
        <w:tab/>
      </w:r>
      <w:r w:rsidRPr="00A53E5F">
        <w:rPr>
          <w:rStyle w:val="FootnoteReference"/>
          <w:sz w:val="20"/>
          <w:vertAlign w:val="baseline"/>
        </w:rPr>
        <w:t>*</w:t>
      </w:r>
      <w:r>
        <w:rPr>
          <w:rStyle w:val="FootnoteReference"/>
          <w:sz w:val="20"/>
          <w:vertAlign w:val="baseline"/>
        </w:rPr>
        <w:tab/>
      </w:r>
      <w:r>
        <w:rPr>
          <w:lang w:val="fr-FR"/>
        </w:rPr>
        <w:t>Distribué par l’Organisation intergouvernementale pour les transports internationaux ferroviaires (OTIF), sous la cote OTIF/RID/RC/2022-B. 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353D" w14:textId="758E368B" w:rsidR="007C14F2" w:rsidRPr="007C14F2" w:rsidRDefault="000B41DB">
    <w:pPr>
      <w:pStyle w:val="Header"/>
    </w:pPr>
    <w:r>
      <w:fldChar w:fldCharType="begin"/>
    </w:r>
    <w:r>
      <w:instrText xml:space="preserve"> TITLE  \* MERGEFORMAT </w:instrText>
    </w:r>
    <w:r>
      <w:fldChar w:fldCharType="separate"/>
    </w:r>
    <w:r>
      <w:t>ECE/TRANS/WP.15/AC.1/166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7AB2" w14:textId="0F7BB9D8" w:rsidR="007C14F2" w:rsidRPr="007C14F2" w:rsidRDefault="000B41DB" w:rsidP="007C14F2">
    <w:pPr>
      <w:pStyle w:val="Header"/>
      <w:jc w:val="right"/>
    </w:pPr>
    <w:r>
      <w:fldChar w:fldCharType="begin"/>
    </w:r>
    <w:r>
      <w:instrText xml:space="preserve"> TITLE  \* MERGEFORMAT </w:instrText>
    </w:r>
    <w:r>
      <w:fldChar w:fldCharType="separate"/>
    </w:r>
    <w:r>
      <w:t>ECE/TRANS/WP.15/AC.1/166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F407AD"/>
    <w:multiLevelType w:val="hybridMultilevel"/>
    <w:tmpl w:val="E99EF84A"/>
    <w:lvl w:ilvl="0" w:tplc="4114E7D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34B62CE"/>
    <w:multiLevelType w:val="hybridMultilevel"/>
    <w:tmpl w:val="073E274E"/>
    <w:lvl w:ilvl="0" w:tplc="C0F8917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C054B8C"/>
    <w:multiLevelType w:val="hybridMultilevel"/>
    <w:tmpl w:val="90A0BB92"/>
    <w:lvl w:ilvl="0" w:tplc="C002BF8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16A4D37"/>
    <w:multiLevelType w:val="hybridMultilevel"/>
    <w:tmpl w:val="7492868E"/>
    <w:lvl w:ilvl="0" w:tplc="2E4EB4B8">
      <w:start w:val="6"/>
      <w:numFmt w:val="bullet"/>
      <w:lvlText w:val="−"/>
      <w:lvlJc w:val="left"/>
      <w:pPr>
        <w:ind w:left="2628" w:hanging="360"/>
      </w:pPr>
      <w:rPr>
        <w:rFonts w:ascii="Times New Roman" w:eastAsiaTheme="minorHAnsi"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16cid:durableId="430443165">
    <w:abstractNumId w:val="14"/>
  </w:num>
  <w:num w:numId="2" w16cid:durableId="973800449">
    <w:abstractNumId w:val="12"/>
  </w:num>
  <w:num w:numId="3" w16cid:durableId="592016177">
    <w:abstractNumId w:val="10"/>
  </w:num>
  <w:num w:numId="4" w16cid:durableId="92744675">
    <w:abstractNumId w:val="8"/>
  </w:num>
  <w:num w:numId="5" w16cid:durableId="709649805">
    <w:abstractNumId w:val="3"/>
  </w:num>
  <w:num w:numId="6" w16cid:durableId="1701780609">
    <w:abstractNumId w:val="2"/>
  </w:num>
  <w:num w:numId="7" w16cid:durableId="607544673">
    <w:abstractNumId w:val="1"/>
  </w:num>
  <w:num w:numId="8" w16cid:durableId="2100248428">
    <w:abstractNumId w:val="0"/>
  </w:num>
  <w:num w:numId="9" w16cid:durableId="144512116">
    <w:abstractNumId w:val="9"/>
  </w:num>
  <w:num w:numId="10" w16cid:durableId="1576545585">
    <w:abstractNumId w:val="7"/>
  </w:num>
  <w:num w:numId="11" w16cid:durableId="287052963">
    <w:abstractNumId w:val="6"/>
  </w:num>
  <w:num w:numId="12" w16cid:durableId="258759245">
    <w:abstractNumId w:val="5"/>
  </w:num>
  <w:num w:numId="13" w16cid:durableId="135493268">
    <w:abstractNumId w:val="4"/>
  </w:num>
  <w:num w:numId="14" w16cid:durableId="290600311">
    <w:abstractNumId w:val="14"/>
  </w:num>
  <w:num w:numId="15" w16cid:durableId="600142321">
    <w:abstractNumId w:val="12"/>
  </w:num>
  <w:num w:numId="16" w16cid:durableId="1144784661">
    <w:abstractNumId w:val="10"/>
  </w:num>
  <w:num w:numId="17" w16cid:durableId="799080595">
    <w:abstractNumId w:val="16"/>
  </w:num>
  <w:num w:numId="18" w16cid:durableId="167603125">
    <w:abstractNumId w:val="13"/>
  </w:num>
  <w:num w:numId="19" w16cid:durableId="150483091">
    <w:abstractNumId w:val="11"/>
  </w:num>
  <w:num w:numId="20" w16cid:durableId="2961848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F1"/>
    <w:rsid w:val="00017F94"/>
    <w:rsid w:val="00023842"/>
    <w:rsid w:val="00026C16"/>
    <w:rsid w:val="000334F9"/>
    <w:rsid w:val="00045822"/>
    <w:rsid w:val="00045FEB"/>
    <w:rsid w:val="00076FF5"/>
    <w:rsid w:val="0007796D"/>
    <w:rsid w:val="000A5F11"/>
    <w:rsid w:val="000B41DB"/>
    <w:rsid w:val="000B7790"/>
    <w:rsid w:val="000C7353"/>
    <w:rsid w:val="00111F2F"/>
    <w:rsid w:val="0014365E"/>
    <w:rsid w:val="00143C66"/>
    <w:rsid w:val="00160060"/>
    <w:rsid w:val="00175AEC"/>
    <w:rsid w:val="00176178"/>
    <w:rsid w:val="001A0863"/>
    <w:rsid w:val="001D568E"/>
    <w:rsid w:val="001F525A"/>
    <w:rsid w:val="001F5AA4"/>
    <w:rsid w:val="00201148"/>
    <w:rsid w:val="002123A2"/>
    <w:rsid w:val="00223272"/>
    <w:rsid w:val="00242805"/>
    <w:rsid w:val="0024779E"/>
    <w:rsid w:val="00257168"/>
    <w:rsid w:val="002744B8"/>
    <w:rsid w:val="002832AC"/>
    <w:rsid w:val="00285CFE"/>
    <w:rsid w:val="002B5E9F"/>
    <w:rsid w:val="002D7C93"/>
    <w:rsid w:val="00305801"/>
    <w:rsid w:val="00350EC6"/>
    <w:rsid w:val="003552AD"/>
    <w:rsid w:val="003667F1"/>
    <w:rsid w:val="003916DE"/>
    <w:rsid w:val="003D1D53"/>
    <w:rsid w:val="00421996"/>
    <w:rsid w:val="00431B8C"/>
    <w:rsid w:val="00441C3B"/>
    <w:rsid w:val="00446FE5"/>
    <w:rsid w:val="00452396"/>
    <w:rsid w:val="00477EB2"/>
    <w:rsid w:val="004821C5"/>
    <w:rsid w:val="004837D8"/>
    <w:rsid w:val="004E1C74"/>
    <w:rsid w:val="004E2EED"/>
    <w:rsid w:val="004E468C"/>
    <w:rsid w:val="004F2274"/>
    <w:rsid w:val="005505B7"/>
    <w:rsid w:val="00573BE5"/>
    <w:rsid w:val="00574E3E"/>
    <w:rsid w:val="00586ED3"/>
    <w:rsid w:val="00596AA9"/>
    <w:rsid w:val="005A4CC2"/>
    <w:rsid w:val="005D2727"/>
    <w:rsid w:val="006010C3"/>
    <w:rsid w:val="00694745"/>
    <w:rsid w:val="0071601D"/>
    <w:rsid w:val="0076349E"/>
    <w:rsid w:val="00781F9D"/>
    <w:rsid w:val="007A07B6"/>
    <w:rsid w:val="007A1B0F"/>
    <w:rsid w:val="007A62E6"/>
    <w:rsid w:val="007C14F2"/>
    <w:rsid w:val="007E0C49"/>
    <w:rsid w:val="007F20FA"/>
    <w:rsid w:val="008039D6"/>
    <w:rsid w:val="0080684C"/>
    <w:rsid w:val="00853105"/>
    <w:rsid w:val="00860C1B"/>
    <w:rsid w:val="00871C75"/>
    <w:rsid w:val="008776DC"/>
    <w:rsid w:val="008D5EF9"/>
    <w:rsid w:val="00907AAA"/>
    <w:rsid w:val="009109D7"/>
    <w:rsid w:val="00921737"/>
    <w:rsid w:val="009446C0"/>
    <w:rsid w:val="009705C8"/>
    <w:rsid w:val="00981C39"/>
    <w:rsid w:val="009C1CF4"/>
    <w:rsid w:val="009C3017"/>
    <w:rsid w:val="009C6F6A"/>
    <w:rsid w:val="009F6B74"/>
    <w:rsid w:val="00A3029F"/>
    <w:rsid w:val="00A30353"/>
    <w:rsid w:val="00A53E5F"/>
    <w:rsid w:val="00AC2758"/>
    <w:rsid w:val="00AC3823"/>
    <w:rsid w:val="00AE323C"/>
    <w:rsid w:val="00AF0CB5"/>
    <w:rsid w:val="00AF3A7A"/>
    <w:rsid w:val="00B00181"/>
    <w:rsid w:val="00B00B0D"/>
    <w:rsid w:val="00B01DD9"/>
    <w:rsid w:val="00B45F2E"/>
    <w:rsid w:val="00B765F7"/>
    <w:rsid w:val="00B76B0E"/>
    <w:rsid w:val="00B77993"/>
    <w:rsid w:val="00B91B22"/>
    <w:rsid w:val="00B94EB8"/>
    <w:rsid w:val="00BA0CA9"/>
    <w:rsid w:val="00BB3A56"/>
    <w:rsid w:val="00BC7807"/>
    <w:rsid w:val="00C02897"/>
    <w:rsid w:val="00C170AB"/>
    <w:rsid w:val="00C414B9"/>
    <w:rsid w:val="00C90B21"/>
    <w:rsid w:val="00C97039"/>
    <w:rsid w:val="00D3439C"/>
    <w:rsid w:val="00D7622E"/>
    <w:rsid w:val="00DA451C"/>
    <w:rsid w:val="00DB1831"/>
    <w:rsid w:val="00DD143A"/>
    <w:rsid w:val="00DD3BFD"/>
    <w:rsid w:val="00DF6678"/>
    <w:rsid w:val="00E0299A"/>
    <w:rsid w:val="00E303FA"/>
    <w:rsid w:val="00E85C74"/>
    <w:rsid w:val="00E90101"/>
    <w:rsid w:val="00EA6547"/>
    <w:rsid w:val="00ED7237"/>
    <w:rsid w:val="00EE5926"/>
    <w:rsid w:val="00EF2E22"/>
    <w:rsid w:val="00F35BAF"/>
    <w:rsid w:val="00F60EA6"/>
    <w:rsid w:val="00F660DF"/>
    <w:rsid w:val="00F70AC7"/>
    <w:rsid w:val="00F80055"/>
    <w:rsid w:val="00F86021"/>
    <w:rsid w:val="00F94664"/>
    <w:rsid w:val="00F9573C"/>
    <w:rsid w:val="00F95C08"/>
    <w:rsid w:val="00FD1C69"/>
    <w:rsid w:val="00FF4B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EEA39"/>
  <w15:docId w15:val="{72E1F643-8234-489D-87AE-1B5C610D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694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zea.astorhoschen@fead.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dg@era.europa.eu" TargetMode="External"/><Relationship Id="rId4" Type="http://schemas.openxmlformats.org/officeDocument/2006/relationships/webSettings" Target="webSettings.xml"/><Relationship Id="rId9" Type="http://schemas.openxmlformats.org/officeDocument/2006/relationships/hyperlink" Target="mailto:erik.holzhauser@de.tuv.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6436</Words>
  <Characters>36690</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ECE/TRANS/WP.15/AC.1/166</vt:lpstr>
    </vt:vector>
  </TitlesOfParts>
  <Company>DCM</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ECE/TRANS/WP.15/AC.1/166</dc:title>
  <dc:subject/>
  <dc:creator>Julien OKRZESIK</dc:creator>
  <cp:keywords/>
  <cp:lastModifiedBy>Laurence Berthet</cp:lastModifiedBy>
  <cp:revision>3</cp:revision>
  <cp:lastPrinted>2023-02-06T14:23:00Z</cp:lastPrinted>
  <dcterms:created xsi:type="dcterms:W3CDTF">2023-02-06T14:23:00Z</dcterms:created>
  <dcterms:modified xsi:type="dcterms:W3CDTF">2023-02-06T14:23:00Z</dcterms:modified>
</cp:coreProperties>
</file>