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1B4E" w14:textId="1DE7382F" w:rsidR="00FA64BA" w:rsidRPr="00524D52" w:rsidRDefault="00FA64BA" w:rsidP="00286470">
      <w:pPr>
        <w:tabs>
          <w:tab w:val="right" w:pos="9639"/>
        </w:tabs>
        <w:suppressAutoHyphens w:val="0"/>
        <w:spacing w:line="259" w:lineRule="auto"/>
        <w:ind w:left="1134"/>
        <w:rPr>
          <w:rFonts w:eastAsiaTheme="minorHAnsi"/>
          <w:b/>
          <w:bCs/>
          <w:sz w:val="22"/>
          <w:szCs w:val="22"/>
          <w:lang w:val="en-US"/>
        </w:rPr>
      </w:pPr>
      <w:r w:rsidRPr="00524D52">
        <w:rPr>
          <w:rFonts w:eastAsiaTheme="minorHAnsi"/>
          <w:sz w:val="22"/>
          <w:szCs w:val="22"/>
          <w:lang w:val="en-US"/>
        </w:rPr>
        <w:t xml:space="preserve">Transmitted </w:t>
      </w:r>
      <w:r w:rsidRPr="00524D52">
        <w:rPr>
          <w:lang w:val="en-US"/>
        </w:rPr>
        <w:t>by the experts of the</w:t>
      </w:r>
      <w:r w:rsidRPr="00524D52">
        <w:rPr>
          <w:rFonts w:eastAsiaTheme="minorHAnsi"/>
          <w:sz w:val="22"/>
          <w:szCs w:val="22"/>
          <w:lang w:val="en-US"/>
        </w:rPr>
        <w:tab/>
        <w:t xml:space="preserve">Informal document </w:t>
      </w:r>
      <w:r w:rsidRPr="00524D52">
        <w:rPr>
          <w:rFonts w:eastAsiaTheme="minorHAnsi"/>
          <w:b/>
          <w:bCs/>
          <w:sz w:val="22"/>
          <w:szCs w:val="22"/>
          <w:lang w:val="en-US"/>
        </w:rPr>
        <w:t>GRBP-77-</w:t>
      </w:r>
      <w:r w:rsidR="00647209">
        <w:rPr>
          <w:rFonts w:eastAsiaTheme="minorHAnsi"/>
          <w:b/>
          <w:bCs/>
          <w:sz w:val="22"/>
          <w:szCs w:val="22"/>
          <w:lang w:val="en-US"/>
        </w:rPr>
        <w:t>09</w:t>
      </w:r>
    </w:p>
    <w:p w14:paraId="5FC3368E" w14:textId="0A9913DC" w:rsidR="00FA64BA" w:rsidRPr="00524D52" w:rsidRDefault="00FA64BA" w:rsidP="00286470">
      <w:pPr>
        <w:tabs>
          <w:tab w:val="right" w:pos="9639"/>
        </w:tabs>
        <w:suppressAutoHyphens w:val="0"/>
        <w:spacing w:line="259" w:lineRule="auto"/>
        <w:ind w:left="1134"/>
        <w:rPr>
          <w:rFonts w:eastAsiaTheme="minorHAnsi"/>
          <w:sz w:val="22"/>
          <w:szCs w:val="22"/>
          <w:lang w:val="en-US"/>
        </w:rPr>
      </w:pPr>
      <w:r w:rsidRPr="00524D52">
        <w:rPr>
          <w:lang w:val="en-US"/>
        </w:rPr>
        <w:t>Informal Working Group on</w:t>
      </w:r>
      <w:r w:rsidRPr="00524D52">
        <w:rPr>
          <w:rFonts w:eastAsiaTheme="minorHAnsi"/>
          <w:sz w:val="22"/>
          <w:szCs w:val="22"/>
          <w:lang w:val="en-US"/>
        </w:rPr>
        <w:tab/>
        <w:t>77</w:t>
      </w:r>
      <w:r w:rsidRPr="00524D52">
        <w:rPr>
          <w:rFonts w:eastAsiaTheme="minorHAnsi"/>
          <w:sz w:val="22"/>
          <w:szCs w:val="22"/>
          <w:vertAlign w:val="superscript"/>
          <w:lang w:val="en-US"/>
        </w:rPr>
        <w:t>th</w:t>
      </w:r>
      <w:r w:rsidRPr="00524D52">
        <w:rPr>
          <w:rFonts w:eastAsiaTheme="minorHAnsi"/>
          <w:sz w:val="22"/>
          <w:szCs w:val="22"/>
          <w:lang w:val="en-US"/>
        </w:rPr>
        <w:t xml:space="preserve"> GRBP, 7-10 February 2023</w:t>
      </w:r>
    </w:p>
    <w:p w14:paraId="5F10E0C4" w14:textId="3398BBCA" w:rsidR="00FA64BA" w:rsidRPr="00524D52" w:rsidRDefault="00FA64BA" w:rsidP="00286470">
      <w:pPr>
        <w:tabs>
          <w:tab w:val="right" w:pos="9639"/>
        </w:tabs>
        <w:suppressAutoHyphens w:val="0"/>
        <w:spacing w:line="259" w:lineRule="auto"/>
        <w:ind w:left="1134"/>
        <w:rPr>
          <w:rFonts w:eastAsiaTheme="minorHAnsi"/>
          <w:sz w:val="22"/>
          <w:szCs w:val="22"/>
          <w:lang w:val="en-US"/>
        </w:rPr>
      </w:pPr>
      <w:r w:rsidRPr="00524D52">
        <w:rPr>
          <w:lang w:val="en-US"/>
        </w:rPr>
        <w:t>Measurement Uncertainties (IWG MU)</w:t>
      </w:r>
      <w:r w:rsidRPr="00524D52">
        <w:rPr>
          <w:rFonts w:eastAsiaTheme="minorHAnsi"/>
          <w:sz w:val="22"/>
          <w:szCs w:val="22"/>
          <w:lang w:val="en-US"/>
        </w:rPr>
        <w:tab/>
        <w:t>Agenda item 3</w:t>
      </w:r>
    </w:p>
    <w:p w14:paraId="1F568A53" w14:textId="77777777" w:rsidR="00473533" w:rsidRPr="00524D52" w:rsidRDefault="00473533" w:rsidP="00286470">
      <w:pPr>
        <w:suppressAutoHyphens w:val="0"/>
        <w:spacing w:after="160" w:line="259" w:lineRule="auto"/>
        <w:ind w:left="1134"/>
        <w:rPr>
          <w:rFonts w:eastAsiaTheme="minorHAnsi"/>
          <w:sz w:val="22"/>
          <w:szCs w:val="22"/>
          <w:lang w:val="en-US"/>
        </w:rPr>
      </w:pPr>
    </w:p>
    <w:p w14:paraId="6A90DC87" w14:textId="77777777" w:rsidR="00031576" w:rsidRPr="00524D52" w:rsidRDefault="00031576" w:rsidP="00286470">
      <w:pPr>
        <w:suppressAutoHyphens w:val="0"/>
        <w:spacing w:after="160" w:line="259" w:lineRule="auto"/>
        <w:ind w:left="1134"/>
        <w:rPr>
          <w:rFonts w:eastAsiaTheme="minorHAnsi"/>
          <w:sz w:val="22"/>
          <w:szCs w:val="22"/>
          <w:lang w:val="en-US"/>
        </w:rPr>
      </w:pPr>
    </w:p>
    <w:p w14:paraId="76F37195" w14:textId="76D6653F" w:rsidR="004636FA" w:rsidRPr="00524D52" w:rsidRDefault="004636FA" w:rsidP="00286470">
      <w:pPr>
        <w:pStyle w:val="H1G"/>
        <w:tabs>
          <w:tab w:val="clear" w:pos="851"/>
        </w:tabs>
        <w:spacing w:before="0"/>
        <w:ind w:firstLine="0"/>
        <w:jc w:val="both"/>
        <w:rPr>
          <w:sz w:val="28"/>
        </w:rPr>
      </w:pPr>
      <w:bookmarkStart w:id="0" w:name="_Hlk79074696"/>
      <w:r w:rsidRPr="00524D52">
        <w:rPr>
          <w:sz w:val="28"/>
        </w:rPr>
        <w:t>Proposal for a Supplement</w:t>
      </w:r>
      <w:r w:rsidR="007F76A8" w:rsidRPr="00524D52">
        <w:rPr>
          <w:sz w:val="28"/>
        </w:rPr>
        <w:t xml:space="preserve"> 9</w:t>
      </w:r>
      <w:r w:rsidRPr="00524D52">
        <w:rPr>
          <w:sz w:val="28"/>
        </w:rPr>
        <w:t xml:space="preserve"> to the 03 series of amendments to UN Regulation No. 51</w:t>
      </w:r>
    </w:p>
    <w:p w14:paraId="2B6E63EB" w14:textId="6A694BF5" w:rsidR="00A331EA" w:rsidRPr="00524D52" w:rsidRDefault="00A331EA" w:rsidP="00286470">
      <w:pPr>
        <w:pStyle w:val="H1G"/>
        <w:tabs>
          <w:tab w:val="clear" w:pos="851"/>
        </w:tabs>
        <w:spacing w:before="0"/>
        <w:ind w:firstLine="0"/>
        <w:jc w:val="both"/>
      </w:pPr>
      <w:r w:rsidRPr="00524D52">
        <w:rPr>
          <w:bCs/>
        </w:rPr>
        <w:t xml:space="preserve">Submitted by the </w:t>
      </w:r>
      <w:r w:rsidRPr="00524D52">
        <w:rPr>
          <w:rFonts w:hint="eastAsia"/>
          <w:bCs/>
          <w:lang w:eastAsia="ja-JP"/>
        </w:rPr>
        <w:t>Informal Working</w:t>
      </w:r>
      <w:r w:rsidRPr="00524D52">
        <w:rPr>
          <w:bCs/>
          <w:lang w:eastAsia="ja-JP"/>
        </w:rPr>
        <w:t xml:space="preserve"> </w:t>
      </w:r>
      <w:r w:rsidRPr="00524D52">
        <w:rPr>
          <w:rFonts w:hint="eastAsia"/>
          <w:bCs/>
          <w:lang w:eastAsia="ja-JP"/>
        </w:rPr>
        <w:t>Group</w:t>
      </w:r>
      <w:r w:rsidRPr="00524D52">
        <w:rPr>
          <w:bCs/>
          <w:lang w:eastAsia="ja-JP"/>
        </w:rPr>
        <w:t xml:space="preserve"> on Measurement Uncertainties</w:t>
      </w:r>
    </w:p>
    <w:p w14:paraId="23A6FEAC" w14:textId="5876B189" w:rsidR="00A502D8" w:rsidRPr="00524D52" w:rsidRDefault="00912FC7" w:rsidP="00286470">
      <w:pPr>
        <w:spacing w:after="120"/>
        <w:ind w:left="1134" w:right="1134" w:firstLine="426"/>
        <w:jc w:val="both"/>
        <w:rPr>
          <w:rFonts w:eastAsia="MS Mincho"/>
        </w:rPr>
      </w:pPr>
      <w:r w:rsidRPr="00524D52">
        <w:rPr>
          <w:rFonts w:eastAsia="MS Mincho"/>
        </w:rPr>
        <w:t xml:space="preserve">The text reproduced below was prepared by the experts from the Informal Working Group on Measurement Uncertainties (IWG MU) </w:t>
      </w:r>
      <w:r w:rsidRPr="00524D52">
        <w:rPr>
          <w:rFonts w:eastAsia="MS Mincho"/>
          <w:lang w:eastAsia="ja-JP"/>
        </w:rPr>
        <w:t>w</w:t>
      </w:r>
      <w:r w:rsidRPr="00524D52">
        <w:rPr>
          <w:rFonts w:eastAsia="MS Mincho"/>
        </w:rPr>
        <w:t>ith the aim to amend UN Regulation No. 51</w:t>
      </w:r>
      <w:r w:rsidR="00DD7902" w:rsidRPr="00524D52">
        <w:rPr>
          <w:rFonts w:eastAsia="MS Mincho"/>
        </w:rPr>
        <w:t xml:space="preserve"> </w:t>
      </w:r>
      <w:r w:rsidR="00FF329E" w:rsidRPr="00524D52">
        <w:rPr>
          <w:rFonts w:eastAsia="MS Mincho"/>
        </w:rPr>
        <w:t xml:space="preserve">with </w:t>
      </w:r>
      <w:r w:rsidR="00DD7902" w:rsidRPr="00524D52">
        <w:t>tables showing the measurement uncertainties when performing type-approval, COP or field testing (e.g. market surveillance).</w:t>
      </w:r>
      <w:r w:rsidRPr="00524D52">
        <w:rPr>
          <w:rFonts w:eastAsia="MS Mincho"/>
        </w:rPr>
        <w:t xml:space="preserve"> The modifications to the existing text of the Regulation are marked in bold for new or strikethrough for deleted characters.</w:t>
      </w:r>
    </w:p>
    <w:p w14:paraId="5C85B474" w14:textId="77777777" w:rsidR="00A502D8" w:rsidRPr="00524D52" w:rsidRDefault="00A502D8" w:rsidP="00286470">
      <w:pPr>
        <w:suppressAutoHyphens w:val="0"/>
        <w:spacing w:after="160" w:line="259" w:lineRule="auto"/>
        <w:ind w:left="1134"/>
        <w:rPr>
          <w:rFonts w:eastAsia="MS Mincho"/>
        </w:rPr>
      </w:pPr>
      <w:r w:rsidRPr="00524D52">
        <w:rPr>
          <w:rFonts w:eastAsia="MS Mincho"/>
        </w:rPr>
        <w:br w:type="page"/>
      </w:r>
    </w:p>
    <w:bookmarkEnd w:id="0"/>
    <w:p w14:paraId="5B0DDF59" w14:textId="77777777" w:rsidR="00031576" w:rsidRPr="00524D52" w:rsidRDefault="00031576" w:rsidP="00ED4543">
      <w:pPr>
        <w:keepNext/>
        <w:keepLines/>
        <w:numPr>
          <w:ilvl w:val="0"/>
          <w:numId w:val="1"/>
        </w:numPr>
        <w:tabs>
          <w:tab w:val="right" w:pos="1560"/>
        </w:tabs>
        <w:spacing w:before="360" w:after="240" w:line="300" w:lineRule="exact"/>
        <w:ind w:left="1134" w:right="1134"/>
        <w:rPr>
          <w:rFonts w:eastAsiaTheme="minorHAnsi"/>
          <w:b/>
          <w:bCs/>
          <w:sz w:val="28"/>
          <w:szCs w:val="28"/>
          <w:lang w:val="en-US"/>
        </w:rPr>
      </w:pPr>
      <w:r w:rsidRPr="00524D52">
        <w:rPr>
          <w:rFonts w:eastAsiaTheme="minorHAnsi"/>
          <w:b/>
          <w:bCs/>
          <w:sz w:val="28"/>
          <w:szCs w:val="28"/>
          <w:lang w:val="en-US"/>
        </w:rPr>
        <w:lastRenderedPageBreak/>
        <w:t>Proposal</w:t>
      </w:r>
    </w:p>
    <w:p w14:paraId="3E3E43E1" w14:textId="55C9DB55" w:rsidR="00031576" w:rsidRPr="00524D52" w:rsidRDefault="00612934" w:rsidP="004A17EB">
      <w:pPr>
        <w:suppressAutoHyphens w:val="0"/>
        <w:spacing w:after="160" w:line="259" w:lineRule="auto"/>
        <w:ind w:left="1134"/>
        <w:rPr>
          <w:rFonts w:eastAsiaTheme="minorHAnsi"/>
          <w:lang w:val="en-US"/>
        </w:rPr>
      </w:pPr>
      <w:bookmarkStart w:id="1" w:name="_Toc427847368"/>
      <w:r w:rsidRPr="00524D52">
        <w:rPr>
          <w:rFonts w:eastAsiaTheme="minorHAnsi"/>
          <w:lang w:val="en-US"/>
        </w:rPr>
        <w:t>A</w:t>
      </w:r>
      <w:r w:rsidR="00031576" w:rsidRPr="00524D52">
        <w:rPr>
          <w:rFonts w:eastAsiaTheme="minorHAnsi"/>
          <w:lang w:val="en-US"/>
        </w:rPr>
        <w:t xml:space="preserve">dd new </w:t>
      </w:r>
      <w:r w:rsidR="00031576" w:rsidRPr="00524D52">
        <w:rPr>
          <w:rFonts w:eastAsiaTheme="minorHAnsi"/>
          <w:i/>
          <w:iCs/>
          <w:lang w:val="en-US"/>
        </w:rPr>
        <w:t>A</w:t>
      </w:r>
      <w:r w:rsidRPr="00524D52">
        <w:rPr>
          <w:rFonts w:eastAsiaTheme="minorHAnsi"/>
          <w:i/>
          <w:iCs/>
          <w:lang w:val="en-US"/>
        </w:rPr>
        <w:t>nnex 10</w:t>
      </w:r>
      <w:r w:rsidR="004A17EB" w:rsidRPr="00524D52">
        <w:rPr>
          <w:rFonts w:eastAsiaTheme="minorHAnsi"/>
          <w:lang w:val="en-US"/>
        </w:rPr>
        <w:t>:</w:t>
      </w:r>
    </w:p>
    <w:p w14:paraId="75BEF3D0" w14:textId="1A548F70" w:rsidR="00031576" w:rsidRPr="00524D52" w:rsidRDefault="000E2DD2" w:rsidP="00B82A0C">
      <w:pPr>
        <w:pStyle w:val="HChG"/>
        <w:ind w:left="2268" w:hanging="2268"/>
        <w:rPr>
          <w:bCs/>
          <w:lang w:val="en-GB"/>
        </w:rPr>
      </w:pPr>
      <w:r w:rsidRPr="00524D52">
        <w:rPr>
          <w:bCs/>
          <w:lang w:val="en-GB"/>
        </w:rPr>
        <w:t>“</w:t>
      </w:r>
      <w:r w:rsidR="00E76417" w:rsidRPr="00524D52">
        <w:rPr>
          <w:bCs/>
          <w:lang w:val="en-GB"/>
        </w:rPr>
        <w:t xml:space="preserve">Annex </w:t>
      </w:r>
      <w:bookmarkEnd w:id="1"/>
      <w:r w:rsidR="00453F2C" w:rsidRPr="00524D52">
        <w:rPr>
          <w:bCs/>
          <w:lang w:val="en-GB"/>
        </w:rPr>
        <w:t>10</w:t>
      </w:r>
    </w:p>
    <w:p w14:paraId="399C740A" w14:textId="77777777" w:rsidR="00031576" w:rsidRPr="00524D52" w:rsidRDefault="00031576" w:rsidP="00EF5470">
      <w:pPr>
        <w:pStyle w:val="HChG"/>
        <w:keepNext w:val="0"/>
        <w:spacing w:before="0" w:after="120" w:line="240" w:lineRule="atLeast"/>
        <w:ind w:firstLine="0"/>
        <w:jc w:val="both"/>
        <w:rPr>
          <w:szCs w:val="28"/>
          <w:lang w:val="en-GB"/>
        </w:rPr>
      </w:pPr>
      <w:r w:rsidRPr="00524D52">
        <w:rPr>
          <w:szCs w:val="28"/>
          <w:lang w:val="en-GB"/>
        </w:rPr>
        <w:t xml:space="preserve">Estimation of the calculation of the expanded measurement uncertainties for sound measurements of Annex 3 for vehicles of category M and N. </w:t>
      </w:r>
    </w:p>
    <w:p w14:paraId="2EC9590E" w14:textId="6520B01F" w:rsidR="00BF1242" w:rsidRPr="00524D52" w:rsidRDefault="00BF1242" w:rsidP="00286470">
      <w:pPr>
        <w:ind w:left="1134"/>
      </w:pPr>
    </w:p>
    <w:p w14:paraId="10463BDE" w14:textId="6136E72E" w:rsidR="00031576" w:rsidRPr="00524D52" w:rsidRDefault="00283197" w:rsidP="00961446">
      <w:pPr>
        <w:numPr>
          <w:ilvl w:val="0"/>
          <w:numId w:val="2"/>
        </w:numPr>
        <w:spacing w:after="120"/>
        <w:ind w:left="2268" w:right="1134" w:hanging="1134"/>
        <w:jc w:val="both"/>
        <w:rPr>
          <w:rFonts w:eastAsia="Times New Roman"/>
          <w:b/>
        </w:rPr>
      </w:pPr>
      <w:r w:rsidRPr="00524D52">
        <w:rPr>
          <w:rFonts w:eastAsia="Times New Roman"/>
          <w:b/>
        </w:rPr>
        <w:t>Scope</w:t>
      </w:r>
    </w:p>
    <w:p w14:paraId="5E329CD5" w14:textId="02FAC19D" w:rsidR="00F90E45" w:rsidRPr="00524D52" w:rsidRDefault="00031576" w:rsidP="005265C1">
      <w:pPr>
        <w:spacing w:after="120"/>
        <w:ind w:left="2268" w:right="1134"/>
        <w:jc w:val="both"/>
        <w:rPr>
          <w:rFonts w:eastAsia="Times New Roman"/>
          <w:b/>
        </w:rPr>
      </w:pPr>
      <w:r w:rsidRPr="00524D52">
        <w:rPr>
          <w:rFonts w:eastAsia="Times New Roman"/>
          <w:b/>
        </w:rPr>
        <w:t>The method for M1, N1 and M2 &lt; 3</w:t>
      </w:r>
      <w:r w:rsidR="00BA53B8">
        <w:rPr>
          <w:rFonts w:eastAsia="Times New Roman"/>
          <w:b/>
        </w:rPr>
        <w:t>.</w:t>
      </w:r>
      <w:r w:rsidRPr="00524D52">
        <w:rPr>
          <w:rFonts w:eastAsia="Times New Roman"/>
          <w:b/>
        </w:rPr>
        <w:t>500 kg classes of vehicles (Annex 3) is based on two driving conditions; a constant speed test, L</w:t>
      </w:r>
      <w:r w:rsidRPr="00524D52">
        <w:rPr>
          <w:rFonts w:eastAsia="Times New Roman"/>
          <w:b/>
          <w:vertAlign w:val="subscript"/>
        </w:rPr>
        <w:t>crs</w:t>
      </w:r>
      <w:r w:rsidRPr="00524D52">
        <w:rPr>
          <w:rFonts w:eastAsia="Times New Roman"/>
          <w:b/>
        </w:rPr>
        <w:t>, and a wide-open throttle acceleration test, L</w:t>
      </w:r>
      <w:r w:rsidRPr="00524D52">
        <w:rPr>
          <w:rFonts w:eastAsia="Times New Roman"/>
          <w:b/>
          <w:vertAlign w:val="subscript"/>
        </w:rPr>
        <w:t>wot</w:t>
      </w:r>
      <w:r w:rsidRPr="00524D52">
        <w:rPr>
          <w:rFonts w:eastAsia="Times New Roman"/>
          <w:b/>
        </w:rPr>
        <w:t>, to determine the final type-approval level, L</w:t>
      </w:r>
      <w:r w:rsidRPr="00524D52">
        <w:rPr>
          <w:rFonts w:eastAsia="Times New Roman"/>
          <w:b/>
          <w:vertAlign w:val="subscript"/>
        </w:rPr>
        <w:t>urban</w:t>
      </w:r>
      <w:r w:rsidRPr="00524D52">
        <w:rPr>
          <w:rFonts w:eastAsia="Times New Roman"/>
          <w:b/>
        </w:rPr>
        <w:t>.</w:t>
      </w:r>
      <w:r w:rsidR="00DA5DCF" w:rsidRPr="00524D52">
        <w:rPr>
          <w:rFonts w:eastAsia="Times New Roman"/>
          <w:b/>
        </w:rPr>
        <w:t xml:space="preserve"> The uncertainty table in paragraph 2.1</w:t>
      </w:r>
      <w:r w:rsidR="00F02112" w:rsidRPr="00524D52">
        <w:rPr>
          <w:rFonts w:eastAsia="Times New Roman"/>
          <w:b/>
        </w:rPr>
        <w:t xml:space="preserve"> is</w:t>
      </w:r>
      <w:r w:rsidR="00DA5DCF" w:rsidRPr="00524D52">
        <w:rPr>
          <w:rFonts w:eastAsia="Times New Roman"/>
          <w:b/>
        </w:rPr>
        <w:t xml:space="preserve"> valid for these categories of vehicles.</w:t>
      </w:r>
      <w:r w:rsidR="00F02112" w:rsidRPr="00524D52">
        <w:rPr>
          <w:rFonts w:eastAsia="Times New Roman"/>
          <w:b/>
        </w:rPr>
        <w:t xml:space="preserve"> The uncertainty table in paragraph 2</w:t>
      </w:r>
      <w:r w:rsidR="009A3E5E" w:rsidRPr="00524D52">
        <w:rPr>
          <w:rFonts w:eastAsia="Times New Roman"/>
          <w:b/>
        </w:rPr>
        <w:t>.</w:t>
      </w:r>
      <w:r w:rsidR="00F02112" w:rsidRPr="00524D52">
        <w:rPr>
          <w:rFonts w:eastAsia="Times New Roman"/>
          <w:b/>
        </w:rPr>
        <w:t xml:space="preserve">2 is valid </w:t>
      </w:r>
      <w:r w:rsidR="00B01D03" w:rsidRPr="00524D52">
        <w:rPr>
          <w:rFonts w:eastAsia="Times New Roman"/>
          <w:b/>
        </w:rPr>
        <w:t>for</w:t>
      </w:r>
      <w:r w:rsidR="00F02112" w:rsidRPr="00524D52">
        <w:rPr>
          <w:rFonts w:eastAsia="Times New Roman"/>
          <w:b/>
        </w:rPr>
        <w:t xml:space="preserve"> vehicle classes N2</w:t>
      </w:r>
      <w:r w:rsidR="00072D0A" w:rsidRPr="00524D52">
        <w:rPr>
          <w:rFonts w:eastAsia="Times New Roman"/>
          <w:b/>
        </w:rPr>
        <w:t>, N3, M2 &gt;3500 kg and M3</w:t>
      </w:r>
      <w:r w:rsidR="00F02112" w:rsidRPr="00524D52">
        <w:rPr>
          <w:rFonts w:eastAsia="Times New Roman"/>
          <w:b/>
        </w:rPr>
        <w:t>.</w:t>
      </w:r>
      <w:r w:rsidR="00B01D03" w:rsidRPr="00524D52">
        <w:rPr>
          <w:rFonts w:eastAsia="Times New Roman"/>
          <w:b/>
        </w:rPr>
        <w:t xml:space="preserve"> Vehicles in these classes are only measured according to the wide-open throttle acceleration test.</w:t>
      </w:r>
    </w:p>
    <w:p w14:paraId="7B39AE87" w14:textId="3E0E06D5" w:rsidR="00EC22C2" w:rsidRPr="00524D52" w:rsidRDefault="00326959" w:rsidP="000E2DD2">
      <w:pPr>
        <w:numPr>
          <w:ilvl w:val="1"/>
          <w:numId w:val="2"/>
        </w:numPr>
        <w:spacing w:after="120"/>
        <w:ind w:left="2268" w:right="1134" w:hanging="1134"/>
        <w:jc w:val="both"/>
        <w:rPr>
          <w:rFonts w:eastAsia="Times New Roman"/>
          <w:b/>
        </w:rPr>
      </w:pPr>
      <w:r w:rsidRPr="00524D52">
        <w:rPr>
          <w:rFonts w:eastAsia="Times New Roman"/>
          <w:b/>
        </w:rPr>
        <w:t>ISO Approach</w:t>
      </w:r>
    </w:p>
    <w:p w14:paraId="4863B9A3" w14:textId="205BC24C" w:rsidR="00FF1885" w:rsidRPr="00524D52" w:rsidRDefault="00FF1885" w:rsidP="00EC22C2">
      <w:pPr>
        <w:spacing w:after="120"/>
        <w:ind w:left="2268" w:right="1134"/>
        <w:jc w:val="both"/>
        <w:rPr>
          <w:rFonts w:eastAsia="Times New Roman"/>
          <w:b/>
        </w:rPr>
      </w:pPr>
      <w:r w:rsidRPr="00524D52">
        <w:rPr>
          <w:rFonts w:eastAsia="Times New Roman"/>
          <w:b/>
        </w:rPr>
        <w:t>Based on the probability distribution, the variance and the standard deviation</w:t>
      </w:r>
      <w:r w:rsidR="009770B7" w:rsidRPr="00524D52">
        <w:rPr>
          <w:rFonts w:eastAsia="Times New Roman"/>
          <w:b/>
        </w:rPr>
        <w:t>,</w:t>
      </w:r>
      <w:r w:rsidRPr="00524D52">
        <w:rPr>
          <w:rFonts w:eastAsia="Times New Roman"/>
          <w:b/>
        </w:rPr>
        <w:t xml:space="preserve"> </w:t>
      </w:r>
      <w:r w:rsidR="00990D8E" w:rsidRPr="00524D52">
        <w:rPr>
          <w:rFonts w:eastAsia="Times New Roman"/>
          <w:b/>
        </w:rPr>
        <w:t xml:space="preserve">the combined standard uncertainty </w:t>
      </w:r>
      <w:r w:rsidRPr="00524D52">
        <w:rPr>
          <w:rFonts w:eastAsia="Times New Roman"/>
          <w:b/>
        </w:rPr>
        <w:t xml:space="preserve">is calculated. </w:t>
      </w:r>
      <w:r w:rsidR="009F1BD2" w:rsidRPr="00524D52">
        <w:rPr>
          <w:rFonts w:eastAsia="Times New Roman"/>
          <w:b/>
        </w:rPr>
        <w:t>For each of the quantities, their contribution</w:t>
      </w:r>
      <w:r w:rsidR="00990D8E" w:rsidRPr="00524D52">
        <w:rPr>
          <w:rFonts w:eastAsia="Times New Roman"/>
          <w:b/>
        </w:rPr>
        <w:t xml:space="preserve"> to the overall uncertainty</w:t>
      </w:r>
      <w:r w:rsidR="009F1BD2" w:rsidRPr="00524D52">
        <w:rPr>
          <w:rFonts w:eastAsia="Times New Roman"/>
          <w:b/>
        </w:rPr>
        <w:t xml:space="preserve"> (in %) has been calculated and makes it easy to understand the influence of the quantity to the total uncertainty</w:t>
      </w:r>
      <w:r w:rsidR="00A03AF2" w:rsidRPr="00524D52">
        <w:rPr>
          <w:rFonts w:eastAsia="Times New Roman"/>
          <w:b/>
        </w:rPr>
        <w:t>. The percentage is based on the total expanded uncertainty for all for test situations.</w:t>
      </w:r>
      <w:r w:rsidR="009F1BD2" w:rsidRPr="00524D52">
        <w:rPr>
          <w:rFonts w:eastAsia="Times New Roman"/>
          <w:b/>
        </w:rPr>
        <w:t xml:space="preserve"> </w:t>
      </w:r>
      <w:r w:rsidRPr="00524D52">
        <w:rPr>
          <w:rFonts w:eastAsia="Times New Roman"/>
          <w:b/>
        </w:rPr>
        <w:t>Some of these quantities can be compensated for, like the influence of temperature and test track variations, while other</w:t>
      </w:r>
      <w:r w:rsidR="009770B7" w:rsidRPr="00524D52">
        <w:rPr>
          <w:rFonts w:eastAsia="Times New Roman"/>
          <w:b/>
        </w:rPr>
        <w:t>s</w:t>
      </w:r>
      <w:r w:rsidR="00C262C7" w:rsidRPr="00524D52">
        <w:rPr>
          <w:rFonts w:eastAsia="Times New Roman"/>
          <w:b/>
        </w:rPr>
        <w:t xml:space="preserve"> </w:t>
      </w:r>
      <w:r w:rsidR="009770B7" w:rsidRPr="00524D52">
        <w:rPr>
          <w:rFonts w:eastAsia="Times New Roman"/>
          <w:b/>
        </w:rPr>
        <w:t>are</w:t>
      </w:r>
      <w:r w:rsidRPr="00524D52">
        <w:rPr>
          <w:rFonts w:eastAsia="Times New Roman"/>
          <w:b/>
        </w:rPr>
        <w:t xml:space="preserve"> of random type</w:t>
      </w:r>
      <w:r w:rsidR="009770B7" w:rsidRPr="00524D52">
        <w:rPr>
          <w:rFonts w:eastAsia="Times New Roman"/>
          <w:b/>
        </w:rPr>
        <w:t>s</w:t>
      </w:r>
      <w:r w:rsidRPr="00524D52">
        <w:rPr>
          <w:rFonts w:eastAsia="Times New Roman"/>
          <w:b/>
        </w:rPr>
        <w:t>, like instrumentation accuracy and cannot be compensated.</w:t>
      </w:r>
    </w:p>
    <w:p w14:paraId="4F0D18AD" w14:textId="60D25DA4" w:rsidR="00283197" w:rsidRPr="00524D52" w:rsidRDefault="00283197" w:rsidP="007F386D">
      <w:pPr>
        <w:numPr>
          <w:ilvl w:val="1"/>
          <w:numId w:val="2"/>
        </w:numPr>
        <w:spacing w:after="120"/>
        <w:ind w:left="2268" w:right="1134" w:hanging="1134"/>
        <w:jc w:val="both"/>
        <w:rPr>
          <w:rFonts w:eastAsia="Times New Roman"/>
          <w:b/>
        </w:rPr>
      </w:pPr>
      <w:r w:rsidRPr="00524D52">
        <w:rPr>
          <w:rFonts w:eastAsia="Times New Roman"/>
          <w:b/>
        </w:rPr>
        <w:t>Categories</w:t>
      </w:r>
      <w:r w:rsidR="009945BB" w:rsidRPr="00524D52">
        <w:rPr>
          <w:rFonts w:eastAsia="Times New Roman"/>
          <w:b/>
        </w:rPr>
        <w:t xml:space="preserve"> </w:t>
      </w:r>
      <w:r w:rsidR="00337138" w:rsidRPr="00524D52">
        <w:rPr>
          <w:rFonts w:eastAsia="Times New Roman"/>
          <w:b/>
        </w:rPr>
        <w:t>of situation</w:t>
      </w:r>
    </w:p>
    <w:p w14:paraId="6195D43E" w14:textId="206B4A46" w:rsidR="00807639" w:rsidRPr="00524D52" w:rsidRDefault="00990D8E" w:rsidP="00283197">
      <w:pPr>
        <w:spacing w:after="120"/>
        <w:ind w:left="2268" w:right="1134"/>
        <w:jc w:val="both"/>
        <w:rPr>
          <w:rFonts w:eastAsia="Times New Roman"/>
          <w:b/>
        </w:rPr>
      </w:pPr>
      <w:r w:rsidRPr="00524D52">
        <w:rPr>
          <w:rFonts w:eastAsia="Times New Roman"/>
          <w:b/>
        </w:rPr>
        <w:t>The uncertainty is grouped into 4 different categories; Run-to-run, day-to-day, site-to-site and vehicle-to-vehicle. For each of these categories, the uncertainty budget is calculated separately for type-approval, CoP and field testing. For type-approval, the</w:t>
      </w:r>
      <w:r w:rsidR="00807639" w:rsidRPr="00524D52">
        <w:rPr>
          <w:rFonts w:eastAsia="Times New Roman"/>
          <w:b/>
        </w:rPr>
        <w:t xml:space="preserve"> relevant uncertainty is only related to run-to-run variations, while CoP includes vehicle-to-vehicle variations as well. </w:t>
      </w:r>
    </w:p>
    <w:p w14:paraId="58B984D4" w14:textId="40F9F51E" w:rsidR="00BB75E9" w:rsidRPr="00524D52" w:rsidRDefault="00BB75E9" w:rsidP="007F386D">
      <w:pPr>
        <w:numPr>
          <w:ilvl w:val="1"/>
          <w:numId w:val="2"/>
        </w:numPr>
        <w:spacing w:after="120"/>
        <w:ind w:left="2268" w:right="1134" w:hanging="1134"/>
        <w:jc w:val="both"/>
        <w:rPr>
          <w:rFonts w:eastAsia="Times New Roman"/>
          <w:b/>
        </w:rPr>
      </w:pPr>
      <w:r w:rsidRPr="00524D52">
        <w:rPr>
          <w:rFonts w:eastAsia="Times New Roman"/>
          <w:b/>
        </w:rPr>
        <w:t xml:space="preserve">Application </w:t>
      </w:r>
    </w:p>
    <w:p w14:paraId="60A33946" w14:textId="2F57DCAC" w:rsidR="00990D8E" w:rsidRPr="00524D52" w:rsidRDefault="00326959" w:rsidP="000E14CD">
      <w:pPr>
        <w:spacing w:after="120"/>
        <w:ind w:left="2268" w:right="1134"/>
        <w:jc w:val="both"/>
        <w:rPr>
          <w:rFonts w:eastAsia="Times New Roman"/>
          <w:b/>
        </w:rPr>
      </w:pPr>
      <w:r w:rsidRPr="00524D52">
        <w:rPr>
          <w:rFonts w:eastAsia="Times New Roman"/>
          <w:b/>
        </w:rPr>
        <w:t>This regulation</w:t>
      </w:r>
      <w:r w:rsidR="00807639" w:rsidRPr="00524D52">
        <w:rPr>
          <w:rFonts w:eastAsia="Times New Roman"/>
          <w:b/>
        </w:rPr>
        <w:t xml:space="preserve"> is only re</w:t>
      </w:r>
      <w:r w:rsidRPr="00524D52">
        <w:rPr>
          <w:rFonts w:eastAsia="Times New Roman"/>
          <w:b/>
        </w:rPr>
        <w:t>lated to</w:t>
      </w:r>
      <w:r w:rsidR="00807639" w:rsidRPr="00524D52">
        <w:rPr>
          <w:rFonts w:eastAsia="Times New Roman"/>
          <w:b/>
        </w:rPr>
        <w:t xml:space="preserve"> type-approval and CoP testing. However, due to the introduction of market surveillance</w:t>
      </w:r>
      <w:r w:rsidR="009770B7" w:rsidRPr="00524D52">
        <w:rPr>
          <w:rFonts w:eastAsia="Times New Roman"/>
          <w:b/>
        </w:rPr>
        <w:t xml:space="preserve"> and other types of in-use</w:t>
      </w:r>
      <w:r w:rsidR="00807639" w:rsidRPr="00524D52">
        <w:rPr>
          <w:rFonts w:eastAsia="Times New Roman"/>
          <w:b/>
        </w:rPr>
        <w:t xml:space="preserve"> testing</w:t>
      </w:r>
      <w:r w:rsidR="009770B7" w:rsidRPr="00524D52">
        <w:rPr>
          <w:rFonts w:eastAsia="Times New Roman"/>
          <w:b/>
        </w:rPr>
        <w:t>,</w:t>
      </w:r>
      <w:r w:rsidR="00807639" w:rsidRPr="00524D52">
        <w:rPr>
          <w:rFonts w:eastAsia="Times New Roman"/>
          <w:b/>
        </w:rPr>
        <w:t xml:space="preserve"> based on this regulation, it is important to include the uncertainty contribution relating to vehicle-to-vehicle variations.</w:t>
      </w:r>
    </w:p>
    <w:p w14:paraId="3211BB4E" w14:textId="558746E8" w:rsidR="00C262C7" w:rsidRPr="00524D52" w:rsidRDefault="00F02112" w:rsidP="009945BB">
      <w:pPr>
        <w:numPr>
          <w:ilvl w:val="0"/>
          <w:numId w:val="2"/>
        </w:numPr>
        <w:spacing w:after="120"/>
        <w:ind w:left="2268" w:right="1134" w:hanging="1134"/>
        <w:jc w:val="both"/>
        <w:rPr>
          <w:rFonts w:eastAsia="Times New Roman"/>
          <w:b/>
        </w:rPr>
      </w:pPr>
      <w:r w:rsidRPr="00524D52">
        <w:rPr>
          <w:rFonts w:eastAsia="Times New Roman"/>
          <w:b/>
        </w:rPr>
        <w:t>Uncertainty estimation</w:t>
      </w:r>
    </w:p>
    <w:p w14:paraId="2D200C85" w14:textId="1FE252FD" w:rsidR="0025290B" w:rsidRPr="00524D52" w:rsidRDefault="0025290B" w:rsidP="0025290B">
      <w:pPr>
        <w:spacing w:after="120"/>
        <w:ind w:left="2268" w:right="1134"/>
        <w:jc w:val="both"/>
        <w:rPr>
          <w:rFonts w:eastAsia="Times New Roman"/>
          <w:b/>
        </w:rPr>
      </w:pPr>
      <w:r w:rsidRPr="00524D52">
        <w:rPr>
          <w:rFonts w:eastAsia="Times New Roman"/>
          <w:b/>
        </w:rPr>
        <w:t>The tables 2.1 and 2.2 are based on this regulation up to the Supplement 6. If the regulation is amended, any implication for the measurement uncertainties shall be evaluated and if necessary, the tables in Annex 10 shall be updated.</w:t>
      </w:r>
    </w:p>
    <w:p w14:paraId="61EB9D82" w14:textId="77777777" w:rsidR="00DC58AC" w:rsidRPr="00524D52" w:rsidRDefault="00DC58AC">
      <w:pPr>
        <w:suppressAutoHyphens w:val="0"/>
        <w:spacing w:after="160" w:line="259" w:lineRule="auto"/>
        <w:rPr>
          <w:rFonts w:eastAsia="Times New Roman"/>
          <w:b/>
        </w:rPr>
      </w:pPr>
      <w:r w:rsidRPr="00524D52">
        <w:rPr>
          <w:rFonts w:eastAsia="Times New Roman"/>
          <w:b/>
        </w:rPr>
        <w:br w:type="page"/>
      </w:r>
    </w:p>
    <w:p w14:paraId="18D8E6D9" w14:textId="19F4DDBF" w:rsidR="004617B9" w:rsidRPr="00524D52" w:rsidRDefault="000D5F27" w:rsidP="005562AE">
      <w:pPr>
        <w:ind w:left="2268" w:right="1134"/>
        <w:jc w:val="both"/>
        <w:rPr>
          <w:rFonts w:eastAsia="Times New Roman"/>
          <w:b/>
        </w:rPr>
      </w:pPr>
      <w:r w:rsidRPr="00524D52">
        <w:rPr>
          <w:rFonts w:eastAsia="Times New Roman"/>
          <w:b/>
        </w:rPr>
        <w:lastRenderedPageBreak/>
        <w:t>Table 2.1</w:t>
      </w:r>
      <w:r w:rsidR="004617B9" w:rsidRPr="00524D52">
        <w:rPr>
          <w:rFonts w:eastAsia="Times New Roman"/>
          <w:b/>
        </w:rPr>
        <w:t>:</w:t>
      </w:r>
    </w:p>
    <w:p w14:paraId="3323CD7E" w14:textId="313A4AD1" w:rsidR="00F02112" w:rsidRPr="00524D52" w:rsidRDefault="00F02112" w:rsidP="004617B9">
      <w:pPr>
        <w:spacing w:after="120"/>
        <w:ind w:left="2268" w:right="1134"/>
        <w:jc w:val="both"/>
        <w:rPr>
          <w:rFonts w:eastAsia="Times New Roman"/>
          <w:b/>
        </w:rPr>
      </w:pPr>
      <w:r w:rsidRPr="00524D52">
        <w:rPr>
          <w:rFonts w:eastAsia="Times New Roman"/>
          <w:b/>
        </w:rPr>
        <w:t>Estimation of uncertainty per situation for M1, N1 and M2 &lt; 3500 kg</w:t>
      </w:r>
    </w:p>
    <w:tbl>
      <w:tblPr>
        <w:tblW w:w="10207" w:type="dxa"/>
        <w:tblInd w:w="-289" w:type="dxa"/>
        <w:tblLayout w:type="fixed"/>
        <w:tblCellMar>
          <w:left w:w="70" w:type="dxa"/>
          <w:right w:w="70" w:type="dxa"/>
        </w:tblCellMar>
        <w:tblLook w:val="04A0" w:firstRow="1" w:lastRow="0" w:firstColumn="1" w:lastColumn="0" w:noHBand="0" w:noVBand="1"/>
      </w:tblPr>
      <w:tblGrid>
        <w:gridCol w:w="426"/>
        <w:gridCol w:w="2693"/>
        <w:gridCol w:w="567"/>
        <w:gridCol w:w="426"/>
        <w:gridCol w:w="425"/>
        <w:gridCol w:w="992"/>
        <w:gridCol w:w="567"/>
        <w:gridCol w:w="567"/>
        <w:gridCol w:w="709"/>
        <w:gridCol w:w="567"/>
        <w:gridCol w:w="567"/>
        <w:gridCol w:w="567"/>
        <w:gridCol w:w="567"/>
        <w:gridCol w:w="567"/>
      </w:tblGrid>
      <w:tr w:rsidR="004F5FF9" w:rsidRPr="00524D52" w14:paraId="61432171" w14:textId="77777777" w:rsidTr="003929F9">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1CB09114"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Situation</w:t>
            </w: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3CBA6FC7" w14:textId="77777777" w:rsidR="004F5FF9" w:rsidRPr="00524D52" w:rsidRDefault="004F5FF9" w:rsidP="002C7EDF">
            <w:pPr>
              <w:suppressAutoHyphens w:val="0"/>
              <w:spacing w:line="240" w:lineRule="auto"/>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575EF205"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707783A7"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Impact on L</w:t>
            </w:r>
            <w:r w:rsidRPr="00524D52">
              <w:rPr>
                <w:rFonts w:asciiTheme="majorBidi" w:hAnsiTheme="majorBidi" w:cstheme="majorBidi"/>
                <w:b/>
                <w:bCs/>
                <w:i/>
                <w:iCs/>
                <w:sz w:val="16"/>
                <w:szCs w:val="16"/>
                <w:vertAlign w:val="subscript"/>
                <w:lang w:eastAsia="de-DE"/>
              </w:rPr>
              <w:t>urb</w:t>
            </w:r>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340295B4"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 xml:space="preserve">Probability </w:t>
            </w:r>
            <w:r w:rsidRPr="00524D52">
              <w:rPr>
                <w:rFonts w:asciiTheme="majorBidi" w:hAnsiTheme="majorBidi" w:cstheme="majorBidi"/>
                <w:b/>
                <w:bCs/>
                <w:i/>
                <w:iCs/>
                <w:sz w:val="16"/>
                <w:szCs w:val="16"/>
                <w:lang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6235F3EE"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4ADBCD9F"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Standard uncertainty</w:t>
            </w:r>
          </w:p>
        </w:tc>
        <w:tc>
          <w:tcPr>
            <w:tcW w:w="709"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6D6C36A2"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16011265" w14:textId="5C790885" w:rsidR="004F5FF9" w:rsidRPr="00524D52" w:rsidRDefault="004F5FF9" w:rsidP="007D552D">
            <w:pPr>
              <w:suppressAutoHyphens w:val="0"/>
              <w:spacing w:line="240" w:lineRule="auto"/>
              <w:ind w:left="-67" w:right="-72"/>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 xml:space="preserve">Comb. stand. </w:t>
            </w:r>
            <w:r w:rsidR="007D552D">
              <w:rPr>
                <w:rFonts w:asciiTheme="majorBidi" w:hAnsiTheme="majorBidi" w:cstheme="majorBidi"/>
                <w:b/>
                <w:bCs/>
                <w:i/>
                <w:iCs/>
                <w:sz w:val="16"/>
                <w:szCs w:val="16"/>
                <w:lang w:eastAsia="de-DE"/>
              </w:rPr>
              <w:br/>
            </w:r>
            <w:r w:rsidRPr="00524D52">
              <w:rPr>
                <w:rFonts w:asciiTheme="majorBidi" w:hAnsiTheme="majorBidi" w:cstheme="majorBidi"/>
                <w:b/>
                <w:bCs/>
                <w:i/>
                <w:iCs/>
                <w:sz w:val="16"/>
                <w:szCs w:val="16"/>
                <w:lang w:eastAsia="de-DE"/>
              </w:rPr>
              <w:t>uncertainty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22B5813"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Uncertainty Budgets</w:t>
            </w:r>
          </w:p>
        </w:tc>
        <w:tc>
          <w:tcPr>
            <w:tcW w:w="567" w:type="dxa"/>
            <w:vMerge w:val="restart"/>
            <w:tcBorders>
              <w:top w:val="single" w:sz="4" w:space="0" w:color="auto"/>
              <w:left w:val="single" w:sz="4" w:space="0" w:color="auto"/>
              <w:right w:val="single" w:sz="4" w:space="0" w:color="auto"/>
            </w:tcBorders>
            <w:shd w:val="clear" w:color="auto" w:fill="E7E6E6" w:themeFill="background2"/>
            <w:textDirection w:val="btLr"/>
            <w:vAlign w:val="center"/>
          </w:tcPr>
          <w:p w14:paraId="13DEB143" w14:textId="55BC1298" w:rsidR="004F5FF9" w:rsidRPr="00524D52" w:rsidRDefault="00840DA9" w:rsidP="002C7EDF">
            <w:pPr>
              <w:suppressAutoHyphens w:val="0"/>
              <w:spacing w:line="240" w:lineRule="auto"/>
              <w:ind w:left="113" w:right="113"/>
              <w:jc w:val="center"/>
              <w:rPr>
                <w:rFonts w:asciiTheme="majorBidi" w:hAnsiTheme="majorBidi" w:cstheme="majorBidi"/>
                <w:b/>
                <w:bCs/>
                <w:i/>
                <w:iCs/>
                <w:sz w:val="16"/>
                <w:szCs w:val="16"/>
                <w:lang w:eastAsia="de-DE"/>
              </w:rPr>
            </w:pPr>
            <w:r>
              <w:rPr>
                <w:rFonts w:asciiTheme="majorBidi" w:hAnsiTheme="majorBidi" w:cstheme="majorBidi"/>
                <w:b/>
                <w:bCs/>
                <w:i/>
                <w:iCs/>
                <w:sz w:val="16"/>
                <w:szCs w:val="16"/>
                <w:lang w:eastAsia="de-DE"/>
              </w:rPr>
              <w:t xml:space="preserve"> </w:t>
            </w:r>
            <w:r w:rsidR="007D552D">
              <w:rPr>
                <w:rFonts w:asciiTheme="majorBidi" w:hAnsiTheme="majorBidi" w:cstheme="majorBidi"/>
                <w:b/>
                <w:bCs/>
                <w:i/>
                <w:iCs/>
                <w:sz w:val="16"/>
                <w:szCs w:val="16"/>
                <w:lang w:eastAsia="de-DE"/>
              </w:rPr>
              <w:t>E</w:t>
            </w:r>
            <w:r>
              <w:rPr>
                <w:rFonts w:asciiTheme="majorBidi" w:hAnsiTheme="majorBidi" w:cstheme="majorBidi"/>
                <w:b/>
                <w:bCs/>
                <w:i/>
                <w:iCs/>
                <w:sz w:val="16"/>
                <w:szCs w:val="16"/>
                <w:lang w:eastAsia="de-DE"/>
              </w:rPr>
              <w:t>x</w:t>
            </w:r>
            <w:r w:rsidR="007D552D">
              <w:rPr>
                <w:rFonts w:asciiTheme="majorBidi" w:hAnsiTheme="majorBidi" w:cstheme="majorBidi"/>
                <w:b/>
                <w:bCs/>
                <w:i/>
                <w:iCs/>
                <w:sz w:val="16"/>
                <w:szCs w:val="16"/>
                <w:lang w:eastAsia="de-DE"/>
              </w:rPr>
              <w:t xml:space="preserve">panded </w:t>
            </w:r>
            <w:r w:rsidR="004F5FF9" w:rsidRPr="00524D52">
              <w:rPr>
                <w:rFonts w:asciiTheme="majorBidi" w:hAnsiTheme="majorBidi" w:cstheme="majorBidi"/>
                <w:b/>
                <w:bCs/>
                <w:i/>
                <w:iCs/>
                <w:sz w:val="16"/>
                <w:szCs w:val="16"/>
                <w:lang w:eastAsia="de-DE"/>
              </w:rPr>
              <w:t>uncertainty</w:t>
            </w:r>
            <w:r w:rsidR="007D552D">
              <w:rPr>
                <w:rFonts w:asciiTheme="majorBidi" w:hAnsiTheme="majorBidi" w:cstheme="majorBidi"/>
                <w:b/>
                <w:bCs/>
                <w:i/>
                <w:iCs/>
                <w:sz w:val="16"/>
                <w:szCs w:val="16"/>
                <w:lang w:eastAsia="de-DE"/>
              </w:rPr>
              <w:t xml:space="preserve"> 95%</w:t>
            </w:r>
          </w:p>
        </w:tc>
      </w:tr>
      <w:tr w:rsidR="004F5FF9" w:rsidRPr="00524D52" w14:paraId="337C2432" w14:textId="77777777" w:rsidTr="003929F9">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6766DE8A"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07442F3"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373956EB"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L</w:t>
            </w:r>
            <w:r w:rsidRPr="00524D52">
              <w:rPr>
                <w:rFonts w:asciiTheme="majorBidi" w:hAnsiTheme="majorBidi" w:cstheme="majorBidi"/>
                <w:b/>
                <w:bCs/>
                <w:i/>
                <w:iCs/>
                <w:sz w:val="16"/>
                <w:szCs w:val="16"/>
                <w:vertAlign w:val="subscript"/>
                <w:lang w:eastAsia="de-DE"/>
              </w:rPr>
              <w:t>wot</w:t>
            </w:r>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2DC84BEA" w14:textId="77777777" w:rsidR="004F5FF9" w:rsidRPr="00524D52" w:rsidRDefault="004F5FF9" w:rsidP="002C7EDF">
            <w:pPr>
              <w:suppressAutoHyphens w:val="0"/>
              <w:spacing w:line="240" w:lineRule="auto"/>
              <w:ind w:left="113" w:right="113"/>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L</w:t>
            </w:r>
            <w:r w:rsidRPr="00524D52">
              <w:rPr>
                <w:rFonts w:asciiTheme="majorBidi" w:hAnsiTheme="majorBidi" w:cstheme="majorBidi"/>
                <w:b/>
                <w:bCs/>
                <w:i/>
                <w:iCs/>
                <w:sz w:val="16"/>
                <w:szCs w:val="16"/>
                <w:vertAlign w:val="subscript"/>
                <w:lang w:eastAsia="de-DE"/>
              </w:rPr>
              <w:t>crs</w:t>
            </w:r>
          </w:p>
        </w:tc>
        <w:tc>
          <w:tcPr>
            <w:tcW w:w="425" w:type="dxa"/>
            <w:vMerge/>
            <w:tcBorders>
              <w:top w:val="single" w:sz="4" w:space="0" w:color="auto"/>
              <w:left w:val="nil"/>
              <w:bottom w:val="single" w:sz="12" w:space="0" w:color="auto"/>
              <w:right w:val="nil"/>
            </w:tcBorders>
            <w:vAlign w:val="center"/>
            <w:hideMark/>
          </w:tcPr>
          <w:p w14:paraId="781521FA"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DC56915"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567" w:type="dxa"/>
            <w:vMerge/>
            <w:tcBorders>
              <w:top w:val="single" w:sz="4" w:space="0" w:color="auto"/>
              <w:left w:val="nil"/>
              <w:bottom w:val="single" w:sz="12" w:space="0" w:color="auto"/>
              <w:right w:val="single" w:sz="4" w:space="0" w:color="auto"/>
            </w:tcBorders>
            <w:vAlign w:val="center"/>
            <w:hideMark/>
          </w:tcPr>
          <w:p w14:paraId="795D2ECE"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6D98F6C"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709"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35FDC01"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F87EDEC"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4CBF7596" w14:textId="77777777" w:rsidR="004F5FF9" w:rsidRPr="00524D52" w:rsidRDefault="004F5FF9" w:rsidP="002C7EDF">
            <w:pPr>
              <w:suppressAutoHyphens w:val="0"/>
              <w:spacing w:line="240" w:lineRule="auto"/>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 xml:space="preserve">Type </w:t>
            </w:r>
            <w:r w:rsidRPr="00524D52">
              <w:rPr>
                <w:rFonts w:asciiTheme="majorBidi" w:hAnsiTheme="majorBidi" w:cstheme="majorBidi"/>
                <w:b/>
                <w:bCs/>
                <w:i/>
                <w:iCs/>
                <w:sz w:val="16"/>
                <w:szCs w:val="16"/>
                <w:lang w:eastAsia="de-DE"/>
              </w:rPr>
              <w:b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680EE943" w14:textId="77777777" w:rsidR="004F5FF9" w:rsidRPr="00524D52" w:rsidRDefault="004F5FF9" w:rsidP="002C7EDF">
            <w:pPr>
              <w:suppressAutoHyphens w:val="0"/>
              <w:spacing w:line="240" w:lineRule="auto"/>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1F178D27" w14:textId="77777777" w:rsidR="004F5FF9" w:rsidRPr="00524D52" w:rsidRDefault="004F5FF9" w:rsidP="002C7EDF">
            <w:pPr>
              <w:suppressAutoHyphens w:val="0"/>
              <w:spacing w:line="240" w:lineRule="auto"/>
              <w:jc w:val="center"/>
              <w:rPr>
                <w:rFonts w:asciiTheme="majorBidi" w:hAnsiTheme="majorBidi" w:cstheme="majorBidi"/>
                <w:b/>
                <w:bCs/>
                <w:i/>
                <w:iCs/>
                <w:sz w:val="16"/>
                <w:szCs w:val="16"/>
                <w:lang w:eastAsia="de-DE"/>
              </w:rPr>
            </w:pPr>
            <w:r w:rsidRPr="00524D52">
              <w:rPr>
                <w:rFonts w:asciiTheme="majorBidi" w:hAnsiTheme="majorBidi" w:cstheme="majorBidi"/>
                <w:b/>
                <w:bCs/>
                <w:i/>
                <w:iCs/>
                <w:sz w:val="16"/>
                <w:szCs w:val="16"/>
                <w:lang w:eastAsia="de-DE"/>
              </w:rPr>
              <w:t xml:space="preserve">Field </w:t>
            </w:r>
            <w:r w:rsidRPr="00524D52">
              <w:rPr>
                <w:rFonts w:asciiTheme="majorBidi" w:hAnsiTheme="majorBidi" w:cstheme="majorBidi"/>
                <w:b/>
                <w:bCs/>
                <w:i/>
                <w:iCs/>
                <w:sz w:val="16"/>
                <w:szCs w:val="16"/>
                <w:lang w:eastAsia="de-DE"/>
              </w:rPr>
              <w:br/>
              <w:t>Tests</w:t>
            </w:r>
          </w:p>
        </w:tc>
        <w:tc>
          <w:tcPr>
            <w:tcW w:w="567" w:type="dxa"/>
            <w:vMerge/>
            <w:tcBorders>
              <w:left w:val="single" w:sz="4" w:space="0" w:color="auto"/>
              <w:bottom w:val="single" w:sz="12" w:space="0" w:color="auto"/>
              <w:right w:val="single" w:sz="4" w:space="0" w:color="auto"/>
            </w:tcBorders>
            <w:shd w:val="clear" w:color="auto" w:fill="E7E6E6" w:themeFill="background2"/>
          </w:tcPr>
          <w:p w14:paraId="658ED487" w14:textId="77777777" w:rsidR="004F5FF9" w:rsidRPr="00524D52" w:rsidRDefault="004F5FF9" w:rsidP="002C7EDF">
            <w:pPr>
              <w:suppressAutoHyphens w:val="0"/>
              <w:spacing w:line="240" w:lineRule="auto"/>
              <w:jc w:val="center"/>
              <w:rPr>
                <w:rFonts w:asciiTheme="majorBidi" w:hAnsiTheme="majorBidi" w:cstheme="majorBidi"/>
                <w:b/>
                <w:bCs/>
                <w:i/>
                <w:iCs/>
                <w:sz w:val="16"/>
                <w:szCs w:val="16"/>
                <w:lang w:eastAsia="de-DE"/>
              </w:rPr>
            </w:pPr>
          </w:p>
        </w:tc>
      </w:tr>
      <w:tr w:rsidR="004F5FF9" w:rsidRPr="00524D52" w14:paraId="07DA6BD1" w14:textId="77777777" w:rsidTr="00840DA9">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3C85743F" w14:textId="77777777" w:rsidR="004F5FF9" w:rsidRPr="00524D52" w:rsidRDefault="004F5FF9" w:rsidP="002C7EDF">
            <w:pPr>
              <w:suppressAutoHyphens w:val="0"/>
              <w:spacing w:line="240" w:lineRule="auto"/>
              <w:ind w:left="113" w:right="113"/>
              <w:jc w:val="center"/>
              <w:rPr>
                <w:rFonts w:asciiTheme="majorBidi" w:hAnsiTheme="majorBidi" w:cstheme="majorBidi"/>
                <w:b/>
                <w:bCs/>
                <w:sz w:val="16"/>
                <w:szCs w:val="16"/>
                <w:lang w:eastAsia="de-DE"/>
              </w:rPr>
            </w:pPr>
            <w:r w:rsidRPr="00524D52">
              <w:rPr>
                <w:rFonts w:asciiTheme="majorBidi" w:hAnsiTheme="majorBidi" w:cstheme="majorBidi"/>
                <w:b/>
                <w:bCs/>
                <w:sz w:val="16"/>
                <w:szCs w:val="16"/>
                <w:lang w:eastAsia="de-DE"/>
              </w:rPr>
              <w:t>Run to Run</w:t>
            </w:r>
          </w:p>
        </w:tc>
        <w:tc>
          <w:tcPr>
            <w:tcW w:w="2693" w:type="dxa"/>
            <w:tcBorders>
              <w:top w:val="single" w:sz="12" w:space="0" w:color="auto"/>
              <w:left w:val="nil"/>
              <w:bottom w:val="single" w:sz="4" w:space="0" w:color="auto"/>
              <w:right w:val="single" w:sz="4" w:space="0" w:color="auto"/>
            </w:tcBorders>
            <w:shd w:val="clear" w:color="auto" w:fill="FFFFFF" w:themeFill="background1"/>
            <w:vAlign w:val="center"/>
            <w:hideMark/>
          </w:tcPr>
          <w:p w14:paraId="66C965CF"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Microclimate wind effect</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75396A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1,60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hideMark/>
          </w:tcPr>
          <w:p w14:paraId="3CC695E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1,50</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29726D1B"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1,57 </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5D06DA4"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480AF555" w14:textId="5FF0689E"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w:t>
            </w:r>
            <w:r w:rsidR="007A2F22" w:rsidRPr="00524D52">
              <w:rPr>
                <w:rFonts w:asciiTheme="majorBidi" w:hAnsiTheme="majorBidi" w:cstheme="majorBidi"/>
                <w:sz w:val="16"/>
                <w:szCs w:val="16"/>
                <w:lang w:eastAsia="de-DE"/>
              </w:rPr>
              <w:t>,</w:t>
            </w:r>
            <w:r w:rsidRPr="00524D52">
              <w:rPr>
                <w:rFonts w:asciiTheme="majorBidi" w:hAnsiTheme="majorBidi" w:cstheme="majorBidi"/>
                <w:sz w:val="16"/>
                <w:szCs w:val="16"/>
                <w:lang w:eastAsia="de-DE"/>
              </w:rPr>
              <w:t xml:space="preserve">15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6772A60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0,392 </w:t>
            </w:r>
          </w:p>
        </w:tc>
        <w:tc>
          <w:tcPr>
            <w:tcW w:w="709" w:type="dxa"/>
            <w:tcBorders>
              <w:top w:val="single" w:sz="12" w:space="0" w:color="auto"/>
              <w:left w:val="nil"/>
              <w:bottom w:val="single" w:sz="4" w:space="0" w:color="auto"/>
              <w:right w:val="single" w:sz="4" w:space="0" w:color="auto"/>
            </w:tcBorders>
            <w:shd w:val="clear" w:color="auto" w:fill="FFFFFF" w:themeFill="background1"/>
            <w:noWrap/>
            <w:vAlign w:val="center"/>
            <w:hideMark/>
          </w:tcPr>
          <w:p w14:paraId="345846D1"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5,6%</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9A18576"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489C8E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4EDE365"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539757B"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0,53 </w:t>
            </w:r>
          </w:p>
        </w:tc>
        <w:tc>
          <w:tcPr>
            <w:tcW w:w="567" w:type="dxa"/>
            <w:vMerge w:val="restart"/>
            <w:tcBorders>
              <w:top w:val="single" w:sz="12" w:space="0" w:color="auto"/>
              <w:left w:val="single" w:sz="4" w:space="0" w:color="auto"/>
              <w:right w:val="single" w:sz="4" w:space="0" w:color="auto"/>
            </w:tcBorders>
            <w:shd w:val="clear" w:color="auto" w:fill="E7E6E6" w:themeFill="background2"/>
            <w:vAlign w:val="center"/>
          </w:tcPr>
          <w:p w14:paraId="285CB6B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1,1</w:t>
            </w:r>
          </w:p>
        </w:tc>
      </w:tr>
      <w:tr w:rsidR="004F5FF9" w:rsidRPr="00524D52" w14:paraId="46CEBDDF"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166E287"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30D3853"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Driver #1: </w:t>
            </w:r>
            <w:r w:rsidRPr="00524D52">
              <w:rPr>
                <w:rFonts w:asciiTheme="majorBidi" w:hAnsiTheme="majorBidi" w:cstheme="majorBidi"/>
                <w:sz w:val="16"/>
                <w:szCs w:val="16"/>
                <w:lang w:eastAsia="de-DE"/>
              </w:rPr>
              <w:br/>
              <w:t>Deviation from centred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D36957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11548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DE52FA3"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61639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35AC55"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921200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D79793"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DE97D4"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73670C"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34518B1"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D11645"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1C5011FC"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102B9479"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456FF3D"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8A77DE"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Driver #2: Start of acceleration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2535A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88DFE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F026148"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5AE21E"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EA1865F"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ACAC7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608BA0"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D9366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E0970AD"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34737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63E752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5521E3C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26AEA260"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2EB9742"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16ACBF"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Driver #3: </w:t>
            </w:r>
            <w:r w:rsidRPr="00524D52">
              <w:rPr>
                <w:rFonts w:asciiTheme="majorBidi" w:hAnsiTheme="majorBidi" w:cstheme="majorBidi"/>
                <w:sz w:val="16"/>
                <w:szCs w:val="16"/>
                <w:lang w:eastAsia="de-DE"/>
              </w:rPr>
              <w:br/>
              <w:t>Speed variations of +/- 1km/h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EDF946"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0,30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80BCC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8D63F82"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4F40C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7426D9"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031A8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1DF375"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118261"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C3A9E5"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597AD3"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C9D92D"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1A9D7C1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01F7FDD3"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49807CE"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7035E4"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Driver #4: </w:t>
            </w:r>
            <w:r w:rsidRPr="00524D52">
              <w:rPr>
                <w:rFonts w:asciiTheme="majorBidi" w:hAnsiTheme="majorBidi" w:cstheme="majorBidi"/>
                <w:sz w:val="16"/>
                <w:szCs w:val="16"/>
                <w:lang w:eastAsia="de-DE"/>
              </w:rPr>
              <w:br/>
              <w:t>Load variations during cruising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D02D5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674CD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4FB10AB"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0,34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BB5E0B"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13916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BD17B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0,085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43D3BF"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1F216C"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5220AD"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6BC4AD0"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8EEFB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468F493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6E61E8EB"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1D14864"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D2FBC5"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11A46F"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DE178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B38A041"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68C92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F9104C"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F2D926"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0,115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8160B9"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684B7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24A951"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80572C"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19D2F84"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4634B07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09E1698E"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D31619A"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7A2FE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Variation on operating temperature of engine (WOT) and tyres (WOT&amp;CRS)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8BA9E6"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01AA4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0,80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BED6751"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A150E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A8F2B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0,05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74906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0,231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D3A5AB"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8874F16"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F1E126"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5746B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3FF6F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3AF2A645"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77328ED6" w14:textId="77777777" w:rsidTr="00840DA9">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9B20D0" w14:textId="77777777" w:rsidR="004F5FF9" w:rsidRPr="00524D52" w:rsidRDefault="004F5FF9" w:rsidP="002C7EDF">
            <w:pPr>
              <w:suppressAutoHyphens w:val="0"/>
              <w:spacing w:line="240" w:lineRule="auto"/>
              <w:ind w:left="113" w:right="113"/>
              <w:jc w:val="center"/>
              <w:rPr>
                <w:rFonts w:asciiTheme="majorBidi" w:hAnsiTheme="majorBidi" w:cstheme="majorBidi"/>
                <w:b/>
                <w:bCs/>
                <w:sz w:val="16"/>
                <w:szCs w:val="16"/>
                <w:lang w:eastAsia="de-DE"/>
              </w:rPr>
            </w:pPr>
            <w:r w:rsidRPr="00524D52">
              <w:rPr>
                <w:rFonts w:asciiTheme="majorBidi" w:hAnsiTheme="majorBidi" w:cstheme="majorBidi"/>
                <w:b/>
                <w:bCs/>
                <w:sz w:val="16"/>
                <w:szCs w:val="16"/>
                <w:lang w:eastAsia="de-DE"/>
              </w:rPr>
              <w:t>Day to Day</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6963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Barometric pressure </w:t>
            </w:r>
            <w:r w:rsidRPr="00524D52">
              <w:rPr>
                <w:rFonts w:asciiTheme="majorBidi" w:hAnsiTheme="majorBidi" w:cstheme="majorBidi"/>
                <w:sz w:val="16"/>
                <w:szCs w:val="16"/>
                <w:lang w:eastAsia="de-DE"/>
              </w:rPr>
              <w:br/>
              <w:t>(Weather +/- 30 hPa)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FCAC5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6C7DF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C28559A"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68C0A0"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B27F2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C4205C"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01A1734"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8FF0F" w14:textId="60EF0DCC" w:rsidR="004F5FF9" w:rsidRPr="00524D52" w:rsidRDefault="005D38DD"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9BC5" w14:textId="7221EA45" w:rsidR="004F5FF9" w:rsidRPr="00524D52" w:rsidRDefault="00476CF9"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0,92</w:t>
            </w:r>
            <w:r w:rsidR="004F5FF9" w:rsidRPr="00524D52">
              <w:rPr>
                <w:rFonts w:asciiTheme="majorBidi" w:hAnsiTheme="majorBidi" w:cstheme="majorBidi"/>
                <w:sz w:val="16"/>
                <w:szCs w:val="16"/>
                <w:lang w:eastAsia="de-DE"/>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DACAE" w14:textId="4102ADAE" w:rsidR="004F5FF9" w:rsidRPr="00524D52" w:rsidRDefault="00476CF9"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6806E" w14:textId="57D4AB27" w:rsidR="004F5FF9" w:rsidRPr="00524D52" w:rsidRDefault="00476CF9"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0,92</w:t>
            </w:r>
            <w:r w:rsidRPr="00524D52">
              <w:rPr>
                <w:rFonts w:asciiTheme="majorBidi" w:hAnsiTheme="majorBidi" w:cstheme="majorBidi"/>
                <w:sz w:val="16"/>
                <w:szCs w:val="16"/>
                <w:lang w:eastAsia="de-DE"/>
              </w:rPr>
              <w:t xml:space="preserve"> </w:t>
            </w:r>
            <w:r w:rsidR="004F5FF9" w:rsidRPr="00524D52">
              <w:rPr>
                <w:rFonts w:asciiTheme="majorBidi" w:hAnsiTheme="majorBidi" w:cstheme="majorBidi"/>
                <w:sz w:val="16"/>
                <w:szCs w:val="16"/>
                <w:lang w:eastAsia="de-DE"/>
              </w:rPr>
              <w:t xml:space="preserve"> </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3EB9C11F" w14:textId="597996A5" w:rsidR="004F5FF9" w:rsidRPr="00524D52" w:rsidRDefault="00031865"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1,8</w:t>
            </w:r>
          </w:p>
        </w:tc>
      </w:tr>
      <w:tr w:rsidR="004F5FF9" w:rsidRPr="00524D52" w14:paraId="1FF1DED6"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9E9A01"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8718B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Air temperature effect on tyre noise </w:t>
            </w:r>
            <w:r w:rsidRPr="00524D52">
              <w:rPr>
                <w:rFonts w:asciiTheme="majorBidi" w:hAnsiTheme="majorBidi" w:cstheme="majorBidi"/>
                <w:sz w:val="16"/>
                <w:szCs w:val="16"/>
                <w:lang w:eastAsia="de-DE"/>
              </w:rPr>
              <w:br/>
              <w:t>(5-10°C)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CC041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C5B78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A1D9ED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6362D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8D2B50E"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78BEB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394A27"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DE5B37"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5E046E"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DCBED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917217"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30D2BEE3" w14:textId="77777777" w:rsidR="004F5FF9" w:rsidRPr="00524D52" w:rsidRDefault="004F5FF9" w:rsidP="002C7EDF">
            <w:pPr>
              <w:suppressAutoHyphens w:val="0"/>
              <w:spacing w:line="240" w:lineRule="auto"/>
              <w:jc w:val="center"/>
              <w:rPr>
                <w:rFonts w:asciiTheme="majorBidi" w:hAnsiTheme="majorBidi" w:cstheme="majorBidi"/>
                <w:color w:val="C00000"/>
                <w:sz w:val="16"/>
                <w:szCs w:val="16"/>
                <w:lang w:eastAsia="de-DE"/>
              </w:rPr>
            </w:pPr>
          </w:p>
        </w:tc>
      </w:tr>
      <w:tr w:rsidR="004F5FF9" w:rsidRPr="00524D52" w14:paraId="1499C29D"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CFE7F73"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6C321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Air temperature effect on tyre noise (10-40°C)</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CAC25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2,20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8DAA7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3,60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9D0850B"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2,67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8CE895"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C3AA6B"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0,60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6DA24F"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0,772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F8AFEE"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21,9%</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82016C"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7D5C6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4EE941"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575CE6"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2D93A7D1" w14:textId="77777777" w:rsidR="004F5FF9" w:rsidRPr="00524D52" w:rsidRDefault="004F5FF9" w:rsidP="002C7EDF">
            <w:pPr>
              <w:suppressAutoHyphens w:val="0"/>
              <w:spacing w:line="240" w:lineRule="auto"/>
              <w:jc w:val="center"/>
              <w:rPr>
                <w:rFonts w:asciiTheme="majorBidi" w:hAnsiTheme="majorBidi" w:cstheme="majorBidi"/>
                <w:color w:val="C00000"/>
                <w:sz w:val="16"/>
                <w:szCs w:val="16"/>
                <w:lang w:eastAsia="de-DE"/>
              </w:rPr>
            </w:pPr>
          </w:p>
        </w:tc>
      </w:tr>
      <w:tr w:rsidR="004F5FF9" w:rsidRPr="00524D52" w14:paraId="6A354087"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9CBB1A9"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6B9C2D"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Varying background noise during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5346E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D3327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3436AA1"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5E57E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5F730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CD27F6"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0,000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8306B2"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CA4BE1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1D79F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0DD7529"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E4A412"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3077423F" w14:textId="77777777" w:rsidR="004F5FF9" w:rsidRPr="00524D52" w:rsidRDefault="004F5FF9" w:rsidP="002C7EDF">
            <w:pPr>
              <w:suppressAutoHyphens w:val="0"/>
              <w:spacing w:line="240" w:lineRule="auto"/>
              <w:jc w:val="center"/>
              <w:rPr>
                <w:rFonts w:asciiTheme="majorBidi" w:hAnsiTheme="majorBidi" w:cstheme="majorBidi"/>
                <w:color w:val="C00000"/>
                <w:sz w:val="16"/>
                <w:szCs w:val="16"/>
                <w:lang w:eastAsia="de-DE"/>
              </w:rPr>
            </w:pPr>
          </w:p>
        </w:tc>
      </w:tr>
      <w:tr w:rsidR="004F5FF9" w:rsidRPr="00524D52" w14:paraId="3A5627F0" w14:textId="77777777" w:rsidTr="00840DA9">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7F96C7D"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C3AB09"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Air intake temperature variation</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8557E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1,60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8923E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9328A70"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1,06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F5D5C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1662F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0,09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DFA8B9"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0,305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5898E0"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3,4%</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ED90C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D8267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488CF5"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5451CB"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07D2BAD5" w14:textId="77777777" w:rsidR="004F5FF9" w:rsidRPr="00524D52" w:rsidRDefault="004F5FF9" w:rsidP="002C7EDF">
            <w:pPr>
              <w:suppressAutoHyphens w:val="0"/>
              <w:spacing w:line="240" w:lineRule="auto"/>
              <w:jc w:val="center"/>
              <w:rPr>
                <w:rFonts w:asciiTheme="majorBidi" w:hAnsiTheme="majorBidi" w:cstheme="majorBidi"/>
                <w:color w:val="C00000"/>
                <w:sz w:val="16"/>
                <w:szCs w:val="16"/>
                <w:lang w:eastAsia="de-DE"/>
              </w:rPr>
            </w:pPr>
          </w:p>
        </w:tc>
      </w:tr>
      <w:tr w:rsidR="004F5FF9" w:rsidRPr="00524D52" w14:paraId="5575F71F" w14:textId="77777777" w:rsidTr="00840DA9">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64702A0"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3C5ED6"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Residual humidity on 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0EFFBF"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0,90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763194"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2,10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358E9E2"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1,31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116B4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84C6285"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6C743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0,377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B32B09"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5,2%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086D5ED"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C9E73F"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B9495A"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2401070"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6EC34D36" w14:textId="77777777" w:rsidR="004F5FF9" w:rsidRPr="00524D52" w:rsidRDefault="004F5FF9" w:rsidP="002C7EDF">
            <w:pPr>
              <w:suppressAutoHyphens w:val="0"/>
              <w:spacing w:line="240" w:lineRule="auto"/>
              <w:jc w:val="center"/>
              <w:rPr>
                <w:rFonts w:asciiTheme="majorBidi" w:hAnsiTheme="majorBidi" w:cstheme="majorBidi"/>
                <w:color w:val="C00000"/>
                <w:sz w:val="16"/>
                <w:szCs w:val="16"/>
                <w:lang w:eastAsia="de-DE"/>
              </w:rPr>
            </w:pPr>
          </w:p>
        </w:tc>
      </w:tr>
      <w:tr w:rsidR="004F5FF9" w:rsidRPr="00524D52" w14:paraId="616493C5" w14:textId="77777777" w:rsidTr="00840DA9">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963D66" w14:textId="77777777" w:rsidR="004F5FF9" w:rsidRPr="00524D52" w:rsidRDefault="004F5FF9" w:rsidP="002C7EDF">
            <w:pPr>
              <w:suppressAutoHyphens w:val="0"/>
              <w:spacing w:line="240" w:lineRule="auto"/>
              <w:ind w:left="113" w:right="113"/>
              <w:jc w:val="center"/>
              <w:rPr>
                <w:rFonts w:asciiTheme="majorBidi" w:hAnsiTheme="majorBidi" w:cstheme="majorBidi"/>
                <w:b/>
                <w:bCs/>
                <w:sz w:val="16"/>
                <w:szCs w:val="16"/>
                <w:lang w:eastAsia="de-DE"/>
              </w:rPr>
            </w:pPr>
            <w:r w:rsidRPr="00524D52">
              <w:rPr>
                <w:rFonts w:asciiTheme="majorBidi" w:hAnsiTheme="majorBidi" w:cstheme="majorBidi"/>
                <w:b/>
                <w:bCs/>
                <w:sz w:val="16"/>
                <w:szCs w:val="16"/>
                <w:lang w:eastAsia="de-DE"/>
              </w:rPr>
              <w:t>Site to Site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BE436E"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Altitude (Location of Track) </w:t>
            </w:r>
            <w:r w:rsidRPr="00524D52">
              <w:rPr>
                <w:rFonts w:asciiTheme="majorBidi" w:hAnsiTheme="majorBidi" w:cstheme="majorBidi"/>
                <w:sz w:val="16"/>
                <w:szCs w:val="16"/>
                <w:lang w:eastAsia="de-DE"/>
              </w:rPr>
              <w:br/>
              <w:t>-100 hPa/1000m  (fr.1015 to 915 hPa)</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2D907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0,70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0C770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0,70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93F3828"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0,70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5A56F6"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C6DB94"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E2B02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0,202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F8CBDE1"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484A" w14:textId="162694F4" w:rsidR="004F5FF9" w:rsidRPr="00524D52" w:rsidRDefault="002963A8" w:rsidP="002963A8">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1,24</w:t>
            </w:r>
            <w:r w:rsidR="004F5FF9" w:rsidRPr="00524D52">
              <w:rPr>
                <w:rFonts w:asciiTheme="majorBidi" w:hAnsiTheme="majorBidi" w:cstheme="majorBidi"/>
                <w:sz w:val="16"/>
                <w:szCs w:val="16"/>
                <w:lang w:eastAsia="de-DE"/>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B19C5"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88111" w14:textId="16AF87A1" w:rsidR="004F5FF9" w:rsidRPr="00524D52" w:rsidRDefault="007522DC"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0,62</w:t>
            </w:r>
            <w:r w:rsidR="004F5FF9" w:rsidRPr="00524D52">
              <w:rPr>
                <w:rFonts w:asciiTheme="majorBidi" w:hAnsiTheme="majorBidi" w:cstheme="majorBidi"/>
                <w:sz w:val="16"/>
                <w:szCs w:val="16"/>
                <w:lang w:eastAsia="de-DE"/>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C5599" w14:textId="566E796C" w:rsidR="004F5FF9" w:rsidRPr="00524D52" w:rsidRDefault="007522DC"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1,24</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6D7CA220" w14:textId="23A08170" w:rsidR="004F5FF9" w:rsidRPr="00524D52" w:rsidRDefault="00031865"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2,</w:t>
            </w:r>
            <w:r w:rsidR="00EB556C">
              <w:rPr>
                <w:rFonts w:asciiTheme="majorBidi" w:hAnsiTheme="majorBidi" w:cstheme="majorBidi"/>
                <w:sz w:val="16"/>
                <w:szCs w:val="16"/>
                <w:lang w:eastAsia="de-DE"/>
              </w:rPr>
              <w:t>5</w:t>
            </w:r>
          </w:p>
        </w:tc>
      </w:tr>
      <w:tr w:rsidR="004F5FF9" w:rsidRPr="00524D52" w14:paraId="6BAA74DA"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6A85C701" w14:textId="77777777" w:rsidR="004F5FF9" w:rsidRPr="00524D52" w:rsidRDefault="004F5FF9" w:rsidP="002C7EDF">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0546C"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236BA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3,40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E5DD40"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5,50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065DC8E"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4,11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CB1A9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C8C98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1,41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E75D3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1,187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EFCA6B"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51,8%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13530A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0978574"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E77B5F"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74C940"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515958A4"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6DE12DBC"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551B0E8" w14:textId="77777777" w:rsidR="004F5FF9" w:rsidRPr="00524D52" w:rsidRDefault="004F5FF9" w:rsidP="002C7EDF">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FC625D"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565876"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1,00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8C761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1,00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89A43CB"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1,00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277F84"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353AA59"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BABF1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0,250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40EBDD"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A52AFF"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6F247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CD6F366"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4467CC"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544ECB7C"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571CB26E"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72A46F64" w14:textId="77777777" w:rsidR="004F5FF9" w:rsidRPr="00524D52" w:rsidRDefault="004F5FF9" w:rsidP="002C7EDF">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525753"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ECD8B4"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424B2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54A083D"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2AC34F"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937B8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F79F80"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0,125</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AEABB9"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0,6%</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CFE90D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D07E153"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5BF6BB"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154C0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4511CE1B"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79B1559C"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02F610E3" w14:textId="77777777" w:rsidR="004F5FF9" w:rsidRPr="00524D52" w:rsidRDefault="004F5FF9" w:rsidP="002C7EDF">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F28FA9"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Speed measuring equipment continuous at PP</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7E0CE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C1E7D6"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E7E87E"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0,10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EE50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35A479"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F388C0"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0,029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D222F1"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932E53"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64F787"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78B38F"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8D53A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vAlign w:val="center"/>
          </w:tcPr>
          <w:p w14:paraId="31CF5309"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08D83E83" w14:textId="77777777" w:rsidTr="00840DA9">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232E3D9B" w14:textId="77777777" w:rsidR="004F5FF9" w:rsidRPr="00524D52" w:rsidRDefault="004F5FF9" w:rsidP="002C7EDF">
            <w:pPr>
              <w:suppressAutoHyphens w:val="0"/>
              <w:spacing w:line="240" w:lineRule="auto"/>
              <w:ind w:left="113" w:right="113"/>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FE279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Acceleration calculation from vehicle speed measurement</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40D1B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BA7D34"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E61E2F2"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4C3A7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6B342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0,02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BBB4A0"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0,144 </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0D2169"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0,8%</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C79755"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0557B9"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02FE64" w14:textId="77777777" w:rsidR="004F5FF9" w:rsidRPr="00524D52" w:rsidRDefault="004F5FF9" w:rsidP="002C7EDF">
            <w:pPr>
              <w:suppressAutoHyphens w:val="0"/>
              <w:spacing w:line="240" w:lineRule="auto"/>
              <w:rPr>
                <w:rFonts w:asciiTheme="majorBidi"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9E631C7"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bottom w:val="single" w:sz="4" w:space="0" w:color="auto"/>
              <w:right w:val="single" w:sz="4" w:space="0" w:color="auto"/>
            </w:tcBorders>
            <w:shd w:val="clear" w:color="auto" w:fill="E7E6E6" w:themeFill="background2"/>
            <w:vAlign w:val="center"/>
          </w:tcPr>
          <w:p w14:paraId="0F108C04"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p>
        </w:tc>
      </w:tr>
      <w:tr w:rsidR="004F5FF9" w:rsidRPr="00524D52" w14:paraId="58E90179" w14:textId="77777777" w:rsidTr="00840DA9">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6AE2DEE2" w14:textId="77777777" w:rsidR="004F5FF9" w:rsidRPr="00524D52" w:rsidRDefault="004F5FF9" w:rsidP="002C7EDF">
            <w:pPr>
              <w:suppressAutoHyphens w:val="0"/>
              <w:spacing w:line="240" w:lineRule="auto"/>
              <w:ind w:left="113" w:right="113"/>
              <w:jc w:val="center"/>
              <w:rPr>
                <w:rFonts w:asciiTheme="majorBidi" w:hAnsiTheme="majorBidi" w:cstheme="majorBidi"/>
                <w:b/>
                <w:bCs/>
                <w:sz w:val="16"/>
                <w:szCs w:val="16"/>
                <w:lang w:eastAsia="de-DE"/>
              </w:rPr>
            </w:pPr>
            <w:r w:rsidRPr="00524D52">
              <w:rPr>
                <w:rFonts w:asciiTheme="majorBidi" w:hAnsiTheme="majorBidi" w:cstheme="majorBidi"/>
                <w:b/>
                <w:bCs/>
                <w:sz w:val="16"/>
                <w:szCs w:val="16"/>
                <w:lang w:eastAsia="de-DE"/>
              </w:rPr>
              <w:t>Vehicle to Vehicle</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8D8641"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6432B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FAA525"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C9E5049"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1,04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7AE42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905C4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0,07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31DA8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0,259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993DBD"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2,5%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6E26D8E" w14:textId="71ACE63E" w:rsidR="004F5FF9" w:rsidRPr="00524D52" w:rsidRDefault="006717C2"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0,57</w:t>
            </w:r>
            <w:r w:rsidR="004F5FF9" w:rsidRPr="00524D52">
              <w:rPr>
                <w:rFonts w:asciiTheme="majorBidi" w:hAnsiTheme="majorBidi" w:cstheme="majorBidi"/>
                <w:sz w:val="16"/>
                <w:szCs w:val="16"/>
                <w:lang w:eastAsia="de-DE"/>
              </w:rPr>
              <w:t xml:space="preserve">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379197A9"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773F546" w14:textId="5CA95BC9" w:rsidR="004F5FF9" w:rsidRPr="00524D52" w:rsidRDefault="006717C2"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0,57</w:t>
            </w:r>
            <w:r w:rsidR="004F5FF9" w:rsidRPr="00524D52">
              <w:rPr>
                <w:rFonts w:asciiTheme="majorBidi" w:hAnsiTheme="majorBidi" w:cstheme="majorBidi"/>
                <w:sz w:val="16"/>
                <w:szCs w:val="16"/>
                <w:lang w:eastAsia="de-DE"/>
              </w:rPr>
              <w:t xml:space="preserve">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6957830" w14:textId="3CB98F8E" w:rsidR="004F5FF9" w:rsidRPr="00524D52" w:rsidRDefault="006717C2"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0,57</w:t>
            </w:r>
          </w:p>
        </w:tc>
        <w:tc>
          <w:tcPr>
            <w:tcW w:w="567" w:type="dxa"/>
            <w:vMerge w:val="restart"/>
            <w:tcBorders>
              <w:top w:val="single" w:sz="4" w:space="0" w:color="auto"/>
              <w:left w:val="single" w:sz="4" w:space="0" w:color="auto"/>
              <w:right w:val="single" w:sz="4" w:space="0" w:color="auto"/>
            </w:tcBorders>
            <w:shd w:val="clear" w:color="auto" w:fill="E7E6E6" w:themeFill="background2"/>
            <w:vAlign w:val="center"/>
          </w:tcPr>
          <w:p w14:paraId="0F30A9A6" w14:textId="5E3A676A" w:rsidR="004F5FF9" w:rsidRPr="00524D52" w:rsidRDefault="00EB556C" w:rsidP="002C7EDF">
            <w:pPr>
              <w:suppressAutoHyphens w:val="0"/>
              <w:spacing w:line="240" w:lineRule="auto"/>
              <w:jc w:val="center"/>
              <w:rPr>
                <w:rFonts w:asciiTheme="majorBidi" w:hAnsiTheme="majorBidi" w:cstheme="majorBidi"/>
                <w:sz w:val="16"/>
                <w:szCs w:val="16"/>
                <w:lang w:eastAsia="de-DE"/>
              </w:rPr>
            </w:pPr>
            <w:r>
              <w:rPr>
                <w:rFonts w:asciiTheme="majorBidi" w:hAnsiTheme="majorBidi" w:cstheme="majorBidi"/>
                <w:sz w:val="16"/>
                <w:szCs w:val="16"/>
                <w:lang w:eastAsia="de-DE"/>
              </w:rPr>
              <w:t>1,1</w:t>
            </w:r>
          </w:p>
        </w:tc>
      </w:tr>
      <w:tr w:rsidR="004F5FF9" w:rsidRPr="00524D52" w14:paraId="5C902C57" w14:textId="77777777" w:rsidTr="00840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DEA5353"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8B8539"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Tyres at minimum tread depth</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82AF1B"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8458A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049E133"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51416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46BC60"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0,04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B56BF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0,209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FAD7D0"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1,8%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D36350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39DCD9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7E44D80"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C7E242E"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tcPr>
          <w:p w14:paraId="4E3EDC24"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r>
      <w:tr w:rsidR="004F5FF9" w:rsidRPr="00524D52" w14:paraId="47B24C79" w14:textId="77777777" w:rsidTr="00840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201E897"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3E449A4F"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Variation on Tyre Size and Brand </w:t>
            </w:r>
            <w:r w:rsidRPr="00524D52">
              <w:rPr>
                <w:rFonts w:asciiTheme="majorBidi" w:hAnsiTheme="majorBidi" w:cstheme="majorBidi"/>
                <w:sz w:val="16"/>
                <w:szCs w:val="16"/>
                <w:lang w:eastAsia="de-DE"/>
              </w:rPr>
              <w:br/>
              <w:t>(non-OEM)</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8E09E0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0C1BE191"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24A93BCA"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676C22"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19AC0D3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7884185F"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A7FE74"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DD9916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EAC7149"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882FF4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488D12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tcPr>
          <w:p w14:paraId="0FCD07D6"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r>
      <w:tr w:rsidR="004F5FF9" w:rsidRPr="00524D52" w14:paraId="38FE6759" w14:textId="77777777" w:rsidTr="00840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1E2C8C7C"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2E163250"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2494E28F"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7EC443F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0,40</w:t>
            </w:r>
          </w:p>
        </w:tc>
        <w:tc>
          <w:tcPr>
            <w:tcW w:w="425" w:type="dxa"/>
            <w:tcBorders>
              <w:top w:val="nil"/>
              <w:left w:val="nil"/>
              <w:bottom w:val="single" w:sz="4" w:space="0" w:color="auto"/>
              <w:right w:val="single" w:sz="4" w:space="0" w:color="auto"/>
            </w:tcBorders>
            <w:shd w:val="clear" w:color="auto" w:fill="auto"/>
            <w:noWrap/>
            <w:vAlign w:val="center"/>
            <w:hideMark/>
          </w:tcPr>
          <w:p w14:paraId="4A704787"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0,40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74D5FE"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2D4243D9"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0,01 </w:t>
            </w:r>
          </w:p>
        </w:tc>
        <w:tc>
          <w:tcPr>
            <w:tcW w:w="567" w:type="dxa"/>
            <w:tcBorders>
              <w:top w:val="nil"/>
              <w:left w:val="nil"/>
              <w:bottom w:val="single" w:sz="4" w:space="0" w:color="auto"/>
              <w:right w:val="single" w:sz="4" w:space="0" w:color="auto"/>
            </w:tcBorders>
            <w:shd w:val="clear" w:color="auto" w:fill="auto"/>
            <w:vAlign w:val="center"/>
            <w:hideMark/>
          </w:tcPr>
          <w:p w14:paraId="623195C0"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0,115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4AD040"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0,5%</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823F780"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6DAB194"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6EDB70ED"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3881F18"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tcPr>
          <w:p w14:paraId="481DC43E"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r>
      <w:tr w:rsidR="004F5FF9" w:rsidRPr="00524D52" w14:paraId="64D97851" w14:textId="77777777" w:rsidTr="00840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12CF9F98"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422A5107"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Battery state of charge for HEVs </w:t>
            </w:r>
            <w:r w:rsidRPr="00524D52">
              <w:rPr>
                <w:rFonts w:asciiTheme="majorBidi" w:hAnsiTheme="majorBidi" w:cstheme="majorBidi"/>
                <w:sz w:val="16"/>
                <w:szCs w:val="16"/>
                <w:lang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6C7345F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1D501F6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25D2547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0FF381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nil"/>
              <w:left w:val="nil"/>
              <w:bottom w:val="single" w:sz="4" w:space="0" w:color="auto"/>
              <w:right w:val="single" w:sz="4" w:space="0" w:color="auto"/>
            </w:tcBorders>
            <w:shd w:val="clear" w:color="auto" w:fill="auto"/>
            <w:vAlign w:val="center"/>
            <w:hideMark/>
          </w:tcPr>
          <w:p w14:paraId="2A17A28C"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 </w:t>
            </w:r>
          </w:p>
        </w:tc>
        <w:tc>
          <w:tcPr>
            <w:tcW w:w="567" w:type="dxa"/>
            <w:tcBorders>
              <w:top w:val="nil"/>
              <w:left w:val="nil"/>
              <w:bottom w:val="single" w:sz="4" w:space="0" w:color="auto"/>
              <w:right w:val="single" w:sz="4" w:space="0" w:color="auto"/>
            </w:tcBorders>
            <w:shd w:val="clear" w:color="auto" w:fill="auto"/>
            <w:vAlign w:val="center"/>
            <w:hideMark/>
          </w:tcPr>
          <w:p w14:paraId="67C3A6AE"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0,000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DE4889"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0,0%</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5919C1F"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E1EF767"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505EF5A"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FBC2DBC"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tcPr>
          <w:p w14:paraId="41333733"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r>
      <w:tr w:rsidR="004F5FF9" w:rsidRPr="00524D52" w14:paraId="7EFC4546" w14:textId="77777777" w:rsidTr="00840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05E99EA2"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nil"/>
              <w:left w:val="nil"/>
              <w:bottom w:val="single" w:sz="4" w:space="0" w:color="auto"/>
              <w:right w:val="single" w:sz="4" w:space="0" w:color="auto"/>
            </w:tcBorders>
            <w:shd w:val="clear" w:color="auto" w:fill="FFFFFF" w:themeFill="background1"/>
            <w:vAlign w:val="center"/>
            <w:hideMark/>
          </w:tcPr>
          <w:p w14:paraId="6E777335"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hideMark/>
          </w:tcPr>
          <w:p w14:paraId="778BA79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1,10</w:t>
            </w:r>
          </w:p>
        </w:tc>
        <w:tc>
          <w:tcPr>
            <w:tcW w:w="426" w:type="dxa"/>
            <w:tcBorders>
              <w:top w:val="nil"/>
              <w:left w:val="nil"/>
              <w:bottom w:val="single" w:sz="4" w:space="0" w:color="auto"/>
              <w:right w:val="single" w:sz="4" w:space="0" w:color="auto"/>
            </w:tcBorders>
            <w:shd w:val="clear" w:color="auto" w:fill="FFFFFF" w:themeFill="background1"/>
            <w:vAlign w:val="center"/>
            <w:hideMark/>
          </w:tcPr>
          <w:p w14:paraId="43A96F6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0,00</w:t>
            </w:r>
          </w:p>
        </w:tc>
        <w:tc>
          <w:tcPr>
            <w:tcW w:w="425" w:type="dxa"/>
            <w:tcBorders>
              <w:top w:val="nil"/>
              <w:left w:val="nil"/>
              <w:bottom w:val="single" w:sz="4" w:space="0" w:color="auto"/>
              <w:right w:val="single" w:sz="4" w:space="0" w:color="auto"/>
            </w:tcBorders>
            <w:shd w:val="clear" w:color="auto" w:fill="auto"/>
            <w:noWrap/>
            <w:vAlign w:val="center"/>
            <w:hideMark/>
          </w:tcPr>
          <w:p w14:paraId="56247027"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0,73 </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EF73E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gaussian</w:t>
            </w:r>
          </w:p>
        </w:tc>
        <w:tc>
          <w:tcPr>
            <w:tcW w:w="567" w:type="dxa"/>
            <w:tcBorders>
              <w:top w:val="nil"/>
              <w:left w:val="nil"/>
              <w:bottom w:val="single" w:sz="4" w:space="0" w:color="auto"/>
              <w:right w:val="single" w:sz="4" w:space="0" w:color="auto"/>
            </w:tcBorders>
            <w:shd w:val="clear" w:color="auto" w:fill="auto"/>
            <w:vAlign w:val="center"/>
            <w:hideMark/>
          </w:tcPr>
          <w:p w14:paraId="533EB97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0,03 </w:t>
            </w:r>
          </w:p>
        </w:tc>
        <w:tc>
          <w:tcPr>
            <w:tcW w:w="567" w:type="dxa"/>
            <w:tcBorders>
              <w:top w:val="nil"/>
              <w:left w:val="nil"/>
              <w:bottom w:val="single" w:sz="4" w:space="0" w:color="auto"/>
              <w:right w:val="single" w:sz="4" w:space="0" w:color="auto"/>
            </w:tcBorders>
            <w:shd w:val="clear" w:color="auto" w:fill="auto"/>
            <w:vAlign w:val="center"/>
            <w:hideMark/>
          </w:tcPr>
          <w:p w14:paraId="285ED650"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0,182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509619"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1,2%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39B3186"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3C79F7E"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C3E9F5B"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974463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right w:val="single" w:sz="4" w:space="0" w:color="auto"/>
            </w:tcBorders>
            <w:shd w:val="clear" w:color="auto" w:fill="E7E6E6" w:themeFill="background2"/>
          </w:tcPr>
          <w:p w14:paraId="1CB5A15E"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r>
      <w:tr w:rsidR="004F5FF9" w:rsidRPr="00524D52" w14:paraId="0DA24C8B" w14:textId="77777777" w:rsidTr="00840DA9">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2EFA7C20" w14:textId="77777777" w:rsidR="004F5FF9" w:rsidRPr="00524D52" w:rsidRDefault="004F5FF9" w:rsidP="002C7EDF">
            <w:pPr>
              <w:suppressAutoHyphens w:val="0"/>
              <w:spacing w:line="240" w:lineRule="auto"/>
              <w:rPr>
                <w:rFonts w:asciiTheme="majorBidi" w:hAnsiTheme="majorBidi" w:cstheme="majorBidi"/>
                <w:b/>
                <w:bCs/>
                <w:sz w:val="16"/>
                <w:szCs w:val="16"/>
                <w:lang w:eastAsia="de-DE"/>
              </w:rPr>
            </w:pPr>
          </w:p>
        </w:tc>
        <w:tc>
          <w:tcPr>
            <w:tcW w:w="2693" w:type="dxa"/>
            <w:tcBorders>
              <w:top w:val="single" w:sz="4" w:space="0" w:color="auto"/>
              <w:left w:val="nil"/>
              <w:bottom w:val="single" w:sz="12" w:space="0" w:color="auto"/>
              <w:right w:val="single" w:sz="4" w:space="0" w:color="auto"/>
            </w:tcBorders>
            <w:shd w:val="clear" w:color="auto" w:fill="FFFFFF" w:themeFill="background1"/>
            <w:vAlign w:val="center"/>
            <w:hideMark/>
          </w:tcPr>
          <w:p w14:paraId="5A78AE77"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r w:rsidRPr="00524D52">
              <w:rPr>
                <w:rFonts w:asciiTheme="majorBidi" w:hAnsiTheme="majorBidi" w:cstheme="majorBidi"/>
                <w:sz w:val="16"/>
                <w:szCs w:val="16"/>
                <w:lang w:eastAsia="de-DE"/>
              </w:rPr>
              <w:t>Impact of variation of vehicle mass</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hideMark/>
          </w:tcPr>
          <w:p w14:paraId="62C9F913"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1,60</w:t>
            </w:r>
          </w:p>
        </w:tc>
        <w:tc>
          <w:tcPr>
            <w:tcW w:w="426" w:type="dxa"/>
            <w:tcBorders>
              <w:top w:val="single" w:sz="4" w:space="0" w:color="auto"/>
              <w:left w:val="nil"/>
              <w:bottom w:val="single" w:sz="12" w:space="0" w:color="auto"/>
              <w:right w:val="single" w:sz="4" w:space="0" w:color="auto"/>
            </w:tcBorders>
            <w:shd w:val="clear" w:color="auto" w:fill="FFFFFF" w:themeFill="background1"/>
            <w:vAlign w:val="center"/>
            <w:hideMark/>
          </w:tcPr>
          <w:p w14:paraId="796532AD"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1,60</w:t>
            </w:r>
          </w:p>
        </w:tc>
        <w:tc>
          <w:tcPr>
            <w:tcW w:w="425" w:type="dxa"/>
            <w:tcBorders>
              <w:top w:val="single" w:sz="4" w:space="0" w:color="auto"/>
              <w:left w:val="nil"/>
              <w:bottom w:val="single" w:sz="12" w:space="0" w:color="auto"/>
              <w:right w:val="single" w:sz="4" w:space="0" w:color="auto"/>
            </w:tcBorders>
            <w:shd w:val="clear" w:color="auto" w:fill="auto"/>
            <w:noWrap/>
            <w:vAlign w:val="center"/>
            <w:hideMark/>
          </w:tcPr>
          <w:p w14:paraId="3A5622D0"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 xml:space="preserve">1,60 </w:t>
            </w: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hideMark/>
          </w:tcPr>
          <w:p w14:paraId="15826B18"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rectangular</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47532FEA"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0,21 </w:t>
            </w:r>
          </w:p>
        </w:tc>
        <w:tc>
          <w:tcPr>
            <w:tcW w:w="567" w:type="dxa"/>
            <w:tcBorders>
              <w:top w:val="single" w:sz="4" w:space="0" w:color="auto"/>
              <w:left w:val="nil"/>
              <w:bottom w:val="single" w:sz="12" w:space="0" w:color="auto"/>
              <w:right w:val="single" w:sz="4" w:space="0" w:color="auto"/>
            </w:tcBorders>
            <w:shd w:val="clear" w:color="auto" w:fill="auto"/>
            <w:vAlign w:val="center"/>
            <w:hideMark/>
          </w:tcPr>
          <w:p w14:paraId="5D6206B0" w14:textId="77777777" w:rsidR="004F5FF9" w:rsidRPr="00524D52" w:rsidRDefault="004F5FF9" w:rsidP="002C7EDF">
            <w:pPr>
              <w:suppressAutoHyphens w:val="0"/>
              <w:spacing w:line="240" w:lineRule="auto"/>
              <w:jc w:val="center"/>
              <w:rPr>
                <w:rFonts w:asciiTheme="majorBidi" w:hAnsiTheme="majorBidi" w:cstheme="majorBidi"/>
                <w:sz w:val="16"/>
                <w:szCs w:val="16"/>
                <w:lang w:eastAsia="de-DE"/>
              </w:rPr>
            </w:pPr>
            <w:r w:rsidRPr="00524D52">
              <w:rPr>
                <w:rFonts w:asciiTheme="majorBidi" w:hAnsiTheme="majorBidi" w:cstheme="majorBidi"/>
                <w:sz w:val="16"/>
                <w:szCs w:val="16"/>
                <w:lang w:eastAsia="de-DE"/>
              </w:rPr>
              <w:t xml:space="preserve">0,462 </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hideMark/>
          </w:tcPr>
          <w:p w14:paraId="14A7703F" w14:textId="77777777" w:rsidR="004F5FF9" w:rsidRPr="00524D52" w:rsidRDefault="004F5FF9" w:rsidP="002C7EDF">
            <w:pPr>
              <w:suppressAutoHyphens w:val="0"/>
              <w:spacing w:line="240" w:lineRule="auto"/>
              <w:jc w:val="center"/>
              <w:rPr>
                <w:rFonts w:asciiTheme="majorBidi" w:hAnsiTheme="majorBidi" w:cstheme="majorBidi"/>
                <w:color w:val="000000"/>
                <w:sz w:val="16"/>
                <w:szCs w:val="16"/>
                <w:lang w:eastAsia="de-DE"/>
              </w:rPr>
            </w:pPr>
            <w:r w:rsidRPr="00524D52">
              <w:rPr>
                <w:rFonts w:asciiTheme="majorBidi" w:hAnsiTheme="majorBidi" w:cstheme="majorBidi"/>
                <w:color w:val="000000"/>
                <w:sz w:val="16"/>
                <w:szCs w:val="16"/>
                <w:lang w:eastAsia="de-DE"/>
              </w:rPr>
              <w:t>7,8%</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689E059"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270B0C4"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83A218C"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925E99A"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c>
          <w:tcPr>
            <w:tcW w:w="567" w:type="dxa"/>
            <w:vMerge/>
            <w:tcBorders>
              <w:left w:val="single" w:sz="4" w:space="0" w:color="auto"/>
              <w:bottom w:val="single" w:sz="12" w:space="0" w:color="auto"/>
              <w:right w:val="single" w:sz="4" w:space="0" w:color="auto"/>
            </w:tcBorders>
            <w:shd w:val="clear" w:color="auto" w:fill="E7E6E6" w:themeFill="background2"/>
          </w:tcPr>
          <w:p w14:paraId="4E7F8872" w14:textId="77777777" w:rsidR="004F5FF9" w:rsidRPr="00524D52" w:rsidRDefault="004F5FF9" w:rsidP="002C7EDF">
            <w:pPr>
              <w:suppressAutoHyphens w:val="0"/>
              <w:spacing w:line="240" w:lineRule="auto"/>
              <w:rPr>
                <w:rFonts w:asciiTheme="majorBidi" w:hAnsiTheme="majorBidi" w:cstheme="majorBidi"/>
                <w:sz w:val="16"/>
                <w:szCs w:val="16"/>
                <w:lang w:eastAsia="de-DE"/>
              </w:rPr>
            </w:pPr>
          </w:p>
        </w:tc>
      </w:tr>
      <w:tr w:rsidR="004F5FF9" w:rsidRPr="00524D52" w14:paraId="78719B48" w14:textId="77777777" w:rsidTr="009C053C">
        <w:trPr>
          <w:trHeight w:val="162"/>
        </w:trPr>
        <w:tc>
          <w:tcPr>
            <w:tcW w:w="426" w:type="dxa"/>
            <w:tcBorders>
              <w:top w:val="single" w:sz="12" w:space="0" w:color="auto"/>
              <w:left w:val="nil"/>
              <w:right w:val="nil"/>
            </w:tcBorders>
            <w:shd w:val="clear" w:color="000000" w:fill="FFFFFF"/>
            <w:vAlign w:val="center"/>
            <w:hideMark/>
          </w:tcPr>
          <w:p w14:paraId="265F1CC8" w14:textId="77777777" w:rsidR="004F5FF9" w:rsidRPr="00524D52" w:rsidRDefault="004F5FF9" w:rsidP="002C7EDF">
            <w:pPr>
              <w:suppressAutoHyphens w:val="0"/>
              <w:spacing w:line="240" w:lineRule="auto"/>
              <w:jc w:val="center"/>
              <w:rPr>
                <w:rFonts w:asciiTheme="majorBidi" w:hAnsiTheme="majorBidi" w:cstheme="majorBidi"/>
                <w:b/>
                <w:bCs/>
                <w:color w:val="9C6500"/>
                <w:sz w:val="18"/>
                <w:szCs w:val="18"/>
                <w:lang w:eastAsia="de-DE"/>
              </w:rPr>
            </w:pPr>
            <w:r w:rsidRPr="00524D52">
              <w:rPr>
                <w:rFonts w:asciiTheme="majorBidi" w:hAnsiTheme="majorBidi" w:cstheme="majorBidi"/>
                <w:b/>
                <w:bCs/>
                <w:color w:val="9C6500"/>
                <w:sz w:val="18"/>
                <w:szCs w:val="18"/>
                <w:lang w:eastAsia="de-DE"/>
              </w:rPr>
              <w:t> </w:t>
            </w:r>
          </w:p>
        </w:tc>
        <w:tc>
          <w:tcPr>
            <w:tcW w:w="2693" w:type="dxa"/>
            <w:tcBorders>
              <w:top w:val="single" w:sz="12" w:space="0" w:color="auto"/>
              <w:left w:val="nil"/>
              <w:right w:val="nil"/>
            </w:tcBorders>
            <w:shd w:val="clear" w:color="000000" w:fill="FFFFFF"/>
            <w:vAlign w:val="center"/>
            <w:hideMark/>
          </w:tcPr>
          <w:p w14:paraId="29DFE58C" w14:textId="77777777" w:rsidR="004F5FF9" w:rsidRPr="00524D52" w:rsidRDefault="004F5FF9" w:rsidP="002C7EDF">
            <w:pPr>
              <w:suppressAutoHyphens w:val="0"/>
              <w:spacing w:line="240" w:lineRule="auto"/>
              <w:rPr>
                <w:rFonts w:asciiTheme="majorBidi" w:hAnsiTheme="majorBidi" w:cstheme="majorBidi"/>
                <w:sz w:val="18"/>
                <w:szCs w:val="18"/>
                <w:lang w:eastAsia="de-DE"/>
              </w:rPr>
            </w:pPr>
            <w:r w:rsidRPr="00524D52">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hideMark/>
          </w:tcPr>
          <w:p w14:paraId="0D75EAE1" w14:textId="77777777" w:rsidR="004F5FF9" w:rsidRPr="00524D52" w:rsidRDefault="004F5FF9" w:rsidP="002C7EDF">
            <w:pPr>
              <w:suppressAutoHyphens w:val="0"/>
              <w:spacing w:line="240" w:lineRule="auto"/>
              <w:rPr>
                <w:rFonts w:asciiTheme="majorBidi" w:hAnsiTheme="majorBidi" w:cstheme="majorBidi"/>
                <w:sz w:val="18"/>
                <w:szCs w:val="18"/>
                <w:lang w:eastAsia="de-DE"/>
              </w:rPr>
            </w:pPr>
            <w:r w:rsidRPr="00524D52">
              <w:rPr>
                <w:rFonts w:asciiTheme="majorBidi" w:hAnsiTheme="majorBidi" w:cstheme="majorBidi"/>
                <w:sz w:val="18"/>
                <w:szCs w:val="18"/>
                <w:lang w:eastAsia="de-DE"/>
              </w:rPr>
              <w:t> </w:t>
            </w:r>
          </w:p>
        </w:tc>
        <w:tc>
          <w:tcPr>
            <w:tcW w:w="426" w:type="dxa"/>
            <w:tcBorders>
              <w:top w:val="single" w:sz="12" w:space="0" w:color="auto"/>
              <w:left w:val="nil"/>
              <w:right w:val="nil"/>
            </w:tcBorders>
            <w:shd w:val="clear" w:color="000000" w:fill="FFFFFF"/>
            <w:noWrap/>
            <w:vAlign w:val="center"/>
            <w:hideMark/>
          </w:tcPr>
          <w:p w14:paraId="7FC063FF" w14:textId="77777777" w:rsidR="004F5FF9" w:rsidRPr="00524D52" w:rsidRDefault="004F5FF9" w:rsidP="002C7EDF">
            <w:pPr>
              <w:suppressAutoHyphens w:val="0"/>
              <w:spacing w:line="240" w:lineRule="auto"/>
              <w:rPr>
                <w:rFonts w:asciiTheme="majorBidi" w:hAnsiTheme="majorBidi" w:cstheme="majorBidi"/>
                <w:sz w:val="18"/>
                <w:szCs w:val="18"/>
                <w:lang w:eastAsia="de-DE"/>
              </w:rPr>
            </w:pPr>
            <w:r w:rsidRPr="00524D52">
              <w:rPr>
                <w:rFonts w:asciiTheme="majorBidi" w:hAnsiTheme="majorBidi" w:cstheme="majorBidi"/>
                <w:sz w:val="18"/>
                <w:szCs w:val="18"/>
                <w:lang w:eastAsia="de-DE"/>
              </w:rPr>
              <w:t> </w:t>
            </w:r>
          </w:p>
        </w:tc>
        <w:tc>
          <w:tcPr>
            <w:tcW w:w="425" w:type="dxa"/>
            <w:tcBorders>
              <w:top w:val="single" w:sz="12" w:space="0" w:color="auto"/>
              <w:left w:val="nil"/>
              <w:right w:val="nil"/>
            </w:tcBorders>
            <w:shd w:val="clear" w:color="000000" w:fill="FFFFFF"/>
            <w:noWrap/>
            <w:vAlign w:val="center"/>
            <w:hideMark/>
          </w:tcPr>
          <w:p w14:paraId="12C91890" w14:textId="77777777" w:rsidR="004F5FF9" w:rsidRPr="00524D52" w:rsidRDefault="004F5FF9" w:rsidP="002C7EDF">
            <w:pPr>
              <w:suppressAutoHyphens w:val="0"/>
              <w:spacing w:line="240" w:lineRule="auto"/>
              <w:rPr>
                <w:rFonts w:asciiTheme="majorBidi" w:hAnsiTheme="majorBidi" w:cstheme="majorBidi"/>
                <w:sz w:val="18"/>
                <w:szCs w:val="18"/>
                <w:lang w:eastAsia="de-DE"/>
              </w:rPr>
            </w:pPr>
            <w:r w:rsidRPr="00524D52">
              <w:rPr>
                <w:rFonts w:asciiTheme="majorBidi" w:hAnsiTheme="majorBidi" w:cstheme="majorBidi"/>
                <w:sz w:val="18"/>
                <w:szCs w:val="18"/>
                <w:lang w:eastAsia="de-DE"/>
              </w:rPr>
              <w:t> </w:t>
            </w:r>
          </w:p>
        </w:tc>
        <w:tc>
          <w:tcPr>
            <w:tcW w:w="992" w:type="dxa"/>
            <w:tcBorders>
              <w:top w:val="single" w:sz="12" w:space="0" w:color="auto"/>
              <w:left w:val="nil"/>
              <w:right w:val="nil"/>
            </w:tcBorders>
            <w:shd w:val="clear" w:color="auto" w:fill="FFFFFF" w:themeFill="background1"/>
            <w:noWrap/>
            <w:vAlign w:val="center"/>
            <w:hideMark/>
          </w:tcPr>
          <w:p w14:paraId="47C00795" w14:textId="77777777" w:rsidR="004F5FF9" w:rsidRPr="00524D52" w:rsidRDefault="004F5FF9" w:rsidP="002C7EDF">
            <w:pPr>
              <w:suppressAutoHyphens w:val="0"/>
              <w:spacing w:line="240" w:lineRule="auto"/>
              <w:rPr>
                <w:rFonts w:asciiTheme="majorBidi" w:hAnsiTheme="majorBidi" w:cstheme="majorBidi"/>
                <w:sz w:val="18"/>
                <w:szCs w:val="18"/>
                <w:lang w:eastAsia="de-DE"/>
              </w:rPr>
            </w:pPr>
            <w:r w:rsidRPr="00524D52">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noWrap/>
            <w:vAlign w:val="center"/>
            <w:hideMark/>
          </w:tcPr>
          <w:p w14:paraId="2CEFAC9B" w14:textId="77777777" w:rsidR="004F5FF9" w:rsidRPr="00524D52" w:rsidRDefault="004F5FF9" w:rsidP="002C7EDF">
            <w:pPr>
              <w:suppressAutoHyphens w:val="0"/>
              <w:spacing w:line="240" w:lineRule="auto"/>
              <w:rPr>
                <w:rFonts w:asciiTheme="majorBidi" w:hAnsiTheme="majorBidi" w:cstheme="majorBidi"/>
                <w:sz w:val="18"/>
                <w:szCs w:val="18"/>
                <w:lang w:eastAsia="de-DE"/>
              </w:rPr>
            </w:pPr>
            <w:r w:rsidRPr="00524D52">
              <w:rPr>
                <w:rFonts w:asciiTheme="majorBidi" w:hAnsiTheme="majorBidi" w:cstheme="majorBidi"/>
                <w:sz w:val="18"/>
                <w:szCs w:val="18"/>
                <w:lang w:eastAsia="de-DE"/>
              </w:rPr>
              <w:t> </w:t>
            </w:r>
          </w:p>
        </w:tc>
        <w:tc>
          <w:tcPr>
            <w:tcW w:w="567" w:type="dxa"/>
            <w:tcBorders>
              <w:top w:val="single" w:sz="12" w:space="0" w:color="auto"/>
              <w:left w:val="nil"/>
              <w:right w:val="nil"/>
            </w:tcBorders>
            <w:shd w:val="clear" w:color="000000" w:fill="FFFFFF"/>
            <w:vAlign w:val="center"/>
            <w:hideMark/>
          </w:tcPr>
          <w:p w14:paraId="01BD891C" w14:textId="77777777" w:rsidR="004F5FF9" w:rsidRPr="00524D52" w:rsidRDefault="004F5FF9" w:rsidP="002C7EDF">
            <w:pPr>
              <w:suppressAutoHyphens w:val="0"/>
              <w:spacing w:line="240" w:lineRule="auto"/>
              <w:jc w:val="center"/>
              <w:rPr>
                <w:rFonts w:asciiTheme="majorBidi" w:hAnsiTheme="majorBidi" w:cstheme="majorBidi"/>
                <w:color w:val="FFFFFF"/>
                <w:sz w:val="18"/>
                <w:szCs w:val="18"/>
                <w:lang w:eastAsia="de-DE"/>
              </w:rPr>
            </w:pPr>
            <w:r w:rsidRPr="00524D52">
              <w:rPr>
                <w:rFonts w:asciiTheme="majorBidi" w:hAnsiTheme="majorBidi" w:cstheme="majorBidi"/>
                <w:color w:val="FFFFFF"/>
                <w:sz w:val="18"/>
                <w:szCs w:val="18"/>
                <w:lang w:eastAsia="de-DE"/>
              </w:rPr>
              <w:t xml:space="preserve">1,552 </w:t>
            </w:r>
          </w:p>
        </w:tc>
        <w:tc>
          <w:tcPr>
            <w:tcW w:w="709" w:type="dxa"/>
            <w:tcBorders>
              <w:top w:val="single" w:sz="12" w:space="0" w:color="auto"/>
              <w:left w:val="nil"/>
              <w:right w:val="nil"/>
            </w:tcBorders>
            <w:shd w:val="clear" w:color="auto" w:fill="FFFFFF" w:themeFill="background1"/>
            <w:vAlign w:val="center"/>
            <w:hideMark/>
          </w:tcPr>
          <w:p w14:paraId="5F419FA2" w14:textId="77777777" w:rsidR="004F5FF9" w:rsidRPr="00524D52" w:rsidRDefault="004F5FF9" w:rsidP="002C7EDF">
            <w:pPr>
              <w:suppressAutoHyphens w:val="0"/>
              <w:spacing w:line="240" w:lineRule="auto"/>
              <w:jc w:val="center"/>
              <w:rPr>
                <w:rFonts w:asciiTheme="majorBidi" w:hAnsiTheme="majorBidi" w:cstheme="majorBidi"/>
                <w:sz w:val="18"/>
                <w:szCs w:val="18"/>
                <w:lang w:eastAsia="de-DE"/>
              </w:rPr>
            </w:pPr>
            <w:r w:rsidRPr="00524D52">
              <w:rPr>
                <w:rFonts w:asciiTheme="majorBidi" w:hAnsiTheme="majorBidi" w:cstheme="majorBidi"/>
                <w:sz w:val="18"/>
                <w:szCs w:val="18"/>
                <w:lang w:eastAsia="de-DE"/>
              </w:rPr>
              <w:t>100 %</w:t>
            </w:r>
          </w:p>
        </w:tc>
        <w:tc>
          <w:tcPr>
            <w:tcW w:w="567" w:type="dxa"/>
            <w:tcBorders>
              <w:top w:val="single" w:sz="12" w:space="0" w:color="auto"/>
              <w:left w:val="nil"/>
              <w:bottom w:val="single" w:sz="4" w:space="0" w:color="auto"/>
              <w:right w:val="nil"/>
            </w:tcBorders>
            <w:shd w:val="clear" w:color="000000" w:fill="FFFFFF"/>
            <w:noWrap/>
            <w:vAlign w:val="center"/>
            <w:hideMark/>
          </w:tcPr>
          <w:p w14:paraId="7395E6FD" w14:textId="77777777" w:rsidR="004F5FF9" w:rsidRPr="00524D52" w:rsidRDefault="004F5FF9" w:rsidP="002C7EDF">
            <w:pPr>
              <w:suppressAutoHyphens w:val="0"/>
              <w:spacing w:line="240" w:lineRule="auto"/>
              <w:rPr>
                <w:rFonts w:asciiTheme="majorBidi" w:hAnsiTheme="majorBidi" w:cstheme="majorBidi"/>
                <w:sz w:val="18"/>
                <w:szCs w:val="18"/>
                <w:lang w:eastAsia="de-DE"/>
              </w:rPr>
            </w:pPr>
            <w:r w:rsidRPr="00524D52">
              <w:rPr>
                <w:rFonts w:asciiTheme="majorBidi" w:hAnsiTheme="majorBidi" w:cstheme="majorBidi"/>
                <w:sz w:val="18"/>
                <w:szCs w:val="18"/>
                <w:lang w:eastAsia="de-DE"/>
              </w:rPr>
              <w:t> </w:t>
            </w:r>
          </w:p>
        </w:tc>
        <w:tc>
          <w:tcPr>
            <w:tcW w:w="1701" w:type="dxa"/>
            <w:gridSpan w:val="3"/>
            <w:tcBorders>
              <w:top w:val="single" w:sz="12" w:space="0" w:color="auto"/>
              <w:left w:val="nil"/>
              <w:bottom w:val="single" w:sz="4" w:space="0" w:color="auto"/>
              <w:right w:val="nil"/>
            </w:tcBorders>
            <w:shd w:val="clear" w:color="000000" w:fill="FFFFFF"/>
            <w:vAlign w:val="center"/>
            <w:hideMark/>
          </w:tcPr>
          <w:p w14:paraId="58CB6049" w14:textId="77777777" w:rsidR="004F5FF9" w:rsidRPr="00524D52" w:rsidRDefault="004F5FF9" w:rsidP="002C7EDF">
            <w:pPr>
              <w:suppressAutoHyphens w:val="0"/>
              <w:spacing w:line="240" w:lineRule="auto"/>
              <w:jc w:val="center"/>
              <w:rPr>
                <w:rFonts w:asciiTheme="majorBidi" w:hAnsiTheme="majorBidi" w:cstheme="majorBidi"/>
                <w:sz w:val="18"/>
                <w:szCs w:val="18"/>
                <w:lang w:eastAsia="de-DE"/>
              </w:rPr>
            </w:pPr>
            <w:r w:rsidRPr="00524D52">
              <w:rPr>
                <w:rFonts w:asciiTheme="majorBidi" w:hAnsiTheme="majorBidi" w:cstheme="majorBidi"/>
                <w:sz w:val="18"/>
                <w:szCs w:val="18"/>
                <w:lang w:eastAsia="de-DE"/>
              </w:rPr>
              <w:t> </w:t>
            </w:r>
          </w:p>
        </w:tc>
        <w:tc>
          <w:tcPr>
            <w:tcW w:w="567" w:type="dxa"/>
            <w:tcBorders>
              <w:top w:val="single" w:sz="12" w:space="0" w:color="auto"/>
              <w:left w:val="nil"/>
              <w:bottom w:val="single" w:sz="4" w:space="0" w:color="auto"/>
              <w:right w:val="nil"/>
            </w:tcBorders>
            <w:shd w:val="clear" w:color="000000" w:fill="FFFFFF"/>
          </w:tcPr>
          <w:p w14:paraId="0D39AB69" w14:textId="77777777" w:rsidR="004F5FF9" w:rsidRPr="00524D52" w:rsidRDefault="004F5FF9" w:rsidP="002C7EDF">
            <w:pPr>
              <w:suppressAutoHyphens w:val="0"/>
              <w:spacing w:line="240" w:lineRule="auto"/>
              <w:jc w:val="center"/>
              <w:rPr>
                <w:rFonts w:asciiTheme="majorBidi" w:hAnsiTheme="majorBidi" w:cstheme="majorBidi"/>
                <w:sz w:val="18"/>
                <w:szCs w:val="18"/>
                <w:lang w:eastAsia="de-DE"/>
              </w:rPr>
            </w:pPr>
          </w:p>
        </w:tc>
      </w:tr>
      <w:tr w:rsidR="00BE20D5" w:rsidRPr="00524D52" w14:paraId="05CF441B" w14:textId="77777777" w:rsidTr="009C053C">
        <w:trPr>
          <w:trHeight w:val="162"/>
        </w:trPr>
        <w:tc>
          <w:tcPr>
            <w:tcW w:w="426" w:type="dxa"/>
            <w:tcBorders>
              <w:left w:val="nil"/>
              <w:right w:val="nil"/>
            </w:tcBorders>
            <w:shd w:val="clear" w:color="000000" w:fill="FFFFFF"/>
            <w:vAlign w:val="center"/>
          </w:tcPr>
          <w:p w14:paraId="395F0594" w14:textId="77777777" w:rsidR="00BE20D5" w:rsidRPr="00524D52" w:rsidRDefault="00BE20D5" w:rsidP="002C7EDF">
            <w:pPr>
              <w:suppressAutoHyphens w:val="0"/>
              <w:spacing w:line="240" w:lineRule="auto"/>
              <w:jc w:val="center"/>
              <w:rPr>
                <w:rFonts w:asciiTheme="majorBidi" w:hAnsiTheme="majorBidi" w:cstheme="majorBidi"/>
                <w:b/>
                <w:bCs/>
                <w:color w:val="9C6500"/>
                <w:sz w:val="18"/>
                <w:szCs w:val="18"/>
                <w:lang w:eastAsia="de-DE"/>
              </w:rPr>
            </w:pPr>
          </w:p>
        </w:tc>
        <w:tc>
          <w:tcPr>
            <w:tcW w:w="2693" w:type="dxa"/>
            <w:tcBorders>
              <w:left w:val="nil"/>
              <w:right w:val="nil"/>
            </w:tcBorders>
            <w:shd w:val="clear" w:color="000000" w:fill="FFFFFF"/>
            <w:vAlign w:val="center"/>
          </w:tcPr>
          <w:p w14:paraId="0D65D250" w14:textId="77777777" w:rsidR="00BE20D5" w:rsidRPr="00524D52" w:rsidRDefault="00BE20D5" w:rsidP="002C7EDF">
            <w:pPr>
              <w:suppressAutoHyphens w:val="0"/>
              <w:spacing w:line="240" w:lineRule="auto"/>
              <w:rPr>
                <w:rFonts w:asciiTheme="majorBidi" w:hAnsiTheme="majorBidi" w:cstheme="majorBidi"/>
                <w:b/>
                <w:bCs/>
                <w:sz w:val="18"/>
                <w:szCs w:val="18"/>
                <w:lang w:eastAsia="de-DE"/>
              </w:rPr>
            </w:pPr>
          </w:p>
        </w:tc>
        <w:tc>
          <w:tcPr>
            <w:tcW w:w="567" w:type="dxa"/>
            <w:tcBorders>
              <w:left w:val="nil"/>
              <w:right w:val="nil"/>
            </w:tcBorders>
            <w:shd w:val="clear" w:color="000000" w:fill="FFFFFF"/>
          </w:tcPr>
          <w:p w14:paraId="16420ED9" w14:textId="77777777" w:rsidR="00BE20D5" w:rsidRPr="00524D52" w:rsidRDefault="00BE20D5" w:rsidP="002C7EDF">
            <w:pPr>
              <w:suppressAutoHyphens w:val="0"/>
              <w:spacing w:line="240" w:lineRule="auto"/>
              <w:rPr>
                <w:rFonts w:asciiTheme="majorBidi" w:hAnsiTheme="majorBidi" w:cstheme="majorBidi"/>
                <w:b/>
                <w:bCs/>
                <w:sz w:val="18"/>
                <w:szCs w:val="18"/>
                <w:lang w:eastAsia="de-DE"/>
              </w:rPr>
            </w:pPr>
          </w:p>
        </w:tc>
        <w:tc>
          <w:tcPr>
            <w:tcW w:w="426" w:type="dxa"/>
            <w:tcBorders>
              <w:left w:val="nil"/>
              <w:right w:val="nil"/>
            </w:tcBorders>
            <w:shd w:val="clear" w:color="000000" w:fill="FFFFFF"/>
            <w:noWrap/>
            <w:vAlign w:val="center"/>
          </w:tcPr>
          <w:p w14:paraId="7F404EC1" w14:textId="77777777" w:rsidR="00BE20D5" w:rsidRPr="00524D52" w:rsidRDefault="00BE20D5" w:rsidP="002C7EDF">
            <w:pPr>
              <w:suppressAutoHyphens w:val="0"/>
              <w:spacing w:line="240" w:lineRule="auto"/>
              <w:rPr>
                <w:rFonts w:asciiTheme="majorBidi" w:hAnsiTheme="majorBidi" w:cstheme="majorBidi"/>
                <w:b/>
                <w:bCs/>
                <w:sz w:val="18"/>
                <w:szCs w:val="18"/>
                <w:lang w:eastAsia="de-DE"/>
              </w:rPr>
            </w:pPr>
          </w:p>
        </w:tc>
        <w:tc>
          <w:tcPr>
            <w:tcW w:w="425" w:type="dxa"/>
            <w:tcBorders>
              <w:left w:val="nil"/>
              <w:right w:val="nil"/>
            </w:tcBorders>
            <w:shd w:val="clear" w:color="000000" w:fill="FFFFFF"/>
            <w:noWrap/>
            <w:vAlign w:val="center"/>
          </w:tcPr>
          <w:p w14:paraId="611A3D98" w14:textId="77777777" w:rsidR="00BE20D5" w:rsidRPr="00524D52" w:rsidRDefault="00BE20D5" w:rsidP="002C7EDF">
            <w:pPr>
              <w:suppressAutoHyphens w:val="0"/>
              <w:spacing w:line="240" w:lineRule="auto"/>
              <w:rPr>
                <w:rFonts w:asciiTheme="majorBidi" w:hAnsiTheme="majorBidi" w:cstheme="majorBidi"/>
                <w:b/>
                <w:bCs/>
                <w:sz w:val="18"/>
                <w:szCs w:val="18"/>
                <w:lang w:eastAsia="de-DE"/>
              </w:rPr>
            </w:pPr>
          </w:p>
        </w:tc>
        <w:tc>
          <w:tcPr>
            <w:tcW w:w="992" w:type="dxa"/>
            <w:tcBorders>
              <w:left w:val="nil"/>
              <w:right w:val="nil"/>
            </w:tcBorders>
            <w:shd w:val="clear" w:color="auto" w:fill="FFFFFF" w:themeFill="background1"/>
            <w:noWrap/>
            <w:vAlign w:val="center"/>
          </w:tcPr>
          <w:p w14:paraId="46B9D73F" w14:textId="77777777" w:rsidR="00BE20D5" w:rsidRPr="00524D52" w:rsidRDefault="00BE20D5" w:rsidP="002C7EDF">
            <w:pPr>
              <w:suppressAutoHyphens w:val="0"/>
              <w:spacing w:line="240" w:lineRule="auto"/>
              <w:rPr>
                <w:rFonts w:asciiTheme="majorBidi" w:hAnsiTheme="majorBidi" w:cstheme="majorBidi"/>
                <w:b/>
                <w:bCs/>
                <w:sz w:val="18"/>
                <w:szCs w:val="18"/>
                <w:lang w:eastAsia="de-DE"/>
              </w:rPr>
            </w:pPr>
          </w:p>
        </w:tc>
        <w:tc>
          <w:tcPr>
            <w:tcW w:w="567" w:type="dxa"/>
            <w:tcBorders>
              <w:left w:val="nil"/>
              <w:right w:val="nil"/>
            </w:tcBorders>
            <w:shd w:val="clear" w:color="000000" w:fill="FFFFFF"/>
            <w:noWrap/>
            <w:vAlign w:val="center"/>
          </w:tcPr>
          <w:p w14:paraId="62835C5C" w14:textId="77777777" w:rsidR="00BE20D5" w:rsidRPr="00524D52" w:rsidRDefault="00BE20D5" w:rsidP="002C7EDF">
            <w:pPr>
              <w:suppressAutoHyphens w:val="0"/>
              <w:spacing w:line="240" w:lineRule="auto"/>
              <w:rPr>
                <w:rFonts w:asciiTheme="majorBidi" w:hAnsiTheme="majorBidi" w:cstheme="majorBidi"/>
                <w:b/>
                <w:bCs/>
                <w:sz w:val="18"/>
                <w:szCs w:val="18"/>
                <w:lang w:eastAsia="de-DE"/>
              </w:rPr>
            </w:pPr>
          </w:p>
        </w:tc>
        <w:tc>
          <w:tcPr>
            <w:tcW w:w="567" w:type="dxa"/>
            <w:tcBorders>
              <w:left w:val="nil"/>
              <w:right w:val="nil"/>
            </w:tcBorders>
            <w:shd w:val="clear" w:color="000000" w:fill="FFFFFF"/>
            <w:vAlign w:val="center"/>
          </w:tcPr>
          <w:p w14:paraId="647B1268" w14:textId="77777777" w:rsidR="00BE20D5" w:rsidRPr="00524D52" w:rsidRDefault="00BE20D5" w:rsidP="002C7EDF">
            <w:pPr>
              <w:suppressAutoHyphens w:val="0"/>
              <w:spacing w:line="240" w:lineRule="auto"/>
              <w:jc w:val="center"/>
              <w:rPr>
                <w:rFonts w:asciiTheme="majorBidi" w:hAnsiTheme="majorBidi" w:cstheme="majorBidi"/>
                <w:b/>
                <w:bCs/>
                <w:color w:val="FFFFFF"/>
                <w:sz w:val="18"/>
                <w:szCs w:val="18"/>
                <w:lang w:eastAsia="de-DE"/>
              </w:rPr>
            </w:pPr>
          </w:p>
        </w:tc>
        <w:tc>
          <w:tcPr>
            <w:tcW w:w="709" w:type="dxa"/>
            <w:tcBorders>
              <w:left w:val="nil"/>
              <w:right w:val="single" w:sz="4" w:space="0" w:color="auto"/>
            </w:tcBorders>
            <w:shd w:val="clear" w:color="auto" w:fill="FFFFFF" w:themeFill="background1"/>
            <w:vAlign w:val="center"/>
          </w:tcPr>
          <w:p w14:paraId="607E0994" w14:textId="77777777" w:rsidR="00BE20D5" w:rsidRPr="00524D52" w:rsidRDefault="00BE20D5" w:rsidP="002C7EDF">
            <w:pPr>
              <w:suppressAutoHyphens w:val="0"/>
              <w:spacing w:line="240" w:lineRule="auto"/>
              <w:jc w:val="center"/>
              <w:rPr>
                <w:rFonts w:asciiTheme="majorBidi" w:hAnsiTheme="majorBidi" w:cstheme="majorBidi"/>
                <w:b/>
                <w:bCs/>
                <w:sz w:val="18"/>
                <w:szCs w:val="18"/>
                <w:lang w:eastAsia="de-DE"/>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330EE6" w14:textId="03611D69" w:rsidR="00BE20D5" w:rsidRPr="00524D52" w:rsidRDefault="00BE20D5" w:rsidP="002C7EDF">
            <w:pPr>
              <w:suppressAutoHyphens w:val="0"/>
              <w:spacing w:line="240" w:lineRule="auto"/>
              <w:jc w:val="center"/>
              <w:rPr>
                <w:rFonts w:asciiTheme="majorBidi" w:hAnsiTheme="majorBidi" w:cstheme="majorBidi"/>
                <w:b/>
                <w:bCs/>
                <w:sz w:val="18"/>
                <w:szCs w:val="18"/>
                <w:lang w:eastAsia="de-DE"/>
              </w:rPr>
            </w:pPr>
            <w:r w:rsidRPr="00BE20D5">
              <w:rPr>
                <w:b/>
                <w:sz w:val="18"/>
                <w:szCs w:val="18"/>
              </w:rPr>
              <w:t>Expanded uncertainty (95%) +/-</w:t>
            </w:r>
          </w:p>
        </w:tc>
      </w:tr>
    </w:tbl>
    <w:tbl>
      <w:tblPr>
        <w:tblStyle w:val="TableGrid1"/>
        <w:tblW w:w="9781" w:type="dxa"/>
        <w:tblInd w:w="142" w:type="dxa"/>
        <w:tblLook w:val="0600" w:firstRow="0" w:lastRow="0" w:firstColumn="0" w:lastColumn="0" w:noHBand="1" w:noVBand="1"/>
      </w:tblPr>
      <w:tblGrid>
        <w:gridCol w:w="1985"/>
        <w:gridCol w:w="1010"/>
        <w:gridCol w:w="1399"/>
        <w:gridCol w:w="1843"/>
        <w:gridCol w:w="700"/>
        <w:gridCol w:w="1028"/>
        <w:gridCol w:w="824"/>
        <w:gridCol w:w="992"/>
      </w:tblGrid>
      <w:tr w:rsidR="003F5165" w:rsidRPr="00524D52" w14:paraId="39E1C718" w14:textId="77777777" w:rsidTr="00E9288C">
        <w:trPr>
          <w:trHeight w:val="652"/>
        </w:trPr>
        <w:tc>
          <w:tcPr>
            <w:tcW w:w="1985" w:type="dxa"/>
            <w:tcBorders>
              <w:top w:val="nil"/>
              <w:left w:val="nil"/>
              <w:bottom w:val="nil"/>
              <w:right w:val="nil"/>
            </w:tcBorders>
            <w:vAlign w:val="bottom"/>
          </w:tcPr>
          <w:p w14:paraId="5BBFA6A3" w14:textId="77777777" w:rsidR="003F5165" w:rsidRPr="00524D52" w:rsidRDefault="003F5165" w:rsidP="002C7EDF">
            <w:pPr>
              <w:suppressAutoHyphens w:val="0"/>
              <w:spacing w:line="240" w:lineRule="auto"/>
              <w:jc w:val="center"/>
              <w:rPr>
                <w:bCs/>
              </w:rPr>
            </w:pPr>
          </w:p>
        </w:tc>
        <w:tc>
          <w:tcPr>
            <w:tcW w:w="1010" w:type="dxa"/>
            <w:vMerge w:val="restart"/>
            <w:tcBorders>
              <w:top w:val="nil"/>
              <w:left w:val="nil"/>
              <w:bottom w:val="nil"/>
              <w:right w:val="single" w:sz="4" w:space="0" w:color="auto"/>
            </w:tcBorders>
            <w:vAlign w:val="center"/>
          </w:tcPr>
          <w:p w14:paraId="62689580" w14:textId="77777777" w:rsidR="003F5165" w:rsidRPr="00524D52" w:rsidRDefault="003F5165" w:rsidP="002C7EDF">
            <w:pPr>
              <w:suppressAutoHyphens w:val="0"/>
              <w:spacing w:line="240" w:lineRule="auto"/>
              <w:jc w:val="center"/>
              <w:rPr>
                <w:bCs/>
              </w:rPr>
            </w:pPr>
          </w:p>
        </w:tc>
        <w:tc>
          <w:tcPr>
            <w:tcW w:w="1399" w:type="dxa"/>
            <w:vMerge w:val="restart"/>
            <w:tcBorders>
              <w:top w:val="single" w:sz="4" w:space="0" w:color="auto"/>
              <w:left w:val="single" w:sz="4" w:space="0" w:color="auto"/>
            </w:tcBorders>
            <w:vAlign w:val="center"/>
          </w:tcPr>
          <w:p w14:paraId="613C4AFB" w14:textId="77777777" w:rsidR="003F5165" w:rsidRPr="00524D52" w:rsidRDefault="003F5165" w:rsidP="002C7EDF">
            <w:pPr>
              <w:suppressAutoHyphens w:val="0"/>
              <w:spacing w:line="240" w:lineRule="auto"/>
              <w:jc w:val="center"/>
              <w:rPr>
                <w:b/>
              </w:rPr>
            </w:pPr>
            <w:r w:rsidRPr="00524D52">
              <w:rPr>
                <w:b/>
                <w:sz w:val="18"/>
                <w:szCs w:val="18"/>
              </w:rPr>
              <w:t>Overall Combined Uncertainty</w:t>
            </w:r>
            <w:r w:rsidRPr="00524D52">
              <w:rPr>
                <w:b/>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61156635" w14:textId="652B9D8C" w:rsidR="003F5165" w:rsidRPr="00524D52" w:rsidRDefault="00F73977" w:rsidP="002C7EDF">
            <w:pPr>
              <w:suppressAutoHyphens w:val="0"/>
              <w:spacing w:line="240" w:lineRule="auto"/>
              <w:jc w:val="center"/>
              <w:rPr>
                <w:b/>
              </w:rPr>
            </w:pPr>
            <w:r>
              <w:rPr>
                <w:b/>
              </w:rPr>
              <w:t>Over</w:t>
            </w:r>
            <w:r w:rsidR="009A3DA3">
              <w:rPr>
                <w:b/>
              </w:rPr>
              <w:t>all</w:t>
            </w:r>
            <w:r w:rsidR="009A3DA3">
              <w:rPr>
                <w:b/>
              </w:rPr>
              <w:br/>
            </w:r>
            <w:r w:rsidR="003F5165" w:rsidRPr="00524D52">
              <w:rPr>
                <w:b/>
              </w:rPr>
              <w:t xml:space="preserve">Expanded uncertainty (95%) </w:t>
            </w:r>
            <w:r w:rsidR="003F5165" w:rsidRPr="00524D52">
              <w:rPr>
                <w:b/>
              </w:rPr>
              <w:br/>
              <w:t>+/-</w:t>
            </w:r>
          </w:p>
        </w:tc>
        <w:tc>
          <w:tcPr>
            <w:tcW w:w="700" w:type="dxa"/>
            <w:vMerge w:val="restart"/>
            <w:tcBorders>
              <w:top w:val="nil"/>
              <w:left w:val="single" w:sz="4" w:space="0" w:color="auto"/>
              <w:bottom w:val="nil"/>
              <w:right w:val="single" w:sz="4" w:space="0" w:color="auto"/>
            </w:tcBorders>
            <w:vAlign w:val="center"/>
          </w:tcPr>
          <w:p w14:paraId="0CFEF618" w14:textId="77777777" w:rsidR="003F5165" w:rsidRPr="00524D52" w:rsidRDefault="003F5165" w:rsidP="002C7EDF">
            <w:pPr>
              <w:suppressAutoHyphens w:val="0"/>
              <w:spacing w:line="240" w:lineRule="auto"/>
              <w:jc w:val="center"/>
              <w:rPr>
                <w:bCs/>
              </w:rPr>
            </w:pPr>
          </w:p>
        </w:tc>
        <w:tc>
          <w:tcPr>
            <w:tcW w:w="1028" w:type="dxa"/>
            <w:vMerge w:val="restart"/>
            <w:tcBorders>
              <w:top w:val="single" w:sz="4" w:space="0" w:color="auto"/>
              <w:left w:val="single" w:sz="4" w:space="0" w:color="auto"/>
            </w:tcBorders>
            <w:shd w:val="clear" w:color="auto" w:fill="D9D9D9" w:themeFill="background1" w:themeFillShade="D9"/>
            <w:vAlign w:val="center"/>
          </w:tcPr>
          <w:p w14:paraId="2C33AD58" w14:textId="77777777" w:rsidR="003F5165" w:rsidRPr="00524D52" w:rsidRDefault="003F5165" w:rsidP="002C7EDF">
            <w:pPr>
              <w:suppressAutoHyphens w:val="0"/>
              <w:spacing w:line="240" w:lineRule="auto"/>
              <w:jc w:val="center"/>
              <w:rPr>
                <w:b/>
              </w:rPr>
            </w:pPr>
            <w:r w:rsidRPr="00524D52">
              <w:rPr>
                <w:b/>
              </w:rPr>
              <w:t>Type Approval</w:t>
            </w:r>
          </w:p>
        </w:tc>
        <w:tc>
          <w:tcPr>
            <w:tcW w:w="824" w:type="dxa"/>
            <w:vMerge w:val="restart"/>
            <w:tcBorders>
              <w:top w:val="single" w:sz="4" w:space="0" w:color="auto"/>
            </w:tcBorders>
            <w:shd w:val="clear" w:color="auto" w:fill="D9D9D9" w:themeFill="background1" w:themeFillShade="D9"/>
            <w:vAlign w:val="center"/>
          </w:tcPr>
          <w:p w14:paraId="558DCC67" w14:textId="77777777" w:rsidR="003F5165" w:rsidRPr="00524D52" w:rsidRDefault="003F5165" w:rsidP="002C7EDF">
            <w:pPr>
              <w:suppressAutoHyphens w:val="0"/>
              <w:spacing w:line="240" w:lineRule="auto"/>
              <w:jc w:val="center"/>
              <w:rPr>
                <w:b/>
              </w:rPr>
            </w:pPr>
            <w:r w:rsidRPr="00524D52">
              <w:rPr>
                <w:b/>
              </w:rPr>
              <w:t>CoP</w:t>
            </w:r>
          </w:p>
        </w:tc>
        <w:tc>
          <w:tcPr>
            <w:tcW w:w="992" w:type="dxa"/>
            <w:vMerge w:val="restart"/>
            <w:tcBorders>
              <w:top w:val="single" w:sz="4" w:space="0" w:color="auto"/>
              <w:right w:val="single" w:sz="4" w:space="0" w:color="auto"/>
            </w:tcBorders>
            <w:shd w:val="clear" w:color="auto" w:fill="D9D9D9" w:themeFill="background1" w:themeFillShade="D9"/>
            <w:vAlign w:val="center"/>
          </w:tcPr>
          <w:p w14:paraId="3BE7778A" w14:textId="77777777" w:rsidR="003F5165" w:rsidRPr="00524D52" w:rsidRDefault="003F5165" w:rsidP="002C7EDF">
            <w:pPr>
              <w:suppressAutoHyphens w:val="0"/>
              <w:spacing w:line="240" w:lineRule="auto"/>
              <w:jc w:val="center"/>
              <w:rPr>
                <w:b/>
              </w:rPr>
            </w:pPr>
            <w:r w:rsidRPr="00524D52">
              <w:rPr>
                <w:b/>
              </w:rPr>
              <w:t>Field Test</w:t>
            </w:r>
          </w:p>
        </w:tc>
      </w:tr>
      <w:tr w:rsidR="003F5165" w:rsidRPr="00524D52" w14:paraId="0CD168AF" w14:textId="77777777" w:rsidTr="00E9288C">
        <w:trPr>
          <w:trHeight w:val="45"/>
        </w:trPr>
        <w:tc>
          <w:tcPr>
            <w:tcW w:w="1985" w:type="dxa"/>
            <w:tcBorders>
              <w:top w:val="nil"/>
              <w:left w:val="nil"/>
              <w:bottom w:val="nil"/>
              <w:right w:val="nil"/>
            </w:tcBorders>
            <w:vAlign w:val="center"/>
          </w:tcPr>
          <w:p w14:paraId="259FB505" w14:textId="7E1FAA98" w:rsidR="003F5165" w:rsidRPr="00524D52" w:rsidRDefault="003F5165" w:rsidP="002C7EDF">
            <w:pPr>
              <w:suppressAutoHyphens w:val="0"/>
              <w:spacing w:line="240" w:lineRule="auto"/>
              <w:jc w:val="center"/>
              <w:rPr>
                <w:b/>
              </w:rPr>
            </w:pPr>
          </w:p>
        </w:tc>
        <w:tc>
          <w:tcPr>
            <w:tcW w:w="1010" w:type="dxa"/>
            <w:vMerge/>
            <w:tcBorders>
              <w:top w:val="nil"/>
              <w:left w:val="nil"/>
              <w:bottom w:val="nil"/>
              <w:right w:val="single" w:sz="4" w:space="0" w:color="auto"/>
            </w:tcBorders>
            <w:vAlign w:val="center"/>
          </w:tcPr>
          <w:p w14:paraId="7AF0375C" w14:textId="77777777" w:rsidR="003F5165" w:rsidRPr="00524D52" w:rsidRDefault="003F5165" w:rsidP="002C7EDF">
            <w:pPr>
              <w:suppressAutoHyphens w:val="0"/>
              <w:spacing w:line="240" w:lineRule="auto"/>
              <w:jc w:val="center"/>
              <w:rPr>
                <w:bCs/>
              </w:rPr>
            </w:pPr>
          </w:p>
        </w:tc>
        <w:tc>
          <w:tcPr>
            <w:tcW w:w="1399" w:type="dxa"/>
            <w:vMerge/>
            <w:tcBorders>
              <w:left w:val="single" w:sz="4" w:space="0" w:color="auto"/>
            </w:tcBorders>
            <w:vAlign w:val="center"/>
          </w:tcPr>
          <w:p w14:paraId="6C88CD9D" w14:textId="77777777" w:rsidR="003F5165" w:rsidRPr="00524D52" w:rsidRDefault="003F5165" w:rsidP="002C7EDF">
            <w:pPr>
              <w:suppressAutoHyphens w:val="0"/>
              <w:spacing w:line="240" w:lineRule="auto"/>
              <w:jc w:val="center"/>
              <w:rPr>
                <w:b/>
              </w:rPr>
            </w:pPr>
          </w:p>
        </w:tc>
        <w:tc>
          <w:tcPr>
            <w:tcW w:w="1843" w:type="dxa"/>
            <w:vMerge/>
            <w:tcBorders>
              <w:right w:val="single" w:sz="4" w:space="0" w:color="auto"/>
            </w:tcBorders>
            <w:shd w:val="clear" w:color="auto" w:fill="E7E6E6" w:themeFill="background2"/>
            <w:vAlign w:val="center"/>
          </w:tcPr>
          <w:p w14:paraId="5744F05A" w14:textId="77777777" w:rsidR="003F5165" w:rsidRPr="00524D52" w:rsidRDefault="003F5165" w:rsidP="002C7EDF">
            <w:pPr>
              <w:suppressAutoHyphens w:val="0"/>
              <w:spacing w:line="240" w:lineRule="auto"/>
              <w:jc w:val="center"/>
              <w:rPr>
                <w:b/>
              </w:rPr>
            </w:pPr>
          </w:p>
        </w:tc>
        <w:tc>
          <w:tcPr>
            <w:tcW w:w="700" w:type="dxa"/>
            <w:vMerge/>
            <w:tcBorders>
              <w:top w:val="nil"/>
              <w:left w:val="single" w:sz="4" w:space="0" w:color="auto"/>
              <w:bottom w:val="nil"/>
              <w:right w:val="single" w:sz="4" w:space="0" w:color="auto"/>
            </w:tcBorders>
            <w:vAlign w:val="center"/>
          </w:tcPr>
          <w:p w14:paraId="0AC59154" w14:textId="77777777" w:rsidR="003F5165" w:rsidRPr="00524D52" w:rsidRDefault="003F5165" w:rsidP="002C7EDF">
            <w:pPr>
              <w:suppressAutoHyphens w:val="0"/>
              <w:spacing w:line="240" w:lineRule="auto"/>
              <w:jc w:val="center"/>
              <w:rPr>
                <w:bCs/>
              </w:rPr>
            </w:pPr>
          </w:p>
        </w:tc>
        <w:tc>
          <w:tcPr>
            <w:tcW w:w="1028" w:type="dxa"/>
            <w:vMerge/>
            <w:tcBorders>
              <w:left w:val="single" w:sz="4" w:space="0" w:color="auto"/>
            </w:tcBorders>
            <w:shd w:val="clear" w:color="auto" w:fill="D9D9D9" w:themeFill="background1" w:themeFillShade="D9"/>
            <w:vAlign w:val="center"/>
          </w:tcPr>
          <w:p w14:paraId="5864F4D1" w14:textId="77777777" w:rsidR="003F5165" w:rsidRPr="00524D52" w:rsidRDefault="003F5165" w:rsidP="002C7EDF">
            <w:pPr>
              <w:suppressAutoHyphens w:val="0"/>
              <w:spacing w:line="240" w:lineRule="auto"/>
              <w:jc w:val="center"/>
              <w:rPr>
                <w:bCs/>
              </w:rPr>
            </w:pPr>
          </w:p>
        </w:tc>
        <w:tc>
          <w:tcPr>
            <w:tcW w:w="824" w:type="dxa"/>
            <w:vMerge/>
            <w:shd w:val="clear" w:color="auto" w:fill="D9D9D9" w:themeFill="background1" w:themeFillShade="D9"/>
            <w:vAlign w:val="center"/>
          </w:tcPr>
          <w:p w14:paraId="3410E3B2" w14:textId="77777777" w:rsidR="003F5165" w:rsidRPr="00524D52" w:rsidRDefault="003F5165" w:rsidP="002C7EDF">
            <w:pPr>
              <w:suppressAutoHyphens w:val="0"/>
              <w:spacing w:line="240" w:lineRule="auto"/>
              <w:jc w:val="center"/>
              <w:rPr>
                <w:bCs/>
              </w:rPr>
            </w:pPr>
          </w:p>
        </w:tc>
        <w:tc>
          <w:tcPr>
            <w:tcW w:w="992" w:type="dxa"/>
            <w:vMerge/>
            <w:tcBorders>
              <w:right w:val="single" w:sz="4" w:space="0" w:color="auto"/>
            </w:tcBorders>
            <w:shd w:val="clear" w:color="auto" w:fill="D9D9D9" w:themeFill="background1" w:themeFillShade="D9"/>
            <w:vAlign w:val="center"/>
          </w:tcPr>
          <w:p w14:paraId="06FC017A" w14:textId="77777777" w:rsidR="003F5165" w:rsidRPr="00524D52" w:rsidRDefault="003F5165" w:rsidP="002C7EDF">
            <w:pPr>
              <w:suppressAutoHyphens w:val="0"/>
              <w:spacing w:line="240" w:lineRule="auto"/>
              <w:jc w:val="center"/>
              <w:rPr>
                <w:bCs/>
              </w:rPr>
            </w:pPr>
          </w:p>
        </w:tc>
      </w:tr>
      <w:tr w:rsidR="0049303A" w:rsidRPr="00524D52" w14:paraId="3B07BBA2" w14:textId="77777777" w:rsidTr="00E9288C">
        <w:trPr>
          <w:trHeight w:val="140"/>
        </w:trPr>
        <w:tc>
          <w:tcPr>
            <w:tcW w:w="1985" w:type="dxa"/>
            <w:tcBorders>
              <w:top w:val="nil"/>
              <w:left w:val="nil"/>
              <w:bottom w:val="nil"/>
              <w:right w:val="nil"/>
            </w:tcBorders>
            <w:vAlign w:val="center"/>
          </w:tcPr>
          <w:p w14:paraId="58A9C05D" w14:textId="1FE07891" w:rsidR="0049303A" w:rsidRPr="00524D52" w:rsidRDefault="0049303A" w:rsidP="0049303A">
            <w:pPr>
              <w:suppressAutoHyphens w:val="0"/>
              <w:spacing w:line="240" w:lineRule="auto"/>
              <w:jc w:val="center"/>
              <w:rPr>
                <w:b/>
              </w:rPr>
            </w:pPr>
          </w:p>
        </w:tc>
        <w:tc>
          <w:tcPr>
            <w:tcW w:w="1010" w:type="dxa"/>
            <w:vMerge/>
            <w:tcBorders>
              <w:top w:val="nil"/>
              <w:left w:val="nil"/>
              <w:bottom w:val="nil"/>
              <w:right w:val="single" w:sz="4" w:space="0" w:color="auto"/>
            </w:tcBorders>
            <w:vAlign w:val="center"/>
          </w:tcPr>
          <w:p w14:paraId="034591DF" w14:textId="77777777" w:rsidR="0049303A" w:rsidRPr="00524D52" w:rsidRDefault="0049303A" w:rsidP="0049303A">
            <w:pPr>
              <w:suppressAutoHyphens w:val="0"/>
              <w:spacing w:line="240" w:lineRule="auto"/>
              <w:jc w:val="center"/>
              <w:rPr>
                <w:b/>
                <w:sz w:val="24"/>
                <w:szCs w:val="24"/>
              </w:rPr>
            </w:pPr>
          </w:p>
        </w:tc>
        <w:tc>
          <w:tcPr>
            <w:tcW w:w="1399" w:type="dxa"/>
            <w:tcBorders>
              <w:left w:val="single" w:sz="4" w:space="0" w:color="auto"/>
              <w:bottom w:val="single" w:sz="4" w:space="0" w:color="auto"/>
            </w:tcBorders>
            <w:shd w:val="clear" w:color="auto" w:fill="000000" w:themeFill="text1"/>
            <w:vAlign w:val="center"/>
          </w:tcPr>
          <w:p w14:paraId="1EF9C293" w14:textId="6E13C1DA" w:rsidR="00405417" w:rsidRPr="00602AD8" w:rsidRDefault="00C73E16" w:rsidP="00405417">
            <w:pPr>
              <w:suppressAutoHyphens w:val="0"/>
              <w:spacing w:line="240" w:lineRule="auto"/>
              <w:jc w:val="center"/>
              <w:rPr>
                <w:b/>
                <w:sz w:val="22"/>
                <w:szCs w:val="22"/>
              </w:rPr>
            </w:pPr>
            <w:r w:rsidRPr="00602AD8">
              <w:rPr>
                <w:b/>
                <w:sz w:val="22"/>
                <w:szCs w:val="22"/>
              </w:rPr>
              <w:t>1,7</w:t>
            </w:r>
            <w:r w:rsidR="00711B6D" w:rsidRPr="00602AD8">
              <w:rPr>
                <w:b/>
                <w:sz w:val="22"/>
                <w:szCs w:val="22"/>
              </w:rPr>
              <w:t>3</w:t>
            </w:r>
          </w:p>
        </w:tc>
        <w:tc>
          <w:tcPr>
            <w:tcW w:w="1843" w:type="dxa"/>
            <w:tcBorders>
              <w:bottom w:val="single" w:sz="4" w:space="0" w:color="auto"/>
              <w:right w:val="single" w:sz="4" w:space="0" w:color="auto"/>
            </w:tcBorders>
            <w:shd w:val="clear" w:color="auto" w:fill="000000" w:themeFill="text1"/>
            <w:vAlign w:val="center"/>
          </w:tcPr>
          <w:p w14:paraId="6EAA3B79" w14:textId="4DF057AE" w:rsidR="00405417" w:rsidRPr="00602AD8" w:rsidRDefault="00405417" w:rsidP="00405417">
            <w:pPr>
              <w:suppressAutoHyphens w:val="0"/>
              <w:spacing w:line="240" w:lineRule="auto"/>
              <w:jc w:val="center"/>
              <w:rPr>
                <w:b/>
                <w:sz w:val="22"/>
                <w:szCs w:val="22"/>
              </w:rPr>
            </w:pPr>
            <w:r w:rsidRPr="00602AD8">
              <w:rPr>
                <w:b/>
                <w:sz w:val="22"/>
                <w:szCs w:val="22"/>
              </w:rPr>
              <w:t>3,</w:t>
            </w:r>
            <w:r w:rsidR="00761C07" w:rsidRPr="00602AD8">
              <w:rPr>
                <w:b/>
                <w:sz w:val="22"/>
                <w:szCs w:val="22"/>
              </w:rPr>
              <w:t>46</w:t>
            </w:r>
          </w:p>
        </w:tc>
        <w:tc>
          <w:tcPr>
            <w:tcW w:w="700" w:type="dxa"/>
            <w:vMerge/>
            <w:tcBorders>
              <w:top w:val="nil"/>
              <w:left w:val="single" w:sz="4" w:space="0" w:color="auto"/>
              <w:bottom w:val="nil"/>
              <w:right w:val="single" w:sz="4" w:space="0" w:color="auto"/>
            </w:tcBorders>
            <w:vAlign w:val="center"/>
          </w:tcPr>
          <w:p w14:paraId="13B87909" w14:textId="77777777" w:rsidR="0049303A" w:rsidRPr="00602AD8" w:rsidRDefault="0049303A" w:rsidP="0049303A">
            <w:pPr>
              <w:suppressAutoHyphens w:val="0"/>
              <w:spacing w:line="240" w:lineRule="auto"/>
              <w:jc w:val="center"/>
              <w:rPr>
                <w:b/>
                <w:sz w:val="22"/>
                <w:szCs w:val="22"/>
              </w:rPr>
            </w:pPr>
          </w:p>
        </w:tc>
        <w:tc>
          <w:tcPr>
            <w:tcW w:w="1028" w:type="dxa"/>
            <w:tcBorders>
              <w:left w:val="single" w:sz="4" w:space="0" w:color="auto"/>
              <w:bottom w:val="single" w:sz="4" w:space="0" w:color="auto"/>
            </w:tcBorders>
            <w:shd w:val="clear" w:color="auto" w:fill="000000" w:themeFill="text1"/>
            <w:vAlign w:val="center"/>
          </w:tcPr>
          <w:p w14:paraId="27080D49" w14:textId="4C946609" w:rsidR="0049303A" w:rsidRPr="00602AD8" w:rsidRDefault="00F73977" w:rsidP="0049303A">
            <w:pPr>
              <w:suppressAutoHyphens w:val="0"/>
              <w:spacing w:line="240" w:lineRule="auto"/>
              <w:jc w:val="center"/>
              <w:rPr>
                <w:b/>
                <w:sz w:val="22"/>
                <w:szCs w:val="22"/>
              </w:rPr>
            </w:pPr>
            <w:r w:rsidRPr="00602AD8">
              <w:rPr>
                <w:b/>
                <w:sz w:val="22"/>
                <w:szCs w:val="22"/>
              </w:rPr>
              <w:t>2,1</w:t>
            </w:r>
            <w:r w:rsidR="003D7848" w:rsidRPr="00602AD8">
              <w:rPr>
                <w:b/>
                <w:sz w:val="22"/>
                <w:szCs w:val="22"/>
              </w:rPr>
              <w:t>2</w:t>
            </w:r>
          </w:p>
        </w:tc>
        <w:tc>
          <w:tcPr>
            <w:tcW w:w="824" w:type="dxa"/>
            <w:tcBorders>
              <w:bottom w:val="single" w:sz="4" w:space="0" w:color="auto"/>
            </w:tcBorders>
            <w:shd w:val="clear" w:color="auto" w:fill="000000" w:themeFill="text1"/>
            <w:vAlign w:val="center"/>
          </w:tcPr>
          <w:p w14:paraId="7AF27A24" w14:textId="741B429B" w:rsidR="0049303A" w:rsidRPr="00602AD8" w:rsidRDefault="00F73977" w:rsidP="0049303A">
            <w:pPr>
              <w:suppressAutoHyphens w:val="0"/>
              <w:spacing w:line="240" w:lineRule="auto"/>
              <w:jc w:val="center"/>
              <w:rPr>
                <w:b/>
                <w:sz w:val="22"/>
                <w:szCs w:val="22"/>
              </w:rPr>
            </w:pPr>
            <w:r w:rsidRPr="00602AD8">
              <w:rPr>
                <w:b/>
                <w:sz w:val="22"/>
                <w:szCs w:val="22"/>
              </w:rPr>
              <w:t>2,7</w:t>
            </w:r>
            <w:r w:rsidR="003D7848" w:rsidRPr="00602AD8">
              <w:rPr>
                <w:b/>
                <w:sz w:val="22"/>
                <w:szCs w:val="22"/>
              </w:rPr>
              <w:t>1</w:t>
            </w:r>
          </w:p>
        </w:tc>
        <w:tc>
          <w:tcPr>
            <w:tcW w:w="992" w:type="dxa"/>
            <w:tcBorders>
              <w:bottom w:val="single" w:sz="4" w:space="0" w:color="auto"/>
              <w:right w:val="single" w:sz="4" w:space="0" w:color="auto"/>
            </w:tcBorders>
            <w:shd w:val="clear" w:color="auto" w:fill="000000" w:themeFill="text1"/>
            <w:vAlign w:val="center"/>
          </w:tcPr>
          <w:p w14:paraId="4344A200" w14:textId="06787243" w:rsidR="0049303A" w:rsidRPr="00602AD8" w:rsidRDefault="00F73977" w:rsidP="0049303A">
            <w:pPr>
              <w:suppressAutoHyphens w:val="0"/>
              <w:spacing w:line="240" w:lineRule="auto"/>
              <w:jc w:val="center"/>
              <w:rPr>
                <w:b/>
                <w:sz w:val="22"/>
                <w:szCs w:val="22"/>
              </w:rPr>
            </w:pPr>
            <w:r w:rsidRPr="00602AD8">
              <w:rPr>
                <w:b/>
                <w:sz w:val="22"/>
                <w:szCs w:val="22"/>
              </w:rPr>
              <w:t>3</w:t>
            </w:r>
            <w:r w:rsidR="00761C07" w:rsidRPr="00602AD8">
              <w:rPr>
                <w:b/>
                <w:sz w:val="22"/>
                <w:szCs w:val="22"/>
              </w:rPr>
              <w:t>,46</w:t>
            </w:r>
          </w:p>
        </w:tc>
      </w:tr>
    </w:tbl>
    <w:p w14:paraId="2455060D" w14:textId="600EB7CE" w:rsidR="003F5165" w:rsidRPr="00524D52" w:rsidRDefault="003F5165" w:rsidP="004617B9">
      <w:pPr>
        <w:spacing w:after="120"/>
        <w:ind w:left="2268" w:right="1134"/>
        <w:jc w:val="both"/>
        <w:rPr>
          <w:rFonts w:eastAsia="Times New Roman"/>
          <w:b/>
        </w:rPr>
      </w:pPr>
    </w:p>
    <w:p w14:paraId="2FAE3759" w14:textId="77777777" w:rsidR="003F5165" w:rsidRPr="00524D52" w:rsidRDefault="003F5165">
      <w:pPr>
        <w:suppressAutoHyphens w:val="0"/>
        <w:spacing w:after="160" w:line="259" w:lineRule="auto"/>
        <w:rPr>
          <w:rFonts w:eastAsia="Times New Roman"/>
          <w:b/>
        </w:rPr>
      </w:pPr>
      <w:r w:rsidRPr="00524D52">
        <w:rPr>
          <w:rFonts w:eastAsia="Times New Roman"/>
          <w:b/>
        </w:rPr>
        <w:br w:type="page"/>
      </w:r>
    </w:p>
    <w:p w14:paraId="21D2E01C" w14:textId="77777777" w:rsidR="00DC58AC" w:rsidRPr="00524D52" w:rsidRDefault="00DC58AC" w:rsidP="005562AE">
      <w:pPr>
        <w:ind w:left="2268" w:right="1134"/>
        <w:jc w:val="both"/>
        <w:rPr>
          <w:rFonts w:eastAsia="Times New Roman"/>
          <w:b/>
        </w:rPr>
      </w:pPr>
      <w:r w:rsidRPr="00524D52">
        <w:rPr>
          <w:rFonts w:eastAsia="Times New Roman"/>
          <w:b/>
        </w:rPr>
        <w:lastRenderedPageBreak/>
        <w:t xml:space="preserve">Table 2.2: </w:t>
      </w:r>
    </w:p>
    <w:p w14:paraId="1DDB1D0D" w14:textId="3DAFFC78" w:rsidR="00B01D03" w:rsidRPr="00524D52" w:rsidRDefault="00B01D03" w:rsidP="004617B9">
      <w:pPr>
        <w:spacing w:after="120"/>
        <w:ind w:left="2268" w:right="1134"/>
        <w:jc w:val="both"/>
        <w:rPr>
          <w:rFonts w:eastAsia="Times New Roman"/>
          <w:b/>
        </w:rPr>
      </w:pPr>
      <w:r w:rsidRPr="00524D52">
        <w:rPr>
          <w:rFonts w:eastAsia="Times New Roman"/>
          <w:b/>
        </w:rPr>
        <w:t xml:space="preserve">Estimation of uncertainty per situation for </w:t>
      </w:r>
      <w:r w:rsidR="00072D0A" w:rsidRPr="00524D52">
        <w:rPr>
          <w:rFonts w:eastAsia="Times New Roman"/>
          <w:b/>
        </w:rPr>
        <w:t>N2, N3, M2 &gt;3500 kg and M3</w:t>
      </w:r>
      <w:r w:rsidRPr="00524D52">
        <w:rPr>
          <w:rFonts w:eastAsia="Times New Roman"/>
          <w:b/>
        </w:rPr>
        <w:t xml:space="preserve"> </w:t>
      </w:r>
    </w:p>
    <w:tbl>
      <w:tblPr>
        <w:tblW w:w="10342" w:type="dxa"/>
        <w:tblInd w:w="-289" w:type="dxa"/>
        <w:tblLayout w:type="fixed"/>
        <w:tblCellMar>
          <w:left w:w="70" w:type="dxa"/>
          <w:right w:w="70" w:type="dxa"/>
        </w:tblCellMar>
        <w:tblLook w:val="04A0" w:firstRow="1" w:lastRow="0" w:firstColumn="1" w:lastColumn="0" w:noHBand="0" w:noVBand="1"/>
      </w:tblPr>
      <w:tblGrid>
        <w:gridCol w:w="426"/>
        <w:gridCol w:w="2828"/>
        <w:gridCol w:w="567"/>
        <w:gridCol w:w="426"/>
        <w:gridCol w:w="425"/>
        <w:gridCol w:w="992"/>
        <w:gridCol w:w="567"/>
        <w:gridCol w:w="567"/>
        <w:gridCol w:w="574"/>
        <w:gridCol w:w="135"/>
        <w:gridCol w:w="567"/>
        <w:gridCol w:w="567"/>
        <w:gridCol w:w="567"/>
        <w:gridCol w:w="567"/>
        <w:gridCol w:w="432"/>
        <w:gridCol w:w="135"/>
      </w:tblGrid>
      <w:tr w:rsidR="00286D7B" w:rsidRPr="00524D52" w14:paraId="7EFF0169" w14:textId="77777777" w:rsidTr="002C7EDF">
        <w:trPr>
          <w:cantSplit/>
          <w:trHeight w:val="1144"/>
        </w:trPr>
        <w:tc>
          <w:tcPr>
            <w:tcW w:w="426" w:type="dxa"/>
            <w:vMerge w:val="restart"/>
            <w:tcBorders>
              <w:top w:val="single" w:sz="4" w:space="0" w:color="auto"/>
              <w:left w:val="single" w:sz="4" w:space="0" w:color="auto"/>
              <w:bottom w:val="single" w:sz="12" w:space="0" w:color="auto"/>
              <w:right w:val="nil"/>
            </w:tcBorders>
            <w:shd w:val="clear" w:color="auto" w:fill="auto"/>
            <w:textDirection w:val="btLr"/>
            <w:vAlign w:val="center"/>
            <w:hideMark/>
          </w:tcPr>
          <w:p w14:paraId="4434478A" w14:textId="77777777" w:rsidR="00286D7B" w:rsidRPr="00524D52" w:rsidRDefault="00286D7B" w:rsidP="006237C0">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Situation</w:t>
            </w:r>
          </w:p>
        </w:tc>
        <w:tc>
          <w:tcPr>
            <w:tcW w:w="2828"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4A95F7D" w14:textId="77777777" w:rsidR="00286D7B" w:rsidRPr="00524D52" w:rsidRDefault="00286D7B" w:rsidP="002C7EDF">
            <w:pPr>
              <w:spacing w:line="240" w:lineRule="auto"/>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Input Quantity</w:t>
            </w:r>
          </w:p>
        </w:tc>
        <w:tc>
          <w:tcPr>
            <w:tcW w:w="993"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14:paraId="10C0F689" w14:textId="77777777" w:rsidR="00286D7B" w:rsidRPr="00524D52" w:rsidRDefault="00286D7B" w:rsidP="002C7EDF">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Estimated deviations of the meas. result (peak-peak)</w:t>
            </w:r>
          </w:p>
        </w:tc>
        <w:tc>
          <w:tcPr>
            <w:tcW w:w="425" w:type="dxa"/>
            <w:vMerge w:val="restart"/>
            <w:tcBorders>
              <w:top w:val="single" w:sz="4" w:space="0" w:color="auto"/>
              <w:left w:val="nil"/>
              <w:bottom w:val="single" w:sz="12" w:space="0" w:color="auto"/>
              <w:right w:val="nil"/>
            </w:tcBorders>
            <w:shd w:val="clear" w:color="auto" w:fill="auto"/>
            <w:textDirection w:val="btLr"/>
            <w:vAlign w:val="center"/>
            <w:hideMark/>
          </w:tcPr>
          <w:p w14:paraId="55BE9B1E" w14:textId="77777777" w:rsidR="00286D7B" w:rsidRPr="00524D52" w:rsidRDefault="00286D7B" w:rsidP="002C7EDF">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Impact on L</w:t>
            </w:r>
            <w:r w:rsidRPr="00524D52">
              <w:rPr>
                <w:rFonts w:asciiTheme="majorBidi" w:eastAsia="Times New Roman" w:hAnsiTheme="majorBidi" w:cstheme="majorBidi"/>
                <w:b/>
                <w:bCs/>
                <w:i/>
                <w:iCs/>
                <w:sz w:val="16"/>
                <w:szCs w:val="16"/>
                <w:vertAlign w:val="subscript"/>
                <w:lang w:eastAsia="de-DE"/>
              </w:rPr>
              <w:t>urb</w:t>
            </w:r>
          </w:p>
        </w:tc>
        <w:tc>
          <w:tcPr>
            <w:tcW w:w="992" w:type="dxa"/>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0C51B454" w14:textId="77777777" w:rsidR="00286D7B" w:rsidRPr="00524D52" w:rsidRDefault="00286D7B" w:rsidP="002C7EDF">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 xml:space="preserve">Probability </w:t>
            </w:r>
            <w:r w:rsidRPr="00524D52">
              <w:rPr>
                <w:rFonts w:asciiTheme="majorBidi" w:eastAsia="Times New Roman" w:hAnsiTheme="majorBidi" w:cstheme="majorBidi"/>
                <w:b/>
                <w:bCs/>
                <w:i/>
                <w:iCs/>
                <w:sz w:val="16"/>
                <w:szCs w:val="16"/>
                <w:lang w:eastAsia="de-DE"/>
              </w:rPr>
              <w:br/>
              <w:t>Distribution</w:t>
            </w:r>
          </w:p>
        </w:tc>
        <w:tc>
          <w:tcPr>
            <w:tcW w:w="567" w:type="dxa"/>
            <w:vMerge w:val="restart"/>
            <w:tcBorders>
              <w:top w:val="single" w:sz="4" w:space="0" w:color="auto"/>
              <w:left w:val="nil"/>
              <w:bottom w:val="single" w:sz="12" w:space="0" w:color="auto"/>
              <w:right w:val="single" w:sz="4" w:space="0" w:color="auto"/>
            </w:tcBorders>
            <w:shd w:val="clear" w:color="auto" w:fill="auto"/>
            <w:textDirection w:val="btLr"/>
            <w:vAlign w:val="center"/>
            <w:hideMark/>
          </w:tcPr>
          <w:p w14:paraId="357FB99B" w14:textId="77777777" w:rsidR="00286D7B" w:rsidRPr="00524D52" w:rsidRDefault="00286D7B" w:rsidP="002C7EDF">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Variance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00046E7" w14:textId="77777777" w:rsidR="00286D7B" w:rsidRPr="00524D52" w:rsidRDefault="00286D7B" w:rsidP="002C7EDF">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Standard uncertainty</w:t>
            </w:r>
          </w:p>
        </w:tc>
        <w:tc>
          <w:tcPr>
            <w:tcW w:w="709" w:type="dxa"/>
            <w:gridSpan w:val="2"/>
            <w:vMerge w:val="restart"/>
            <w:tcBorders>
              <w:top w:val="single" w:sz="4" w:space="0" w:color="auto"/>
              <w:left w:val="single" w:sz="4" w:space="0" w:color="auto"/>
              <w:bottom w:val="single" w:sz="12" w:space="0" w:color="auto"/>
              <w:right w:val="single" w:sz="4" w:space="0" w:color="auto"/>
            </w:tcBorders>
            <w:shd w:val="clear" w:color="auto" w:fill="FFFFFF" w:themeFill="background1"/>
            <w:textDirection w:val="btLr"/>
            <w:vAlign w:val="center"/>
            <w:hideMark/>
          </w:tcPr>
          <w:p w14:paraId="25ACCC5C" w14:textId="77777777" w:rsidR="00286D7B" w:rsidRPr="00524D52" w:rsidRDefault="00286D7B" w:rsidP="002C7EDF">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Share</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7128A0FD" w14:textId="77777777" w:rsidR="00286D7B" w:rsidRPr="00524D52" w:rsidRDefault="00286D7B" w:rsidP="002C7EDF">
            <w:pPr>
              <w:spacing w:line="240" w:lineRule="auto"/>
              <w:ind w:left="-67" w:right="-72"/>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Comb. stand. un-</w:t>
            </w:r>
          </w:p>
          <w:p w14:paraId="3EB5010C" w14:textId="77777777" w:rsidR="00286D7B" w:rsidRPr="00524D52" w:rsidRDefault="00286D7B" w:rsidP="002C7EDF">
            <w:pPr>
              <w:spacing w:line="240" w:lineRule="auto"/>
              <w:ind w:left="-67" w:right="-72"/>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certainty</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0F5FC01" w14:textId="77777777" w:rsidR="00286D7B" w:rsidRPr="00524D52" w:rsidRDefault="00286D7B" w:rsidP="002C7EDF">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Uncertainty Budgets</w:t>
            </w:r>
          </w:p>
        </w:tc>
        <w:tc>
          <w:tcPr>
            <w:tcW w:w="567" w:type="dxa"/>
            <w:gridSpan w:val="2"/>
            <w:vMerge w:val="restart"/>
            <w:tcBorders>
              <w:top w:val="single" w:sz="4" w:space="0" w:color="auto"/>
              <w:left w:val="single" w:sz="4" w:space="0" w:color="auto"/>
              <w:right w:val="single" w:sz="4" w:space="0" w:color="auto"/>
            </w:tcBorders>
            <w:shd w:val="clear" w:color="000000" w:fill="FFFFFF"/>
            <w:textDirection w:val="btLr"/>
            <w:vAlign w:val="center"/>
          </w:tcPr>
          <w:p w14:paraId="37D1999E" w14:textId="04049AF8" w:rsidR="00286D7B" w:rsidRPr="00524D52" w:rsidRDefault="00823578" w:rsidP="002C7EDF">
            <w:pPr>
              <w:spacing w:line="240" w:lineRule="auto"/>
              <w:ind w:left="113" w:right="113"/>
              <w:jc w:val="center"/>
              <w:rPr>
                <w:rFonts w:asciiTheme="majorBidi" w:eastAsia="Times New Roman" w:hAnsiTheme="majorBidi" w:cstheme="majorBidi"/>
                <w:b/>
                <w:bCs/>
                <w:i/>
                <w:iCs/>
                <w:sz w:val="16"/>
                <w:szCs w:val="16"/>
                <w:lang w:eastAsia="de-DE"/>
              </w:rPr>
            </w:pPr>
            <w:r>
              <w:rPr>
                <w:rFonts w:asciiTheme="majorBidi" w:eastAsia="Times New Roman" w:hAnsiTheme="majorBidi" w:cstheme="majorBidi"/>
                <w:b/>
                <w:bCs/>
                <w:i/>
                <w:iCs/>
                <w:sz w:val="16"/>
                <w:szCs w:val="16"/>
                <w:lang w:eastAsia="de-DE"/>
              </w:rPr>
              <w:t>expanded</w:t>
            </w:r>
            <w:r w:rsidR="0066526D">
              <w:rPr>
                <w:rFonts w:asciiTheme="majorBidi" w:eastAsia="Times New Roman" w:hAnsiTheme="majorBidi" w:cstheme="majorBidi"/>
                <w:b/>
                <w:bCs/>
                <w:i/>
                <w:iCs/>
                <w:sz w:val="16"/>
                <w:szCs w:val="16"/>
                <w:lang w:eastAsia="de-DE"/>
              </w:rPr>
              <w:t xml:space="preserve"> </w:t>
            </w:r>
            <w:r w:rsidR="00286D7B" w:rsidRPr="00524D52">
              <w:rPr>
                <w:rFonts w:asciiTheme="majorBidi" w:eastAsia="Times New Roman" w:hAnsiTheme="majorBidi" w:cstheme="majorBidi"/>
                <w:b/>
                <w:bCs/>
                <w:i/>
                <w:iCs/>
                <w:sz w:val="16"/>
                <w:szCs w:val="16"/>
                <w:lang w:eastAsia="de-DE"/>
              </w:rPr>
              <w:t>uncertainty</w:t>
            </w:r>
            <w:r w:rsidR="0066526D">
              <w:rPr>
                <w:rFonts w:asciiTheme="majorBidi" w:eastAsia="Times New Roman" w:hAnsiTheme="majorBidi" w:cstheme="majorBidi"/>
                <w:b/>
                <w:bCs/>
                <w:i/>
                <w:iCs/>
                <w:sz w:val="16"/>
                <w:szCs w:val="16"/>
                <w:lang w:eastAsia="de-DE"/>
              </w:rPr>
              <w:t xml:space="preserve"> </w:t>
            </w:r>
            <w:r w:rsidR="0066526D" w:rsidRPr="00524D52">
              <w:rPr>
                <w:rFonts w:asciiTheme="majorBidi" w:eastAsia="Times New Roman" w:hAnsiTheme="majorBidi" w:cstheme="majorBidi"/>
                <w:b/>
                <w:bCs/>
                <w:i/>
                <w:iCs/>
                <w:sz w:val="16"/>
                <w:szCs w:val="16"/>
                <w:lang w:eastAsia="de-DE"/>
              </w:rPr>
              <w:t>95%</w:t>
            </w:r>
          </w:p>
        </w:tc>
      </w:tr>
      <w:tr w:rsidR="00286D7B" w:rsidRPr="00524D52" w14:paraId="38750A50" w14:textId="77777777" w:rsidTr="002C7EDF">
        <w:trPr>
          <w:cantSplit/>
          <w:trHeight w:val="686"/>
        </w:trPr>
        <w:tc>
          <w:tcPr>
            <w:tcW w:w="426" w:type="dxa"/>
            <w:vMerge/>
            <w:tcBorders>
              <w:top w:val="single" w:sz="4" w:space="0" w:color="auto"/>
              <w:left w:val="single" w:sz="4" w:space="0" w:color="auto"/>
              <w:bottom w:val="single" w:sz="12" w:space="0" w:color="auto"/>
              <w:right w:val="nil"/>
            </w:tcBorders>
            <w:vAlign w:val="center"/>
            <w:hideMark/>
          </w:tcPr>
          <w:p w14:paraId="17E61022"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7005ACE9"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24C74834" w14:textId="77777777" w:rsidR="00286D7B" w:rsidRPr="00524D52" w:rsidRDefault="00286D7B" w:rsidP="002C7EDF">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L</w:t>
            </w:r>
            <w:r w:rsidRPr="00524D52">
              <w:rPr>
                <w:rFonts w:asciiTheme="majorBidi" w:eastAsia="Times New Roman" w:hAnsiTheme="majorBidi" w:cstheme="majorBidi"/>
                <w:b/>
                <w:bCs/>
                <w:i/>
                <w:iCs/>
                <w:sz w:val="16"/>
                <w:szCs w:val="16"/>
                <w:vertAlign w:val="subscript"/>
                <w:lang w:eastAsia="de-DE"/>
              </w:rPr>
              <w:t>wot</w:t>
            </w:r>
          </w:p>
        </w:tc>
        <w:tc>
          <w:tcPr>
            <w:tcW w:w="426" w:type="dxa"/>
            <w:tcBorders>
              <w:top w:val="single" w:sz="4" w:space="0" w:color="auto"/>
              <w:left w:val="nil"/>
              <w:bottom w:val="single" w:sz="12" w:space="0" w:color="auto"/>
              <w:right w:val="single" w:sz="4" w:space="0" w:color="auto"/>
            </w:tcBorders>
            <w:shd w:val="clear" w:color="auto" w:fill="FFFFFF" w:themeFill="background1"/>
            <w:textDirection w:val="btLr"/>
            <w:vAlign w:val="center"/>
            <w:hideMark/>
          </w:tcPr>
          <w:p w14:paraId="0C29B98D" w14:textId="77777777" w:rsidR="00286D7B" w:rsidRPr="00524D52" w:rsidRDefault="00286D7B" w:rsidP="002C7EDF">
            <w:pPr>
              <w:spacing w:line="240" w:lineRule="auto"/>
              <w:ind w:left="113" w:right="113"/>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L</w:t>
            </w:r>
            <w:r w:rsidRPr="00524D52">
              <w:rPr>
                <w:rFonts w:asciiTheme="majorBidi" w:eastAsia="Times New Roman" w:hAnsiTheme="majorBidi" w:cstheme="majorBidi"/>
                <w:b/>
                <w:bCs/>
                <w:i/>
                <w:iCs/>
                <w:sz w:val="16"/>
                <w:szCs w:val="16"/>
                <w:vertAlign w:val="subscript"/>
                <w:lang w:eastAsia="de-DE"/>
              </w:rPr>
              <w:t>crs</w:t>
            </w:r>
          </w:p>
        </w:tc>
        <w:tc>
          <w:tcPr>
            <w:tcW w:w="425" w:type="dxa"/>
            <w:vMerge/>
            <w:tcBorders>
              <w:top w:val="single" w:sz="4" w:space="0" w:color="auto"/>
              <w:left w:val="nil"/>
              <w:bottom w:val="single" w:sz="12" w:space="0" w:color="auto"/>
              <w:right w:val="nil"/>
            </w:tcBorders>
            <w:vAlign w:val="center"/>
            <w:hideMark/>
          </w:tcPr>
          <w:p w14:paraId="37C014B7"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992" w:type="dxa"/>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EE776B0"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567" w:type="dxa"/>
            <w:vMerge/>
            <w:tcBorders>
              <w:top w:val="single" w:sz="4" w:space="0" w:color="auto"/>
              <w:left w:val="nil"/>
              <w:bottom w:val="single" w:sz="12" w:space="0" w:color="auto"/>
              <w:right w:val="single" w:sz="4" w:space="0" w:color="auto"/>
            </w:tcBorders>
            <w:vAlign w:val="center"/>
            <w:hideMark/>
          </w:tcPr>
          <w:p w14:paraId="70C11F57"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BDC51E7"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709" w:type="dxa"/>
            <w:gridSpan w:val="2"/>
            <w:vMerge/>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0E3EEA28"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1EA9AED7"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567" w:type="dxa"/>
            <w:tcBorders>
              <w:top w:val="single" w:sz="4" w:space="0" w:color="auto"/>
              <w:left w:val="single" w:sz="4" w:space="0" w:color="auto"/>
              <w:bottom w:val="single" w:sz="12" w:space="0" w:color="auto"/>
              <w:right w:val="single" w:sz="4" w:space="0" w:color="auto"/>
            </w:tcBorders>
            <w:shd w:val="clear" w:color="000000" w:fill="FFFFFF"/>
            <w:vAlign w:val="center"/>
            <w:hideMark/>
          </w:tcPr>
          <w:p w14:paraId="6EA52B52" w14:textId="77777777" w:rsidR="00286D7B" w:rsidRPr="00524D52" w:rsidRDefault="00286D7B" w:rsidP="002C7EDF">
            <w:pPr>
              <w:spacing w:line="240" w:lineRule="auto"/>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 xml:space="preserve">Type </w:t>
            </w:r>
            <w:r w:rsidRPr="00524D52">
              <w:rPr>
                <w:rFonts w:asciiTheme="majorBidi" w:eastAsia="Times New Roman" w:hAnsiTheme="majorBidi" w:cstheme="majorBidi"/>
                <w:b/>
                <w:bCs/>
                <w:i/>
                <w:iCs/>
                <w:sz w:val="16"/>
                <w:szCs w:val="16"/>
                <w:lang w:eastAsia="de-DE"/>
              </w:rPr>
              <w:br/>
              <w:t>Appro-val</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517BD1FD" w14:textId="77777777" w:rsidR="00286D7B" w:rsidRPr="00524D52" w:rsidRDefault="00286D7B" w:rsidP="002C7EDF">
            <w:pPr>
              <w:spacing w:line="240" w:lineRule="auto"/>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CoP</w:t>
            </w:r>
          </w:p>
        </w:tc>
        <w:tc>
          <w:tcPr>
            <w:tcW w:w="567" w:type="dxa"/>
            <w:tcBorders>
              <w:top w:val="single" w:sz="4" w:space="0" w:color="auto"/>
              <w:left w:val="nil"/>
              <w:bottom w:val="single" w:sz="12" w:space="0" w:color="auto"/>
              <w:right w:val="single" w:sz="4" w:space="0" w:color="auto"/>
            </w:tcBorders>
            <w:shd w:val="clear" w:color="000000" w:fill="FFFFFF"/>
            <w:vAlign w:val="center"/>
            <w:hideMark/>
          </w:tcPr>
          <w:p w14:paraId="1633B1A7" w14:textId="77777777" w:rsidR="00286D7B" w:rsidRPr="00524D52" w:rsidRDefault="00286D7B" w:rsidP="002C7EDF">
            <w:pPr>
              <w:spacing w:line="240" w:lineRule="auto"/>
              <w:jc w:val="center"/>
              <w:rPr>
                <w:rFonts w:asciiTheme="majorBidi" w:eastAsia="Times New Roman" w:hAnsiTheme="majorBidi" w:cstheme="majorBidi"/>
                <w:b/>
                <w:bCs/>
                <w:i/>
                <w:iCs/>
                <w:sz w:val="16"/>
                <w:szCs w:val="16"/>
                <w:lang w:eastAsia="de-DE"/>
              </w:rPr>
            </w:pPr>
            <w:r w:rsidRPr="00524D52">
              <w:rPr>
                <w:rFonts w:asciiTheme="majorBidi" w:eastAsia="Times New Roman" w:hAnsiTheme="majorBidi" w:cstheme="majorBidi"/>
                <w:b/>
                <w:bCs/>
                <w:i/>
                <w:iCs/>
                <w:sz w:val="16"/>
                <w:szCs w:val="16"/>
                <w:lang w:eastAsia="de-DE"/>
              </w:rPr>
              <w:t xml:space="preserve">Field </w:t>
            </w:r>
            <w:r w:rsidRPr="00524D52">
              <w:rPr>
                <w:rFonts w:asciiTheme="majorBidi" w:eastAsia="Times New Roman" w:hAnsiTheme="majorBidi" w:cstheme="majorBidi"/>
                <w:b/>
                <w:bCs/>
                <w:i/>
                <w:iCs/>
                <w:sz w:val="16"/>
                <w:szCs w:val="16"/>
                <w:lang w:eastAsia="de-DE"/>
              </w:rPr>
              <w:br/>
              <w:t>Tests</w:t>
            </w:r>
          </w:p>
        </w:tc>
        <w:tc>
          <w:tcPr>
            <w:tcW w:w="567" w:type="dxa"/>
            <w:gridSpan w:val="2"/>
            <w:vMerge/>
            <w:tcBorders>
              <w:left w:val="single" w:sz="4" w:space="0" w:color="auto"/>
              <w:bottom w:val="single" w:sz="12" w:space="0" w:color="auto"/>
              <w:right w:val="single" w:sz="4" w:space="0" w:color="auto"/>
            </w:tcBorders>
            <w:shd w:val="clear" w:color="000000" w:fill="FFFFFF"/>
          </w:tcPr>
          <w:p w14:paraId="583305DE" w14:textId="77777777" w:rsidR="00286D7B" w:rsidRPr="00524D52" w:rsidRDefault="00286D7B" w:rsidP="002C7EDF">
            <w:pPr>
              <w:spacing w:line="240" w:lineRule="auto"/>
              <w:jc w:val="center"/>
              <w:rPr>
                <w:rFonts w:asciiTheme="majorBidi" w:eastAsia="Times New Roman" w:hAnsiTheme="majorBidi" w:cstheme="majorBidi"/>
                <w:b/>
                <w:bCs/>
                <w:i/>
                <w:iCs/>
                <w:sz w:val="16"/>
                <w:szCs w:val="16"/>
                <w:lang w:eastAsia="de-DE"/>
              </w:rPr>
            </w:pPr>
          </w:p>
        </w:tc>
      </w:tr>
      <w:tr w:rsidR="00286D7B" w:rsidRPr="00524D52" w14:paraId="3FE8F2DD" w14:textId="77777777" w:rsidTr="00AD65FA">
        <w:trPr>
          <w:trHeight w:val="162"/>
        </w:trPr>
        <w:tc>
          <w:tcPr>
            <w:tcW w:w="426"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center"/>
            <w:hideMark/>
          </w:tcPr>
          <w:p w14:paraId="7D1971C8" w14:textId="77777777" w:rsidR="00286D7B" w:rsidRPr="00524D52" w:rsidRDefault="00286D7B" w:rsidP="002C7EDF">
            <w:pPr>
              <w:spacing w:line="240" w:lineRule="auto"/>
              <w:ind w:left="113" w:right="113"/>
              <w:jc w:val="center"/>
              <w:rPr>
                <w:rFonts w:asciiTheme="majorBidi" w:eastAsia="Times New Roman" w:hAnsiTheme="majorBidi" w:cstheme="majorBidi"/>
                <w:b/>
                <w:bCs/>
                <w:sz w:val="16"/>
                <w:szCs w:val="16"/>
                <w:lang w:eastAsia="de-DE"/>
              </w:rPr>
            </w:pPr>
            <w:r w:rsidRPr="00524D52">
              <w:rPr>
                <w:rFonts w:asciiTheme="majorBidi" w:eastAsia="Times New Roman" w:hAnsiTheme="majorBidi" w:cstheme="majorBidi"/>
                <w:b/>
                <w:bCs/>
                <w:sz w:val="16"/>
                <w:szCs w:val="16"/>
                <w:lang w:eastAsia="de-DE"/>
              </w:rPr>
              <w:t>Run to Run</w:t>
            </w:r>
          </w:p>
        </w:tc>
        <w:tc>
          <w:tcPr>
            <w:tcW w:w="2828"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42EF3E0"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Microclimate wind effect – head or tail</w:t>
            </w:r>
          </w:p>
        </w:tc>
        <w:tc>
          <w:tcPr>
            <w:tcW w:w="567" w:type="dxa"/>
            <w:tcBorders>
              <w:top w:val="single" w:sz="12" w:space="0" w:color="auto"/>
              <w:left w:val="nil"/>
              <w:bottom w:val="single" w:sz="4" w:space="0" w:color="auto"/>
              <w:right w:val="single" w:sz="4" w:space="0" w:color="auto"/>
            </w:tcBorders>
            <w:shd w:val="clear" w:color="auto" w:fill="FFFFFF" w:themeFill="background1"/>
            <w:vAlign w:val="center"/>
            <w:hideMark/>
          </w:tcPr>
          <w:p w14:paraId="284EB9B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w:t>
            </w:r>
          </w:p>
        </w:tc>
        <w:tc>
          <w:tcPr>
            <w:tcW w:w="426" w:type="dxa"/>
            <w:tcBorders>
              <w:top w:val="single" w:sz="12" w:space="0" w:color="auto"/>
              <w:left w:val="nil"/>
              <w:bottom w:val="single" w:sz="4" w:space="0" w:color="auto"/>
              <w:right w:val="single" w:sz="4" w:space="0" w:color="auto"/>
            </w:tcBorders>
            <w:shd w:val="clear" w:color="auto" w:fill="FFFFFF" w:themeFill="background1"/>
            <w:vAlign w:val="center"/>
          </w:tcPr>
          <w:p w14:paraId="6F372CB8"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12" w:space="0" w:color="auto"/>
              <w:left w:val="nil"/>
              <w:bottom w:val="single" w:sz="4" w:space="0" w:color="auto"/>
              <w:right w:val="single" w:sz="4" w:space="0" w:color="auto"/>
            </w:tcBorders>
            <w:shd w:val="clear" w:color="auto" w:fill="auto"/>
            <w:noWrap/>
            <w:vAlign w:val="center"/>
            <w:hideMark/>
          </w:tcPr>
          <w:p w14:paraId="32BB7220"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color w:val="000000"/>
                <w:sz w:val="16"/>
                <w:szCs w:val="16"/>
                <w:lang w:eastAsia="de-DE"/>
              </w:rPr>
              <w:t>0</w:t>
            </w:r>
          </w:p>
        </w:tc>
        <w:tc>
          <w:tcPr>
            <w:tcW w:w="992" w:type="dxa"/>
            <w:tcBorders>
              <w:top w:val="single" w:sz="12" w:space="0" w:color="auto"/>
              <w:left w:val="nil"/>
              <w:bottom w:val="single" w:sz="4" w:space="0" w:color="auto"/>
              <w:right w:val="single" w:sz="4" w:space="0" w:color="auto"/>
            </w:tcBorders>
            <w:shd w:val="clear" w:color="auto" w:fill="FFFFFF" w:themeFill="background1"/>
            <w:vAlign w:val="center"/>
            <w:hideMark/>
          </w:tcPr>
          <w:p w14:paraId="5C16030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gaussian</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537EEF5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0,000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14:paraId="47B1E27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0,00 </w:t>
            </w:r>
          </w:p>
        </w:tc>
        <w:tc>
          <w:tcPr>
            <w:tcW w:w="709" w:type="dxa"/>
            <w:gridSpan w:val="2"/>
            <w:tcBorders>
              <w:top w:val="single" w:sz="12" w:space="0" w:color="auto"/>
              <w:left w:val="nil"/>
              <w:bottom w:val="single" w:sz="4" w:space="0" w:color="auto"/>
              <w:right w:val="single" w:sz="4" w:space="0" w:color="auto"/>
            </w:tcBorders>
            <w:shd w:val="clear" w:color="auto" w:fill="FFFFFF" w:themeFill="background1"/>
            <w:noWrap/>
            <w:vAlign w:val="center"/>
            <w:hideMark/>
          </w:tcPr>
          <w:p w14:paraId="0E497F4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4A4289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18B647B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3E9A13B"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0,30</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54DB09EE"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0,30</w:t>
            </w:r>
          </w:p>
        </w:tc>
        <w:tc>
          <w:tcPr>
            <w:tcW w:w="567" w:type="dxa"/>
            <w:gridSpan w:val="2"/>
            <w:vMerge w:val="restart"/>
            <w:tcBorders>
              <w:top w:val="single" w:sz="12" w:space="0" w:color="auto"/>
              <w:left w:val="single" w:sz="4" w:space="0" w:color="auto"/>
              <w:right w:val="single" w:sz="4" w:space="0" w:color="auto"/>
            </w:tcBorders>
            <w:shd w:val="clear" w:color="auto" w:fill="E7E6E6" w:themeFill="background2"/>
            <w:vAlign w:val="center"/>
          </w:tcPr>
          <w:p w14:paraId="7218E3D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0,59</w:t>
            </w:r>
          </w:p>
        </w:tc>
      </w:tr>
      <w:tr w:rsidR="00286D7B" w:rsidRPr="00524D52" w14:paraId="0E21F5FD"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6B9E0A0"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EB39E3"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Deviation from centred driving</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18722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0,50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EE1622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77FF772"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color w:val="000000"/>
                <w:sz w:val="16"/>
                <w:szCs w:val="16"/>
                <w:lang w:eastAsia="de-DE"/>
              </w:rPr>
              <w:t xml:space="preserve">0,50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44928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B51A4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0,021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BE179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0,14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759B069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2,0%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58C4DE"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8555CA"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D38D165"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C5CD34"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7A5E48F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r>
      <w:tr w:rsidR="00286D7B" w:rsidRPr="00524D52" w14:paraId="075735A6"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E69EAF"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628D1E"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Speed at BB’ – Target vehicle speed (+/-5 km/h), (target engine speed (+/-2%)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CCA72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0,40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635EC6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DBBAFDE"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color w:val="000000"/>
                <w:sz w:val="16"/>
                <w:szCs w:val="16"/>
                <w:lang w:eastAsia="de-DE"/>
              </w:rPr>
              <w:t xml:space="preserve">0,40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56C02D"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F1740C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1E237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0,12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1432CA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15B546"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D822C3"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BA4EA1"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C6774BE"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37F684F3"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r>
      <w:tr w:rsidR="00286D7B" w:rsidRPr="00524D52" w14:paraId="05EB0086"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7B1CCD7"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0C1C0A"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Varying background noise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9C6D7E"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3E216E03"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38650DE"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D91E13"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E63BF68"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3B2C00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0,03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1B7E0F8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E25B9D4"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856DE6C"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9F97FF"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96E569"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57EBA37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r>
      <w:tr w:rsidR="00286D7B" w:rsidRPr="00524D52" w14:paraId="54F8A375"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37FC490"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A47E68"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Variation on operating temperature of engine and tyres =&gt; See ISO 362-1 note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92618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0,80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6B45AB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0094D97"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color w:val="000000"/>
                <w:sz w:val="16"/>
                <w:szCs w:val="16"/>
                <w:lang w:eastAsia="de-DE"/>
              </w:rPr>
              <w:t xml:space="preserve">0,80 </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F2604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64C6D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0,053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2CABF4"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0,23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3DCD6990"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5,1%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C577C74"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4E1807"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FC8CA0"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ABA5ED"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left w:val="single" w:sz="4" w:space="0" w:color="auto"/>
              <w:bottom w:val="single" w:sz="4" w:space="0" w:color="auto"/>
              <w:right w:val="single" w:sz="4" w:space="0" w:color="auto"/>
            </w:tcBorders>
            <w:shd w:val="clear" w:color="auto" w:fill="E7E6E6" w:themeFill="background2"/>
            <w:vAlign w:val="center"/>
          </w:tcPr>
          <w:p w14:paraId="380939B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r>
      <w:tr w:rsidR="00286D7B" w:rsidRPr="00524D52" w14:paraId="7E6E36B1" w14:textId="77777777" w:rsidTr="00AD65FA">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A3A840" w14:textId="77777777" w:rsidR="00286D7B" w:rsidRPr="00524D52" w:rsidRDefault="00286D7B" w:rsidP="002C7EDF">
            <w:pPr>
              <w:spacing w:line="240" w:lineRule="auto"/>
              <w:ind w:left="113" w:right="113"/>
              <w:jc w:val="center"/>
              <w:rPr>
                <w:rFonts w:asciiTheme="majorBidi" w:eastAsia="Times New Roman" w:hAnsiTheme="majorBidi" w:cstheme="majorBidi"/>
                <w:b/>
                <w:bCs/>
                <w:sz w:val="16"/>
                <w:szCs w:val="16"/>
                <w:lang w:eastAsia="de-DE"/>
              </w:rPr>
            </w:pPr>
            <w:r w:rsidRPr="00524D52">
              <w:rPr>
                <w:rFonts w:asciiTheme="majorBidi" w:eastAsia="Times New Roman" w:hAnsiTheme="majorBidi" w:cstheme="majorBidi"/>
                <w:b/>
                <w:bCs/>
                <w:sz w:val="16"/>
                <w:szCs w:val="16"/>
                <w:lang w:eastAsia="de-DE"/>
              </w:rPr>
              <w:t>Day to Day</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7A9CE7"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Ambient temperature influence on sound transmission in air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E23B3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0,6</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20652A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79E51F8"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0,6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BB8DDB"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93DE094"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0,030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DD555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0,17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71F168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2,9%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06768"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7BA7E5" w14:textId="10F5003B"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w:t>
            </w:r>
            <w:r w:rsidR="00F42324">
              <w:rPr>
                <w:rFonts w:asciiTheme="majorBidi" w:eastAsia="Times New Roman" w:hAnsiTheme="majorBidi" w:cstheme="majorBidi"/>
                <w:sz w:val="16"/>
                <w:szCs w:val="16"/>
                <w:lang w:eastAsia="de-DE"/>
              </w:rPr>
              <w:t>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E4CEFD"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0,46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E58EB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0,46</w:t>
            </w:r>
          </w:p>
        </w:tc>
        <w:tc>
          <w:tcPr>
            <w:tcW w:w="567" w:type="dxa"/>
            <w:gridSpan w:val="2"/>
            <w:vMerge w:val="restart"/>
            <w:tcBorders>
              <w:top w:val="single" w:sz="4" w:space="0" w:color="auto"/>
              <w:left w:val="single" w:sz="4" w:space="0" w:color="auto"/>
              <w:right w:val="single" w:sz="4" w:space="0" w:color="auto"/>
            </w:tcBorders>
            <w:shd w:val="clear" w:color="auto" w:fill="E7E6E6" w:themeFill="background2"/>
            <w:vAlign w:val="center"/>
          </w:tcPr>
          <w:p w14:paraId="27A19F6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0,91</w:t>
            </w:r>
          </w:p>
        </w:tc>
      </w:tr>
      <w:tr w:rsidR="00286D7B" w:rsidRPr="00524D52" w14:paraId="220F159A"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352E8B"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476948"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Ambient barometric pressure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9EC06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F471F2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6840EAB"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33704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66B8B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CA3B4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0,26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3B50B5A3"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6,5%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54F387"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00F3632"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29EDFD3"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3FD7C51"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1E970106" w14:textId="77777777" w:rsidR="00286D7B" w:rsidRPr="00524D52" w:rsidRDefault="00286D7B" w:rsidP="002C7EDF">
            <w:pPr>
              <w:spacing w:line="240" w:lineRule="auto"/>
              <w:jc w:val="center"/>
              <w:rPr>
                <w:rFonts w:asciiTheme="majorBidi" w:eastAsia="Times New Roman" w:hAnsiTheme="majorBidi" w:cstheme="majorBidi"/>
                <w:color w:val="C00000"/>
                <w:sz w:val="16"/>
                <w:szCs w:val="16"/>
                <w:lang w:eastAsia="de-DE"/>
              </w:rPr>
            </w:pPr>
          </w:p>
        </w:tc>
      </w:tr>
      <w:tr w:rsidR="00286D7B" w:rsidRPr="00524D52" w14:paraId="5A6D8A25"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7BC874B"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9F139F"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Ambient humidity influence on sound transmission in air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C0B0A0"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E44B94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D839EE4"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739E7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923A9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DE1E53"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0,03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73E38D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91725AF"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80D9066"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B69937C"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C4BF49B"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18F3C231" w14:textId="77777777" w:rsidR="00286D7B" w:rsidRPr="00524D52" w:rsidRDefault="00286D7B" w:rsidP="002C7EDF">
            <w:pPr>
              <w:spacing w:line="240" w:lineRule="auto"/>
              <w:jc w:val="center"/>
              <w:rPr>
                <w:rFonts w:asciiTheme="majorBidi" w:eastAsia="Times New Roman" w:hAnsiTheme="majorBidi" w:cstheme="majorBidi"/>
                <w:color w:val="C00000"/>
                <w:sz w:val="16"/>
                <w:szCs w:val="16"/>
                <w:lang w:eastAsia="de-DE"/>
              </w:rPr>
            </w:pPr>
          </w:p>
        </w:tc>
      </w:tr>
      <w:tr w:rsidR="00286D7B" w:rsidRPr="00524D52" w14:paraId="04F30E1F"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7599E0F"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117F84"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Ambient air temperature influence on engine power  (based on R85)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55AB2B"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1,0</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7945DA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1D978A8"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1,0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F6863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287ED3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0,083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A4EDF0"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0,29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7948F38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8,0%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B3EFC9"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802FF8F"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612EF70"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F78510A"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65C9ACB2" w14:textId="77777777" w:rsidR="00286D7B" w:rsidRPr="00524D52" w:rsidRDefault="00286D7B" w:rsidP="002C7EDF">
            <w:pPr>
              <w:spacing w:line="240" w:lineRule="auto"/>
              <w:jc w:val="center"/>
              <w:rPr>
                <w:rFonts w:asciiTheme="majorBidi" w:eastAsia="Times New Roman" w:hAnsiTheme="majorBidi" w:cstheme="majorBidi"/>
                <w:color w:val="C00000"/>
                <w:sz w:val="16"/>
                <w:szCs w:val="16"/>
                <w:lang w:eastAsia="de-DE"/>
              </w:rPr>
            </w:pPr>
          </w:p>
        </w:tc>
      </w:tr>
      <w:tr w:rsidR="00286D7B" w:rsidRPr="00524D52" w14:paraId="34DA1424" w14:textId="77777777" w:rsidTr="00AD65FA">
        <w:trPr>
          <w:trHeight w:val="10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B716C7C"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5BDE36"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Ambient air temperature effect on ICE vehicles due to tyre noise (5-40°C)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689F8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CBDA73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2C484EE"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C6EC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rectangular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A2E41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14523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0,12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DA2F35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5EA8B2"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D7AAF2B"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69F043A"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D71E56E"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457BAE4A" w14:textId="77777777" w:rsidR="00286D7B" w:rsidRPr="00524D52" w:rsidRDefault="00286D7B" w:rsidP="002C7EDF">
            <w:pPr>
              <w:spacing w:line="240" w:lineRule="auto"/>
              <w:jc w:val="center"/>
              <w:rPr>
                <w:rFonts w:asciiTheme="majorBidi" w:eastAsia="Times New Roman" w:hAnsiTheme="majorBidi" w:cstheme="majorBidi"/>
                <w:color w:val="C00000"/>
                <w:sz w:val="16"/>
                <w:szCs w:val="16"/>
                <w:lang w:eastAsia="de-DE"/>
              </w:rPr>
            </w:pPr>
          </w:p>
        </w:tc>
      </w:tr>
      <w:tr w:rsidR="00286D7B" w:rsidRPr="00524D52" w14:paraId="3FFC3B93" w14:textId="77777777" w:rsidTr="00AD65FA">
        <w:trPr>
          <w:trHeight w:val="23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D4378F4"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83F43F"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Barometric pressure effect on engine power (based on R85)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3DD2EE"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0,4</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BD1B73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76ED97B"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0,4</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99FA0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18ECA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0,013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3B98E8"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0,12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C65FF1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1,3%</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F88E57"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D799025"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B9BD4E7"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4436641"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gridSpan w:val="2"/>
            <w:vMerge/>
            <w:tcBorders>
              <w:left w:val="single" w:sz="4" w:space="0" w:color="auto"/>
              <w:bottom w:val="single" w:sz="4" w:space="0" w:color="auto"/>
              <w:right w:val="single" w:sz="4" w:space="0" w:color="auto"/>
            </w:tcBorders>
            <w:shd w:val="clear" w:color="auto" w:fill="E7E6E6" w:themeFill="background2"/>
            <w:vAlign w:val="center"/>
          </w:tcPr>
          <w:p w14:paraId="68B69843" w14:textId="77777777" w:rsidR="00286D7B" w:rsidRPr="00524D52" w:rsidRDefault="00286D7B" w:rsidP="002C7EDF">
            <w:pPr>
              <w:spacing w:line="240" w:lineRule="auto"/>
              <w:jc w:val="center"/>
              <w:rPr>
                <w:rFonts w:asciiTheme="majorBidi" w:eastAsia="Times New Roman" w:hAnsiTheme="majorBidi" w:cstheme="majorBidi"/>
                <w:color w:val="C00000"/>
                <w:sz w:val="16"/>
                <w:szCs w:val="16"/>
                <w:lang w:eastAsia="de-DE"/>
              </w:rPr>
            </w:pPr>
          </w:p>
        </w:tc>
      </w:tr>
      <w:tr w:rsidR="00286D7B" w:rsidRPr="00524D52" w14:paraId="3880F94E" w14:textId="77777777" w:rsidTr="00AD65FA">
        <w:trPr>
          <w:trHeight w:val="16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864C32" w14:textId="77777777" w:rsidR="00286D7B" w:rsidRPr="00524D52" w:rsidRDefault="00286D7B" w:rsidP="002C7EDF">
            <w:pPr>
              <w:spacing w:line="240" w:lineRule="auto"/>
              <w:ind w:left="113" w:right="113"/>
              <w:jc w:val="center"/>
              <w:rPr>
                <w:rFonts w:asciiTheme="majorBidi" w:eastAsia="Times New Roman" w:hAnsiTheme="majorBidi" w:cstheme="majorBidi"/>
                <w:b/>
                <w:bCs/>
                <w:sz w:val="16"/>
                <w:szCs w:val="16"/>
                <w:lang w:eastAsia="de-DE"/>
              </w:rPr>
            </w:pPr>
            <w:r w:rsidRPr="00524D52">
              <w:rPr>
                <w:rFonts w:asciiTheme="majorBidi" w:eastAsia="Times New Roman" w:hAnsiTheme="majorBidi" w:cstheme="majorBidi"/>
                <w:b/>
                <w:bCs/>
                <w:sz w:val="16"/>
                <w:szCs w:val="16"/>
                <w:lang w:eastAsia="de-DE"/>
              </w:rPr>
              <w:t>Site to Site</w:t>
            </w: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1D25F32E"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eastAsia="Times New Roman"/>
                <w:sz w:val="16"/>
                <w:szCs w:val="16"/>
              </w:rPr>
              <w:t>Altitude effect on combustion and sound propagation (Range: 1000 m) (95-105 kPa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EEFD7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0,9</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127E51DD"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3175564"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0,9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33A97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rectangular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5F8B5F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0,068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696AA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0,26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42D1DC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6,5%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FD7E"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F5913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8D06E34" w14:textId="1AA71AC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w:t>
            </w:r>
            <w:r w:rsidR="00CB7257">
              <w:rPr>
                <w:rFonts w:asciiTheme="majorBidi" w:eastAsia="Times New Roman" w:hAnsiTheme="majorBidi" w:cstheme="majorBidi"/>
                <w:sz w:val="16"/>
                <w:szCs w:val="16"/>
                <w:lang w:eastAsia="de-DE"/>
              </w:rPr>
              <w:t>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0937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0,50</w:t>
            </w:r>
          </w:p>
        </w:tc>
        <w:tc>
          <w:tcPr>
            <w:tcW w:w="567" w:type="dxa"/>
            <w:gridSpan w:val="2"/>
            <w:vMerge w:val="restart"/>
            <w:tcBorders>
              <w:top w:val="single" w:sz="4" w:space="0" w:color="auto"/>
              <w:left w:val="single" w:sz="4" w:space="0" w:color="auto"/>
              <w:right w:val="single" w:sz="4" w:space="0" w:color="auto"/>
            </w:tcBorders>
            <w:shd w:val="clear" w:color="auto" w:fill="E7E6E6" w:themeFill="background2"/>
            <w:vAlign w:val="center"/>
          </w:tcPr>
          <w:p w14:paraId="0FC5F62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1,0</w:t>
            </w:r>
          </w:p>
        </w:tc>
      </w:tr>
      <w:tr w:rsidR="00286D7B" w:rsidRPr="00524D52" w14:paraId="6F6957AB"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46E8F596" w14:textId="77777777" w:rsidR="00286D7B" w:rsidRPr="00524D52" w:rsidRDefault="00286D7B" w:rsidP="002C7EDF">
            <w:pPr>
              <w:spacing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72224392"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eastAsia="Times New Roman"/>
                <w:sz w:val="16"/>
                <w:szCs w:val="16"/>
              </w:rPr>
              <w:t>Test Track Surface</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872E34"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1,3</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804459B"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6EEEE14"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1,3</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303388"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35C01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0,106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16604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0,33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179948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10,2%</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04328F4"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B86D76D"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F03790A"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3476BFE"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2606D6C0"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r>
      <w:tr w:rsidR="00286D7B" w:rsidRPr="00524D52" w14:paraId="76AC65BD"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75525BF" w14:textId="77777777" w:rsidR="00286D7B" w:rsidRPr="00524D52" w:rsidRDefault="00286D7B" w:rsidP="002C7EDF">
            <w:pPr>
              <w:spacing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5895D625"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eastAsia="Times New Roman"/>
                <w:sz w:val="16"/>
                <w:szCs w:val="16"/>
              </w:rPr>
              <w:t>Microphone Class 1 IEC 61672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452768"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3056BB8"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2022865"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D4672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8670C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0,063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A128C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0,25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6BA74E9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6,0%</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C7FA678"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821FD5F"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B01ECB1"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3E23192"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57947DD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r>
      <w:tr w:rsidR="00286D7B" w:rsidRPr="00524D52" w14:paraId="14B0051A"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4EC7EC2F" w14:textId="77777777" w:rsidR="00286D7B" w:rsidRPr="00524D52" w:rsidRDefault="00286D7B" w:rsidP="002C7EDF">
            <w:pPr>
              <w:spacing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66BCAFE6"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eastAsia="Times New Roman"/>
                <w:sz w:val="16"/>
                <w:szCs w:val="16"/>
              </w:rPr>
              <w:t>Sound calibrator IEC 60942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FB4E8D0"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0,5</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0A5460BD"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20FD8CC"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0,5</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FCF56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gaussian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75F74D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0,016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114E3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0,13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16F18698"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1,5%</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AC5320F"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A1E562C"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8DC9EF7"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2CB406C"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5A734F24"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r>
      <w:tr w:rsidR="00286D7B" w:rsidRPr="00524D52" w14:paraId="2114AA13"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FC074F0" w14:textId="77777777" w:rsidR="00286D7B" w:rsidRPr="00524D52" w:rsidRDefault="00286D7B" w:rsidP="002C7EDF">
            <w:pPr>
              <w:spacing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hideMark/>
          </w:tcPr>
          <w:p w14:paraId="5552E165"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eastAsia="Times New Roman"/>
                <w:sz w:val="16"/>
                <w:szCs w:val="16"/>
              </w:rPr>
              <w:t>Speed measuring equipment continuous at BB</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9DC11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0,1</w:t>
            </w:r>
          </w:p>
        </w:tc>
        <w:tc>
          <w:tcPr>
            <w:tcW w:w="426" w:type="dxa"/>
            <w:tcBorders>
              <w:top w:val="single" w:sz="4" w:space="0" w:color="auto"/>
              <w:left w:val="nil"/>
              <w:bottom w:val="single" w:sz="4" w:space="0" w:color="auto"/>
              <w:right w:val="single" w:sz="4" w:space="0" w:color="auto"/>
            </w:tcBorders>
            <w:shd w:val="clear" w:color="auto" w:fill="FFFFFF" w:themeFill="background1"/>
          </w:tcPr>
          <w:p w14:paraId="2A05BB0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8E4679D"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sz w:val="16"/>
                <w:szCs w:val="16"/>
                <w:lang w:eastAsia="de-DE"/>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67BFBD"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gaussian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0337700"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0,001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68FD7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0,03 </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43D0762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0,1%</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50A52F"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3DDC3B5"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DA9C31B"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4AEC02B"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left w:val="single" w:sz="4" w:space="0" w:color="auto"/>
              <w:right w:val="single" w:sz="4" w:space="0" w:color="auto"/>
            </w:tcBorders>
            <w:shd w:val="clear" w:color="auto" w:fill="E7E6E6" w:themeFill="background2"/>
            <w:vAlign w:val="center"/>
          </w:tcPr>
          <w:p w14:paraId="1F0F17E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r>
      <w:tr w:rsidR="00286D7B" w:rsidRPr="00524D52" w14:paraId="3663831E" w14:textId="77777777" w:rsidTr="00AD65FA">
        <w:trPr>
          <w:trHeight w:val="162"/>
        </w:trPr>
        <w:tc>
          <w:tcPr>
            <w:tcW w:w="426" w:type="dxa"/>
            <w:vMerge/>
            <w:tcBorders>
              <w:top w:val="single" w:sz="4" w:space="0" w:color="auto"/>
              <w:left w:val="single" w:sz="4" w:space="0" w:color="auto"/>
              <w:bottom w:val="single" w:sz="4" w:space="0" w:color="auto"/>
              <w:right w:val="single" w:sz="4" w:space="0" w:color="auto"/>
            </w:tcBorders>
            <w:textDirection w:val="btLr"/>
            <w:vAlign w:val="center"/>
            <w:hideMark/>
          </w:tcPr>
          <w:p w14:paraId="30CD5460" w14:textId="77777777" w:rsidR="00286D7B" w:rsidRPr="00524D52" w:rsidRDefault="00286D7B" w:rsidP="002C7EDF">
            <w:pPr>
              <w:spacing w:line="240" w:lineRule="auto"/>
              <w:ind w:left="113" w:right="113"/>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tcPr>
          <w:p w14:paraId="502AA690"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F44CB4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5D379BB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95DA069"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7DFA95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A6F8C13"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45D9436"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50BB740"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821812"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2E25443"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FC7737F" w14:textId="77777777" w:rsidR="00286D7B" w:rsidRPr="00524D52" w:rsidRDefault="00286D7B" w:rsidP="002C7EDF">
            <w:pPr>
              <w:spacing w:line="240" w:lineRule="auto"/>
              <w:rPr>
                <w:rFonts w:asciiTheme="majorBidi" w:eastAsia="Times New Roman" w:hAnsiTheme="majorBidi" w:cstheme="majorBidi"/>
                <w:color w:val="C00000"/>
                <w:sz w:val="16"/>
                <w:szCs w:val="16"/>
                <w:lang w:eastAsia="de-DE"/>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1A68ADB"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left w:val="single" w:sz="4" w:space="0" w:color="auto"/>
              <w:bottom w:val="single" w:sz="4" w:space="0" w:color="auto"/>
              <w:right w:val="single" w:sz="4" w:space="0" w:color="auto"/>
            </w:tcBorders>
            <w:shd w:val="clear" w:color="auto" w:fill="E7E6E6" w:themeFill="background2"/>
            <w:vAlign w:val="center"/>
          </w:tcPr>
          <w:p w14:paraId="2D29C47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r>
      <w:tr w:rsidR="00286D7B" w:rsidRPr="00524D52" w14:paraId="36DDAADB" w14:textId="77777777" w:rsidTr="00AD65FA">
        <w:trPr>
          <w:trHeight w:val="162"/>
        </w:trPr>
        <w:tc>
          <w:tcPr>
            <w:tcW w:w="426"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22A9E6F9" w14:textId="77777777" w:rsidR="00286D7B" w:rsidRPr="00524D52" w:rsidRDefault="00286D7B" w:rsidP="002C7EDF">
            <w:pPr>
              <w:spacing w:line="240" w:lineRule="auto"/>
              <w:ind w:left="113" w:right="113"/>
              <w:jc w:val="center"/>
              <w:rPr>
                <w:rFonts w:asciiTheme="majorBidi" w:eastAsia="Times New Roman" w:hAnsiTheme="majorBidi" w:cstheme="majorBidi"/>
                <w:b/>
                <w:bCs/>
                <w:sz w:val="16"/>
                <w:szCs w:val="16"/>
                <w:lang w:eastAsia="de-DE"/>
              </w:rPr>
            </w:pPr>
            <w:r w:rsidRPr="00524D52">
              <w:rPr>
                <w:rFonts w:asciiTheme="majorBidi" w:eastAsia="Times New Roman" w:hAnsiTheme="majorBidi" w:cstheme="majorBidi"/>
                <w:b/>
                <w:bCs/>
                <w:sz w:val="16"/>
                <w:szCs w:val="16"/>
                <w:lang w:eastAsia="de-DE"/>
              </w:rPr>
              <w:t>Vehicle to Vehicle</w:t>
            </w:r>
          </w:p>
        </w:tc>
        <w:tc>
          <w:tcPr>
            <w:tcW w:w="28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0EA676"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Production Variation on Tyres; Aging of Tyres until delivery to customer (1dB after one year)</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C14EC10"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426" w:type="dxa"/>
            <w:tcBorders>
              <w:top w:val="single" w:sz="4" w:space="0" w:color="auto"/>
              <w:left w:val="nil"/>
              <w:bottom w:val="single" w:sz="4" w:space="0" w:color="auto"/>
              <w:right w:val="single" w:sz="4" w:space="0" w:color="auto"/>
            </w:tcBorders>
            <w:shd w:val="clear" w:color="auto" w:fill="FFFFFF" w:themeFill="background1"/>
          </w:tcPr>
          <w:p w14:paraId="39B0EA9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323A4D3"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9771EED"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9EA2FA2"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83222E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71FBF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DDB287D"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0,70</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BAD1860"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6A8D1A53" w14:textId="558AE3CF"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92264E">
              <w:rPr>
                <w:rFonts w:asciiTheme="majorBidi" w:eastAsia="Times New Roman" w:hAnsiTheme="majorBidi" w:cstheme="majorBidi"/>
                <w:sz w:val="16"/>
                <w:szCs w:val="16"/>
                <w:lang w:eastAsia="de-DE"/>
              </w:rPr>
              <w:t>0,</w:t>
            </w:r>
            <w:r w:rsidR="00E15357" w:rsidRPr="0092264E">
              <w:rPr>
                <w:rFonts w:asciiTheme="majorBidi" w:eastAsia="Times New Roman" w:hAnsiTheme="majorBidi" w:cstheme="majorBidi"/>
                <w:sz w:val="16"/>
                <w:szCs w:val="16"/>
                <w:lang w:eastAsia="de-DE"/>
              </w:rPr>
              <w:t>35</w:t>
            </w:r>
          </w:p>
        </w:tc>
        <w:tc>
          <w:tcPr>
            <w:tcW w:w="567" w:type="dxa"/>
            <w:vMerge w:val="restart"/>
            <w:tcBorders>
              <w:top w:val="single" w:sz="4" w:space="0" w:color="auto"/>
              <w:left w:val="single" w:sz="4" w:space="0" w:color="auto"/>
              <w:bottom w:val="single" w:sz="12" w:space="0" w:color="auto"/>
              <w:right w:val="single" w:sz="4" w:space="0" w:color="auto"/>
            </w:tcBorders>
            <w:shd w:val="clear" w:color="auto" w:fill="auto"/>
            <w:noWrap/>
            <w:vAlign w:val="center"/>
          </w:tcPr>
          <w:p w14:paraId="4237E14E"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0,70</w:t>
            </w:r>
          </w:p>
        </w:tc>
        <w:tc>
          <w:tcPr>
            <w:tcW w:w="567" w:type="dxa"/>
            <w:gridSpan w:val="2"/>
            <w:vMerge w:val="restart"/>
            <w:tcBorders>
              <w:top w:val="single" w:sz="4" w:space="0" w:color="auto"/>
              <w:left w:val="single" w:sz="4" w:space="0" w:color="auto"/>
              <w:bottom w:val="single" w:sz="12" w:space="0" w:color="auto"/>
              <w:right w:val="single" w:sz="4" w:space="0" w:color="auto"/>
            </w:tcBorders>
            <w:shd w:val="clear" w:color="auto" w:fill="E7E6E6" w:themeFill="background2"/>
            <w:vAlign w:val="center"/>
          </w:tcPr>
          <w:p w14:paraId="74CB508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1,4</w:t>
            </w:r>
          </w:p>
        </w:tc>
      </w:tr>
      <w:tr w:rsidR="00286D7B" w:rsidRPr="00524D52" w14:paraId="1B6E7526" w14:textId="77777777" w:rsidTr="00AD65FA">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0F05C9C"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501DD0B2"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Tyre – generic dispersion (Normal, tread depth, inflation pressure, model etc) </w:t>
            </w:r>
          </w:p>
        </w:tc>
        <w:tc>
          <w:tcPr>
            <w:tcW w:w="567" w:type="dxa"/>
            <w:tcBorders>
              <w:top w:val="nil"/>
              <w:left w:val="nil"/>
              <w:bottom w:val="single" w:sz="4" w:space="0" w:color="auto"/>
              <w:right w:val="single" w:sz="4" w:space="0" w:color="auto"/>
            </w:tcBorders>
            <w:shd w:val="clear" w:color="auto" w:fill="FFFFFF" w:themeFill="background1"/>
            <w:vAlign w:val="center"/>
          </w:tcPr>
          <w:p w14:paraId="22DC189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2,8</w:t>
            </w:r>
          </w:p>
        </w:tc>
        <w:tc>
          <w:tcPr>
            <w:tcW w:w="426" w:type="dxa"/>
            <w:tcBorders>
              <w:top w:val="nil"/>
              <w:left w:val="nil"/>
              <w:bottom w:val="single" w:sz="4" w:space="0" w:color="auto"/>
              <w:right w:val="single" w:sz="4" w:space="0" w:color="auto"/>
            </w:tcBorders>
            <w:shd w:val="clear" w:color="auto" w:fill="FFFFFF" w:themeFill="background1"/>
          </w:tcPr>
          <w:p w14:paraId="70A8A0E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hideMark/>
          </w:tcPr>
          <w:p w14:paraId="10320A1A"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r w:rsidRPr="00524D52">
              <w:rPr>
                <w:rFonts w:asciiTheme="majorBidi" w:eastAsia="Times New Roman" w:hAnsiTheme="majorBidi" w:cstheme="majorBidi"/>
                <w:color w:val="000000"/>
                <w:sz w:val="16"/>
                <w:szCs w:val="16"/>
                <w:lang w:eastAsia="de-DE"/>
              </w:rPr>
              <w:t>2,8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ABA39D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gaussian</w:t>
            </w:r>
          </w:p>
        </w:tc>
        <w:tc>
          <w:tcPr>
            <w:tcW w:w="567" w:type="dxa"/>
            <w:tcBorders>
              <w:top w:val="nil"/>
              <w:left w:val="nil"/>
              <w:bottom w:val="single" w:sz="4" w:space="0" w:color="auto"/>
              <w:right w:val="single" w:sz="4" w:space="0" w:color="auto"/>
            </w:tcBorders>
            <w:shd w:val="clear" w:color="auto" w:fill="auto"/>
            <w:vAlign w:val="center"/>
          </w:tcPr>
          <w:p w14:paraId="054B0338"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0,49</w:t>
            </w:r>
          </w:p>
        </w:tc>
        <w:tc>
          <w:tcPr>
            <w:tcW w:w="567" w:type="dxa"/>
            <w:tcBorders>
              <w:top w:val="nil"/>
              <w:left w:val="nil"/>
              <w:bottom w:val="single" w:sz="4" w:space="0" w:color="auto"/>
              <w:right w:val="single" w:sz="4" w:space="0" w:color="auto"/>
            </w:tcBorders>
            <w:shd w:val="clear" w:color="auto" w:fill="auto"/>
            <w:vAlign w:val="center"/>
          </w:tcPr>
          <w:p w14:paraId="29C741B4"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0,70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305F5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47,2%</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6C79634"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71DA28CC"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95C0721"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3A8A61EB"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top w:val="single" w:sz="18" w:space="0" w:color="auto"/>
              <w:left w:val="single" w:sz="4" w:space="0" w:color="auto"/>
              <w:bottom w:val="single" w:sz="12" w:space="0" w:color="auto"/>
              <w:right w:val="single" w:sz="4" w:space="0" w:color="auto"/>
            </w:tcBorders>
            <w:shd w:val="clear" w:color="auto" w:fill="E7E6E6" w:themeFill="background2"/>
          </w:tcPr>
          <w:p w14:paraId="69DB418C"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r>
      <w:tr w:rsidR="00286D7B" w:rsidRPr="00524D52" w14:paraId="496D1B17" w14:textId="77777777" w:rsidTr="00AD65FA">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790EBBF"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0DB10064"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Production Variation in Power, incl. proper break-in of a brand-new engine</w:t>
            </w:r>
          </w:p>
        </w:tc>
        <w:tc>
          <w:tcPr>
            <w:tcW w:w="567" w:type="dxa"/>
            <w:tcBorders>
              <w:top w:val="nil"/>
              <w:left w:val="nil"/>
              <w:bottom w:val="single" w:sz="4" w:space="0" w:color="auto"/>
              <w:right w:val="single" w:sz="4" w:space="0" w:color="auto"/>
            </w:tcBorders>
            <w:shd w:val="clear" w:color="auto" w:fill="FFFFFF" w:themeFill="background1"/>
            <w:vAlign w:val="center"/>
          </w:tcPr>
          <w:p w14:paraId="5A68B57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426" w:type="dxa"/>
            <w:tcBorders>
              <w:top w:val="nil"/>
              <w:left w:val="nil"/>
              <w:bottom w:val="single" w:sz="4" w:space="0" w:color="auto"/>
              <w:right w:val="single" w:sz="4" w:space="0" w:color="auto"/>
            </w:tcBorders>
            <w:shd w:val="clear" w:color="auto" w:fill="FFFFFF" w:themeFill="background1"/>
          </w:tcPr>
          <w:p w14:paraId="7E07B9AD"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096B1B4F"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6D036A1B"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370A87CB"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2A08457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5EEF4F"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70F58D4"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2CFA086"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624DF08C"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631209B7"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top w:val="single" w:sz="18" w:space="0" w:color="auto"/>
              <w:left w:val="single" w:sz="4" w:space="0" w:color="auto"/>
              <w:bottom w:val="single" w:sz="12" w:space="0" w:color="auto"/>
              <w:right w:val="single" w:sz="4" w:space="0" w:color="auto"/>
            </w:tcBorders>
            <w:shd w:val="clear" w:color="auto" w:fill="E7E6E6" w:themeFill="background2"/>
          </w:tcPr>
          <w:p w14:paraId="460BB009"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r>
      <w:tr w:rsidR="00286D7B" w:rsidRPr="00524D52" w14:paraId="713D36E5" w14:textId="77777777" w:rsidTr="00AD65FA">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79B528AE"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35E6878F"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 xml:space="preserve">Battery state of charge for HEVs </w:t>
            </w:r>
            <w:r w:rsidRPr="00524D52">
              <w:rPr>
                <w:rFonts w:asciiTheme="majorBidi" w:eastAsia="Times New Roman" w:hAnsiTheme="majorBidi" w:cstheme="majorBidi"/>
                <w:sz w:val="16"/>
                <w:szCs w:val="16"/>
                <w:lang w:eastAsia="de-DE"/>
              </w:rPr>
              <w:br/>
              <w:t>(3 dB(A))</w:t>
            </w:r>
          </w:p>
        </w:tc>
        <w:tc>
          <w:tcPr>
            <w:tcW w:w="567" w:type="dxa"/>
            <w:tcBorders>
              <w:top w:val="nil"/>
              <w:left w:val="nil"/>
              <w:bottom w:val="single" w:sz="4" w:space="0" w:color="auto"/>
              <w:right w:val="single" w:sz="4" w:space="0" w:color="auto"/>
            </w:tcBorders>
            <w:shd w:val="clear" w:color="auto" w:fill="FFFFFF" w:themeFill="background1"/>
            <w:vAlign w:val="center"/>
          </w:tcPr>
          <w:p w14:paraId="67EB459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426" w:type="dxa"/>
            <w:tcBorders>
              <w:top w:val="nil"/>
              <w:left w:val="nil"/>
              <w:bottom w:val="single" w:sz="4" w:space="0" w:color="auto"/>
              <w:right w:val="single" w:sz="4" w:space="0" w:color="auto"/>
            </w:tcBorders>
            <w:shd w:val="clear" w:color="auto" w:fill="FFFFFF" w:themeFill="background1"/>
          </w:tcPr>
          <w:p w14:paraId="47D9F7D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1004E2B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267A85DC"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456E1AAB"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2C01F27B"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022C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3036B83"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540490B"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1E3F1DA4"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7660CC9B"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top w:val="single" w:sz="18" w:space="0" w:color="auto"/>
              <w:left w:val="single" w:sz="4" w:space="0" w:color="auto"/>
              <w:bottom w:val="single" w:sz="12" w:space="0" w:color="auto"/>
              <w:right w:val="single" w:sz="4" w:space="0" w:color="auto"/>
            </w:tcBorders>
            <w:shd w:val="clear" w:color="auto" w:fill="E7E6E6" w:themeFill="background2"/>
          </w:tcPr>
          <w:p w14:paraId="7A9640B4"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r>
      <w:tr w:rsidR="00286D7B" w:rsidRPr="00524D52" w14:paraId="048ABF80" w14:textId="77777777" w:rsidTr="00AD65FA">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546FD29F"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nil"/>
              <w:left w:val="nil"/>
              <w:bottom w:val="single" w:sz="4" w:space="0" w:color="auto"/>
              <w:right w:val="single" w:sz="4" w:space="0" w:color="auto"/>
            </w:tcBorders>
            <w:shd w:val="clear" w:color="auto" w:fill="FFFFFF" w:themeFill="background1"/>
            <w:vAlign w:val="center"/>
            <w:hideMark/>
          </w:tcPr>
          <w:p w14:paraId="60EFF919"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Production Variability of Sound Reduction Components</w:t>
            </w:r>
          </w:p>
        </w:tc>
        <w:tc>
          <w:tcPr>
            <w:tcW w:w="567" w:type="dxa"/>
            <w:tcBorders>
              <w:top w:val="nil"/>
              <w:left w:val="nil"/>
              <w:bottom w:val="single" w:sz="4" w:space="0" w:color="auto"/>
              <w:right w:val="single" w:sz="4" w:space="0" w:color="auto"/>
            </w:tcBorders>
            <w:shd w:val="clear" w:color="auto" w:fill="FFFFFF" w:themeFill="background1"/>
            <w:vAlign w:val="center"/>
          </w:tcPr>
          <w:p w14:paraId="71341E0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426" w:type="dxa"/>
            <w:tcBorders>
              <w:top w:val="nil"/>
              <w:left w:val="nil"/>
              <w:bottom w:val="single" w:sz="4" w:space="0" w:color="auto"/>
              <w:right w:val="single" w:sz="4" w:space="0" w:color="auto"/>
            </w:tcBorders>
            <w:shd w:val="clear" w:color="auto" w:fill="FFFFFF" w:themeFill="background1"/>
          </w:tcPr>
          <w:p w14:paraId="7770EC9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nil"/>
              <w:left w:val="nil"/>
              <w:bottom w:val="single" w:sz="4" w:space="0" w:color="auto"/>
              <w:right w:val="single" w:sz="4" w:space="0" w:color="auto"/>
            </w:tcBorders>
            <w:shd w:val="clear" w:color="auto" w:fill="auto"/>
            <w:noWrap/>
            <w:vAlign w:val="center"/>
          </w:tcPr>
          <w:p w14:paraId="4231A5BD"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992" w:type="dxa"/>
            <w:tcBorders>
              <w:top w:val="nil"/>
              <w:left w:val="nil"/>
              <w:bottom w:val="single" w:sz="4" w:space="0" w:color="auto"/>
              <w:right w:val="single" w:sz="4" w:space="0" w:color="auto"/>
            </w:tcBorders>
            <w:shd w:val="clear" w:color="auto" w:fill="FFFFFF" w:themeFill="background1"/>
            <w:vAlign w:val="center"/>
          </w:tcPr>
          <w:p w14:paraId="05B01CC1"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504BCA7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nil"/>
              <w:left w:val="nil"/>
              <w:bottom w:val="single" w:sz="4" w:space="0" w:color="auto"/>
              <w:right w:val="single" w:sz="4" w:space="0" w:color="auto"/>
            </w:tcBorders>
            <w:shd w:val="clear" w:color="auto" w:fill="auto"/>
            <w:vAlign w:val="center"/>
          </w:tcPr>
          <w:p w14:paraId="06A31379"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2EAD13"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4EB27A82"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3012A771"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56AE6833"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7BE057AC"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top w:val="single" w:sz="18" w:space="0" w:color="auto"/>
              <w:left w:val="single" w:sz="4" w:space="0" w:color="auto"/>
              <w:bottom w:val="single" w:sz="12" w:space="0" w:color="auto"/>
              <w:right w:val="single" w:sz="4" w:space="0" w:color="auto"/>
            </w:tcBorders>
            <w:shd w:val="clear" w:color="auto" w:fill="E7E6E6" w:themeFill="background2"/>
          </w:tcPr>
          <w:p w14:paraId="689057F2"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r>
      <w:tr w:rsidR="00286D7B" w:rsidRPr="00524D52" w14:paraId="4ABB19E5" w14:textId="77777777" w:rsidTr="00AD65FA">
        <w:trPr>
          <w:trHeight w:val="162"/>
        </w:trPr>
        <w:tc>
          <w:tcPr>
            <w:tcW w:w="426" w:type="dxa"/>
            <w:vMerge/>
            <w:tcBorders>
              <w:top w:val="single" w:sz="8" w:space="0" w:color="000000"/>
              <w:left w:val="single" w:sz="4" w:space="0" w:color="auto"/>
              <w:bottom w:val="single" w:sz="12" w:space="0" w:color="auto"/>
              <w:right w:val="single" w:sz="4" w:space="0" w:color="auto"/>
            </w:tcBorders>
            <w:vAlign w:val="center"/>
            <w:hideMark/>
          </w:tcPr>
          <w:p w14:paraId="59E14A25" w14:textId="77777777" w:rsidR="00286D7B" w:rsidRPr="00524D52" w:rsidRDefault="00286D7B" w:rsidP="002C7EDF">
            <w:pPr>
              <w:spacing w:line="240" w:lineRule="auto"/>
              <w:rPr>
                <w:rFonts w:asciiTheme="majorBidi" w:eastAsia="Times New Roman" w:hAnsiTheme="majorBidi" w:cstheme="majorBidi"/>
                <w:b/>
                <w:bCs/>
                <w:sz w:val="16"/>
                <w:szCs w:val="16"/>
                <w:lang w:eastAsia="de-DE"/>
              </w:rPr>
            </w:pPr>
          </w:p>
        </w:tc>
        <w:tc>
          <w:tcPr>
            <w:tcW w:w="2828" w:type="dxa"/>
            <w:tcBorders>
              <w:top w:val="single" w:sz="4" w:space="0" w:color="auto"/>
              <w:left w:val="nil"/>
              <w:bottom w:val="single" w:sz="12" w:space="0" w:color="auto"/>
              <w:right w:val="single" w:sz="4" w:space="0" w:color="auto"/>
            </w:tcBorders>
            <w:shd w:val="clear" w:color="auto" w:fill="FFFFFF" w:themeFill="background1"/>
            <w:vAlign w:val="center"/>
            <w:hideMark/>
          </w:tcPr>
          <w:p w14:paraId="32E65392" w14:textId="77777777" w:rsidR="00286D7B" w:rsidRPr="00524D52" w:rsidRDefault="00286D7B" w:rsidP="002C7EDF">
            <w:pPr>
              <w:spacing w:line="240" w:lineRule="auto"/>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Test mass – variation as a consequence of the definition</w:t>
            </w:r>
          </w:p>
        </w:tc>
        <w:tc>
          <w:tcPr>
            <w:tcW w:w="567" w:type="dxa"/>
            <w:tcBorders>
              <w:top w:val="single" w:sz="4" w:space="0" w:color="auto"/>
              <w:left w:val="nil"/>
              <w:bottom w:val="single" w:sz="12" w:space="0" w:color="auto"/>
              <w:right w:val="single" w:sz="4" w:space="0" w:color="auto"/>
            </w:tcBorders>
            <w:shd w:val="clear" w:color="auto" w:fill="FFFFFF" w:themeFill="background1"/>
            <w:vAlign w:val="center"/>
          </w:tcPr>
          <w:p w14:paraId="4920D19E"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426" w:type="dxa"/>
            <w:tcBorders>
              <w:top w:val="single" w:sz="4" w:space="0" w:color="auto"/>
              <w:left w:val="nil"/>
              <w:bottom w:val="single" w:sz="12" w:space="0" w:color="auto"/>
              <w:right w:val="single" w:sz="4" w:space="0" w:color="auto"/>
            </w:tcBorders>
            <w:shd w:val="clear" w:color="auto" w:fill="FFFFFF" w:themeFill="background1"/>
          </w:tcPr>
          <w:p w14:paraId="0B16827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r w:rsidRPr="00524D52">
              <w:rPr>
                <w:rFonts w:asciiTheme="majorBidi" w:eastAsia="Times New Roman" w:hAnsiTheme="majorBidi" w:cstheme="majorBidi"/>
                <w:sz w:val="16"/>
                <w:szCs w:val="16"/>
                <w:lang w:eastAsia="de-DE"/>
              </w:rPr>
              <w:t>NA</w:t>
            </w:r>
          </w:p>
        </w:tc>
        <w:tc>
          <w:tcPr>
            <w:tcW w:w="425" w:type="dxa"/>
            <w:tcBorders>
              <w:top w:val="single" w:sz="4" w:space="0" w:color="auto"/>
              <w:left w:val="nil"/>
              <w:bottom w:val="single" w:sz="12" w:space="0" w:color="auto"/>
              <w:right w:val="single" w:sz="4" w:space="0" w:color="auto"/>
            </w:tcBorders>
            <w:shd w:val="clear" w:color="auto" w:fill="auto"/>
            <w:noWrap/>
            <w:vAlign w:val="center"/>
          </w:tcPr>
          <w:p w14:paraId="79984142" w14:textId="77777777" w:rsidR="00286D7B" w:rsidRPr="00524D52" w:rsidRDefault="00286D7B" w:rsidP="002C7EDF">
            <w:pPr>
              <w:spacing w:line="240" w:lineRule="auto"/>
              <w:jc w:val="center"/>
              <w:rPr>
                <w:rFonts w:asciiTheme="majorBidi" w:eastAsia="Times New Roman" w:hAnsiTheme="majorBidi" w:cstheme="majorBidi"/>
                <w:color w:val="000000"/>
                <w:sz w:val="16"/>
                <w:szCs w:val="16"/>
                <w:lang w:eastAsia="de-DE"/>
              </w:rPr>
            </w:pPr>
          </w:p>
        </w:tc>
        <w:tc>
          <w:tcPr>
            <w:tcW w:w="992" w:type="dxa"/>
            <w:tcBorders>
              <w:top w:val="single" w:sz="4" w:space="0" w:color="auto"/>
              <w:left w:val="nil"/>
              <w:bottom w:val="single" w:sz="12" w:space="0" w:color="auto"/>
              <w:right w:val="single" w:sz="4" w:space="0" w:color="auto"/>
            </w:tcBorders>
            <w:shd w:val="clear" w:color="auto" w:fill="FFFFFF" w:themeFill="background1"/>
            <w:vAlign w:val="center"/>
          </w:tcPr>
          <w:p w14:paraId="610C70FE"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3557AF65"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tcBorders>
              <w:top w:val="single" w:sz="4" w:space="0" w:color="auto"/>
              <w:left w:val="nil"/>
              <w:bottom w:val="single" w:sz="12" w:space="0" w:color="auto"/>
              <w:right w:val="single" w:sz="4" w:space="0" w:color="auto"/>
            </w:tcBorders>
            <w:shd w:val="clear" w:color="auto" w:fill="auto"/>
            <w:vAlign w:val="center"/>
          </w:tcPr>
          <w:p w14:paraId="7FF0777A"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709" w:type="dxa"/>
            <w:gridSpan w:val="2"/>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14:paraId="47246F97" w14:textId="77777777" w:rsidR="00286D7B" w:rsidRPr="00524D52" w:rsidRDefault="00286D7B" w:rsidP="002C7EDF">
            <w:pPr>
              <w:spacing w:line="240" w:lineRule="auto"/>
              <w:jc w:val="center"/>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BD9DFD3"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506C980A"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7111912B"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vMerge/>
            <w:tcBorders>
              <w:top w:val="single" w:sz="4" w:space="0" w:color="auto"/>
              <w:left w:val="single" w:sz="4" w:space="0" w:color="auto"/>
              <w:bottom w:val="single" w:sz="12" w:space="0" w:color="auto"/>
              <w:right w:val="single" w:sz="4" w:space="0" w:color="auto"/>
            </w:tcBorders>
            <w:vAlign w:val="center"/>
          </w:tcPr>
          <w:p w14:paraId="49FB2125"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c>
          <w:tcPr>
            <w:tcW w:w="567" w:type="dxa"/>
            <w:gridSpan w:val="2"/>
            <w:vMerge/>
            <w:tcBorders>
              <w:top w:val="single" w:sz="18" w:space="0" w:color="auto"/>
              <w:left w:val="single" w:sz="4" w:space="0" w:color="auto"/>
              <w:bottom w:val="single" w:sz="12" w:space="0" w:color="auto"/>
              <w:right w:val="single" w:sz="4" w:space="0" w:color="auto"/>
            </w:tcBorders>
            <w:shd w:val="clear" w:color="auto" w:fill="E7E6E6" w:themeFill="background2"/>
          </w:tcPr>
          <w:p w14:paraId="42337277" w14:textId="77777777" w:rsidR="00286D7B" w:rsidRPr="00524D52" w:rsidRDefault="00286D7B" w:rsidP="002C7EDF">
            <w:pPr>
              <w:spacing w:line="240" w:lineRule="auto"/>
              <w:rPr>
                <w:rFonts w:asciiTheme="majorBidi" w:eastAsia="Times New Roman" w:hAnsiTheme="majorBidi" w:cstheme="majorBidi"/>
                <w:sz w:val="16"/>
                <w:szCs w:val="16"/>
                <w:lang w:eastAsia="de-DE"/>
              </w:rPr>
            </w:pPr>
          </w:p>
        </w:tc>
      </w:tr>
      <w:tr w:rsidR="00286D7B" w:rsidRPr="00524D52" w14:paraId="549C4C8B" w14:textId="77777777" w:rsidTr="00D52B7B">
        <w:trPr>
          <w:trHeight w:val="162"/>
        </w:trPr>
        <w:tc>
          <w:tcPr>
            <w:tcW w:w="426" w:type="dxa"/>
            <w:tcBorders>
              <w:top w:val="single" w:sz="12" w:space="0" w:color="auto"/>
              <w:left w:val="nil"/>
              <w:right w:val="nil"/>
            </w:tcBorders>
            <w:shd w:val="clear" w:color="000000" w:fill="FFFFFF"/>
            <w:vAlign w:val="center"/>
            <w:hideMark/>
          </w:tcPr>
          <w:p w14:paraId="06DD37CB" w14:textId="77777777" w:rsidR="00286D7B" w:rsidRPr="00524D52" w:rsidRDefault="00286D7B" w:rsidP="002C7EDF">
            <w:pPr>
              <w:spacing w:line="240" w:lineRule="auto"/>
              <w:jc w:val="center"/>
              <w:rPr>
                <w:rFonts w:asciiTheme="majorBidi" w:eastAsia="Times New Roman" w:hAnsiTheme="majorBidi" w:cstheme="majorBidi"/>
                <w:b/>
                <w:bCs/>
                <w:color w:val="9C6500"/>
                <w:sz w:val="18"/>
                <w:szCs w:val="18"/>
                <w:lang w:eastAsia="de-DE"/>
              </w:rPr>
            </w:pPr>
            <w:r w:rsidRPr="00524D52">
              <w:rPr>
                <w:rFonts w:asciiTheme="majorBidi" w:eastAsia="Times New Roman" w:hAnsiTheme="majorBidi" w:cstheme="majorBidi"/>
                <w:b/>
                <w:bCs/>
                <w:color w:val="9C6500"/>
                <w:sz w:val="18"/>
                <w:szCs w:val="18"/>
                <w:lang w:eastAsia="de-DE"/>
              </w:rPr>
              <w:t> </w:t>
            </w:r>
          </w:p>
        </w:tc>
        <w:tc>
          <w:tcPr>
            <w:tcW w:w="2828" w:type="dxa"/>
            <w:tcBorders>
              <w:top w:val="single" w:sz="12" w:space="0" w:color="auto"/>
              <w:left w:val="nil"/>
              <w:right w:val="nil"/>
            </w:tcBorders>
            <w:shd w:val="clear" w:color="000000" w:fill="FFFFFF"/>
            <w:vAlign w:val="center"/>
            <w:hideMark/>
          </w:tcPr>
          <w:p w14:paraId="6FB212CD" w14:textId="77777777" w:rsidR="00286D7B" w:rsidRPr="00524D52" w:rsidRDefault="00286D7B" w:rsidP="002C7EDF">
            <w:pPr>
              <w:spacing w:line="240" w:lineRule="auto"/>
              <w:rPr>
                <w:rFonts w:asciiTheme="majorBidi" w:eastAsia="Times New Roman" w:hAnsiTheme="majorBidi" w:cstheme="majorBidi"/>
                <w:sz w:val="18"/>
                <w:szCs w:val="18"/>
                <w:lang w:eastAsia="de-DE"/>
              </w:rPr>
            </w:pPr>
            <w:r w:rsidRPr="00524D52">
              <w:rPr>
                <w:rFonts w:asciiTheme="majorBidi" w:eastAsia="Times New Roman" w:hAnsiTheme="majorBidi" w:cstheme="majorBidi"/>
                <w:sz w:val="18"/>
                <w:szCs w:val="18"/>
                <w:lang w:eastAsia="de-DE"/>
              </w:rPr>
              <w:t> </w:t>
            </w:r>
          </w:p>
        </w:tc>
        <w:tc>
          <w:tcPr>
            <w:tcW w:w="567" w:type="dxa"/>
            <w:tcBorders>
              <w:top w:val="single" w:sz="12" w:space="0" w:color="auto"/>
              <w:left w:val="nil"/>
              <w:right w:val="nil"/>
            </w:tcBorders>
            <w:shd w:val="clear" w:color="000000" w:fill="FFFFFF"/>
            <w:hideMark/>
          </w:tcPr>
          <w:p w14:paraId="1D883B2F" w14:textId="77777777" w:rsidR="00286D7B" w:rsidRPr="00524D52" w:rsidRDefault="00286D7B" w:rsidP="002C7EDF">
            <w:pPr>
              <w:spacing w:line="240" w:lineRule="auto"/>
              <w:rPr>
                <w:rFonts w:asciiTheme="majorBidi" w:eastAsia="Times New Roman" w:hAnsiTheme="majorBidi" w:cstheme="majorBidi"/>
                <w:sz w:val="18"/>
                <w:szCs w:val="18"/>
                <w:lang w:eastAsia="de-DE"/>
              </w:rPr>
            </w:pPr>
            <w:r w:rsidRPr="00524D52">
              <w:rPr>
                <w:rFonts w:asciiTheme="majorBidi" w:eastAsia="Times New Roman" w:hAnsiTheme="majorBidi" w:cstheme="majorBidi"/>
                <w:sz w:val="18"/>
                <w:szCs w:val="18"/>
                <w:lang w:eastAsia="de-DE"/>
              </w:rPr>
              <w:t> </w:t>
            </w:r>
          </w:p>
        </w:tc>
        <w:tc>
          <w:tcPr>
            <w:tcW w:w="426" w:type="dxa"/>
            <w:tcBorders>
              <w:top w:val="single" w:sz="12" w:space="0" w:color="auto"/>
              <w:left w:val="nil"/>
              <w:right w:val="nil"/>
            </w:tcBorders>
            <w:shd w:val="clear" w:color="000000" w:fill="FFFFFF"/>
            <w:noWrap/>
            <w:vAlign w:val="center"/>
            <w:hideMark/>
          </w:tcPr>
          <w:p w14:paraId="0E534588" w14:textId="77777777" w:rsidR="00286D7B" w:rsidRPr="00524D52" w:rsidRDefault="00286D7B" w:rsidP="002C7EDF">
            <w:pPr>
              <w:spacing w:line="240" w:lineRule="auto"/>
              <w:rPr>
                <w:rFonts w:asciiTheme="majorBidi" w:eastAsia="Times New Roman" w:hAnsiTheme="majorBidi" w:cstheme="majorBidi"/>
                <w:sz w:val="18"/>
                <w:szCs w:val="18"/>
                <w:lang w:eastAsia="de-DE"/>
              </w:rPr>
            </w:pPr>
            <w:r w:rsidRPr="00524D52">
              <w:rPr>
                <w:rFonts w:asciiTheme="majorBidi" w:eastAsia="Times New Roman" w:hAnsiTheme="majorBidi" w:cstheme="majorBidi"/>
                <w:sz w:val="18"/>
                <w:szCs w:val="18"/>
                <w:lang w:eastAsia="de-DE"/>
              </w:rPr>
              <w:t> </w:t>
            </w:r>
          </w:p>
        </w:tc>
        <w:tc>
          <w:tcPr>
            <w:tcW w:w="425" w:type="dxa"/>
            <w:tcBorders>
              <w:top w:val="single" w:sz="12" w:space="0" w:color="auto"/>
              <w:left w:val="nil"/>
              <w:right w:val="nil"/>
            </w:tcBorders>
            <w:shd w:val="clear" w:color="000000" w:fill="FFFFFF"/>
            <w:noWrap/>
            <w:vAlign w:val="center"/>
            <w:hideMark/>
          </w:tcPr>
          <w:p w14:paraId="2B9F2283" w14:textId="77777777" w:rsidR="00286D7B" w:rsidRPr="00524D52" w:rsidRDefault="00286D7B" w:rsidP="002C7EDF">
            <w:pPr>
              <w:spacing w:line="240" w:lineRule="auto"/>
              <w:rPr>
                <w:rFonts w:asciiTheme="majorBidi" w:eastAsia="Times New Roman" w:hAnsiTheme="majorBidi" w:cstheme="majorBidi"/>
                <w:sz w:val="18"/>
                <w:szCs w:val="18"/>
                <w:lang w:eastAsia="de-DE"/>
              </w:rPr>
            </w:pPr>
            <w:r w:rsidRPr="00524D52">
              <w:rPr>
                <w:rFonts w:asciiTheme="majorBidi" w:eastAsia="Times New Roman" w:hAnsiTheme="majorBidi" w:cstheme="majorBidi"/>
                <w:sz w:val="18"/>
                <w:szCs w:val="18"/>
                <w:lang w:eastAsia="de-DE"/>
              </w:rPr>
              <w:t> </w:t>
            </w:r>
          </w:p>
        </w:tc>
        <w:tc>
          <w:tcPr>
            <w:tcW w:w="992" w:type="dxa"/>
            <w:tcBorders>
              <w:top w:val="single" w:sz="12" w:space="0" w:color="auto"/>
              <w:left w:val="nil"/>
              <w:right w:val="nil"/>
            </w:tcBorders>
            <w:shd w:val="clear" w:color="auto" w:fill="FFFFFF" w:themeFill="background1"/>
            <w:noWrap/>
            <w:vAlign w:val="center"/>
            <w:hideMark/>
          </w:tcPr>
          <w:p w14:paraId="12FBC699" w14:textId="77777777" w:rsidR="00286D7B" w:rsidRPr="00524D52" w:rsidRDefault="00286D7B" w:rsidP="002C7EDF">
            <w:pPr>
              <w:spacing w:line="240" w:lineRule="auto"/>
              <w:rPr>
                <w:rFonts w:asciiTheme="majorBidi" w:eastAsia="Times New Roman" w:hAnsiTheme="majorBidi" w:cstheme="majorBidi"/>
                <w:sz w:val="18"/>
                <w:szCs w:val="18"/>
                <w:lang w:eastAsia="de-DE"/>
              </w:rPr>
            </w:pPr>
            <w:r w:rsidRPr="00524D52">
              <w:rPr>
                <w:rFonts w:asciiTheme="majorBidi" w:eastAsia="Times New Roman" w:hAnsiTheme="majorBidi" w:cstheme="majorBidi"/>
                <w:sz w:val="18"/>
                <w:szCs w:val="18"/>
                <w:lang w:eastAsia="de-DE"/>
              </w:rPr>
              <w:t> </w:t>
            </w:r>
          </w:p>
        </w:tc>
        <w:tc>
          <w:tcPr>
            <w:tcW w:w="567" w:type="dxa"/>
            <w:tcBorders>
              <w:top w:val="single" w:sz="12" w:space="0" w:color="auto"/>
              <w:left w:val="nil"/>
              <w:right w:val="nil"/>
            </w:tcBorders>
            <w:shd w:val="clear" w:color="000000" w:fill="FFFFFF"/>
            <w:noWrap/>
            <w:vAlign w:val="center"/>
            <w:hideMark/>
          </w:tcPr>
          <w:p w14:paraId="5FFE883D" w14:textId="77777777" w:rsidR="00286D7B" w:rsidRPr="00524D52" w:rsidRDefault="00286D7B" w:rsidP="002C7EDF">
            <w:pPr>
              <w:spacing w:line="240" w:lineRule="auto"/>
              <w:rPr>
                <w:rFonts w:asciiTheme="majorBidi" w:eastAsia="Times New Roman" w:hAnsiTheme="majorBidi" w:cstheme="majorBidi"/>
                <w:sz w:val="18"/>
                <w:szCs w:val="18"/>
                <w:lang w:eastAsia="de-DE"/>
              </w:rPr>
            </w:pPr>
            <w:r w:rsidRPr="00524D52">
              <w:rPr>
                <w:rFonts w:asciiTheme="majorBidi" w:eastAsia="Times New Roman" w:hAnsiTheme="majorBidi" w:cstheme="majorBidi"/>
                <w:sz w:val="18"/>
                <w:szCs w:val="18"/>
                <w:lang w:eastAsia="de-DE"/>
              </w:rPr>
              <w:t> </w:t>
            </w:r>
          </w:p>
        </w:tc>
        <w:tc>
          <w:tcPr>
            <w:tcW w:w="567" w:type="dxa"/>
            <w:tcBorders>
              <w:top w:val="single" w:sz="12" w:space="0" w:color="auto"/>
              <w:left w:val="nil"/>
              <w:right w:val="nil"/>
            </w:tcBorders>
            <w:shd w:val="clear" w:color="000000" w:fill="FFFFFF"/>
            <w:vAlign w:val="center"/>
            <w:hideMark/>
          </w:tcPr>
          <w:p w14:paraId="42BD6FE4" w14:textId="77777777" w:rsidR="00286D7B" w:rsidRPr="00524D52" w:rsidRDefault="00286D7B" w:rsidP="002C7EDF">
            <w:pPr>
              <w:spacing w:line="240" w:lineRule="auto"/>
              <w:jc w:val="center"/>
              <w:rPr>
                <w:rFonts w:asciiTheme="majorBidi" w:eastAsia="Times New Roman" w:hAnsiTheme="majorBidi" w:cstheme="majorBidi"/>
                <w:color w:val="FFFFFF"/>
                <w:sz w:val="18"/>
                <w:szCs w:val="18"/>
                <w:lang w:eastAsia="de-DE"/>
              </w:rPr>
            </w:pPr>
            <w:r w:rsidRPr="00524D52">
              <w:rPr>
                <w:rFonts w:asciiTheme="majorBidi" w:eastAsia="Times New Roman" w:hAnsiTheme="majorBidi" w:cstheme="majorBidi"/>
                <w:color w:val="FFFFFF"/>
                <w:sz w:val="18"/>
                <w:szCs w:val="18"/>
                <w:lang w:eastAsia="de-DE"/>
              </w:rPr>
              <w:t xml:space="preserve">1,552 </w:t>
            </w:r>
          </w:p>
        </w:tc>
        <w:tc>
          <w:tcPr>
            <w:tcW w:w="709" w:type="dxa"/>
            <w:gridSpan w:val="2"/>
            <w:tcBorders>
              <w:top w:val="single" w:sz="12" w:space="0" w:color="auto"/>
              <w:left w:val="nil"/>
              <w:right w:val="nil"/>
            </w:tcBorders>
            <w:shd w:val="clear" w:color="auto" w:fill="FFFFFF" w:themeFill="background1"/>
            <w:vAlign w:val="center"/>
            <w:hideMark/>
          </w:tcPr>
          <w:p w14:paraId="787A4E99" w14:textId="77777777" w:rsidR="00286D7B" w:rsidRPr="00524D52" w:rsidRDefault="00286D7B" w:rsidP="002C7EDF">
            <w:pPr>
              <w:spacing w:line="240" w:lineRule="auto"/>
              <w:jc w:val="center"/>
              <w:rPr>
                <w:rFonts w:asciiTheme="majorBidi" w:eastAsia="Times New Roman" w:hAnsiTheme="majorBidi" w:cstheme="majorBidi"/>
                <w:sz w:val="18"/>
                <w:szCs w:val="18"/>
                <w:lang w:eastAsia="de-DE"/>
              </w:rPr>
            </w:pPr>
            <w:r w:rsidRPr="00524D52">
              <w:rPr>
                <w:rFonts w:asciiTheme="majorBidi" w:eastAsia="Times New Roman" w:hAnsiTheme="majorBidi" w:cstheme="majorBidi"/>
                <w:sz w:val="18"/>
                <w:szCs w:val="18"/>
                <w:lang w:eastAsia="de-DE"/>
              </w:rPr>
              <w:t>100 %</w:t>
            </w:r>
          </w:p>
        </w:tc>
        <w:tc>
          <w:tcPr>
            <w:tcW w:w="567" w:type="dxa"/>
            <w:tcBorders>
              <w:top w:val="single" w:sz="12" w:space="0" w:color="auto"/>
              <w:left w:val="nil"/>
              <w:bottom w:val="single" w:sz="4" w:space="0" w:color="auto"/>
              <w:right w:val="nil"/>
            </w:tcBorders>
            <w:shd w:val="clear" w:color="000000" w:fill="FFFFFF"/>
            <w:noWrap/>
            <w:vAlign w:val="center"/>
            <w:hideMark/>
          </w:tcPr>
          <w:p w14:paraId="07263C72" w14:textId="77777777" w:rsidR="00286D7B" w:rsidRPr="00524D52" w:rsidRDefault="00286D7B" w:rsidP="002C7EDF">
            <w:pPr>
              <w:spacing w:line="240" w:lineRule="auto"/>
              <w:rPr>
                <w:rFonts w:asciiTheme="majorBidi" w:eastAsia="Times New Roman" w:hAnsiTheme="majorBidi" w:cstheme="majorBidi"/>
                <w:sz w:val="18"/>
                <w:szCs w:val="18"/>
                <w:lang w:eastAsia="de-DE"/>
              </w:rPr>
            </w:pPr>
            <w:r w:rsidRPr="00524D52">
              <w:rPr>
                <w:rFonts w:asciiTheme="majorBidi" w:eastAsia="Times New Roman" w:hAnsiTheme="majorBidi" w:cstheme="majorBidi"/>
                <w:sz w:val="18"/>
                <w:szCs w:val="18"/>
                <w:lang w:eastAsia="de-DE"/>
              </w:rPr>
              <w:t> </w:t>
            </w:r>
          </w:p>
        </w:tc>
        <w:tc>
          <w:tcPr>
            <w:tcW w:w="1701" w:type="dxa"/>
            <w:gridSpan w:val="3"/>
            <w:tcBorders>
              <w:top w:val="single" w:sz="12" w:space="0" w:color="auto"/>
              <w:left w:val="nil"/>
              <w:bottom w:val="single" w:sz="4" w:space="0" w:color="auto"/>
              <w:right w:val="nil"/>
            </w:tcBorders>
            <w:shd w:val="clear" w:color="000000" w:fill="FFFFFF"/>
            <w:vAlign w:val="center"/>
            <w:hideMark/>
          </w:tcPr>
          <w:p w14:paraId="60E99470" w14:textId="77777777" w:rsidR="00286D7B" w:rsidRPr="00524D52" w:rsidRDefault="00286D7B" w:rsidP="002C7EDF">
            <w:pPr>
              <w:spacing w:line="240" w:lineRule="auto"/>
              <w:jc w:val="center"/>
              <w:rPr>
                <w:rFonts w:asciiTheme="majorBidi" w:eastAsia="Times New Roman" w:hAnsiTheme="majorBidi" w:cstheme="majorBidi"/>
                <w:sz w:val="18"/>
                <w:szCs w:val="18"/>
                <w:lang w:eastAsia="de-DE"/>
              </w:rPr>
            </w:pPr>
            <w:r w:rsidRPr="00524D52">
              <w:rPr>
                <w:rFonts w:asciiTheme="majorBidi" w:eastAsia="Times New Roman" w:hAnsiTheme="majorBidi" w:cstheme="majorBidi"/>
                <w:sz w:val="18"/>
                <w:szCs w:val="18"/>
                <w:lang w:eastAsia="de-DE"/>
              </w:rPr>
              <w:t> </w:t>
            </w:r>
          </w:p>
        </w:tc>
        <w:tc>
          <w:tcPr>
            <w:tcW w:w="567" w:type="dxa"/>
            <w:gridSpan w:val="2"/>
            <w:tcBorders>
              <w:top w:val="single" w:sz="12" w:space="0" w:color="auto"/>
              <w:left w:val="nil"/>
              <w:right w:val="nil"/>
            </w:tcBorders>
            <w:shd w:val="clear" w:color="000000" w:fill="FFFFFF"/>
          </w:tcPr>
          <w:p w14:paraId="7BF08146" w14:textId="77777777" w:rsidR="00286D7B" w:rsidRPr="00524D52" w:rsidRDefault="00286D7B" w:rsidP="002C7EDF">
            <w:pPr>
              <w:spacing w:line="240" w:lineRule="auto"/>
              <w:jc w:val="center"/>
              <w:rPr>
                <w:rFonts w:asciiTheme="majorBidi" w:eastAsia="Times New Roman" w:hAnsiTheme="majorBidi" w:cstheme="majorBidi"/>
                <w:sz w:val="18"/>
                <w:szCs w:val="18"/>
                <w:lang w:eastAsia="de-DE"/>
              </w:rPr>
            </w:pPr>
          </w:p>
        </w:tc>
      </w:tr>
      <w:tr w:rsidR="009C053C" w:rsidRPr="00524D52" w14:paraId="42B50CBF" w14:textId="77777777" w:rsidTr="005E1C71">
        <w:trPr>
          <w:gridAfter w:val="1"/>
          <w:wAfter w:w="135" w:type="dxa"/>
          <w:trHeight w:val="162"/>
        </w:trPr>
        <w:tc>
          <w:tcPr>
            <w:tcW w:w="426" w:type="dxa"/>
            <w:tcBorders>
              <w:left w:val="nil"/>
              <w:right w:val="nil"/>
            </w:tcBorders>
            <w:shd w:val="clear" w:color="000000" w:fill="FFFFFF"/>
            <w:vAlign w:val="center"/>
          </w:tcPr>
          <w:p w14:paraId="0B3162EA" w14:textId="77777777" w:rsidR="009C053C" w:rsidRPr="00524D52" w:rsidRDefault="009C053C" w:rsidP="009C053C">
            <w:pPr>
              <w:spacing w:line="240" w:lineRule="auto"/>
              <w:jc w:val="center"/>
              <w:rPr>
                <w:rFonts w:asciiTheme="majorBidi" w:eastAsia="Times New Roman" w:hAnsiTheme="majorBidi" w:cstheme="majorBidi"/>
                <w:b/>
                <w:bCs/>
                <w:color w:val="9C6500"/>
                <w:sz w:val="18"/>
                <w:szCs w:val="18"/>
                <w:lang w:eastAsia="de-DE"/>
              </w:rPr>
            </w:pPr>
          </w:p>
        </w:tc>
        <w:tc>
          <w:tcPr>
            <w:tcW w:w="2828" w:type="dxa"/>
            <w:tcBorders>
              <w:left w:val="nil"/>
              <w:right w:val="nil"/>
            </w:tcBorders>
            <w:shd w:val="clear" w:color="000000" w:fill="FFFFFF"/>
            <w:vAlign w:val="center"/>
          </w:tcPr>
          <w:p w14:paraId="00AC6C80" w14:textId="77777777" w:rsidR="009C053C" w:rsidRPr="00524D52" w:rsidRDefault="009C053C" w:rsidP="009C053C">
            <w:pPr>
              <w:spacing w:line="240" w:lineRule="auto"/>
              <w:rPr>
                <w:rFonts w:asciiTheme="majorBidi" w:eastAsia="Times New Roman" w:hAnsiTheme="majorBidi" w:cstheme="majorBidi"/>
                <w:b/>
                <w:bCs/>
                <w:sz w:val="18"/>
                <w:szCs w:val="18"/>
                <w:lang w:eastAsia="de-DE"/>
              </w:rPr>
            </w:pPr>
          </w:p>
        </w:tc>
        <w:tc>
          <w:tcPr>
            <w:tcW w:w="567" w:type="dxa"/>
            <w:tcBorders>
              <w:left w:val="nil"/>
              <w:right w:val="nil"/>
            </w:tcBorders>
            <w:shd w:val="clear" w:color="000000" w:fill="FFFFFF"/>
          </w:tcPr>
          <w:p w14:paraId="71CB1488" w14:textId="77777777" w:rsidR="009C053C" w:rsidRPr="00524D52" w:rsidRDefault="009C053C" w:rsidP="009C053C">
            <w:pPr>
              <w:spacing w:line="240" w:lineRule="auto"/>
              <w:rPr>
                <w:rFonts w:asciiTheme="majorBidi" w:eastAsia="Times New Roman" w:hAnsiTheme="majorBidi" w:cstheme="majorBidi"/>
                <w:b/>
                <w:bCs/>
                <w:sz w:val="18"/>
                <w:szCs w:val="18"/>
                <w:lang w:eastAsia="de-DE"/>
              </w:rPr>
            </w:pPr>
          </w:p>
        </w:tc>
        <w:tc>
          <w:tcPr>
            <w:tcW w:w="426" w:type="dxa"/>
            <w:tcBorders>
              <w:left w:val="nil"/>
              <w:right w:val="nil"/>
            </w:tcBorders>
            <w:shd w:val="clear" w:color="000000" w:fill="FFFFFF"/>
            <w:noWrap/>
            <w:vAlign w:val="center"/>
          </w:tcPr>
          <w:p w14:paraId="16DFA1CB" w14:textId="77777777" w:rsidR="009C053C" w:rsidRPr="00524D52" w:rsidRDefault="009C053C" w:rsidP="009C053C">
            <w:pPr>
              <w:spacing w:line="240" w:lineRule="auto"/>
              <w:rPr>
                <w:rFonts w:asciiTheme="majorBidi" w:eastAsia="Times New Roman" w:hAnsiTheme="majorBidi" w:cstheme="majorBidi"/>
                <w:b/>
                <w:bCs/>
                <w:sz w:val="18"/>
                <w:szCs w:val="18"/>
                <w:lang w:eastAsia="de-DE"/>
              </w:rPr>
            </w:pPr>
          </w:p>
        </w:tc>
        <w:tc>
          <w:tcPr>
            <w:tcW w:w="425" w:type="dxa"/>
            <w:tcBorders>
              <w:left w:val="nil"/>
              <w:right w:val="nil"/>
            </w:tcBorders>
            <w:shd w:val="clear" w:color="000000" w:fill="FFFFFF"/>
            <w:noWrap/>
            <w:vAlign w:val="center"/>
          </w:tcPr>
          <w:p w14:paraId="1C4E957B" w14:textId="77777777" w:rsidR="009C053C" w:rsidRPr="00524D52" w:rsidRDefault="009C053C" w:rsidP="009C053C">
            <w:pPr>
              <w:spacing w:line="240" w:lineRule="auto"/>
              <w:rPr>
                <w:rFonts w:asciiTheme="majorBidi" w:eastAsia="Times New Roman" w:hAnsiTheme="majorBidi" w:cstheme="majorBidi"/>
                <w:b/>
                <w:bCs/>
                <w:sz w:val="18"/>
                <w:szCs w:val="18"/>
                <w:lang w:eastAsia="de-DE"/>
              </w:rPr>
            </w:pPr>
          </w:p>
        </w:tc>
        <w:tc>
          <w:tcPr>
            <w:tcW w:w="992" w:type="dxa"/>
            <w:tcBorders>
              <w:left w:val="nil"/>
              <w:right w:val="nil"/>
            </w:tcBorders>
            <w:shd w:val="clear" w:color="auto" w:fill="FFFFFF" w:themeFill="background1"/>
            <w:noWrap/>
            <w:vAlign w:val="center"/>
          </w:tcPr>
          <w:p w14:paraId="0DC95406" w14:textId="77777777" w:rsidR="009C053C" w:rsidRPr="00524D52" w:rsidRDefault="009C053C" w:rsidP="009C053C">
            <w:pPr>
              <w:spacing w:line="240" w:lineRule="auto"/>
              <w:rPr>
                <w:rFonts w:asciiTheme="majorBidi" w:eastAsia="Times New Roman" w:hAnsiTheme="majorBidi" w:cstheme="majorBidi"/>
                <w:b/>
                <w:bCs/>
                <w:sz w:val="18"/>
                <w:szCs w:val="18"/>
                <w:lang w:eastAsia="de-DE"/>
              </w:rPr>
            </w:pPr>
          </w:p>
        </w:tc>
        <w:tc>
          <w:tcPr>
            <w:tcW w:w="567" w:type="dxa"/>
            <w:tcBorders>
              <w:left w:val="nil"/>
              <w:right w:val="nil"/>
            </w:tcBorders>
            <w:shd w:val="clear" w:color="000000" w:fill="FFFFFF"/>
            <w:noWrap/>
            <w:vAlign w:val="center"/>
          </w:tcPr>
          <w:p w14:paraId="7FA91077" w14:textId="77777777" w:rsidR="009C053C" w:rsidRPr="00524D52" w:rsidRDefault="009C053C" w:rsidP="009C053C">
            <w:pPr>
              <w:spacing w:line="240" w:lineRule="auto"/>
              <w:rPr>
                <w:rFonts w:asciiTheme="majorBidi" w:eastAsia="Times New Roman" w:hAnsiTheme="majorBidi" w:cstheme="majorBidi"/>
                <w:b/>
                <w:bCs/>
                <w:sz w:val="18"/>
                <w:szCs w:val="18"/>
                <w:lang w:eastAsia="de-DE"/>
              </w:rPr>
            </w:pPr>
          </w:p>
        </w:tc>
        <w:tc>
          <w:tcPr>
            <w:tcW w:w="567" w:type="dxa"/>
            <w:tcBorders>
              <w:left w:val="nil"/>
              <w:right w:val="nil"/>
            </w:tcBorders>
            <w:shd w:val="clear" w:color="000000" w:fill="FFFFFF"/>
            <w:vAlign w:val="center"/>
          </w:tcPr>
          <w:p w14:paraId="13E99E78" w14:textId="77777777" w:rsidR="009C053C" w:rsidRPr="00524D52" w:rsidRDefault="009C053C" w:rsidP="009C053C">
            <w:pPr>
              <w:spacing w:line="240" w:lineRule="auto"/>
              <w:jc w:val="center"/>
              <w:rPr>
                <w:rFonts w:asciiTheme="majorBidi" w:eastAsia="Times New Roman" w:hAnsiTheme="majorBidi" w:cstheme="majorBidi"/>
                <w:b/>
                <w:bCs/>
                <w:color w:val="FFFFFF"/>
                <w:sz w:val="18"/>
                <w:szCs w:val="18"/>
                <w:lang w:eastAsia="de-DE"/>
              </w:rPr>
            </w:pPr>
          </w:p>
        </w:tc>
        <w:tc>
          <w:tcPr>
            <w:tcW w:w="574" w:type="dxa"/>
            <w:tcBorders>
              <w:left w:val="nil"/>
              <w:right w:val="single" w:sz="4" w:space="0" w:color="auto"/>
            </w:tcBorders>
            <w:shd w:val="clear" w:color="auto" w:fill="FFFFFF" w:themeFill="background1"/>
            <w:vAlign w:val="center"/>
          </w:tcPr>
          <w:p w14:paraId="0471112D" w14:textId="77777777" w:rsidR="009C053C" w:rsidRPr="00524D52" w:rsidRDefault="009C053C" w:rsidP="009C053C">
            <w:pPr>
              <w:spacing w:line="240" w:lineRule="auto"/>
              <w:jc w:val="center"/>
              <w:rPr>
                <w:rFonts w:asciiTheme="majorBidi" w:eastAsia="Times New Roman" w:hAnsiTheme="majorBidi" w:cstheme="majorBidi"/>
                <w:b/>
                <w:bCs/>
                <w:sz w:val="18"/>
                <w:szCs w:val="18"/>
                <w:lang w:eastAsia="de-DE"/>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2E6A69" w14:textId="022AA1AE" w:rsidR="009C053C" w:rsidRPr="00524D52" w:rsidRDefault="009C053C" w:rsidP="009C053C">
            <w:pPr>
              <w:spacing w:line="240" w:lineRule="auto"/>
              <w:jc w:val="center"/>
              <w:rPr>
                <w:rFonts w:asciiTheme="majorBidi" w:eastAsia="Times New Roman" w:hAnsiTheme="majorBidi" w:cstheme="majorBidi"/>
                <w:b/>
                <w:bCs/>
                <w:sz w:val="18"/>
                <w:szCs w:val="18"/>
                <w:lang w:eastAsia="de-DE"/>
              </w:rPr>
            </w:pPr>
            <w:r w:rsidRPr="00BE20D5">
              <w:rPr>
                <w:b/>
                <w:sz w:val="18"/>
                <w:szCs w:val="18"/>
              </w:rPr>
              <w:t>Expanded uncertainty (95%) +/-</w:t>
            </w:r>
          </w:p>
        </w:tc>
      </w:tr>
    </w:tbl>
    <w:tbl>
      <w:tblPr>
        <w:tblStyle w:val="TableGrid1"/>
        <w:tblW w:w="9781" w:type="dxa"/>
        <w:tblInd w:w="142" w:type="dxa"/>
        <w:tblLook w:val="0600" w:firstRow="0" w:lastRow="0" w:firstColumn="0" w:lastColumn="0" w:noHBand="1" w:noVBand="1"/>
      </w:tblPr>
      <w:tblGrid>
        <w:gridCol w:w="1985"/>
        <w:gridCol w:w="1010"/>
        <w:gridCol w:w="1399"/>
        <w:gridCol w:w="1843"/>
        <w:gridCol w:w="700"/>
        <w:gridCol w:w="1028"/>
        <w:gridCol w:w="824"/>
        <w:gridCol w:w="992"/>
      </w:tblGrid>
      <w:tr w:rsidR="00AB7261" w:rsidRPr="00524D52" w14:paraId="341003FF" w14:textId="77777777" w:rsidTr="00CE048A">
        <w:trPr>
          <w:trHeight w:val="652"/>
        </w:trPr>
        <w:tc>
          <w:tcPr>
            <w:tcW w:w="1985" w:type="dxa"/>
            <w:tcBorders>
              <w:top w:val="nil"/>
              <w:left w:val="nil"/>
              <w:bottom w:val="nil"/>
              <w:right w:val="nil"/>
            </w:tcBorders>
            <w:vAlign w:val="bottom"/>
          </w:tcPr>
          <w:p w14:paraId="192B1520" w14:textId="77777777" w:rsidR="00AB7261" w:rsidRPr="00524D52" w:rsidRDefault="00AB7261" w:rsidP="002C7EDF">
            <w:pPr>
              <w:spacing w:line="240" w:lineRule="auto"/>
              <w:jc w:val="center"/>
              <w:rPr>
                <w:b/>
                <w:bCs/>
              </w:rPr>
            </w:pPr>
          </w:p>
        </w:tc>
        <w:tc>
          <w:tcPr>
            <w:tcW w:w="1010" w:type="dxa"/>
            <w:vMerge w:val="restart"/>
            <w:tcBorders>
              <w:top w:val="nil"/>
              <w:left w:val="nil"/>
              <w:bottom w:val="nil"/>
              <w:right w:val="single" w:sz="4" w:space="0" w:color="auto"/>
            </w:tcBorders>
            <w:vAlign w:val="center"/>
          </w:tcPr>
          <w:p w14:paraId="24D6317C" w14:textId="77777777" w:rsidR="00AB7261" w:rsidRPr="00524D52" w:rsidRDefault="00AB7261" w:rsidP="002C7EDF">
            <w:pPr>
              <w:spacing w:line="240" w:lineRule="auto"/>
              <w:jc w:val="center"/>
              <w:rPr>
                <w:b/>
                <w:bCs/>
              </w:rPr>
            </w:pPr>
          </w:p>
        </w:tc>
        <w:tc>
          <w:tcPr>
            <w:tcW w:w="1399" w:type="dxa"/>
            <w:vMerge w:val="restart"/>
            <w:tcBorders>
              <w:top w:val="single" w:sz="4" w:space="0" w:color="auto"/>
              <w:left w:val="single" w:sz="4" w:space="0" w:color="auto"/>
            </w:tcBorders>
            <w:vAlign w:val="center"/>
          </w:tcPr>
          <w:p w14:paraId="4835391D" w14:textId="77777777" w:rsidR="00AB7261" w:rsidRPr="00524D52" w:rsidRDefault="00AB7261" w:rsidP="002C7EDF">
            <w:pPr>
              <w:spacing w:line="240" w:lineRule="auto"/>
              <w:jc w:val="center"/>
              <w:rPr>
                <w:b/>
                <w:bCs/>
              </w:rPr>
            </w:pPr>
            <w:r w:rsidRPr="00524D52">
              <w:rPr>
                <w:b/>
                <w:bCs/>
                <w:sz w:val="18"/>
                <w:szCs w:val="18"/>
              </w:rPr>
              <w:t>Overall Combined Uncertainty</w:t>
            </w:r>
            <w:r w:rsidRPr="00524D52">
              <w:rPr>
                <w:b/>
                <w:bCs/>
              </w:rPr>
              <w:t xml:space="preserve"> +/-</w:t>
            </w:r>
          </w:p>
        </w:tc>
        <w:tc>
          <w:tcPr>
            <w:tcW w:w="1843" w:type="dxa"/>
            <w:vMerge w:val="restart"/>
            <w:tcBorders>
              <w:top w:val="single" w:sz="4" w:space="0" w:color="auto"/>
              <w:right w:val="single" w:sz="4" w:space="0" w:color="auto"/>
            </w:tcBorders>
            <w:shd w:val="clear" w:color="auto" w:fill="E7E6E6" w:themeFill="background2"/>
            <w:vAlign w:val="center"/>
          </w:tcPr>
          <w:p w14:paraId="3CDCE9EC" w14:textId="77777777" w:rsidR="00AB7261" w:rsidRPr="00524D52" w:rsidRDefault="00AB7261" w:rsidP="002C7EDF">
            <w:pPr>
              <w:spacing w:line="240" w:lineRule="auto"/>
              <w:jc w:val="center"/>
              <w:rPr>
                <w:b/>
                <w:bCs/>
              </w:rPr>
            </w:pPr>
            <w:r w:rsidRPr="00524D52">
              <w:rPr>
                <w:b/>
                <w:bCs/>
              </w:rPr>
              <w:t xml:space="preserve">Expanded uncertainty (95%) </w:t>
            </w:r>
            <w:r w:rsidRPr="00524D52">
              <w:rPr>
                <w:b/>
                <w:bCs/>
              </w:rPr>
              <w:br/>
              <w:t>+/-</w:t>
            </w:r>
          </w:p>
        </w:tc>
        <w:tc>
          <w:tcPr>
            <w:tcW w:w="700" w:type="dxa"/>
            <w:vMerge w:val="restart"/>
            <w:tcBorders>
              <w:top w:val="nil"/>
              <w:left w:val="single" w:sz="4" w:space="0" w:color="auto"/>
              <w:bottom w:val="nil"/>
              <w:right w:val="single" w:sz="4" w:space="0" w:color="auto"/>
            </w:tcBorders>
            <w:vAlign w:val="center"/>
          </w:tcPr>
          <w:p w14:paraId="0206DB27" w14:textId="77777777" w:rsidR="00AB7261" w:rsidRPr="00524D52" w:rsidRDefault="00AB7261" w:rsidP="002C7EDF">
            <w:pPr>
              <w:spacing w:line="240" w:lineRule="auto"/>
              <w:jc w:val="center"/>
              <w:rPr>
                <w:b/>
                <w:bCs/>
              </w:rPr>
            </w:pPr>
          </w:p>
        </w:tc>
        <w:tc>
          <w:tcPr>
            <w:tcW w:w="1028" w:type="dxa"/>
            <w:vMerge w:val="restart"/>
            <w:tcBorders>
              <w:top w:val="single" w:sz="4" w:space="0" w:color="auto"/>
              <w:left w:val="single" w:sz="4" w:space="0" w:color="auto"/>
            </w:tcBorders>
            <w:shd w:val="clear" w:color="auto" w:fill="D9D9D9" w:themeFill="background1" w:themeFillShade="D9"/>
            <w:vAlign w:val="center"/>
          </w:tcPr>
          <w:p w14:paraId="5C122788" w14:textId="77777777" w:rsidR="00AB7261" w:rsidRPr="00524D52" w:rsidRDefault="00AB7261" w:rsidP="002C7EDF">
            <w:pPr>
              <w:spacing w:line="240" w:lineRule="auto"/>
              <w:jc w:val="center"/>
              <w:rPr>
                <w:b/>
                <w:bCs/>
              </w:rPr>
            </w:pPr>
            <w:r w:rsidRPr="00524D52">
              <w:rPr>
                <w:b/>
                <w:bCs/>
              </w:rPr>
              <w:t>Type Approval</w:t>
            </w:r>
          </w:p>
        </w:tc>
        <w:tc>
          <w:tcPr>
            <w:tcW w:w="824" w:type="dxa"/>
            <w:vMerge w:val="restart"/>
            <w:tcBorders>
              <w:top w:val="single" w:sz="4" w:space="0" w:color="auto"/>
            </w:tcBorders>
            <w:shd w:val="clear" w:color="auto" w:fill="D9D9D9" w:themeFill="background1" w:themeFillShade="D9"/>
            <w:vAlign w:val="center"/>
          </w:tcPr>
          <w:p w14:paraId="3F83675F" w14:textId="77777777" w:rsidR="00AB7261" w:rsidRPr="00524D52" w:rsidRDefault="00AB7261" w:rsidP="002C7EDF">
            <w:pPr>
              <w:spacing w:line="240" w:lineRule="auto"/>
              <w:jc w:val="center"/>
              <w:rPr>
                <w:b/>
                <w:bCs/>
              </w:rPr>
            </w:pPr>
            <w:r w:rsidRPr="00524D52">
              <w:rPr>
                <w:b/>
                <w:bCs/>
              </w:rPr>
              <w:t>CoP</w:t>
            </w:r>
          </w:p>
        </w:tc>
        <w:tc>
          <w:tcPr>
            <w:tcW w:w="992" w:type="dxa"/>
            <w:vMerge w:val="restart"/>
            <w:tcBorders>
              <w:top w:val="single" w:sz="4" w:space="0" w:color="auto"/>
              <w:right w:val="single" w:sz="4" w:space="0" w:color="auto"/>
            </w:tcBorders>
            <w:shd w:val="clear" w:color="auto" w:fill="D9D9D9" w:themeFill="background1" w:themeFillShade="D9"/>
            <w:vAlign w:val="center"/>
          </w:tcPr>
          <w:p w14:paraId="2F21859F" w14:textId="77777777" w:rsidR="00AB7261" w:rsidRPr="00524D52" w:rsidRDefault="00AB7261" w:rsidP="002C7EDF">
            <w:pPr>
              <w:spacing w:line="240" w:lineRule="auto"/>
              <w:jc w:val="center"/>
              <w:rPr>
                <w:b/>
                <w:bCs/>
              </w:rPr>
            </w:pPr>
            <w:r w:rsidRPr="00524D52">
              <w:rPr>
                <w:b/>
                <w:bCs/>
              </w:rPr>
              <w:t>Field Test</w:t>
            </w:r>
          </w:p>
        </w:tc>
      </w:tr>
      <w:tr w:rsidR="00247926" w:rsidRPr="00524D52" w14:paraId="1361B543" w14:textId="77777777" w:rsidTr="00CE048A">
        <w:trPr>
          <w:trHeight w:val="45"/>
        </w:trPr>
        <w:tc>
          <w:tcPr>
            <w:tcW w:w="1985" w:type="dxa"/>
            <w:tcBorders>
              <w:top w:val="nil"/>
              <w:left w:val="nil"/>
              <w:bottom w:val="nil"/>
              <w:right w:val="nil"/>
            </w:tcBorders>
            <w:vAlign w:val="center"/>
          </w:tcPr>
          <w:p w14:paraId="6576224E" w14:textId="583AA507" w:rsidR="00AB7261" w:rsidRPr="00524D52" w:rsidRDefault="00AB7261" w:rsidP="002C7EDF">
            <w:pPr>
              <w:spacing w:line="240" w:lineRule="auto"/>
              <w:jc w:val="center"/>
              <w:rPr>
                <w:b/>
                <w:bCs/>
              </w:rPr>
            </w:pPr>
          </w:p>
        </w:tc>
        <w:tc>
          <w:tcPr>
            <w:tcW w:w="1010" w:type="dxa"/>
            <w:vMerge/>
            <w:tcBorders>
              <w:top w:val="nil"/>
              <w:left w:val="nil"/>
              <w:bottom w:val="nil"/>
              <w:right w:val="single" w:sz="4" w:space="0" w:color="auto"/>
            </w:tcBorders>
            <w:vAlign w:val="center"/>
          </w:tcPr>
          <w:p w14:paraId="000EEDEB" w14:textId="77777777" w:rsidR="00AB7261" w:rsidRPr="00524D52" w:rsidRDefault="00AB7261" w:rsidP="002C7EDF">
            <w:pPr>
              <w:spacing w:line="240" w:lineRule="auto"/>
              <w:jc w:val="center"/>
              <w:rPr>
                <w:b/>
                <w:bCs/>
              </w:rPr>
            </w:pPr>
          </w:p>
        </w:tc>
        <w:tc>
          <w:tcPr>
            <w:tcW w:w="1399" w:type="dxa"/>
            <w:vMerge/>
            <w:tcBorders>
              <w:left w:val="single" w:sz="4" w:space="0" w:color="auto"/>
            </w:tcBorders>
            <w:vAlign w:val="center"/>
          </w:tcPr>
          <w:p w14:paraId="57CA1335" w14:textId="77777777" w:rsidR="00AB7261" w:rsidRPr="00524D52" w:rsidRDefault="00AB7261" w:rsidP="002C7EDF">
            <w:pPr>
              <w:spacing w:line="240" w:lineRule="auto"/>
              <w:jc w:val="center"/>
              <w:rPr>
                <w:b/>
                <w:bCs/>
              </w:rPr>
            </w:pPr>
          </w:p>
        </w:tc>
        <w:tc>
          <w:tcPr>
            <w:tcW w:w="1843" w:type="dxa"/>
            <w:vMerge/>
            <w:tcBorders>
              <w:right w:val="single" w:sz="4" w:space="0" w:color="auto"/>
            </w:tcBorders>
            <w:shd w:val="clear" w:color="auto" w:fill="E7E6E6" w:themeFill="background2"/>
            <w:vAlign w:val="center"/>
          </w:tcPr>
          <w:p w14:paraId="7E4FB2FD" w14:textId="77777777" w:rsidR="00AB7261" w:rsidRPr="00524D52" w:rsidRDefault="00AB7261" w:rsidP="002C7EDF">
            <w:pPr>
              <w:spacing w:line="240" w:lineRule="auto"/>
              <w:jc w:val="center"/>
              <w:rPr>
                <w:b/>
                <w:bCs/>
              </w:rPr>
            </w:pPr>
          </w:p>
        </w:tc>
        <w:tc>
          <w:tcPr>
            <w:tcW w:w="700" w:type="dxa"/>
            <w:vMerge/>
            <w:tcBorders>
              <w:top w:val="nil"/>
              <w:left w:val="single" w:sz="4" w:space="0" w:color="auto"/>
              <w:bottom w:val="nil"/>
              <w:right w:val="single" w:sz="4" w:space="0" w:color="auto"/>
            </w:tcBorders>
            <w:vAlign w:val="center"/>
          </w:tcPr>
          <w:p w14:paraId="5292A07A" w14:textId="77777777" w:rsidR="00AB7261" w:rsidRPr="00524D52" w:rsidRDefault="00AB7261" w:rsidP="002C7EDF">
            <w:pPr>
              <w:spacing w:line="240" w:lineRule="auto"/>
              <w:jc w:val="center"/>
              <w:rPr>
                <w:b/>
                <w:bCs/>
              </w:rPr>
            </w:pPr>
          </w:p>
        </w:tc>
        <w:tc>
          <w:tcPr>
            <w:tcW w:w="1028" w:type="dxa"/>
            <w:vMerge/>
            <w:tcBorders>
              <w:left w:val="single" w:sz="4" w:space="0" w:color="auto"/>
            </w:tcBorders>
            <w:shd w:val="clear" w:color="auto" w:fill="D9D9D9" w:themeFill="background1" w:themeFillShade="D9"/>
            <w:vAlign w:val="center"/>
          </w:tcPr>
          <w:p w14:paraId="5E2338DE" w14:textId="77777777" w:rsidR="00AB7261" w:rsidRPr="00524D52" w:rsidRDefault="00AB7261" w:rsidP="002C7EDF">
            <w:pPr>
              <w:spacing w:line="240" w:lineRule="auto"/>
              <w:jc w:val="center"/>
              <w:rPr>
                <w:b/>
                <w:bCs/>
              </w:rPr>
            </w:pPr>
          </w:p>
        </w:tc>
        <w:tc>
          <w:tcPr>
            <w:tcW w:w="824" w:type="dxa"/>
            <w:vMerge/>
            <w:shd w:val="clear" w:color="auto" w:fill="D9D9D9" w:themeFill="background1" w:themeFillShade="D9"/>
            <w:vAlign w:val="center"/>
          </w:tcPr>
          <w:p w14:paraId="0849809B" w14:textId="77777777" w:rsidR="00AB7261" w:rsidRPr="00524D52" w:rsidRDefault="00AB7261" w:rsidP="002C7EDF">
            <w:pPr>
              <w:spacing w:line="240" w:lineRule="auto"/>
              <w:jc w:val="center"/>
              <w:rPr>
                <w:b/>
                <w:bCs/>
              </w:rPr>
            </w:pPr>
          </w:p>
        </w:tc>
        <w:tc>
          <w:tcPr>
            <w:tcW w:w="992" w:type="dxa"/>
            <w:vMerge/>
            <w:tcBorders>
              <w:right w:val="single" w:sz="4" w:space="0" w:color="auto"/>
            </w:tcBorders>
            <w:shd w:val="clear" w:color="auto" w:fill="D9D9D9" w:themeFill="background1" w:themeFillShade="D9"/>
            <w:vAlign w:val="center"/>
          </w:tcPr>
          <w:p w14:paraId="06D779A0" w14:textId="77777777" w:rsidR="00AB7261" w:rsidRPr="00524D52" w:rsidRDefault="00AB7261" w:rsidP="002C7EDF">
            <w:pPr>
              <w:spacing w:line="240" w:lineRule="auto"/>
              <w:jc w:val="center"/>
              <w:rPr>
                <w:b/>
                <w:bCs/>
              </w:rPr>
            </w:pPr>
          </w:p>
        </w:tc>
      </w:tr>
      <w:tr w:rsidR="00AB7261" w:rsidRPr="00524D52" w14:paraId="383E0C40" w14:textId="77777777" w:rsidTr="00CE048A">
        <w:trPr>
          <w:trHeight w:val="140"/>
        </w:trPr>
        <w:tc>
          <w:tcPr>
            <w:tcW w:w="1985" w:type="dxa"/>
            <w:tcBorders>
              <w:top w:val="nil"/>
              <w:left w:val="nil"/>
              <w:bottom w:val="nil"/>
              <w:right w:val="nil"/>
            </w:tcBorders>
            <w:vAlign w:val="center"/>
          </w:tcPr>
          <w:p w14:paraId="26737F6B" w14:textId="5CD9EF48" w:rsidR="00AB7261" w:rsidRPr="00524D52" w:rsidRDefault="00AB7261" w:rsidP="002C7EDF">
            <w:pPr>
              <w:spacing w:line="240" w:lineRule="auto"/>
              <w:jc w:val="center"/>
              <w:rPr>
                <w:b/>
                <w:bCs/>
              </w:rPr>
            </w:pPr>
          </w:p>
        </w:tc>
        <w:tc>
          <w:tcPr>
            <w:tcW w:w="1010" w:type="dxa"/>
            <w:vMerge/>
            <w:tcBorders>
              <w:top w:val="nil"/>
              <w:left w:val="nil"/>
              <w:bottom w:val="nil"/>
              <w:right w:val="single" w:sz="4" w:space="0" w:color="auto"/>
            </w:tcBorders>
            <w:vAlign w:val="center"/>
          </w:tcPr>
          <w:p w14:paraId="37EBE890" w14:textId="77777777" w:rsidR="00AB7261" w:rsidRPr="00524D52" w:rsidRDefault="00AB7261" w:rsidP="002C7EDF">
            <w:pPr>
              <w:spacing w:line="240" w:lineRule="auto"/>
              <w:jc w:val="center"/>
              <w:rPr>
                <w:b/>
                <w:bCs/>
                <w:sz w:val="24"/>
                <w:szCs w:val="24"/>
              </w:rPr>
            </w:pPr>
          </w:p>
        </w:tc>
        <w:tc>
          <w:tcPr>
            <w:tcW w:w="1399" w:type="dxa"/>
            <w:tcBorders>
              <w:left w:val="single" w:sz="4" w:space="0" w:color="auto"/>
              <w:bottom w:val="single" w:sz="4" w:space="0" w:color="auto"/>
            </w:tcBorders>
            <w:shd w:val="clear" w:color="auto" w:fill="000000" w:themeFill="text1"/>
            <w:vAlign w:val="center"/>
          </w:tcPr>
          <w:p w14:paraId="7045BB18" w14:textId="77158E74" w:rsidR="00AB7261" w:rsidRPr="00602AD8" w:rsidRDefault="006168B2" w:rsidP="002C7EDF">
            <w:pPr>
              <w:spacing w:line="240" w:lineRule="auto"/>
              <w:jc w:val="center"/>
              <w:rPr>
                <w:b/>
                <w:bCs/>
                <w:sz w:val="22"/>
                <w:szCs w:val="22"/>
              </w:rPr>
            </w:pPr>
            <w:r w:rsidRPr="00602AD8">
              <w:rPr>
                <w:b/>
                <w:bCs/>
                <w:sz w:val="22"/>
                <w:szCs w:val="22"/>
              </w:rPr>
              <w:t>1,02</w:t>
            </w:r>
          </w:p>
        </w:tc>
        <w:tc>
          <w:tcPr>
            <w:tcW w:w="1843" w:type="dxa"/>
            <w:tcBorders>
              <w:bottom w:val="single" w:sz="4" w:space="0" w:color="auto"/>
              <w:right w:val="single" w:sz="4" w:space="0" w:color="auto"/>
            </w:tcBorders>
            <w:shd w:val="clear" w:color="auto" w:fill="000000" w:themeFill="text1"/>
            <w:vAlign w:val="center"/>
          </w:tcPr>
          <w:p w14:paraId="3E277F4E" w14:textId="6217CD78" w:rsidR="00AD65FA" w:rsidRPr="00602AD8" w:rsidRDefault="006168B2" w:rsidP="00AD65FA">
            <w:pPr>
              <w:spacing w:line="240" w:lineRule="auto"/>
              <w:jc w:val="center"/>
              <w:rPr>
                <w:b/>
                <w:bCs/>
                <w:sz w:val="22"/>
                <w:szCs w:val="22"/>
              </w:rPr>
            </w:pPr>
            <w:r w:rsidRPr="00602AD8">
              <w:rPr>
                <w:b/>
                <w:bCs/>
                <w:sz w:val="22"/>
                <w:szCs w:val="22"/>
              </w:rPr>
              <w:t>2,0</w:t>
            </w:r>
            <w:r w:rsidR="00AD65FA" w:rsidRPr="00602AD8">
              <w:rPr>
                <w:b/>
                <w:bCs/>
                <w:sz w:val="22"/>
                <w:szCs w:val="22"/>
              </w:rPr>
              <w:t>4</w:t>
            </w:r>
          </w:p>
        </w:tc>
        <w:tc>
          <w:tcPr>
            <w:tcW w:w="700" w:type="dxa"/>
            <w:vMerge/>
            <w:tcBorders>
              <w:top w:val="nil"/>
              <w:left w:val="single" w:sz="4" w:space="0" w:color="auto"/>
              <w:bottom w:val="nil"/>
              <w:right w:val="single" w:sz="4" w:space="0" w:color="auto"/>
            </w:tcBorders>
            <w:vAlign w:val="center"/>
          </w:tcPr>
          <w:p w14:paraId="0C4BA948" w14:textId="77777777" w:rsidR="00AB7261" w:rsidRPr="00602AD8" w:rsidRDefault="00AB7261" w:rsidP="002C7EDF">
            <w:pPr>
              <w:spacing w:line="240" w:lineRule="auto"/>
              <w:jc w:val="center"/>
              <w:rPr>
                <w:b/>
                <w:bCs/>
                <w:sz w:val="22"/>
                <w:szCs w:val="22"/>
              </w:rPr>
            </w:pPr>
          </w:p>
        </w:tc>
        <w:tc>
          <w:tcPr>
            <w:tcW w:w="1028" w:type="dxa"/>
            <w:tcBorders>
              <w:left w:val="single" w:sz="4" w:space="0" w:color="auto"/>
              <w:bottom w:val="single" w:sz="4" w:space="0" w:color="auto"/>
            </w:tcBorders>
            <w:shd w:val="clear" w:color="auto" w:fill="000000" w:themeFill="text1"/>
            <w:vAlign w:val="center"/>
          </w:tcPr>
          <w:p w14:paraId="4DA9EFBE" w14:textId="0AC2E0D5" w:rsidR="00AB7261" w:rsidRPr="00602AD8" w:rsidRDefault="0092264E" w:rsidP="002C7EDF">
            <w:pPr>
              <w:spacing w:line="240" w:lineRule="auto"/>
              <w:jc w:val="center"/>
              <w:rPr>
                <w:b/>
                <w:bCs/>
                <w:color w:val="FFFFFF" w:themeColor="background1"/>
                <w:sz w:val="22"/>
                <w:szCs w:val="22"/>
              </w:rPr>
            </w:pPr>
            <w:r w:rsidRPr="00602AD8">
              <w:rPr>
                <w:b/>
                <w:bCs/>
                <w:color w:val="FFFFFF" w:themeColor="background1"/>
                <w:sz w:val="22"/>
                <w:szCs w:val="22"/>
              </w:rPr>
              <w:t>1,</w:t>
            </w:r>
            <w:r w:rsidR="00761C07" w:rsidRPr="00602AD8">
              <w:rPr>
                <w:b/>
                <w:bCs/>
                <w:color w:val="FFFFFF" w:themeColor="background1"/>
                <w:sz w:val="22"/>
                <w:szCs w:val="22"/>
              </w:rPr>
              <w:t>09</w:t>
            </w:r>
          </w:p>
        </w:tc>
        <w:tc>
          <w:tcPr>
            <w:tcW w:w="824" w:type="dxa"/>
            <w:tcBorders>
              <w:bottom w:val="single" w:sz="4" w:space="0" w:color="auto"/>
            </w:tcBorders>
            <w:shd w:val="clear" w:color="auto" w:fill="000000" w:themeFill="text1"/>
            <w:vAlign w:val="center"/>
          </w:tcPr>
          <w:p w14:paraId="0B5F3BE5" w14:textId="7137FBA1" w:rsidR="00AB7261" w:rsidRPr="00602AD8" w:rsidRDefault="0007131A" w:rsidP="002C7EDF">
            <w:pPr>
              <w:spacing w:line="240" w:lineRule="auto"/>
              <w:jc w:val="center"/>
              <w:rPr>
                <w:b/>
                <w:bCs/>
                <w:color w:val="FFFFFF" w:themeColor="background1"/>
                <w:sz w:val="22"/>
                <w:szCs w:val="22"/>
              </w:rPr>
            </w:pPr>
            <w:r w:rsidRPr="00602AD8">
              <w:rPr>
                <w:b/>
                <w:bCs/>
                <w:color w:val="FFFFFF" w:themeColor="background1"/>
                <w:sz w:val="22"/>
                <w:szCs w:val="22"/>
              </w:rPr>
              <w:t>1,</w:t>
            </w:r>
            <w:r w:rsidR="00CB7257" w:rsidRPr="00602AD8">
              <w:rPr>
                <w:b/>
                <w:bCs/>
                <w:color w:val="FFFFFF" w:themeColor="background1"/>
                <w:sz w:val="22"/>
                <w:szCs w:val="22"/>
              </w:rPr>
              <w:t>6</w:t>
            </w:r>
            <w:r w:rsidR="00761C07" w:rsidRPr="00602AD8">
              <w:rPr>
                <w:b/>
                <w:bCs/>
                <w:color w:val="FFFFFF" w:themeColor="background1"/>
                <w:sz w:val="22"/>
                <w:szCs w:val="22"/>
              </w:rPr>
              <w:t>4</w:t>
            </w:r>
          </w:p>
        </w:tc>
        <w:tc>
          <w:tcPr>
            <w:tcW w:w="992" w:type="dxa"/>
            <w:tcBorders>
              <w:bottom w:val="single" w:sz="4" w:space="0" w:color="auto"/>
              <w:right w:val="single" w:sz="4" w:space="0" w:color="auto"/>
            </w:tcBorders>
            <w:shd w:val="clear" w:color="auto" w:fill="000000" w:themeFill="text1"/>
            <w:vAlign w:val="center"/>
          </w:tcPr>
          <w:p w14:paraId="5F897AEF" w14:textId="0BBD4ECC" w:rsidR="00E1047D" w:rsidRPr="00602AD8" w:rsidRDefault="00AD65FA" w:rsidP="00AD65FA">
            <w:pPr>
              <w:spacing w:line="240" w:lineRule="auto"/>
              <w:jc w:val="center"/>
              <w:rPr>
                <w:b/>
                <w:bCs/>
                <w:color w:val="FFFFFF" w:themeColor="background1"/>
                <w:sz w:val="22"/>
                <w:szCs w:val="22"/>
              </w:rPr>
            </w:pPr>
            <w:r w:rsidRPr="00602AD8">
              <w:rPr>
                <w:b/>
                <w:bCs/>
                <w:color w:val="FFFFFF" w:themeColor="background1"/>
                <w:sz w:val="22"/>
                <w:szCs w:val="22"/>
              </w:rPr>
              <w:t>2,0</w:t>
            </w:r>
            <w:r w:rsidR="00761C07" w:rsidRPr="00602AD8">
              <w:rPr>
                <w:b/>
                <w:bCs/>
                <w:color w:val="FFFFFF" w:themeColor="background1"/>
                <w:sz w:val="22"/>
                <w:szCs w:val="22"/>
              </w:rPr>
              <w:t>4</w:t>
            </w:r>
          </w:p>
        </w:tc>
      </w:tr>
    </w:tbl>
    <w:p w14:paraId="237562C9" w14:textId="47017E4B" w:rsidR="003F5165" w:rsidRPr="00524D52" w:rsidRDefault="00951B54" w:rsidP="004617B9">
      <w:pPr>
        <w:spacing w:after="120"/>
        <w:ind w:left="2268" w:right="1134"/>
        <w:jc w:val="both"/>
        <w:rPr>
          <w:rFonts w:eastAsia="Times New Roman"/>
          <w:b/>
        </w:rPr>
      </w:pPr>
      <w:r w:rsidRPr="00524D52">
        <w:rPr>
          <w:rFonts w:eastAsia="Times New Roman"/>
          <w:b/>
        </w:rPr>
        <w:t>“</w:t>
      </w:r>
    </w:p>
    <w:p w14:paraId="0FF2D59A" w14:textId="77777777" w:rsidR="003F5165" w:rsidRPr="00524D52" w:rsidRDefault="003F5165">
      <w:pPr>
        <w:suppressAutoHyphens w:val="0"/>
        <w:spacing w:after="160" w:line="259" w:lineRule="auto"/>
        <w:rPr>
          <w:rFonts w:eastAsia="Times New Roman"/>
          <w:b/>
        </w:rPr>
      </w:pPr>
      <w:r w:rsidRPr="00524D52">
        <w:rPr>
          <w:rFonts w:eastAsia="Times New Roman"/>
          <w:b/>
        </w:rPr>
        <w:br w:type="page"/>
      </w:r>
    </w:p>
    <w:p w14:paraId="20D74727" w14:textId="3716EBBA" w:rsidR="002B5C3D" w:rsidRPr="00524D52" w:rsidRDefault="002B5C3D" w:rsidP="005562AE">
      <w:pPr>
        <w:keepNext/>
        <w:keepLines/>
        <w:numPr>
          <w:ilvl w:val="0"/>
          <w:numId w:val="1"/>
        </w:numPr>
        <w:tabs>
          <w:tab w:val="right" w:pos="1560"/>
        </w:tabs>
        <w:spacing w:before="360" w:after="240" w:line="300" w:lineRule="exact"/>
        <w:ind w:left="1134" w:right="1134"/>
        <w:rPr>
          <w:rFonts w:eastAsiaTheme="minorHAnsi"/>
          <w:b/>
          <w:bCs/>
          <w:sz w:val="28"/>
          <w:szCs w:val="28"/>
          <w:lang w:val="en-US"/>
        </w:rPr>
      </w:pPr>
      <w:r w:rsidRPr="00524D52">
        <w:rPr>
          <w:rFonts w:eastAsiaTheme="minorHAnsi"/>
          <w:b/>
          <w:bCs/>
          <w:sz w:val="28"/>
          <w:szCs w:val="28"/>
          <w:lang w:val="en-US"/>
        </w:rPr>
        <w:lastRenderedPageBreak/>
        <w:t>Justification</w:t>
      </w:r>
    </w:p>
    <w:p w14:paraId="5C79BFAF" w14:textId="1504093C" w:rsidR="00EA5186" w:rsidRPr="00524D52" w:rsidRDefault="00EA5186" w:rsidP="00286470">
      <w:pPr>
        <w:tabs>
          <w:tab w:val="left" w:pos="993"/>
        </w:tabs>
        <w:ind w:left="1134"/>
        <w:rPr>
          <w:b/>
          <w:bCs/>
        </w:rPr>
      </w:pPr>
      <w:r w:rsidRPr="00524D52">
        <w:t>The measurement uncertainties developed in this Appendix are based on the work of the GRBP Informal Working Group on Measurement Uncertainties. This working group has developed a Document</w:t>
      </w:r>
      <w:r w:rsidR="00A60E30" w:rsidRPr="00524D52">
        <w:t xml:space="preserve"> for </w:t>
      </w:r>
      <w:r w:rsidRPr="00524D52">
        <w:t>Reference, which describes a general approach to estimate measurement uncertainties (ECE-TRANS-WP.29-GRBP-2022-09</w:t>
      </w:r>
      <w:r w:rsidR="00CD7D1F" w:rsidRPr="00524D52">
        <w:t>rev2</w:t>
      </w:r>
      <w:r w:rsidRPr="00524D52">
        <w:t>)</w:t>
      </w:r>
      <w:r w:rsidR="00810C62" w:rsidRPr="00524D52">
        <w:t>.</w:t>
      </w:r>
    </w:p>
    <w:p w14:paraId="46107748" w14:textId="77777777" w:rsidR="00EA5186" w:rsidRPr="00524D52" w:rsidRDefault="00EA5186" w:rsidP="00286470">
      <w:pPr>
        <w:tabs>
          <w:tab w:val="left" w:pos="993"/>
        </w:tabs>
        <w:ind w:left="1134"/>
        <w:rPr>
          <w:b/>
          <w:bCs/>
        </w:rPr>
      </w:pPr>
    </w:p>
    <w:p w14:paraId="7AD16250" w14:textId="45BB8600" w:rsidR="00EA5186" w:rsidRPr="00EA5186" w:rsidRDefault="00EA5186" w:rsidP="00286470">
      <w:pPr>
        <w:tabs>
          <w:tab w:val="left" w:pos="993"/>
        </w:tabs>
        <w:ind w:left="1134"/>
      </w:pPr>
      <w:r w:rsidRPr="00524D52">
        <w:t>The impact of the quantities on the expanded uncertainty has been evaluated separately for run-to-run, day-to-day, vehicle-to-vehicle and site-to-site variations. Some of the different impacts are based on calculations from tolerances in Annex 3, while others are based on experiences.</w:t>
      </w:r>
    </w:p>
    <w:p w14:paraId="044BB464" w14:textId="199E89D7" w:rsidR="002B5C3D" w:rsidRDefault="002B5C3D" w:rsidP="00286470">
      <w:pPr>
        <w:ind w:left="1134"/>
      </w:pPr>
    </w:p>
    <w:p w14:paraId="103CFF5D" w14:textId="64E3DD55" w:rsidR="00BE1213" w:rsidRPr="00C33EE7" w:rsidRDefault="00BE1213" w:rsidP="00BE1213">
      <w:pPr>
        <w:keepLines/>
        <w:spacing w:after="120"/>
        <w:ind w:left="1134"/>
        <w:jc w:val="both"/>
        <w:rPr>
          <w:bCs/>
        </w:rPr>
      </w:pPr>
      <w:r w:rsidRPr="00C33EE7">
        <w:rPr>
          <w:bCs/>
        </w:rPr>
        <w:t xml:space="preserve">In general, the display of results in column “Comb. stand. Uncertainty” of tables </w:t>
      </w:r>
      <w:r w:rsidR="008A70E8">
        <w:rPr>
          <w:bCs/>
        </w:rPr>
        <w:t>2</w:t>
      </w:r>
      <w:r w:rsidRPr="00C33EE7">
        <w:rPr>
          <w:bCs/>
        </w:rPr>
        <w:t xml:space="preserve">.1 and </w:t>
      </w:r>
      <w:r w:rsidR="008A70E8">
        <w:rPr>
          <w:bCs/>
        </w:rPr>
        <w:t>2</w:t>
      </w:r>
      <w:r w:rsidRPr="00C33EE7">
        <w:rPr>
          <w:bCs/>
        </w:rPr>
        <w:t xml:space="preserve">,2 has been </w:t>
      </w:r>
      <w:r w:rsidR="000033F3">
        <w:rPr>
          <w:bCs/>
        </w:rPr>
        <w:t>improved</w:t>
      </w:r>
      <w:r w:rsidRPr="00C33EE7">
        <w:rPr>
          <w:bCs/>
        </w:rPr>
        <w:t xml:space="preserve"> for easier understanding for regulatory purposes. The </w:t>
      </w:r>
      <w:r>
        <w:rPr>
          <w:bCs/>
        </w:rPr>
        <w:t>“</w:t>
      </w:r>
      <w:r w:rsidRPr="00C33EE7">
        <w:rPr>
          <w:bCs/>
        </w:rPr>
        <w:t>variance</w:t>
      </w:r>
      <w:r>
        <w:rPr>
          <w:bCs/>
        </w:rPr>
        <w:t>”</w:t>
      </w:r>
      <w:r w:rsidRPr="00C33EE7">
        <w:rPr>
          <w:bCs/>
        </w:rPr>
        <w:t xml:space="preserve"> of the </w:t>
      </w:r>
      <w:r>
        <w:rPr>
          <w:bCs/>
        </w:rPr>
        <w:t xml:space="preserve">different </w:t>
      </w:r>
      <w:r w:rsidRPr="00C33EE7">
        <w:rPr>
          <w:bCs/>
        </w:rPr>
        <w:t xml:space="preserve">situations </w:t>
      </w:r>
      <w:r w:rsidR="005546EA" w:rsidRPr="00C33EE7">
        <w:rPr>
          <w:bCs/>
        </w:rPr>
        <w:t>has</w:t>
      </w:r>
      <w:r w:rsidRPr="00C33EE7">
        <w:rPr>
          <w:bCs/>
        </w:rPr>
        <w:t xml:space="preserve"> now been combined separately and ha</w:t>
      </w:r>
      <w:r w:rsidR="00301AF7">
        <w:rPr>
          <w:bCs/>
        </w:rPr>
        <w:t xml:space="preserve">s </w:t>
      </w:r>
      <w:r w:rsidRPr="00C33EE7">
        <w:rPr>
          <w:bCs/>
        </w:rPr>
        <w:t xml:space="preserve">not been accumulated </w:t>
      </w:r>
      <w:r>
        <w:rPr>
          <w:bCs/>
        </w:rPr>
        <w:t xml:space="preserve">from top to bottom </w:t>
      </w:r>
      <w:r w:rsidRPr="00C33EE7">
        <w:rPr>
          <w:bCs/>
        </w:rPr>
        <w:t>anymore (as ISO does in their documents).</w:t>
      </w:r>
      <w:r>
        <w:rPr>
          <w:bCs/>
        </w:rPr>
        <w:t xml:space="preserve"> This has effect on “Uncertainties Budgets” due to “Type approval”, “COP” and “Field Tests”, including the “expanded uncertainty 95%”. </w:t>
      </w:r>
    </w:p>
    <w:p w14:paraId="0F1D3BED" w14:textId="77777777" w:rsidR="00BE1213" w:rsidRDefault="00BE1213" w:rsidP="00BE1213">
      <w:pPr>
        <w:keepLines/>
        <w:spacing w:after="120"/>
        <w:ind w:left="1134"/>
        <w:jc w:val="both"/>
        <w:rPr>
          <w:bCs/>
        </w:rPr>
      </w:pPr>
      <w:r>
        <w:rPr>
          <w:bCs/>
        </w:rPr>
        <w:t xml:space="preserve">Some values in the column of COP have been reduced, since </w:t>
      </w:r>
      <w:r w:rsidRPr="00C33EE7">
        <w:rPr>
          <w:bCs/>
        </w:rPr>
        <w:t xml:space="preserve">COP </w:t>
      </w:r>
      <w:r w:rsidRPr="00C33EE7">
        <w:rPr>
          <w:bCs/>
          <w:lang w:val="en-US"/>
        </w:rPr>
        <w:t>situations could be expected to be under control to a higher extent compared to an arbitrary test situation</w:t>
      </w:r>
      <w:r>
        <w:rPr>
          <w:bCs/>
        </w:rPr>
        <w:t>:</w:t>
      </w:r>
      <w:r w:rsidRPr="00C33EE7">
        <w:rPr>
          <w:bCs/>
          <w:lang w:val="en-US"/>
        </w:rPr>
        <w:t xml:space="preserve"> </w:t>
      </w:r>
    </w:p>
    <w:p w14:paraId="6F909BDB" w14:textId="77777777" w:rsidR="00BE1213" w:rsidRPr="00E87EE6" w:rsidRDefault="00BE1213" w:rsidP="00BE1213">
      <w:pPr>
        <w:pStyle w:val="ListParagraph"/>
        <w:keepLines/>
        <w:numPr>
          <w:ilvl w:val="0"/>
          <w:numId w:val="7"/>
        </w:numPr>
        <w:suppressAutoHyphens w:val="0"/>
        <w:spacing w:after="120" w:line="259" w:lineRule="auto"/>
        <w:jc w:val="both"/>
        <w:rPr>
          <w:bCs/>
        </w:rPr>
      </w:pPr>
      <w:r>
        <w:rPr>
          <w:bCs/>
        </w:rPr>
        <w:t>F</w:t>
      </w:r>
      <w:r w:rsidRPr="00E87EE6">
        <w:rPr>
          <w:bCs/>
        </w:rPr>
        <w:t xml:space="preserve">or the Light Vehicle category of vehicles </w:t>
      </w:r>
      <w:r>
        <w:rPr>
          <w:bCs/>
        </w:rPr>
        <w:t>t</w:t>
      </w:r>
      <w:r w:rsidRPr="00E87EE6">
        <w:rPr>
          <w:bCs/>
        </w:rPr>
        <w:t xml:space="preserve">he uncertainty of the “Site-to-Site” </w:t>
      </w:r>
      <w:r>
        <w:rPr>
          <w:bCs/>
        </w:rPr>
        <w:t xml:space="preserve">in COP testing </w:t>
      </w:r>
      <w:r w:rsidRPr="00E87EE6">
        <w:rPr>
          <w:bCs/>
        </w:rPr>
        <w:t xml:space="preserve">situation has been suggested to be half of the uncertainty of an arbitrary situation. </w:t>
      </w:r>
    </w:p>
    <w:p w14:paraId="19B81992" w14:textId="77777777" w:rsidR="00BE1213" w:rsidRPr="00E87EE6" w:rsidRDefault="00BE1213" w:rsidP="00BE1213">
      <w:pPr>
        <w:pStyle w:val="ListParagraph"/>
        <w:keepLines/>
        <w:numPr>
          <w:ilvl w:val="0"/>
          <w:numId w:val="7"/>
        </w:numPr>
        <w:suppressAutoHyphens w:val="0"/>
        <w:spacing w:after="120" w:line="259" w:lineRule="auto"/>
        <w:jc w:val="both"/>
        <w:rPr>
          <w:bCs/>
        </w:rPr>
      </w:pPr>
      <w:r w:rsidRPr="00E87EE6">
        <w:rPr>
          <w:bCs/>
        </w:rPr>
        <w:t>For the Heavy Commercial vehicles similar principle applies to the “Vehicle-to-Vehicle” situation corresponding to COP testing.</w:t>
      </w:r>
    </w:p>
    <w:p w14:paraId="721AC5A2" w14:textId="77777777" w:rsidR="00BE1213" w:rsidRPr="00EA5186" w:rsidRDefault="00BE1213" w:rsidP="00286470">
      <w:pPr>
        <w:ind w:left="1134"/>
      </w:pPr>
    </w:p>
    <w:sectPr w:rsidR="00BE1213" w:rsidRPr="00EA5186" w:rsidSect="0028647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9613" w14:textId="77777777" w:rsidR="005439C1" w:rsidRDefault="005439C1" w:rsidP="00A331EA">
      <w:pPr>
        <w:spacing w:line="240" w:lineRule="auto"/>
      </w:pPr>
      <w:r>
        <w:separator/>
      </w:r>
    </w:p>
  </w:endnote>
  <w:endnote w:type="continuationSeparator" w:id="0">
    <w:p w14:paraId="01C0D07C" w14:textId="77777777" w:rsidR="005439C1" w:rsidRDefault="005439C1" w:rsidP="00A33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9E5A" w14:textId="77777777" w:rsidR="005439C1" w:rsidRDefault="005439C1" w:rsidP="00A331EA">
      <w:pPr>
        <w:spacing w:line="240" w:lineRule="auto"/>
      </w:pPr>
      <w:r>
        <w:separator/>
      </w:r>
    </w:p>
  </w:footnote>
  <w:footnote w:type="continuationSeparator" w:id="0">
    <w:p w14:paraId="79DFBA3E" w14:textId="77777777" w:rsidR="005439C1" w:rsidRDefault="005439C1" w:rsidP="00A331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FD1"/>
    <w:multiLevelType w:val="multilevel"/>
    <w:tmpl w:val="45B0D6C8"/>
    <w:lvl w:ilvl="0">
      <w:start w:val="1"/>
      <w:numFmt w:val="decimal"/>
      <w:lvlText w:val="%1."/>
      <w:lvlJc w:val="left"/>
      <w:pPr>
        <w:ind w:left="910" w:hanging="360"/>
      </w:pPr>
      <w:rPr>
        <w:rFonts w:hint="default"/>
      </w:rPr>
    </w:lvl>
    <w:lvl w:ilvl="1">
      <w:start w:val="1"/>
      <w:numFmt w:val="decimal"/>
      <w:isLgl/>
      <w:lvlText w:val="%1.%2"/>
      <w:lvlJc w:val="left"/>
      <w:pPr>
        <w:ind w:left="952"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438" w:hanging="72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1882" w:hanging="1080"/>
      </w:pPr>
      <w:rPr>
        <w:rFonts w:hint="default"/>
      </w:rPr>
    </w:lvl>
    <w:lvl w:ilvl="7">
      <w:start w:val="1"/>
      <w:numFmt w:val="decimal"/>
      <w:isLgl/>
      <w:lvlText w:val="%1.%2.%3.%4.%5.%6.%7.%8"/>
      <w:lvlJc w:val="left"/>
      <w:pPr>
        <w:ind w:left="2284" w:hanging="1440"/>
      </w:pPr>
      <w:rPr>
        <w:rFonts w:hint="default"/>
      </w:rPr>
    </w:lvl>
    <w:lvl w:ilvl="8">
      <w:start w:val="1"/>
      <w:numFmt w:val="decimal"/>
      <w:isLgl/>
      <w:lvlText w:val="%1.%2.%3.%4.%5.%6.%7.%8.%9"/>
      <w:lvlJc w:val="left"/>
      <w:pPr>
        <w:ind w:left="2326" w:hanging="1440"/>
      </w:pPr>
      <w:rPr>
        <w:rFonts w:hint="default"/>
      </w:rPr>
    </w:lvl>
  </w:abstractNum>
  <w:abstractNum w:abstractNumId="1" w15:restartNumberingAfterBreak="0">
    <w:nsid w:val="245A4792"/>
    <w:multiLevelType w:val="hybridMultilevel"/>
    <w:tmpl w:val="0302AAB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31E60E41"/>
    <w:multiLevelType w:val="multilevel"/>
    <w:tmpl w:val="45B0D6C8"/>
    <w:lvl w:ilvl="0">
      <w:start w:val="1"/>
      <w:numFmt w:val="decimal"/>
      <w:lvlText w:val="%1."/>
      <w:lvlJc w:val="left"/>
      <w:pPr>
        <w:ind w:left="910" w:hanging="360"/>
      </w:pPr>
      <w:rPr>
        <w:rFonts w:hint="default"/>
      </w:rPr>
    </w:lvl>
    <w:lvl w:ilvl="1">
      <w:start w:val="1"/>
      <w:numFmt w:val="decimal"/>
      <w:isLgl/>
      <w:lvlText w:val="%1.%2"/>
      <w:lvlJc w:val="left"/>
      <w:pPr>
        <w:ind w:left="952"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438" w:hanging="72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1882" w:hanging="1080"/>
      </w:pPr>
      <w:rPr>
        <w:rFonts w:hint="default"/>
      </w:rPr>
    </w:lvl>
    <w:lvl w:ilvl="7">
      <w:start w:val="1"/>
      <w:numFmt w:val="decimal"/>
      <w:isLgl/>
      <w:lvlText w:val="%1.%2.%3.%4.%5.%6.%7.%8"/>
      <w:lvlJc w:val="left"/>
      <w:pPr>
        <w:ind w:left="2284" w:hanging="1440"/>
      </w:pPr>
      <w:rPr>
        <w:rFonts w:hint="default"/>
      </w:rPr>
    </w:lvl>
    <w:lvl w:ilvl="8">
      <w:start w:val="1"/>
      <w:numFmt w:val="decimal"/>
      <w:isLgl/>
      <w:lvlText w:val="%1.%2.%3.%4.%5.%6.%7.%8.%9"/>
      <w:lvlJc w:val="left"/>
      <w:pPr>
        <w:ind w:left="2326" w:hanging="1440"/>
      </w:pPr>
      <w:rPr>
        <w:rFonts w:hint="default"/>
      </w:rPr>
    </w:lvl>
  </w:abstractNum>
  <w:abstractNum w:abstractNumId="3" w15:restartNumberingAfterBreak="0">
    <w:nsid w:val="4AE610C5"/>
    <w:multiLevelType w:val="multilevel"/>
    <w:tmpl w:val="54ACB66E"/>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6F2908"/>
    <w:multiLevelType w:val="multilevel"/>
    <w:tmpl w:val="45B0D6C8"/>
    <w:lvl w:ilvl="0">
      <w:start w:val="1"/>
      <w:numFmt w:val="decimal"/>
      <w:lvlText w:val="%1."/>
      <w:lvlJc w:val="left"/>
      <w:pPr>
        <w:ind w:left="910" w:hanging="360"/>
      </w:pPr>
      <w:rPr>
        <w:rFonts w:hint="default"/>
      </w:rPr>
    </w:lvl>
    <w:lvl w:ilvl="1">
      <w:start w:val="1"/>
      <w:numFmt w:val="decimal"/>
      <w:isLgl/>
      <w:lvlText w:val="%1.%2"/>
      <w:lvlJc w:val="left"/>
      <w:pPr>
        <w:ind w:left="952"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438" w:hanging="72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1882" w:hanging="1080"/>
      </w:pPr>
      <w:rPr>
        <w:rFonts w:hint="default"/>
      </w:rPr>
    </w:lvl>
    <w:lvl w:ilvl="7">
      <w:start w:val="1"/>
      <w:numFmt w:val="decimal"/>
      <w:isLgl/>
      <w:lvlText w:val="%1.%2.%3.%4.%5.%6.%7.%8"/>
      <w:lvlJc w:val="left"/>
      <w:pPr>
        <w:ind w:left="2284" w:hanging="1440"/>
      </w:pPr>
      <w:rPr>
        <w:rFonts w:hint="default"/>
      </w:rPr>
    </w:lvl>
    <w:lvl w:ilvl="8">
      <w:start w:val="1"/>
      <w:numFmt w:val="decimal"/>
      <w:isLgl/>
      <w:lvlText w:val="%1.%2.%3.%4.%5.%6.%7.%8.%9"/>
      <w:lvlJc w:val="left"/>
      <w:pPr>
        <w:ind w:left="2326" w:hanging="1440"/>
      </w:pPr>
      <w:rPr>
        <w:rFonts w:hint="default"/>
      </w:rPr>
    </w:lvl>
  </w:abstractNum>
  <w:abstractNum w:abstractNumId="5" w15:restartNumberingAfterBreak="0">
    <w:nsid w:val="598473B9"/>
    <w:multiLevelType w:val="multilevel"/>
    <w:tmpl w:val="7C1EF34C"/>
    <w:lvl w:ilvl="0">
      <w:start w:val="2"/>
      <w:numFmt w:val="decimal"/>
      <w:lvlText w:val="%1"/>
      <w:lvlJc w:val="left"/>
      <w:pPr>
        <w:ind w:left="360" w:hanging="360"/>
      </w:pPr>
      <w:rPr>
        <w:rFonts w:hint="default"/>
      </w:rPr>
    </w:lvl>
    <w:lvl w:ilvl="1">
      <w:start w:val="3"/>
      <w:numFmt w:val="decimal"/>
      <w:lvlText w:val="%1.%2"/>
      <w:lvlJc w:val="left"/>
      <w:pPr>
        <w:ind w:left="952" w:hanging="36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088" w:hanging="72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632" w:hanging="108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176" w:hanging="1440"/>
      </w:pPr>
      <w:rPr>
        <w:rFonts w:hint="default"/>
      </w:rPr>
    </w:lvl>
  </w:abstractNum>
  <w:abstractNum w:abstractNumId="6" w15:restartNumberingAfterBreak="0">
    <w:nsid w:val="7B041C54"/>
    <w:multiLevelType w:val="multilevel"/>
    <w:tmpl w:val="45B0D6C8"/>
    <w:lvl w:ilvl="0">
      <w:start w:val="1"/>
      <w:numFmt w:val="decimal"/>
      <w:lvlText w:val="%1."/>
      <w:lvlJc w:val="left"/>
      <w:pPr>
        <w:ind w:left="910" w:hanging="360"/>
      </w:pPr>
      <w:rPr>
        <w:rFonts w:hint="default"/>
      </w:rPr>
    </w:lvl>
    <w:lvl w:ilvl="1">
      <w:start w:val="1"/>
      <w:numFmt w:val="decimal"/>
      <w:isLgl/>
      <w:lvlText w:val="%1.%2"/>
      <w:lvlJc w:val="left"/>
      <w:pPr>
        <w:ind w:left="952" w:hanging="360"/>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396" w:hanging="720"/>
      </w:pPr>
      <w:rPr>
        <w:rFonts w:hint="default"/>
      </w:rPr>
    </w:lvl>
    <w:lvl w:ilvl="4">
      <w:start w:val="1"/>
      <w:numFmt w:val="decimal"/>
      <w:isLgl/>
      <w:lvlText w:val="%1.%2.%3.%4.%5"/>
      <w:lvlJc w:val="left"/>
      <w:pPr>
        <w:ind w:left="1438" w:hanging="72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1882" w:hanging="1080"/>
      </w:pPr>
      <w:rPr>
        <w:rFonts w:hint="default"/>
      </w:rPr>
    </w:lvl>
    <w:lvl w:ilvl="7">
      <w:start w:val="1"/>
      <w:numFmt w:val="decimal"/>
      <w:isLgl/>
      <w:lvlText w:val="%1.%2.%3.%4.%5.%6.%7.%8"/>
      <w:lvlJc w:val="left"/>
      <w:pPr>
        <w:ind w:left="2284" w:hanging="1440"/>
      </w:pPr>
      <w:rPr>
        <w:rFonts w:hint="default"/>
      </w:rPr>
    </w:lvl>
    <w:lvl w:ilvl="8">
      <w:start w:val="1"/>
      <w:numFmt w:val="decimal"/>
      <w:isLgl/>
      <w:lvlText w:val="%1.%2.%3.%4.%5.%6.%7.%8.%9"/>
      <w:lvlJc w:val="left"/>
      <w:pPr>
        <w:ind w:left="2326" w:hanging="1440"/>
      </w:pPr>
      <w:rPr>
        <w:rFont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76"/>
    <w:rsid w:val="000033F3"/>
    <w:rsid w:val="0001573B"/>
    <w:rsid w:val="00026799"/>
    <w:rsid w:val="00031576"/>
    <w:rsid w:val="00031865"/>
    <w:rsid w:val="0003253B"/>
    <w:rsid w:val="00066165"/>
    <w:rsid w:val="0007131A"/>
    <w:rsid w:val="00072D0A"/>
    <w:rsid w:val="000A421E"/>
    <w:rsid w:val="000B599E"/>
    <w:rsid w:val="000C54A7"/>
    <w:rsid w:val="000D3F76"/>
    <w:rsid w:val="000D5F27"/>
    <w:rsid w:val="000E14CD"/>
    <w:rsid w:val="000E2DD2"/>
    <w:rsid w:val="00104BB0"/>
    <w:rsid w:val="0012087A"/>
    <w:rsid w:val="001475C7"/>
    <w:rsid w:val="00163194"/>
    <w:rsid w:val="00184420"/>
    <w:rsid w:val="00193770"/>
    <w:rsid w:val="001A0491"/>
    <w:rsid w:val="001F5F2B"/>
    <w:rsid w:val="002160AE"/>
    <w:rsid w:val="00237A29"/>
    <w:rsid w:val="00247926"/>
    <w:rsid w:val="0025290B"/>
    <w:rsid w:val="00253153"/>
    <w:rsid w:val="00283197"/>
    <w:rsid w:val="00286470"/>
    <w:rsid w:val="00286D7B"/>
    <w:rsid w:val="00291DC6"/>
    <w:rsid w:val="002963A8"/>
    <w:rsid w:val="002A42D8"/>
    <w:rsid w:val="002B5C3D"/>
    <w:rsid w:val="00301AF7"/>
    <w:rsid w:val="0031709D"/>
    <w:rsid w:val="00325BB3"/>
    <w:rsid w:val="00326959"/>
    <w:rsid w:val="00333120"/>
    <w:rsid w:val="00337138"/>
    <w:rsid w:val="003537AF"/>
    <w:rsid w:val="00356BF3"/>
    <w:rsid w:val="00362D6F"/>
    <w:rsid w:val="00366DF7"/>
    <w:rsid w:val="0038749E"/>
    <w:rsid w:val="003929F9"/>
    <w:rsid w:val="00392DB1"/>
    <w:rsid w:val="003D7848"/>
    <w:rsid w:val="003E09F2"/>
    <w:rsid w:val="003E196B"/>
    <w:rsid w:val="003F5165"/>
    <w:rsid w:val="00405417"/>
    <w:rsid w:val="004255F3"/>
    <w:rsid w:val="00431485"/>
    <w:rsid w:val="00453F2C"/>
    <w:rsid w:val="004617B9"/>
    <w:rsid w:val="004636FA"/>
    <w:rsid w:val="00472BFA"/>
    <w:rsid w:val="00473533"/>
    <w:rsid w:val="00476CF9"/>
    <w:rsid w:val="004874DA"/>
    <w:rsid w:val="0049303A"/>
    <w:rsid w:val="004A17EB"/>
    <w:rsid w:val="004D0F54"/>
    <w:rsid w:val="004E3195"/>
    <w:rsid w:val="004E3E1B"/>
    <w:rsid w:val="004F5FF9"/>
    <w:rsid w:val="005026E7"/>
    <w:rsid w:val="00502DD1"/>
    <w:rsid w:val="005230DA"/>
    <w:rsid w:val="00524D52"/>
    <w:rsid w:val="005265C1"/>
    <w:rsid w:val="005439C1"/>
    <w:rsid w:val="005546EA"/>
    <w:rsid w:val="005562AE"/>
    <w:rsid w:val="00595717"/>
    <w:rsid w:val="0059701F"/>
    <w:rsid w:val="005B0F21"/>
    <w:rsid w:val="005D38DD"/>
    <w:rsid w:val="005D4C4C"/>
    <w:rsid w:val="005E1C71"/>
    <w:rsid w:val="005F50A2"/>
    <w:rsid w:val="00602AD8"/>
    <w:rsid w:val="00612934"/>
    <w:rsid w:val="0061349D"/>
    <w:rsid w:val="006168B2"/>
    <w:rsid w:val="006237C0"/>
    <w:rsid w:val="00647209"/>
    <w:rsid w:val="0065237B"/>
    <w:rsid w:val="0066526D"/>
    <w:rsid w:val="006717C2"/>
    <w:rsid w:val="00677CEA"/>
    <w:rsid w:val="006B76BC"/>
    <w:rsid w:val="006C420A"/>
    <w:rsid w:val="006E21A6"/>
    <w:rsid w:val="0070413B"/>
    <w:rsid w:val="00711B6D"/>
    <w:rsid w:val="00742D56"/>
    <w:rsid w:val="007522DC"/>
    <w:rsid w:val="00761381"/>
    <w:rsid w:val="00761C07"/>
    <w:rsid w:val="00792258"/>
    <w:rsid w:val="007A2F22"/>
    <w:rsid w:val="007A3599"/>
    <w:rsid w:val="007A4772"/>
    <w:rsid w:val="007C0970"/>
    <w:rsid w:val="007D552D"/>
    <w:rsid w:val="007F386D"/>
    <w:rsid w:val="007F76A8"/>
    <w:rsid w:val="00807639"/>
    <w:rsid w:val="00810C62"/>
    <w:rsid w:val="00817993"/>
    <w:rsid w:val="008203E6"/>
    <w:rsid w:val="00823578"/>
    <w:rsid w:val="00840DA9"/>
    <w:rsid w:val="00850B94"/>
    <w:rsid w:val="008520A1"/>
    <w:rsid w:val="008A3861"/>
    <w:rsid w:val="008A70E8"/>
    <w:rsid w:val="00910DF1"/>
    <w:rsid w:val="0091213E"/>
    <w:rsid w:val="00912FC7"/>
    <w:rsid w:val="0092264E"/>
    <w:rsid w:val="00923059"/>
    <w:rsid w:val="00923C4A"/>
    <w:rsid w:val="00924190"/>
    <w:rsid w:val="00937639"/>
    <w:rsid w:val="00951B54"/>
    <w:rsid w:val="00961446"/>
    <w:rsid w:val="009770B7"/>
    <w:rsid w:val="00990D8E"/>
    <w:rsid w:val="009945BB"/>
    <w:rsid w:val="00995959"/>
    <w:rsid w:val="009A3DA3"/>
    <w:rsid w:val="009A3E5E"/>
    <w:rsid w:val="009C053C"/>
    <w:rsid w:val="009C09AC"/>
    <w:rsid w:val="009C2C6D"/>
    <w:rsid w:val="009D0E27"/>
    <w:rsid w:val="009F1BD2"/>
    <w:rsid w:val="009F37C5"/>
    <w:rsid w:val="00A03AF2"/>
    <w:rsid w:val="00A331EA"/>
    <w:rsid w:val="00A502D8"/>
    <w:rsid w:val="00A60E30"/>
    <w:rsid w:val="00A74AF4"/>
    <w:rsid w:val="00AB21FA"/>
    <w:rsid w:val="00AB5171"/>
    <w:rsid w:val="00AB7261"/>
    <w:rsid w:val="00AD65FA"/>
    <w:rsid w:val="00AE2281"/>
    <w:rsid w:val="00B01D03"/>
    <w:rsid w:val="00B105BE"/>
    <w:rsid w:val="00B4572B"/>
    <w:rsid w:val="00B45BAC"/>
    <w:rsid w:val="00B82A0C"/>
    <w:rsid w:val="00B82CC9"/>
    <w:rsid w:val="00BA25FB"/>
    <w:rsid w:val="00BA53B8"/>
    <w:rsid w:val="00BB75E9"/>
    <w:rsid w:val="00BD464D"/>
    <w:rsid w:val="00BE0025"/>
    <w:rsid w:val="00BE1213"/>
    <w:rsid w:val="00BE20D5"/>
    <w:rsid w:val="00BE2EDD"/>
    <w:rsid w:val="00BF1242"/>
    <w:rsid w:val="00C024B1"/>
    <w:rsid w:val="00C262C7"/>
    <w:rsid w:val="00C3555A"/>
    <w:rsid w:val="00C73E16"/>
    <w:rsid w:val="00C77D75"/>
    <w:rsid w:val="00CB1205"/>
    <w:rsid w:val="00CB2A41"/>
    <w:rsid w:val="00CB376A"/>
    <w:rsid w:val="00CB7257"/>
    <w:rsid w:val="00CC1CA7"/>
    <w:rsid w:val="00CC2800"/>
    <w:rsid w:val="00CD7D1F"/>
    <w:rsid w:val="00CE048A"/>
    <w:rsid w:val="00CF1300"/>
    <w:rsid w:val="00D33891"/>
    <w:rsid w:val="00D52B7B"/>
    <w:rsid w:val="00D5602D"/>
    <w:rsid w:val="00D727AB"/>
    <w:rsid w:val="00DA2E19"/>
    <w:rsid w:val="00DA5DCF"/>
    <w:rsid w:val="00DC58AC"/>
    <w:rsid w:val="00DD7902"/>
    <w:rsid w:val="00E0759F"/>
    <w:rsid w:val="00E1047D"/>
    <w:rsid w:val="00E15357"/>
    <w:rsid w:val="00E46CFE"/>
    <w:rsid w:val="00E74E0F"/>
    <w:rsid w:val="00E76417"/>
    <w:rsid w:val="00E866CD"/>
    <w:rsid w:val="00E9288C"/>
    <w:rsid w:val="00EA5186"/>
    <w:rsid w:val="00EB556C"/>
    <w:rsid w:val="00EC22C2"/>
    <w:rsid w:val="00EC7747"/>
    <w:rsid w:val="00ED4543"/>
    <w:rsid w:val="00EF5470"/>
    <w:rsid w:val="00F02112"/>
    <w:rsid w:val="00F25000"/>
    <w:rsid w:val="00F30B64"/>
    <w:rsid w:val="00F37A2E"/>
    <w:rsid w:val="00F42324"/>
    <w:rsid w:val="00F6027D"/>
    <w:rsid w:val="00F73977"/>
    <w:rsid w:val="00F82585"/>
    <w:rsid w:val="00F84ED0"/>
    <w:rsid w:val="00F90E45"/>
    <w:rsid w:val="00FA64BA"/>
    <w:rsid w:val="00FD3FAA"/>
    <w:rsid w:val="00FF1885"/>
    <w:rsid w:val="00FF329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58B1"/>
  <w15:chartTrackingRefBased/>
  <w15:docId w15:val="{D588773E-39DA-4E0D-8B21-CE653BA9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CEA"/>
    <w:pPr>
      <w:suppressAutoHyphens/>
      <w:spacing w:after="0" w:line="240" w:lineRule="atLeast"/>
    </w:pPr>
    <w:rPr>
      <w:rFonts w:ascii="Times New Roman" w:eastAsiaTheme="minorEastAsia" w:hAnsi="Times New Roman" w:cs="Times New Roman"/>
      <w:sz w:val="20"/>
      <w:szCs w:val="20"/>
      <w:lang w:val="en-GB"/>
    </w:rPr>
  </w:style>
  <w:style w:type="paragraph" w:styleId="Heading1">
    <w:name w:val="heading 1"/>
    <w:basedOn w:val="Normal"/>
    <w:next w:val="Normal"/>
    <w:link w:val="Heading1Char"/>
    <w:uiPriority w:val="9"/>
    <w:qFormat/>
    <w:rsid w:val="000315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15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D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57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fr-BE"/>
    </w:rPr>
  </w:style>
  <w:style w:type="character" w:customStyle="1" w:styleId="Heading1Char">
    <w:name w:val="Heading 1 Char"/>
    <w:basedOn w:val="DefaultParagraphFont"/>
    <w:link w:val="Heading1"/>
    <w:uiPriority w:val="9"/>
    <w:rsid w:val="00031576"/>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031576"/>
    <w:pPr>
      <w:ind w:left="720"/>
      <w:contextualSpacing/>
    </w:pPr>
  </w:style>
  <w:style w:type="paragraph" w:customStyle="1" w:styleId="para">
    <w:name w:val="para"/>
    <w:basedOn w:val="Normal"/>
    <w:link w:val="paraChar"/>
    <w:qFormat/>
    <w:rsid w:val="00031576"/>
    <w:pPr>
      <w:spacing w:after="120"/>
      <w:ind w:left="2268" w:right="1134" w:hanging="1134"/>
      <w:jc w:val="both"/>
    </w:pPr>
    <w:rPr>
      <w:rFonts w:eastAsia="Times New Roman"/>
    </w:rPr>
  </w:style>
  <w:style w:type="character" w:customStyle="1" w:styleId="paraChar">
    <w:name w:val="para Char"/>
    <w:link w:val="para"/>
    <w:locked/>
    <w:rsid w:val="0003157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uiPriority w:val="9"/>
    <w:rsid w:val="00031576"/>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uiPriority w:val="39"/>
    <w:rsid w:val="0039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66DF7"/>
    <w:rPr>
      <w:rFonts w:asciiTheme="majorHAnsi" w:eastAsiaTheme="majorEastAsia" w:hAnsiTheme="majorHAnsi" w:cstheme="majorBidi"/>
      <w:color w:val="1F3763" w:themeColor="accent1" w:themeShade="7F"/>
      <w:sz w:val="24"/>
      <w:szCs w:val="24"/>
      <w:lang w:val="en-GB"/>
    </w:rPr>
  </w:style>
  <w:style w:type="character" w:styleId="CommentReference">
    <w:name w:val="annotation reference"/>
    <w:basedOn w:val="DefaultParagraphFont"/>
    <w:uiPriority w:val="99"/>
    <w:unhideWhenUsed/>
    <w:rsid w:val="00291DC6"/>
    <w:rPr>
      <w:sz w:val="16"/>
      <w:szCs w:val="16"/>
    </w:rPr>
  </w:style>
  <w:style w:type="paragraph" w:styleId="CommentText">
    <w:name w:val="annotation text"/>
    <w:basedOn w:val="Normal"/>
    <w:link w:val="CommentTextChar"/>
    <w:uiPriority w:val="99"/>
    <w:unhideWhenUsed/>
    <w:rsid w:val="00291DC6"/>
    <w:pPr>
      <w:spacing w:line="240" w:lineRule="auto"/>
    </w:pPr>
  </w:style>
  <w:style w:type="character" w:customStyle="1" w:styleId="CommentTextChar">
    <w:name w:val="Comment Text Char"/>
    <w:basedOn w:val="DefaultParagraphFont"/>
    <w:link w:val="CommentText"/>
    <w:uiPriority w:val="99"/>
    <w:rsid w:val="00291DC6"/>
    <w:rPr>
      <w:rFonts w:ascii="Times New Roman" w:eastAsiaTheme="minorEastAsia"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91DC6"/>
    <w:rPr>
      <w:b/>
      <w:bCs/>
    </w:rPr>
  </w:style>
  <w:style w:type="character" w:customStyle="1" w:styleId="CommentSubjectChar">
    <w:name w:val="Comment Subject Char"/>
    <w:basedOn w:val="CommentTextChar"/>
    <w:link w:val="CommentSubject"/>
    <w:uiPriority w:val="99"/>
    <w:semiHidden/>
    <w:rsid w:val="00291DC6"/>
    <w:rPr>
      <w:rFonts w:ascii="Times New Roman" w:eastAsiaTheme="minorEastAsia" w:hAnsi="Times New Roman" w:cs="Times New Roman"/>
      <w:b/>
      <w:bCs/>
      <w:sz w:val="20"/>
      <w:szCs w:val="20"/>
      <w:lang w:val="en-GB"/>
    </w:rPr>
  </w:style>
  <w:style w:type="table" w:styleId="TableGrid1">
    <w:name w:val="Table Grid 1"/>
    <w:basedOn w:val="TableNormal"/>
    <w:rsid w:val="00BE0025"/>
    <w:pPr>
      <w:suppressAutoHyphens/>
      <w:spacing w:after="0" w:line="240" w:lineRule="atLeast"/>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1G">
    <w:name w:val="_ H_1_G"/>
    <w:basedOn w:val="Normal"/>
    <w:next w:val="Normal"/>
    <w:link w:val="H1GChar"/>
    <w:qFormat/>
    <w:rsid w:val="004636F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4636FA"/>
    <w:rPr>
      <w:rFonts w:ascii="Times New Roman" w:eastAsiaTheme="minorEastAsia" w:hAnsi="Times New Roman" w:cs="Times New Roman"/>
      <w:b/>
      <w:sz w:val="24"/>
      <w:szCs w:val="20"/>
      <w:lang w:val="en-GB"/>
    </w:rPr>
  </w:style>
  <w:style w:type="character" w:styleId="FootnoteReference">
    <w:name w:val="footnote reference"/>
    <w:aliases w:val="4_G,(Footnote Reference),BVI fnr, BVI fnr,Footnote symbol,Footnote,Footnote Reference Superscript,SUPERS,-E Fußnotenzeichen"/>
    <w:uiPriority w:val="99"/>
    <w:qFormat/>
    <w:rsid w:val="00A331EA"/>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A331EA"/>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5_G_6 Char"/>
    <w:basedOn w:val="DefaultParagraphFont"/>
    <w:link w:val="FootnoteText"/>
    <w:uiPriority w:val="99"/>
    <w:rsid w:val="00A331EA"/>
    <w:rPr>
      <w:rFonts w:ascii="Times New Roman" w:eastAsiaTheme="minorEastAsia" w:hAnsi="Times New Roman" w:cs="Times New Roman"/>
      <w:sz w:val="18"/>
      <w:szCs w:val="20"/>
      <w:lang w:val="en-GB"/>
    </w:rPr>
  </w:style>
  <w:style w:type="paragraph" w:customStyle="1" w:styleId="HChG">
    <w:name w:val="_ H _Ch_G"/>
    <w:basedOn w:val="Normal"/>
    <w:next w:val="Normal"/>
    <w:link w:val="HChGChar"/>
    <w:qFormat/>
    <w:rsid w:val="00B82A0C"/>
    <w:pPr>
      <w:keepNext/>
      <w:keepLines/>
      <w:tabs>
        <w:tab w:val="right" w:pos="851"/>
      </w:tabs>
      <w:spacing w:before="360" w:after="240" w:line="300" w:lineRule="exact"/>
      <w:ind w:left="1134" w:right="1134" w:hanging="1134"/>
    </w:pPr>
    <w:rPr>
      <w:rFonts w:eastAsia="Times New Roman"/>
      <w:b/>
      <w:sz w:val="28"/>
      <w:lang w:val="fr-CH"/>
    </w:rPr>
  </w:style>
  <w:style w:type="character" w:customStyle="1" w:styleId="HChGChar">
    <w:name w:val="_ H _Ch_G Char"/>
    <w:link w:val="HChG"/>
    <w:rsid w:val="00B82A0C"/>
    <w:rPr>
      <w:rFonts w:ascii="Times New Roman" w:eastAsia="Times New Roman" w:hAnsi="Times New Roman" w:cs="Times New Roman"/>
      <w:b/>
      <w:sz w:val="28"/>
      <w:szCs w:val="20"/>
      <w:lang w:val="fr-CH"/>
    </w:rPr>
  </w:style>
  <w:style w:type="paragraph" w:styleId="Header">
    <w:name w:val="header"/>
    <w:basedOn w:val="Normal"/>
    <w:link w:val="HeaderChar"/>
    <w:uiPriority w:val="99"/>
    <w:unhideWhenUsed/>
    <w:rsid w:val="00066165"/>
    <w:pPr>
      <w:tabs>
        <w:tab w:val="center" w:pos="4680"/>
        <w:tab w:val="right" w:pos="9360"/>
      </w:tabs>
      <w:spacing w:line="240" w:lineRule="auto"/>
    </w:pPr>
  </w:style>
  <w:style w:type="character" w:customStyle="1" w:styleId="HeaderChar">
    <w:name w:val="Header Char"/>
    <w:basedOn w:val="DefaultParagraphFont"/>
    <w:link w:val="Header"/>
    <w:uiPriority w:val="99"/>
    <w:rsid w:val="00066165"/>
    <w:rPr>
      <w:rFonts w:ascii="Times New Roman" w:eastAsiaTheme="minorEastAsia" w:hAnsi="Times New Roman" w:cs="Times New Roman"/>
      <w:sz w:val="20"/>
      <w:szCs w:val="20"/>
      <w:lang w:val="en-GB"/>
    </w:rPr>
  </w:style>
  <w:style w:type="paragraph" w:styleId="Footer">
    <w:name w:val="footer"/>
    <w:basedOn w:val="Normal"/>
    <w:link w:val="FooterChar"/>
    <w:uiPriority w:val="99"/>
    <w:unhideWhenUsed/>
    <w:rsid w:val="00066165"/>
    <w:pPr>
      <w:tabs>
        <w:tab w:val="center" w:pos="4680"/>
        <w:tab w:val="right" w:pos="9360"/>
      </w:tabs>
      <w:spacing w:line="240" w:lineRule="auto"/>
    </w:pPr>
  </w:style>
  <w:style w:type="character" w:customStyle="1" w:styleId="FooterChar">
    <w:name w:val="Footer Char"/>
    <w:basedOn w:val="DefaultParagraphFont"/>
    <w:link w:val="Footer"/>
    <w:uiPriority w:val="99"/>
    <w:rsid w:val="00066165"/>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A0342-454A-4766-93F6-0586FC1EB755}">
  <ds:schemaRefs>
    <ds:schemaRef ds:uri="http://schemas.microsoft.com/sharepoint/v3/contenttype/forms"/>
  </ds:schemaRefs>
</ds:datastoreItem>
</file>

<file path=customXml/itemProps2.xml><?xml version="1.0" encoding="utf-8"?>
<ds:datastoreItem xmlns:ds="http://schemas.openxmlformats.org/officeDocument/2006/customXml" ds:itemID="{E59B4C34-DB5E-4EE7-B0EE-6902D84CF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8962</Characters>
  <Application>Microsoft Office Word</Application>
  <DocSecurity>0</DocSecurity>
  <Lines>1280</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Berge</dc:creator>
  <cp:keywords/>
  <dc:description/>
  <cp:lastModifiedBy>secretariat</cp:lastModifiedBy>
  <cp:revision>3</cp:revision>
  <dcterms:created xsi:type="dcterms:W3CDTF">2023-01-27T13:57:00Z</dcterms:created>
  <dcterms:modified xsi:type="dcterms:W3CDTF">2023-01-31T09:30:00Z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-928995374</vt:i4>
  </property>
  <property fmtid="{D5CDD505-2E9C-101B-9397-08002B2CF9AE}" pid="3" name="_NewReviewCycle">
    <vt:lpwstr/>
  </property>
  <property fmtid="{D5CDD505-2E9C-101B-9397-08002B2CF9AE}" pid="4" name="_EmailSubject">
    <vt:lpwstr>IWGMU-documents</vt:lpwstr>
  </property>
  <property fmtid="{D5CDD505-2E9C-101B-9397-08002B2CF9AE}" pid="5" name="_AuthorEmail">
    <vt:lpwstr>Truls.Berge@sintef.no</vt:lpwstr>
  </property>
  <property fmtid="{D5CDD505-2E9C-101B-9397-08002B2CF9AE}" pid="6" name="_AuthorEmailDisplayName">
    <vt:lpwstr>Truls Berge</vt:lpwstr>
  </property>
  <property fmtid="{D5CDD505-2E9C-101B-9397-08002B2CF9AE}" pid="7" name="_PreviousAdHocReviewCycleID">
    <vt:i4>-970208625</vt:i4>
  </property>
  <property fmtid="{D5CDD505-2E9C-101B-9397-08002B2CF9AE}" pid="8" name="_ReviewingToolsShownOnce">
    <vt:lpwstr/>
  </property>
</Properties>
</file>