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B1ABAF0" w14:textId="77777777" w:rsidTr="00C97039">
        <w:trPr>
          <w:trHeight w:hRule="exact" w:val="851"/>
        </w:trPr>
        <w:tc>
          <w:tcPr>
            <w:tcW w:w="1276" w:type="dxa"/>
            <w:tcBorders>
              <w:bottom w:val="single" w:sz="4" w:space="0" w:color="auto"/>
            </w:tcBorders>
          </w:tcPr>
          <w:p w14:paraId="13D31DFC" w14:textId="77777777" w:rsidR="00F35BAF" w:rsidRPr="00DB58B5" w:rsidRDefault="00F35BAF" w:rsidP="007D54FE"/>
        </w:tc>
        <w:tc>
          <w:tcPr>
            <w:tcW w:w="2268" w:type="dxa"/>
            <w:tcBorders>
              <w:bottom w:val="single" w:sz="4" w:space="0" w:color="auto"/>
            </w:tcBorders>
            <w:vAlign w:val="bottom"/>
          </w:tcPr>
          <w:p w14:paraId="2531FC5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AADE31" w14:textId="66B62552" w:rsidR="00F35BAF" w:rsidRPr="00DB58B5" w:rsidRDefault="007D54FE" w:rsidP="007D54FE">
            <w:pPr>
              <w:jc w:val="right"/>
            </w:pPr>
            <w:r w:rsidRPr="007D54FE">
              <w:rPr>
                <w:sz w:val="40"/>
              </w:rPr>
              <w:t>ECE</w:t>
            </w:r>
            <w:r>
              <w:t>/TRANS/WP.29/2023/35</w:t>
            </w:r>
          </w:p>
        </w:tc>
      </w:tr>
      <w:tr w:rsidR="00F35BAF" w:rsidRPr="00DB58B5" w14:paraId="18258B4E" w14:textId="77777777" w:rsidTr="00C97039">
        <w:trPr>
          <w:trHeight w:hRule="exact" w:val="2835"/>
        </w:trPr>
        <w:tc>
          <w:tcPr>
            <w:tcW w:w="1276" w:type="dxa"/>
            <w:tcBorders>
              <w:top w:val="single" w:sz="4" w:space="0" w:color="auto"/>
              <w:bottom w:val="single" w:sz="12" w:space="0" w:color="auto"/>
            </w:tcBorders>
          </w:tcPr>
          <w:p w14:paraId="4B8291C8" w14:textId="77777777" w:rsidR="00F35BAF" w:rsidRPr="00DB58B5" w:rsidRDefault="00F35BAF" w:rsidP="00C97039">
            <w:pPr>
              <w:spacing w:before="120"/>
              <w:jc w:val="center"/>
            </w:pPr>
            <w:r>
              <w:rPr>
                <w:noProof/>
                <w:lang w:eastAsia="fr-CH"/>
              </w:rPr>
              <w:drawing>
                <wp:inline distT="0" distB="0" distL="0" distR="0" wp14:anchorId="694044D5" wp14:editId="619D92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1F849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7345648" w14:textId="77777777" w:rsidR="00F35BAF" w:rsidRDefault="007D54FE" w:rsidP="00C97039">
            <w:pPr>
              <w:spacing w:before="240"/>
            </w:pPr>
            <w:proofErr w:type="spellStart"/>
            <w:r>
              <w:t>Distr</w:t>
            </w:r>
            <w:proofErr w:type="spellEnd"/>
            <w:r>
              <w:t>. générale</w:t>
            </w:r>
          </w:p>
          <w:p w14:paraId="16020BF1" w14:textId="77777777" w:rsidR="007D54FE" w:rsidRDefault="007D54FE" w:rsidP="007D54FE">
            <w:pPr>
              <w:spacing w:line="240" w:lineRule="exact"/>
            </w:pPr>
            <w:r>
              <w:t>23 décembre 2022</w:t>
            </w:r>
          </w:p>
          <w:p w14:paraId="4C403731" w14:textId="77777777" w:rsidR="007D54FE" w:rsidRDefault="007D54FE" w:rsidP="007D54FE">
            <w:pPr>
              <w:spacing w:line="240" w:lineRule="exact"/>
            </w:pPr>
            <w:r>
              <w:t>Français</w:t>
            </w:r>
          </w:p>
          <w:p w14:paraId="332E7404" w14:textId="43092741" w:rsidR="007D54FE" w:rsidRPr="00DB58B5" w:rsidRDefault="007D54FE" w:rsidP="007D54FE">
            <w:pPr>
              <w:spacing w:line="240" w:lineRule="exact"/>
            </w:pPr>
            <w:r>
              <w:t>Original : anglais</w:t>
            </w:r>
          </w:p>
        </w:tc>
      </w:tr>
    </w:tbl>
    <w:p w14:paraId="735DFE9B" w14:textId="77777777" w:rsidR="007F20FA" w:rsidRPr="000312C0" w:rsidRDefault="007F20FA" w:rsidP="007F20FA">
      <w:pPr>
        <w:spacing w:before="120"/>
        <w:rPr>
          <w:b/>
          <w:sz w:val="28"/>
          <w:szCs w:val="28"/>
        </w:rPr>
      </w:pPr>
      <w:r w:rsidRPr="000312C0">
        <w:rPr>
          <w:b/>
          <w:sz w:val="28"/>
          <w:szCs w:val="28"/>
        </w:rPr>
        <w:t>Commission économique pour l’Europe</w:t>
      </w:r>
    </w:p>
    <w:p w14:paraId="77FD8740" w14:textId="77777777" w:rsidR="007F20FA" w:rsidRDefault="007F20FA" w:rsidP="007F20FA">
      <w:pPr>
        <w:spacing w:before="120"/>
        <w:rPr>
          <w:sz w:val="28"/>
          <w:szCs w:val="28"/>
        </w:rPr>
      </w:pPr>
      <w:r w:rsidRPr="00685843">
        <w:rPr>
          <w:sz w:val="28"/>
          <w:szCs w:val="28"/>
        </w:rPr>
        <w:t>Comité des transports intérieurs</w:t>
      </w:r>
    </w:p>
    <w:p w14:paraId="4AF04A59" w14:textId="5FF90637" w:rsidR="007D54FE" w:rsidRPr="00476276" w:rsidRDefault="007D54FE" w:rsidP="007D54FE">
      <w:pPr>
        <w:spacing w:before="120"/>
        <w:rPr>
          <w:rFonts w:asciiTheme="majorBidi" w:hAnsiTheme="majorBidi" w:cstheme="majorBidi"/>
          <w:b/>
          <w:sz w:val="24"/>
          <w:szCs w:val="24"/>
          <w:lang w:val="fr-FR"/>
        </w:rPr>
      </w:pPr>
      <w:r>
        <w:rPr>
          <w:b/>
          <w:bCs/>
          <w:lang w:val="fr-FR"/>
        </w:rPr>
        <w:t>Forum mondial de l’harmonisation des Règlements</w:t>
      </w:r>
      <w:r w:rsidR="001513DF">
        <w:rPr>
          <w:b/>
          <w:bCs/>
          <w:lang w:val="fr-FR"/>
        </w:rPr>
        <w:br/>
      </w:r>
      <w:r>
        <w:rPr>
          <w:b/>
          <w:bCs/>
          <w:lang w:val="fr-FR"/>
        </w:rPr>
        <w:t>concernant les véhicules</w:t>
      </w:r>
    </w:p>
    <w:p w14:paraId="7F610FFF" w14:textId="77777777" w:rsidR="007D54FE" w:rsidRPr="00476276" w:rsidRDefault="007D54FE" w:rsidP="007D54FE">
      <w:pPr>
        <w:tabs>
          <w:tab w:val="center" w:pos="4819"/>
        </w:tabs>
        <w:spacing w:before="120"/>
        <w:rPr>
          <w:b/>
          <w:lang w:val="fr-FR"/>
        </w:rPr>
      </w:pPr>
      <w:r>
        <w:rPr>
          <w:b/>
          <w:bCs/>
          <w:lang w:val="fr-FR"/>
        </w:rPr>
        <w:t>189</w:t>
      </w:r>
      <w:r w:rsidRPr="00476276">
        <w:rPr>
          <w:b/>
          <w:bCs/>
          <w:vertAlign w:val="superscript"/>
          <w:lang w:val="fr-FR"/>
        </w:rPr>
        <w:t>e</w:t>
      </w:r>
      <w:r>
        <w:rPr>
          <w:b/>
          <w:bCs/>
          <w:lang w:val="fr-FR"/>
        </w:rPr>
        <w:t xml:space="preserve"> session</w:t>
      </w:r>
    </w:p>
    <w:p w14:paraId="49AF9768" w14:textId="77777777" w:rsidR="007D54FE" w:rsidRPr="00476276" w:rsidRDefault="007D54FE" w:rsidP="007D54FE">
      <w:pPr>
        <w:rPr>
          <w:lang w:val="fr-FR"/>
        </w:rPr>
      </w:pPr>
      <w:r>
        <w:rPr>
          <w:lang w:val="fr-FR"/>
        </w:rPr>
        <w:t>Genève, 7-9 mars 2023</w:t>
      </w:r>
    </w:p>
    <w:p w14:paraId="70504EAA" w14:textId="77777777" w:rsidR="007D54FE" w:rsidRPr="00476276" w:rsidRDefault="007D54FE" w:rsidP="007D54FE">
      <w:pPr>
        <w:rPr>
          <w:lang w:val="fr-FR"/>
        </w:rPr>
      </w:pPr>
      <w:r>
        <w:rPr>
          <w:lang w:val="fr-FR"/>
        </w:rPr>
        <w:t>Point 4.9.11 de l’ordre du jour provisoire</w:t>
      </w:r>
    </w:p>
    <w:p w14:paraId="53E6C073" w14:textId="77777777" w:rsidR="007D54FE" w:rsidRDefault="007D54FE" w:rsidP="007D54FE">
      <w:pPr>
        <w:rPr>
          <w:b/>
          <w:bCs/>
          <w:lang w:val="fr-FR"/>
        </w:rPr>
      </w:pPr>
      <w:r>
        <w:rPr>
          <w:b/>
          <w:bCs/>
          <w:lang w:val="fr-FR"/>
        </w:rPr>
        <w:t>Accord de 1958 :</w:t>
      </w:r>
    </w:p>
    <w:p w14:paraId="6930D3A7" w14:textId="2476AC27" w:rsidR="007D54FE" w:rsidRPr="00476276" w:rsidRDefault="007D54FE" w:rsidP="007D54FE">
      <w:pPr>
        <w:rPr>
          <w:b/>
          <w:bCs/>
          <w:lang w:val="fr-FR"/>
        </w:rPr>
      </w:pPr>
      <w:r>
        <w:rPr>
          <w:b/>
          <w:bCs/>
          <w:lang w:val="fr-FR"/>
        </w:rPr>
        <w:t>Examen de projets d’amendements à des</w:t>
      </w:r>
      <w:r w:rsidR="00116043">
        <w:rPr>
          <w:b/>
          <w:bCs/>
          <w:lang w:val="fr-FR"/>
        </w:rPr>
        <w:t xml:space="preserve"> </w:t>
      </w:r>
      <w:r>
        <w:rPr>
          <w:b/>
          <w:bCs/>
          <w:lang w:val="fr-FR"/>
        </w:rPr>
        <w:t xml:space="preserve">Règlements ONU existants, </w:t>
      </w:r>
      <w:r w:rsidR="00116043">
        <w:rPr>
          <w:b/>
          <w:bCs/>
          <w:lang w:val="fr-FR"/>
        </w:rPr>
        <w:br/>
      </w:r>
      <w:r>
        <w:rPr>
          <w:b/>
          <w:bCs/>
          <w:lang w:val="fr-FR"/>
        </w:rPr>
        <w:t>soumis par le GRE</w:t>
      </w:r>
    </w:p>
    <w:p w14:paraId="1134A16F" w14:textId="367A1375" w:rsidR="007D54FE" w:rsidRPr="00476276" w:rsidRDefault="007D54FE" w:rsidP="00116043">
      <w:pPr>
        <w:pStyle w:val="HChG"/>
        <w:rPr>
          <w:lang w:val="fr-FR"/>
        </w:rPr>
      </w:pPr>
      <w:r>
        <w:rPr>
          <w:lang w:val="fr-FR"/>
        </w:rPr>
        <w:tab/>
      </w:r>
      <w:r>
        <w:rPr>
          <w:lang w:val="fr-FR"/>
        </w:rPr>
        <w:tab/>
        <w:t xml:space="preserve">Proposition de complément 5 à la série 00 d’amendements </w:t>
      </w:r>
      <w:r w:rsidR="00116043">
        <w:rPr>
          <w:lang w:val="fr-FR"/>
        </w:rPr>
        <w:br/>
      </w:r>
      <w:r>
        <w:rPr>
          <w:lang w:val="fr-FR"/>
        </w:rPr>
        <w:t xml:space="preserve">au Règlement ONU </w:t>
      </w:r>
      <w:r w:rsidR="00116043" w:rsidRPr="00116043">
        <w:rPr>
          <w:rFonts w:eastAsia="MS Mincho"/>
          <w:lang w:val="fr-FR"/>
        </w:rPr>
        <w:t>n</w:t>
      </w:r>
      <w:r w:rsidR="00116043" w:rsidRPr="00116043">
        <w:rPr>
          <w:rFonts w:eastAsia="MS Mincho"/>
          <w:vertAlign w:val="superscript"/>
          <w:lang w:val="fr-FR"/>
        </w:rPr>
        <w:t>o</w:t>
      </w:r>
      <w:r w:rsidR="00116043">
        <w:rPr>
          <w:lang w:val="fr-FR"/>
        </w:rPr>
        <w:t> </w:t>
      </w:r>
      <w:r>
        <w:rPr>
          <w:lang w:val="fr-FR"/>
        </w:rPr>
        <w:t xml:space="preserve">148 (Dispositifs de signalisation </w:t>
      </w:r>
      <w:r w:rsidR="00116043">
        <w:rPr>
          <w:lang w:val="fr-FR"/>
        </w:rPr>
        <w:br/>
      </w:r>
      <w:r>
        <w:rPr>
          <w:lang w:val="fr-FR"/>
        </w:rPr>
        <w:t xml:space="preserve">lumineuse) </w:t>
      </w:r>
    </w:p>
    <w:p w14:paraId="2B21EB27" w14:textId="0449315F" w:rsidR="007D54FE" w:rsidRPr="00476276" w:rsidRDefault="007D54FE" w:rsidP="00116043">
      <w:pPr>
        <w:pStyle w:val="H1G"/>
        <w:rPr>
          <w:lang w:val="fr-FR"/>
        </w:rPr>
      </w:pPr>
      <w:r>
        <w:rPr>
          <w:lang w:val="fr-FR"/>
        </w:rPr>
        <w:tab/>
      </w:r>
      <w:r>
        <w:rPr>
          <w:lang w:val="fr-FR"/>
        </w:rPr>
        <w:tab/>
        <w:t xml:space="preserve">Communication du Groupe de travail de l’éclairage </w:t>
      </w:r>
      <w:r w:rsidR="00116043">
        <w:rPr>
          <w:lang w:val="fr-FR"/>
        </w:rPr>
        <w:br/>
      </w:r>
      <w:r>
        <w:rPr>
          <w:lang w:val="fr-FR"/>
        </w:rPr>
        <w:t>et de la signalisation lumineuse</w:t>
      </w:r>
      <w:r w:rsidRPr="00116043">
        <w:rPr>
          <w:b w:val="0"/>
          <w:bCs/>
          <w:sz w:val="20"/>
          <w:lang w:val="fr-FR"/>
        </w:rPr>
        <w:footnoteReference w:customMarkFollows="1" w:id="2"/>
        <w:t>*</w:t>
      </w:r>
    </w:p>
    <w:p w14:paraId="4F470A1D" w14:textId="710D9C15" w:rsidR="007D54FE" w:rsidRDefault="007D54FE" w:rsidP="007D54FE">
      <w:pPr>
        <w:pStyle w:val="SingleTxtG"/>
        <w:ind w:firstLine="567"/>
        <w:rPr>
          <w:szCs w:val="24"/>
          <w:lang w:val="fr-FR"/>
        </w:rPr>
      </w:pPr>
      <w:r>
        <w:rPr>
          <w:lang w:val="fr-FR"/>
        </w:rPr>
        <w:t>Le texte ci-après a été adopté par le Groupe de travail de l’éclairage et de la signalisation lumineuse (GRE) à sa quatre-vingt-septième session (ECE/TRANS/WP.29/</w:t>
      </w:r>
      <w:r w:rsidR="002F0A2B">
        <w:rPr>
          <w:lang w:val="fr-FR"/>
        </w:rPr>
        <w:t xml:space="preserve"> </w:t>
      </w:r>
      <w:r>
        <w:rPr>
          <w:lang w:val="fr-FR"/>
        </w:rPr>
        <w:t>GRE/87, par.</w:t>
      </w:r>
      <w:r w:rsidR="002F0A2B">
        <w:rPr>
          <w:lang w:val="fr-FR"/>
        </w:rPr>
        <w:t> </w:t>
      </w:r>
      <w:r>
        <w:rPr>
          <w:lang w:val="fr-FR"/>
        </w:rPr>
        <w:t>10). Il est fondé sur le document informel GRE-87-24-Rev.1. Il est soumis au Forum mondial de l’harmonisation des Règlements concernant les véhicules (WP.29) et au Comité d’administration de l’Accord de 1958 (AC.1) pour examen à leurs sessions de mars 2023.</w:t>
      </w:r>
    </w:p>
    <w:p w14:paraId="735BD74B" w14:textId="77777777" w:rsidR="007D54FE" w:rsidRPr="00476276" w:rsidRDefault="007D54FE" w:rsidP="007D54FE">
      <w:pPr>
        <w:pStyle w:val="HChG"/>
        <w:tabs>
          <w:tab w:val="left" w:pos="8505"/>
        </w:tabs>
        <w:spacing w:before="0" w:after="0" w:line="240" w:lineRule="auto"/>
        <w:ind w:firstLine="425"/>
        <w:jc w:val="lowKashida"/>
        <w:rPr>
          <w:rFonts w:asciiTheme="majorBidi" w:hAnsiTheme="majorBidi" w:cstheme="majorBidi"/>
          <w:lang w:val="fr-FR"/>
        </w:rPr>
      </w:pPr>
      <w:r w:rsidRPr="00476276">
        <w:rPr>
          <w:rFonts w:asciiTheme="majorBidi" w:hAnsiTheme="majorBidi" w:cstheme="majorBidi"/>
          <w:lang w:val="fr-FR"/>
        </w:rPr>
        <w:br w:type="page"/>
      </w:r>
    </w:p>
    <w:p w14:paraId="255F5381" w14:textId="5DFF1B2B" w:rsidR="007D54FE" w:rsidRPr="00476276" w:rsidRDefault="007D54FE" w:rsidP="00377CF9">
      <w:pPr>
        <w:keepNext/>
        <w:spacing w:after="120"/>
        <w:ind w:left="1134" w:right="1134"/>
        <w:jc w:val="both"/>
        <w:rPr>
          <w:rFonts w:asciiTheme="majorBidi" w:hAnsiTheme="majorBidi" w:cstheme="majorBidi"/>
          <w:lang w:val="fr-FR"/>
        </w:rPr>
      </w:pPr>
      <w:r>
        <w:rPr>
          <w:i/>
          <w:iCs/>
          <w:lang w:val="fr-FR"/>
        </w:rPr>
        <w:lastRenderedPageBreak/>
        <w:t>Introduction, dernier paragraphe</w:t>
      </w:r>
      <w:r>
        <w:rPr>
          <w:lang w:val="fr-FR"/>
        </w:rPr>
        <w:t>, lire</w:t>
      </w:r>
      <w:r w:rsidR="00377CF9">
        <w:rPr>
          <w:lang w:val="fr-FR"/>
        </w:rPr>
        <w:t> :</w:t>
      </w:r>
    </w:p>
    <w:p w14:paraId="0AA287AA" w14:textId="28C8BD2E" w:rsidR="00F9573C" w:rsidRDefault="007D54FE" w:rsidP="007D54FE">
      <w:pPr>
        <w:pStyle w:val="SingleTxtG"/>
        <w:rPr>
          <w:lang w:val="fr-FR"/>
        </w:rPr>
      </w:pPr>
      <w:r>
        <w:rPr>
          <w:lang w:val="fr-FR"/>
        </w:rPr>
        <w:t>«</w:t>
      </w:r>
      <w:r w:rsidR="00377CF9">
        <w:rPr>
          <w:lang w:val="fr-FR"/>
        </w:rPr>
        <w:t> </w:t>
      </w:r>
      <w:r>
        <w:rPr>
          <w:lang w:val="fr-FR"/>
        </w:rPr>
        <w:t xml:space="preserve">Pour ce qui est des marques d’homologation, le présent Règlement comprend des prescriptions relatives à l’utilisation d’un identifiant unique qui permet d’accéder à une base de données électronique sécurisée créée par la CEE (conformément à l’annexe 5 de l’Accord de 1958), dans laquelle sont enregistrés tous les documents concernant les homologations de type. Lorsque cet identifiant unique est utilisé, il n’est pas obligatoire d’apposer sur les feux la marque d’homologation de type usuelle (marque </w:t>
      </w:r>
      <w:r w:rsidR="00741252">
        <w:rPr>
          <w:lang w:val="fr-FR"/>
        </w:rPr>
        <w:t>“</w:t>
      </w:r>
      <w:r>
        <w:rPr>
          <w:lang w:val="fr-FR"/>
        </w:rPr>
        <w:t>E</w:t>
      </w:r>
      <w:r w:rsidR="00741252">
        <w:rPr>
          <w:lang w:val="fr-FR"/>
        </w:rPr>
        <w:t>”</w:t>
      </w:r>
      <w:r>
        <w:rPr>
          <w:lang w:val="fr-FR"/>
        </w:rPr>
        <w:t>). S’il n’est pas possible de l’utiliser pour des raisons techniques (par exemple si l’accès à la base de données en ligne de la CEE n’est pas sécurisé ou si celle-ci ne fonctionne pas), il est obligatoire d’apposer la marque d’homologation de type usuelle jusqu’à ce qu’il soit possible d’utiliser l’identifiant unique. En outre, l’identifiant unique n’est utilisable que si le document de synthèse correspondant (ECE/TRANS/WP.29/1159, par</w:t>
      </w:r>
      <w:r w:rsidR="00377CF9">
        <w:rPr>
          <w:lang w:val="fr-FR"/>
        </w:rPr>
        <w:t>. </w:t>
      </w:r>
      <w:r>
        <w:rPr>
          <w:lang w:val="fr-FR"/>
        </w:rPr>
        <w:t>89) a été défini dans le présent Règlement et si la base de données permet d’y accéder.</w:t>
      </w:r>
      <w:r w:rsidR="00377CF9">
        <w:rPr>
          <w:lang w:val="fr-FR"/>
        </w:rPr>
        <w:t> </w:t>
      </w:r>
      <w:r>
        <w:rPr>
          <w:lang w:val="fr-FR"/>
        </w:rPr>
        <w:t>».</w:t>
      </w:r>
    </w:p>
    <w:p w14:paraId="08FF4330" w14:textId="67A2CBFD" w:rsidR="007D54FE" w:rsidRPr="007D54FE" w:rsidRDefault="007D54FE" w:rsidP="007D54FE">
      <w:pPr>
        <w:pStyle w:val="SingleTxtG"/>
        <w:spacing w:before="240" w:after="0"/>
        <w:jc w:val="center"/>
        <w:rPr>
          <w:u w:val="single"/>
        </w:rPr>
      </w:pPr>
      <w:r>
        <w:rPr>
          <w:u w:val="single"/>
        </w:rPr>
        <w:tab/>
      </w:r>
      <w:r>
        <w:rPr>
          <w:u w:val="single"/>
        </w:rPr>
        <w:tab/>
      </w:r>
      <w:r>
        <w:rPr>
          <w:u w:val="single"/>
        </w:rPr>
        <w:tab/>
      </w:r>
      <w:r>
        <w:rPr>
          <w:u w:val="single"/>
        </w:rPr>
        <w:tab/>
      </w:r>
    </w:p>
    <w:sectPr w:rsidR="007D54FE" w:rsidRPr="007D54FE" w:rsidSect="007D54F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0522" w14:textId="77777777" w:rsidR="00F54886" w:rsidRDefault="00F54886" w:rsidP="00F95C08">
      <w:pPr>
        <w:spacing w:line="240" w:lineRule="auto"/>
      </w:pPr>
    </w:p>
  </w:endnote>
  <w:endnote w:type="continuationSeparator" w:id="0">
    <w:p w14:paraId="0A763FA5" w14:textId="77777777" w:rsidR="00F54886" w:rsidRPr="00AC3823" w:rsidRDefault="00F54886" w:rsidP="00AC3823">
      <w:pPr>
        <w:pStyle w:val="Pieddepage"/>
      </w:pPr>
    </w:p>
  </w:endnote>
  <w:endnote w:type="continuationNotice" w:id="1">
    <w:p w14:paraId="0988D2B2" w14:textId="77777777" w:rsidR="00F54886" w:rsidRDefault="00F548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C752" w14:textId="0CBCDE33" w:rsidR="007D54FE" w:rsidRPr="007D54FE" w:rsidRDefault="007D54FE" w:rsidP="007D54FE">
    <w:pPr>
      <w:pStyle w:val="Pieddepage"/>
      <w:tabs>
        <w:tab w:val="right" w:pos="9638"/>
      </w:tabs>
    </w:pPr>
    <w:r w:rsidRPr="007D54FE">
      <w:rPr>
        <w:b/>
        <w:sz w:val="18"/>
      </w:rPr>
      <w:fldChar w:fldCharType="begin"/>
    </w:r>
    <w:r w:rsidRPr="007D54FE">
      <w:rPr>
        <w:b/>
        <w:sz w:val="18"/>
      </w:rPr>
      <w:instrText xml:space="preserve"> PAGE  \* MERGEFORMAT </w:instrText>
    </w:r>
    <w:r w:rsidRPr="007D54FE">
      <w:rPr>
        <w:b/>
        <w:sz w:val="18"/>
      </w:rPr>
      <w:fldChar w:fldCharType="separate"/>
    </w:r>
    <w:r w:rsidRPr="007D54FE">
      <w:rPr>
        <w:b/>
        <w:noProof/>
        <w:sz w:val="18"/>
      </w:rPr>
      <w:t>2</w:t>
    </w:r>
    <w:r w:rsidRPr="007D54FE">
      <w:rPr>
        <w:b/>
        <w:sz w:val="18"/>
      </w:rPr>
      <w:fldChar w:fldCharType="end"/>
    </w:r>
    <w:r>
      <w:rPr>
        <w:b/>
        <w:sz w:val="18"/>
      </w:rPr>
      <w:tab/>
    </w:r>
    <w:r>
      <w:t>GE.22-29261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CB5B" w14:textId="7498CA55" w:rsidR="007D54FE" w:rsidRPr="007D54FE" w:rsidRDefault="007D54FE" w:rsidP="007D54FE">
    <w:pPr>
      <w:pStyle w:val="Pieddepage"/>
      <w:tabs>
        <w:tab w:val="right" w:pos="9638"/>
      </w:tabs>
      <w:rPr>
        <w:b/>
        <w:sz w:val="18"/>
      </w:rPr>
    </w:pPr>
    <w:r>
      <w:t>GE.22-29261</w:t>
    </w:r>
    <w:r>
      <w:tab/>
    </w:r>
    <w:r w:rsidRPr="007D54FE">
      <w:rPr>
        <w:b/>
        <w:sz w:val="18"/>
      </w:rPr>
      <w:fldChar w:fldCharType="begin"/>
    </w:r>
    <w:r w:rsidRPr="007D54FE">
      <w:rPr>
        <w:b/>
        <w:sz w:val="18"/>
      </w:rPr>
      <w:instrText xml:space="preserve"> PAGE  \* MERGEFORMAT </w:instrText>
    </w:r>
    <w:r w:rsidRPr="007D54FE">
      <w:rPr>
        <w:b/>
        <w:sz w:val="18"/>
      </w:rPr>
      <w:fldChar w:fldCharType="separate"/>
    </w:r>
    <w:r w:rsidRPr="007D54FE">
      <w:rPr>
        <w:b/>
        <w:noProof/>
        <w:sz w:val="18"/>
      </w:rPr>
      <w:t>3</w:t>
    </w:r>
    <w:r w:rsidRPr="007D54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88C8" w14:textId="44FF2B76" w:rsidR="007F20FA" w:rsidRPr="007D54FE" w:rsidRDefault="007D54FE" w:rsidP="007D54F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DA54034" wp14:editId="2ABF0A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22-29261  (F)</w:t>
    </w:r>
    <w:r>
      <w:rPr>
        <w:noProof/>
        <w:sz w:val="20"/>
      </w:rPr>
      <w:drawing>
        <wp:anchor distT="0" distB="0" distL="114300" distR="114300" simplePos="0" relativeHeight="251660288" behindDoc="0" locked="0" layoutInCell="1" allowOverlap="1" wp14:anchorId="4CA15964" wp14:editId="5BD1D0D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110123    110123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5FF2" w14:textId="77777777" w:rsidR="00F54886" w:rsidRPr="00AC3823" w:rsidRDefault="00F54886" w:rsidP="00AC3823">
      <w:pPr>
        <w:pStyle w:val="Pieddepage"/>
        <w:tabs>
          <w:tab w:val="right" w:pos="2155"/>
        </w:tabs>
        <w:spacing w:after="80" w:line="240" w:lineRule="atLeast"/>
        <w:ind w:left="680"/>
        <w:rPr>
          <w:u w:val="single"/>
        </w:rPr>
      </w:pPr>
      <w:r>
        <w:rPr>
          <w:u w:val="single"/>
        </w:rPr>
        <w:tab/>
      </w:r>
    </w:p>
  </w:footnote>
  <w:footnote w:type="continuationSeparator" w:id="0">
    <w:p w14:paraId="1860AD5E" w14:textId="77777777" w:rsidR="00F54886" w:rsidRPr="00AC3823" w:rsidRDefault="00F54886" w:rsidP="00AC3823">
      <w:pPr>
        <w:pStyle w:val="Pieddepage"/>
        <w:tabs>
          <w:tab w:val="right" w:pos="2155"/>
        </w:tabs>
        <w:spacing w:after="80" w:line="240" w:lineRule="atLeast"/>
        <w:ind w:left="680"/>
        <w:rPr>
          <w:u w:val="single"/>
        </w:rPr>
      </w:pPr>
      <w:r>
        <w:rPr>
          <w:u w:val="single"/>
        </w:rPr>
        <w:tab/>
      </w:r>
    </w:p>
  </w:footnote>
  <w:footnote w:type="continuationNotice" w:id="1">
    <w:p w14:paraId="06CC297A" w14:textId="77777777" w:rsidR="00F54886" w:rsidRPr="00AC3823" w:rsidRDefault="00F54886">
      <w:pPr>
        <w:spacing w:line="240" w:lineRule="auto"/>
        <w:rPr>
          <w:sz w:val="2"/>
          <w:szCs w:val="2"/>
        </w:rPr>
      </w:pPr>
    </w:p>
  </w:footnote>
  <w:footnote w:id="2">
    <w:p w14:paraId="60A67941" w14:textId="77777777" w:rsidR="007D54FE" w:rsidRPr="00476276" w:rsidRDefault="007D54FE" w:rsidP="007D54FE">
      <w:pPr>
        <w:pStyle w:val="Notedebasdepage"/>
        <w:rPr>
          <w:lang w:val="fr-FR"/>
        </w:rPr>
      </w:pPr>
      <w:r w:rsidRPr="00476276">
        <w:rPr>
          <w:lang w:val="fr-FR"/>
        </w:rPr>
        <w:tab/>
      </w:r>
      <w:r w:rsidRPr="00116043">
        <w:rPr>
          <w:sz w:val="20"/>
          <w:lang w:val="fr-FR"/>
        </w:rPr>
        <w:t>*</w:t>
      </w:r>
      <w:r w:rsidRPr="00476276">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C769" w14:textId="3F3433F7" w:rsidR="007D54FE" w:rsidRPr="007D54FE" w:rsidRDefault="007D54FE">
    <w:pPr>
      <w:pStyle w:val="En-tte"/>
    </w:pPr>
    <w:fldSimple w:instr=" TITLE  \* MERGEFORMAT ">
      <w:r>
        <w:t>ECE/TRANS/WP.29/2023/35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2CB3" w14:textId="0A8D2031" w:rsidR="007D54FE" w:rsidRPr="007D54FE" w:rsidRDefault="007D54FE" w:rsidP="007D54FE">
    <w:pPr>
      <w:pStyle w:val="En-tte"/>
      <w:jc w:val="right"/>
    </w:pPr>
    <w:fldSimple w:instr=" TITLE  \* MERGEFORMAT ">
      <w:r>
        <w:t>ECE/TRANS/WP.29/2023/35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86"/>
    <w:rsid w:val="00017F94"/>
    <w:rsid w:val="00023842"/>
    <w:rsid w:val="000334F9"/>
    <w:rsid w:val="00045FEB"/>
    <w:rsid w:val="0007796D"/>
    <w:rsid w:val="000B7790"/>
    <w:rsid w:val="00111F2F"/>
    <w:rsid w:val="00116043"/>
    <w:rsid w:val="0014365E"/>
    <w:rsid w:val="00143C66"/>
    <w:rsid w:val="001513DF"/>
    <w:rsid w:val="00176178"/>
    <w:rsid w:val="001F525A"/>
    <w:rsid w:val="00201148"/>
    <w:rsid w:val="00223272"/>
    <w:rsid w:val="0024779E"/>
    <w:rsid w:val="00257168"/>
    <w:rsid w:val="002744B8"/>
    <w:rsid w:val="002832AC"/>
    <w:rsid w:val="002D7C93"/>
    <w:rsid w:val="002F0A2B"/>
    <w:rsid w:val="00305801"/>
    <w:rsid w:val="00377CF9"/>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41252"/>
    <w:rsid w:val="007A62E6"/>
    <w:rsid w:val="007D54FE"/>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5488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E3336"/>
  <w15:docId w15:val="{0F986022-383D-4484-B56D-F8A6B109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7D54FE"/>
    <w:rPr>
      <w:rFonts w:ascii="Times New Roman" w:eastAsiaTheme="minorHAnsi" w:hAnsi="Times New Roman" w:cs="Times New Roman"/>
      <w:sz w:val="20"/>
      <w:szCs w:val="20"/>
      <w:lang w:eastAsia="en-US"/>
    </w:rPr>
  </w:style>
  <w:style w:type="character" w:customStyle="1" w:styleId="HChGChar">
    <w:name w:val="_ H _Ch_G Char"/>
    <w:link w:val="HChG"/>
    <w:locked/>
    <w:rsid w:val="007D54FE"/>
    <w:rPr>
      <w:rFonts w:ascii="Times New Roman" w:eastAsiaTheme="minorHAnsi" w:hAnsi="Times New Roman" w:cs="Times New Roman"/>
      <w:b/>
      <w:sz w:val="28"/>
      <w:szCs w:val="20"/>
      <w:lang w:eastAsia="en-US"/>
    </w:rPr>
  </w:style>
  <w:style w:type="character" w:customStyle="1" w:styleId="H1GChar">
    <w:name w:val="_ H_1_G Char"/>
    <w:link w:val="H1G"/>
    <w:locked/>
    <w:rsid w:val="007D54F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C6E6-3732-46B2-BAC5-29A7E1E3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2</Pages>
  <Words>273</Words>
  <Characters>1916</Characters>
  <Application>Microsoft Office Word</Application>
  <DocSecurity>0</DocSecurity>
  <Lines>159</Lines>
  <Paragraphs>87</Paragraphs>
  <ScaleCrop>false</ScaleCrop>
  <HeadingPairs>
    <vt:vector size="2" baseType="variant">
      <vt:variant>
        <vt:lpstr>Titre</vt:lpstr>
      </vt:variant>
      <vt:variant>
        <vt:i4>1</vt:i4>
      </vt:variant>
    </vt:vector>
  </HeadingPairs>
  <TitlesOfParts>
    <vt:vector size="1" baseType="lpstr">
      <vt:lpstr>ECE/TRANS/WP.29/2023/35</vt:lpstr>
    </vt:vector>
  </TitlesOfParts>
  <Company>DCM</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ECE/TRANS/WP.29/2023/35</dc:title>
  <dc:subject/>
  <dc:creator>Nathalie VITTOZ</dc:creator>
  <cp:keywords/>
  <cp:lastModifiedBy>Nathalie Vittoz</cp:lastModifiedBy>
  <cp:revision>2</cp:revision>
  <cp:lastPrinted>2014-05-14T10:59:00Z</cp:lastPrinted>
  <dcterms:created xsi:type="dcterms:W3CDTF">2023-01-11T14:45:00Z</dcterms:created>
  <dcterms:modified xsi:type="dcterms:W3CDTF">2023-01-11T14:45:00Z</dcterms:modified>
</cp:coreProperties>
</file>